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بدعت چیست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2727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182729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82731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1182733_3650668749">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182735_3650668749">
            <w:r>
              <w:rPr>
                <w:webHidden/>
                <w:rStyle w:val="IndexLink"/>
                <w:rtl w:val="true"/>
              </w:rPr>
              <w:t>بدعت از منظر وهابيان‌</w:t>
            </w:r>
            <w:r>
              <w:rPr>
                <w:rStyle w:val="IndexLink"/>
                <w:rtl w:val="true"/>
              </w:rPr>
              <w:tab/>
            </w:r>
            <w:r>
              <w:rPr>
                <w:rStyle w:val="IndexLink"/>
              </w:rPr>
              <w:t>8</w:t>
            </w:r>
          </w:hyperlink>
        </w:p>
        <w:p>
          <w:pPr>
            <w:pStyle w:val="Contents3"/>
            <w:tabs>
              <w:tab w:val="clear" w:pos="8459"/>
              <w:tab w:val="right" w:pos="9026" w:leader="dot"/>
            </w:tabs>
            <w:rPr/>
          </w:pPr>
          <w:hyperlink w:anchor="__RefHeading___Toc1182737_3650668749">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182739_3650668749">
            <w:r>
              <w:rPr>
                <w:webHidden/>
                <w:rStyle w:val="IndexLink"/>
                <w:rtl w:val="true"/>
              </w:rPr>
              <w:t>ادله وهابيان بر حرمت‌</w:t>
            </w:r>
            <w:r>
              <w:rPr>
                <w:rStyle w:val="IndexLink"/>
                <w:rtl w:val="true"/>
              </w:rPr>
              <w:tab/>
            </w:r>
            <w:r>
              <w:rPr>
                <w:rStyle w:val="IndexLink"/>
              </w:rPr>
              <w:t>8</w:t>
            </w:r>
          </w:hyperlink>
        </w:p>
        <w:p>
          <w:pPr>
            <w:pStyle w:val="Contents3"/>
            <w:tabs>
              <w:tab w:val="clear" w:pos="8459"/>
              <w:tab w:val="right" w:pos="9026" w:leader="dot"/>
            </w:tabs>
            <w:rPr/>
          </w:pPr>
          <w:hyperlink w:anchor="__RefHeading___Toc1182741_3650668749">
            <w:r>
              <w:rPr>
                <w:webHidden/>
                <w:rStyle w:val="IndexLink"/>
                <w:rtl w:val="true"/>
              </w:rPr>
              <w:t>پاسخ اجمالى‌</w:t>
            </w:r>
            <w:r>
              <w:rPr>
                <w:rStyle w:val="IndexLink"/>
                <w:rtl w:val="true"/>
              </w:rPr>
              <w:tab/>
            </w:r>
            <w:r>
              <w:rPr>
                <w:rStyle w:val="IndexLink"/>
              </w:rPr>
              <w:t>9</w:t>
            </w:r>
          </w:hyperlink>
        </w:p>
        <w:p>
          <w:pPr>
            <w:pStyle w:val="Contents2"/>
            <w:tabs>
              <w:tab w:val="clear" w:pos="8743"/>
              <w:tab w:val="right" w:pos="9026" w:leader="dot"/>
            </w:tabs>
            <w:rPr/>
          </w:pPr>
          <w:hyperlink w:anchor="__RefHeading___Toc1182743_3650668749">
            <w:r>
              <w:rPr>
                <w:webHidden/>
                <w:rStyle w:val="IndexLink"/>
                <w:rtl w:val="true"/>
              </w:rPr>
              <w:t>سنّت‌</w:t>
            </w:r>
            <w:r>
              <w:rPr>
                <w:rStyle w:val="IndexLink"/>
                <w:rtl w:val="true"/>
              </w:rPr>
              <w:tab/>
            </w:r>
            <w:r>
              <w:rPr>
                <w:rStyle w:val="IndexLink"/>
              </w:rPr>
              <w:t>10</w:t>
            </w:r>
          </w:hyperlink>
        </w:p>
        <w:p>
          <w:pPr>
            <w:pStyle w:val="Contents3"/>
            <w:tabs>
              <w:tab w:val="clear" w:pos="8459"/>
              <w:tab w:val="right" w:pos="9026" w:leader="dot"/>
            </w:tabs>
            <w:rPr/>
          </w:pPr>
          <w:hyperlink w:anchor="__RefHeading___Toc1182745_3650668749">
            <w:r>
              <w:rPr>
                <w:webHidden/>
                <w:rStyle w:val="IndexLink"/>
                <w:rtl w:val="true"/>
              </w:rPr>
              <w:t>سنّت در لغت‌</w:t>
            </w:r>
            <w:r>
              <w:rPr>
                <w:rStyle w:val="IndexLink"/>
                <w:rtl w:val="true"/>
              </w:rPr>
              <w:tab/>
            </w:r>
            <w:r>
              <w:rPr>
                <w:rStyle w:val="IndexLink"/>
              </w:rPr>
              <w:t>10</w:t>
            </w:r>
          </w:hyperlink>
        </w:p>
        <w:p>
          <w:pPr>
            <w:pStyle w:val="Contents3"/>
            <w:tabs>
              <w:tab w:val="clear" w:pos="8459"/>
              <w:tab w:val="right" w:pos="9026" w:leader="dot"/>
            </w:tabs>
            <w:rPr/>
          </w:pPr>
          <w:hyperlink w:anchor="__RefHeading___Toc1182747_3650668749">
            <w:r>
              <w:rPr>
                <w:webHidden/>
                <w:rStyle w:val="IndexLink"/>
                <w:rtl w:val="true"/>
              </w:rPr>
              <w:t>سنت در اصطلاح روايات‌</w:t>
            </w:r>
            <w:r>
              <w:rPr>
                <w:rStyle w:val="IndexLink"/>
                <w:rtl w:val="true"/>
              </w:rPr>
              <w:tab/>
            </w:r>
            <w:r>
              <w:rPr>
                <w:rStyle w:val="IndexLink"/>
              </w:rPr>
              <w:t>10</w:t>
            </w:r>
          </w:hyperlink>
        </w:p>
        <w:p>
          <w:pPr>
            <w:pStyle w:val="Contents3"/>
            <w:tabs>
              <w:tab w:val="clear" w:pos="8459"/>
              <w:tab w:val="right" w:pos="9026" w:leader="dot"/>
            </w:tabs>
            <w:rPr/>
          </w:pPr>
          <w:hyperlink w:anchor="__RefHeading___Toc1182749_3650668749">
            <w:r>
              <w:rPr>
                <w:webHidden/>
                <w:rStyle w:val="IndexLink"/>
                <w:rtl w:val="true"/>
              </w:rPr>
              <w:t>سنت در اصطلاح فقها</w:t>
            </w:r>
            <w:r>
              <w:rPr>
                <w:rStyle w:val="IndexLink"/>
                <w:rtl w:val="true"/>
              </w:rPr>
              <w:tab/>
            </w:r>
            <w:r>
              <w:rPr>
                <w:rStyle w:val="IndexLink"/>
              </w:rPr>
              <w:t>11</w:t>
            </w:r>
          </w:hyperlink>
        </w:p>
        <w:p>
          <w:pPr>
            <w:pStyle w:val="Contents2"/>
            <w:tabs>
              <w:tab w:val="clear" w:pos="8743"/>
              <w:tab w:val="right" w:pos="9026" w:leader="dot"/>
            </w:tabs>
            <w:rPr/>
          </w:pPr>
          <w:hyperlink w:anchor="__RefHeading___Toc1182751_3650668749">
            <w:r>
              <w:rPr>
                <w:webHidden/>
                <w:rStyle w:val="IndexLink"/>
                <w:rtl w:val="true"/>
              </w:rPr>
              <w:t>بدعت‌</w:t>
            </w:r>
            <w:r>
              <w:rPr>
                <w:rStyle w:val="IndexLink"/>
                <w:rtl w:val="true"/>
              </w:rPr>
              <w:tab/>
            </w:r>
            <w:r>
              <w:rPr>
                <w:rStyle w:val="IndexLink"/>
              </w:rPr>
              <w:t>12</w:t>
            </w:r>
          </w:hyperlink>
        </w:p>
        <w:p>
          <w:pPr>
            <w:pStyle w:val="Contents3"/>
            <w:tabs>
              <w:tab w:val="clear" w:pos="8459"/>
              <w:tab w:val="right" w:pos="9026" w:leader="dot"/>
            </w:tabs>
            <w:rPr/>
          </w:pPr>
          <w:hyperlink w:anchor="__RefHeading___Toc1182753_3650668749">
            <w:r>
              <w:rPr>
                <w:webHidden/>
                <w:rStyle w:val="IndexLink"/>
                <w:rtl w:val="true"/>
              </w:rPr>
              <w:t>بدعت در لغت‌</w:t>
            </w:r>
            <w:r>
              <w:rPr>
                <w:rStyle w:val="IndexLink"/>
                <w:rtl w:val="true"/>
              </w:rPr>
              <w:tab/>
            </w:r>
            <w:r>
              <w:rPr>
                <w:rStyle w:val="IndexLink"/>
              </w:rPr>
              <w:t>12</w:t>
            </w:r>
          </w:hyperlink>
        </w:p>
        <w:p>
          <w:pPr>
            <w:pStyle w:val="Contents3"/>
            <w:tabs>
              <w:tab w:val="clear" w:pos="8459"/>
              <w:tab w:val="right" w:pos="9026" w:leader="dot"/>
            </w:tabs>
            <w:rPr/>
          </w:pPr>
          <w:hyperlink w:anchor="__RefHeading___Toc1182755_3650668749">
            <w:r>
              <w:rPr>
                <w:webHidden/>
                <w:rStyle w:val="IndexLink"/>
                <w:rtl w:val="true"/>
              </w:rPr>
              <w:t>بدعت در اصطلاح‌</w:t>
            </w:r>
            <w:r>
              <w:rPr>
                <w:rStyle w:val="IndexLink"/>
                <w:rtl w:val="true"/>
              </w:rPr>
              <w:tab/>
            </w:r>
            <w:r>
              <w:rPr>
                <w:rStyle w:val="IndexLink"/>
              </w:rPr>
              <w:t>12</w:t>
            </w:r>
          </w:hyperlink>
        </w:p>
        <w:p>
          <w:pPr>
            <w:pStyle w:val="Contents3"/>
            <w:tabs>
              <w:tab w:val="clear" w:pos="8459"/>
              <w:tab w:val="right" w:pos="9026" w:leader="dot"/>
            </w:tabs>
            <w:rPr/>
          </w:pPr>
          <w:hyperlink w:anchor="__RefHeading___Toc1182757_3650668749">
            <w:r>
              <w:rPr>
                <w:webHidden/>
                <w:rStyle w:val="IndexLink"/>
                <w:rtl w:val="true"/>
              </w:rPr>
              <w:t>توسعه در مفهوم بدعت‌</w:t>
            </w:r>
            <w:r>
              <w:rPr>
                <w:rStyle w:val="IndexLink"/>
                <w:rtl w:val="true"/>
              </w:rPr>
              <w:tab/>
            </w:r>
            <w:r>
              <w:rPr>
                <w:rStyle w:val="IndexLink"/>
              </w:rPr>
              <w:t>13</w:t>
            </w:r>
          </w:hyperlink>
        </w:p>
        <w:p>
          <w:pPr>
            <w:pStyle w:val="Contents3"/>
            <w:tabs>
              <w:tab w:val="clear" w:pos="8459"/>
              <w:tab w:val="right" w:pos="9026" w:leader="dot"/>
            </w:tabs>
            <w:rPr/>
          </w:pPr>
          <w:hyperlink w:anchor="__RefHeading___Toc1182759_3650668749">
            <w:r>
              <w:rPr>
                <w:webHidden/>
                <w:rStyle w:val="IndexLink"/>
                <w:rtl w:val="true"/>
              </w:rPr>
              <w:t>قرآن و مذمت بدعت‌گذارى‌</w:t>
            </w:r>
            <w:r>
              <w:rPr>
                <w:rStyle w:val="IndexLink"/>
                <w:rtl w:val="true"/>
              </w:rPr>
              <w:tab/>
            </w:r>
            <w:r>
              <w:rPr>
                <w:rStyle w:val="IndexLink"/>
              </w:rPr>
              <w:t>14</w:t>
            </w:r>
          </w:hyperlink>
        </w:p>
        <w:p>
          <w:pPr>
            <w:pStyle w:val="Contents3"/>
            <w:tabs>
              <w:tab w:val="clear" w:pos="8459"/>
              <w:tab w:val="right" w:pos="9026" w:leader="dot"/>
            </w:tabs>
            <w:rPr/>
          </w:pPr>
          <w:hyperlink w:anchor="__RefHeading___Toc1182761_3650668749">
            <w:r>
              <w:rPr>
                <w:webHidden/>
                <w:rStyle w:val="IndexLink"/>
                <w:rtl w:val="true"/>
              </w:rPr>
              <w:t>مذمت اهل كتاب به جهت بدعت‌گذارى‌</w:t>
            </w:r>
            <w:r>
              <w:rPr>
                <w:rStyle w:val="IndexLink"/>
                <w:rtl w:val="true"/>
              </w:rPr>
              <w:tab/>
            </w:r>
            <w:r>
              <w:rPr>
                <w:rStyle w:val="IndexLink"/>
              </w:rPr>
              <w:t>15</w:t>
            </w:r>
          </w:hyperlink>
        </w:p>
        <w:p>
          <w:pPr>
            <w:pStyle w:val="Contents3"/>
            <w:tabs>
              <w:tab w:val="clear" w:pos="8459"/>
              <w:tab w:val="right" w:pos="9026" w:leader="dot"/>
            </w:tabs>
            <w:rPr/>
          </w:pPr>
          <w:hyperlink w:anchor="__RefHeading___Toc1182763_3650668749">
            <w:r>
              <w:rPr>
                <w:webHidden/>
                <w:rStyle w:val="IndexLink"/>
                <w:rtl w:val="true"/>
              </w:rPr>
              <w:t>بدعت حَسن وقبيح از نظر اهل سنّت‌</w:t>
            </w:r>
            <w:r>
              <w:rPr>
                <w:rStyle w:val="IndexLink"/>
                <w:rtl w:val="true"/>
              </w:rPr>
              <w:tab/>
            </w:r>
            <w:r>
              <w:rPr>
                <w:rStyle w:val="IndexLink"/>
              </w:rPr>
              <w:t>15</w:t>
            </w:r>
          </w:hyperlink>
        </w:p>
        <w:p>
          <w:pPr>
            <w:pStyle w:val="Contents3"/>
            <w:tabs>
              <w:tab w:val="clear" w:pos="8459"/>
              <w:tab w:val="right" w:pos="9026" w:leader="dot"/>
            </w:tabs>
            <w:rPr/>
          </w:pPr>
          <w:hyperlink w:anchor="__RefHeading___Toc1182765_3650668749">
            <w:r>
              <w:rPr>
                <w:webHidden/>
                <w:rStyle w:val="IndexLink"/>
                <w:rtl w:val="true"/>
              </w:rPr>
              <w:t>هر بدعتى ضلالت است‌</w:t>
            </w:r>
            <w:r>
              <w:rPr>
                <w:rStyle w:val="IndexLink"/>
                <w:rtl w:val="true"/>
              </w:rPr>
              <w:tab/>
            </w:r>
            <w:r>
              <w:rPr>
                <w:rStyle w:val="IndexLink"/>
              </w:rPr>
              <w:t>15</w:t>
            </w:r>
          </w:hyperlink>
        </w:p>
        <w:p>
          <w:pPr>
            <w:pStyle w:val="Contents3"/>
            <w:tabs>
              <w:tab w:val="clear" w:pos="8459"/>
              <w:tab w:val="right" w:pos="9026" w:leader="dot"/>
            </w:tabs>
            <w:rPr/>
          </w:pPr>
          <w:hyperlink w:anchor="__RefHeading___Toc1182767_3650668749">
            <w:r>
              <w:rPr>
                <w:webHidden/>
                <w:rStyle w:val="IndexLink"/>
                <w:rtl w:val="true"/>
              </w:rPr>
              <w:t>اركان بدعت‌</w:t>
            </w:r>
            <w:r>
              <w:rPr>
                <w:rStyle w:val="IndexLink"/>
                <w:rtl w:val="true"/>
              </w:rPr>
              <w:tab/>
            </w:r>
            <w:r>
              <w:rPr>
                <w:rStyle w:val="IndexLink"/>
              </w:rPr>
              <w:t>16</w:t>
            </w:r>
          </w:hyperlink>
        </w:p>
        <w:p>
          <w:pPr>
            <w:pStyle w:val="Contents3"/>
            <w:tabs>
              <w:tab w:val="clear" w:pos="8459"/>
              <w:tab w:val="right" w:pos="9026" w:leader="dot"/>
            </w:tabs>
            <w:rPr/>
          </w:pPr>
          <w:hyperlink w:anchor="__RefHeading___Toc1182769_3650668749">
            <w:r>
              <w:rPr>
                <w:webHidden/>
                <w:rStyle w:val="IndexLink"/>
                <w:rtl w:val="true"/>
              </w:rPr>
              <w:t>نمونه‌هايى از عمومات قرآنى‌</w:t>
            </w:r>
            <w:r>
              <w:rPr>
                <w:rStyle w:val="IndexLink"/>
                <w:rtl w:val="true"/>
              </w:rPr>
              <w:tab/>
            </w:r>
            <w:r>
              <w:rPr>
                <w:rStyle w:val="IndexLink"/>
              </w:rPr>
              <w:t>17</w:t>
            </w:r>
          </w:hyperlink>
        </w:p>
        <w:p>
          <w:pPr>
            <w:pStyle w:val="Contents3"/>
            <w:tabs>
              <w:tab w:val="clear" w:pos="8459"/>
              <w:tab w:val="right" w:pos="9026" w:leader="dot"/>
            </w:tabs>
            <w:rPr/>
          </w:pPr>
          <w:hyperlink w:anchor="__RefHeading___Toc1182771_3650668749">
            <w:r>
              <w:rPr>
                <w:webHidden/>
                <w:rStyle w:val="IndexLink"/>
                <w:rtl w:val="true"/>
              </w:rPr>
              <w:t>نمونه‌هايى از عمومات حديثى‌</w:t>
            </w:r>
            <w:r>
              <w:rPr>
                <w:rStyle w:val="IndexLink"/>
                <w:rtl w:val="true"/>
              </w:rPr>
              <w:tab/>
            </w:r>
            <w:r>
              <w:rPr>
                <w:rStyle w:val="IndexLink"/>
              </w:rPr>
              <w:t>18</w:t>
            </w:r>
          </w:hyperlink>
        </w:p>
        <w:p>
          <w:pPr>
            <w:pStyle w:val="Contents3"/>
            <w:tabs>
              <w:tab w:val="clear" w:pos="8459"/>
              <w:tab w:val="right" w:pos="9026" w:leader="dot"/>
            </w:tabs>
            <w:rPr/>
          </w:pPr>
          <w:hyperlink w:anchor="__RefHeading___Toc1182773_3650668749">
            <w:r>
              <w:rPr>
                <w:webHidden/>
                <w:rStyle w:val="IndexLink"/>
                <w:rtl w:val="true"/>
              </w:rPr>
              <w:t>شواهد تاريخى بر تطبيق‌</w:t>
            </w:r>
            <w:r>
              <w:rPr>
                <w:rStyle w:val="IndexLink"/>
                <w:rtl w:val="true"/>
              </w:rPr>
              <w:tab/>
            </w:r>
            <w:r>
              <w:rPr>
                <w:rStyle w:val="IndexLink"/>
              </w:rPr>
              <w:t>19</w:t>
            </w:r>
          </w:hyperlink>
        </w:p>
        <w:p>
          <w:pPr>
            <w:pStyle w:val="Contents3"/>
            <w:tabs>
              <w:tab w:val="clear" w:pos="8459"/>
              <w:tab w:val="right" w:pos="9026" w:leader="dot"/>
            </w:tabs>
            <w:rPr/>
          </w:pPr>
          <w:hyperlink w:anchor="__RefHeading___Toc1182775_3650668749">
            <w:r>
              <w:rPr>
                <w:webHidden/>
                <w:rStyle w:val="IndexLink"/>
                <w:rtl w:val="true"/>
              </w:rPr>
              <w:t>انواع بدعت‌</w:t>
            </w:r>
            <w:r>
              <w:rPr>
                <w:rStyle w:val="IndexLink"/>
                <w:rtl w:val="true"/>
              </w:rPr>
              <w:tab/>
            </w:r>
            <w:r>
              <w:rPr>
                <w:rStyle w:val="IndexLink"/>
              </w:rPr>
              <w:t>20</w:t>
            </w:r>
          </w:hyperlink>
        </w:p>
        <w:p>
          <w:pPr>
            <w:pStyle w:val="Contents4"/>
            <w:tabs>
              <w:tab w:val="clear" w:pos="8176"/>
              <w:tab w:val="right" w:pos="9026" w:leader="dot"/>
            </w:tabs>
            <w:rPr/>
          </w:pPr>
          <w:hyperlink w:anchor="__RefHeading___Toc1182777_365066874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182779_3650668749">
            <w:r>
              <w:rPr>
                <w:webHidden/>
                <w:rStyle w:val="IndexLink"/>
              </w:rPr>
              <w:t>1</w:t>
            </w:r>
            <w:r>
              <w:rPr>
                <w:rStyle w:val="IndexLink"/>
                <w:rtl w:val="true"/>
              </w:rPr>
              <w:t xml:space="preserve">. </w:t>
            </w:r>
            <w:r>
              <w:rPr>
                <w:rStyle w:val="IndexLink"/>
                <w:rtl w:val="true"/>
              </w:rPr>
              <w:t>بدعت تركى‌</w:t>
            </w:r>
            <w:r>
              <w:rPr>
                <w:rStyle w:val="IndexLink"/>
                <w:rtl w:val="true"/>
              </w:rPr>
              <w:tab/>
            </w:r>
            <w:r>
              <w:rPr>
                <w:rStyle w:val="IndexLink"/>
              </w:rPr>
              <w:t>20</w:t>
            </w:r>
          </w:hyperlink>
        </w:p>
        <w:p>
          <w:pPr>
            <w:pStyle w:val="Contents4"/>
            <w:tabs>
              <w:tab w:val="clear" w:pos="8176"/>
              <w:tab w:val="right" w:pos="9026" w:leader="dot"/>
            </w:tabs>
            <w:rPr/>
          </w:pPr>
          <w:hyperlink w:anchor="__RefHeading___Toc1182781_3650668749">
            <w:r>
              <w:rPr>
                <w:webHidden/>
                <w:rStyle w:val="IndexLink"/>
              </w:rPr>
              <w:t>2</w:t>
            </w:r>
            <w:r>
              <w:rPr>
                <w:rStyle w:val="IndexLink"/>
                <w:rtl w:val="true"/>
              </w:rPr>
              <w:t xml:space="preserve">. </w:t>
            </w:r>
            <w:r>
              <w:rPr>
                <w:rStyle w:val="IndexLink"/>
                <w:rtl w:val="true"/>
              </w:rPr>
              <w:t>بدعت فعلى‌</w:t>
            </w:r>
            <w:r>
              <w:rPr>
                <w:rStyle w:val="IndexLink"/>
                <w:rtl w:val="true"/>
              </w:rPr>
              <w:tab/>
            </w:r>
            <w:r>
              <w:rPr>
                <w:rStyle w:val="IndexLink"/>
              </w:rPr>
              <w:t>20</w:t>
            </w:r>
          </w:hyperlink>
        </w:p>
        <w:p>
          <w:pPr>
            <w:pStyle w:val="Contents3"/>
            <w:tabs>
              <w:tab w:val="clear" w:pos="8459"/>
              <w:tab w:val="right" w:pos="9026" w:leader="dot"/>
            </w:tabs>
            <w:rPr/>
          </w:pPr>
          <w:hyperlink w:anchor="__RefHeading___Toc1182783_3650668749">
            <w:r>
              <w:rPr>
                <w:webHidden/>
                <w:rStyle w:val="IndexLink"/>
                <w:rtl w:val="true"/>
              </w:rPr>
              <w:t>عوامل پيدايش بدعت‌</w:t>
            </w:r>
            <w:r>
              <w:rPr>
                <w:rStyle w:val="IndexLink"/>
                <w:rtl w:val="true"/>
              </w:rPr>
              <w:tab/>
            </w:r>
            <w:r>
              <w:rPr>
                <w:rStyle w:val="IndexLink"/>
              </w:rPr>
              <w:t>20</w:t>
            </w:r>
          </w:hyperlink>
        </w:p>
        <w:p>
          <w:pPr>
            <w:pStyle w:val="Contents4"/>
            <w:tabs>
              <w:tab w:val="clear" w:pos="8176"/>
              <w:tab w:val="right" w:pos="9026" w:leader="dot"/>
            </w:tabs>
            <w:rPr/>
          </w:pPr>
          <w:hyperlink w:anchor="__RefHeading___Toc1182785_365066874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182787_3650668749">
            <w:r>
              <w:rPr>
                <w:webHidden/>
                <w:rStyle w:val="IndexLink"/>
              </w:rPr>
              <w:t>1</w:t>
            </w:r>
            <w:r>
              <w:rPr>
                <w:rStyle w:val="IndexLink"/>
                <w:rtl w:val="true"/>
              </w:rPr>
              <w:t xml:space="preserve">. </w:t>
            </w:r>
            <w:r>
              <w:rPr>
                <w:rStyle w:val="IndexLink"/>
                <w:rtl w:val="true"/>
              </w:rPr>
              <w:t>مبالغه در تعبّد انسان نسبت به خداوند</w:t>
            </w:r>
            <w:r>
              <w:rPr>
                <w:rStyle w:val="IndexLink"/>
                <w:rtl w:val="true"/>
              </w:rPr>
              <w:tab/>
            </w:r>
            <w:r>
              <w:rPr>
                <w:rStyle w:val="IndexLink"/>
              </w:rPr>
              <w:t>20</w:t>
            </w:r>
          </w:hyperlink>
        </w:p>
        <w:p>
          <w:pPr>
            <w:pStyle w:val="Contents4"/>
            <w:tabs>
              <w:tab w:val="clear" w:pos="8176"/>
              <w:tab w:val="right" w:pos="9026" w:leader="dot"/>
            </w:tabs>
            <w:rPr/>
          </w:pPr>
          <w:hyperlink w:anchor="__RefHeading___Toc1182789_3650668749">
            <w:r>
              <w:rPr>
                <w:webHidden/>
                <w:rStyle w:val="IndexLink"/>
              </w:rPr>
              <w:t>2</w:t>
            </w:r>
            <w:r>
              <w:rPr>
                <w:rStyle w:val="IndexLink"/>
                <w:rtl w:val="true"/>
              </w:rPr>
              <w:t xml:space="preserve">. </w:t>
            </w:r>
            <w:r>
              <w:rPr>
                <w:rStyle w:val="IndexLink"/>
                <w:rtl w:val="true"/>
              </w:rPr>
              <w:t>متابعت از هواى نفس‌</w:t>
            </w:r>
            <w:r>
              <w:rPr>
                <w:rStyle w:val="IndexLink"/>
                <w:rtl w:val="true"/>
              </w:rPr>
              <w:tab/>
            </w:r>
            <w:r>
              <w:rPr>
                <w:rStyle w:val="IndexLink"/>
              </w:rPr>
              <w:t>20</w:t>
            </w:r>
          </w:hyperlink>
        </w:p>
        <w:p>
          <w:pPr>
            <w:pStyle w:val="Contents4"/>
            <w:tabs>
              <w:tab w:val="clear" w:pos="8176"/>
              <w:tab w:val="right" w:pos="9026" w:leader="dot"/>
            </w:tabs>
            <w:rPr/>
          </w:pPr>
          <w:hyperlink w:anchor="__RefHeading___Toc1182791_3650668749">
            <w:r>
              <w:rPr>
                <w:webHidden/>
                <w:rStyle w:val="IndexLink"/>
              </w:rPr>
              <w:t>3</w:t>
            </w:r>
            <w:r>
              <w:rPr>
                <w:rStyle w:val="IndexLink"/>
                <w:rtl w:val="true"/>
              </w:rPr>
              <w:t xml:space="preserve">. </w:t>
            </w:r>
            <w:r>
              <w:rPr>
                <w:rStyle w:val="IndexLink"/>
                <w:rtl w:val="true"/>
              </w:rPr>
              <w:t>نبود روحيه تسليم‌</w:t>
            </w:r>
            <w:r>
              <w:rPr>
                <w:rStyle w:val="IndexLink"/>
                <w:rtl w:val="true"/>
              </w:rPr>
              <w:tab/>
            </w:r>
            <w:r>
              <w:rPr>
                <w:rStyle w:val="IndexLink"/>
              </w:rPr>
              <w:t>21</w:t>
            </w:r>
          </w:hyperlink>
        </w:p>
        <w:p>
          <w:pPr>
            <w:pStyle w:val="Contents3"/>
            <w:tabs>
              <w:tab w:val="clear" w:pos="8459"/>
              <w:tab w:val="right" w:pos="9026" w:leader="dot"/>
            </w:tabs>
            <w:rPr/>
          </w:pPr>
          <w:hyperlink w:anchor="__RefHeading___Toc1182793_3650668749">
            <w:r>
              <w:rPr>
                <w:webHidden/>
                <w:rStyle w:val="IndexLink"/>
                <w:rtl w:val="true"/>
              </w:rPr>
              <w:t>حجيت سنّت اهل بيت</w:t>
            </w:r>
            <w:r>
              <w:rPr>
                <w:rStyle w:val="IndexLink"/>
                <w:rtl w:val="true"/>
              </w:rPr>
              <w:t>:</w:t>
              <w:tab/>
            </w:r>
            <w:r>
              <w:rPr>
                <w:rStyle w:val="IndexLink"/>
              </w:rPr>
              <w:t>21</w:t>
            </w:r>
          </w:hyperlink>
        </w:p>
        <w:p>
          <w:pPr>
            <w:pStyle w:val="Contents4"/>
            <w:tabs>
              <w:tab w:val="clear" w:pos="8176"/>
              <w:tab w:val="right" w:pos="9026" w:leader="dot"/>
            </w:tabs>
            <w:rPr/>
          </w:pPr>
          <w:hyperlink w:anchor="__RefHeading___Toc1182795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182797_3650668749">
            <w:r>
              <w:rPr>
                <w:webHidden/>
                <w:rStyle w:val="IndexLink"/>
              </w:rPr>
              <w:t>1</w:t>
            </w:r>
            <w:r>
              <w:rPr>
                <w:rStyle w:val="IndexLink"/>
                <w:rtl w:val="true"/>
              </w:rPr>
              <w:t xml:space="preserve">. </w:t>
            </w:r>
            <w:r>
              <w:rPr>
                <w:rStyle w:val="IndexLink"/>
                <w:rtl w:val="true"/>
              </w:rPr>
              <w:t>آيه تطهير</w:t>
            </w:r>
            <w:r>
              <w:rPr>
                <w:rStyle w:val="IndexLink"/>
                <w:rtl w:val="true"/>
              </w:rPr>
              <w:tab/>
            </w:r>
            <w:r>
              <w:rPr>
                <w:rStyle w:val="IndexLink"/>
              </w:rPr>
              <w:t>21</w:t>
            </w:r>
          </w:hyperlink>
        </w:p>
        <w:p>
          <w:pPr>
            <w:pStyle w:val="Contents4"/>
            <w:tabs>
              <w:tab w:val="clear" w:pos="8176"/>
              <w:tab w:val="right" w:pos="9026" w:leader="dot"/>
            </w:tabs>
            <w:rPr/>
          </w:pPr>
          <w:hyperlink w:anchor="__RefHeading___Toc1182799_3650668749">
            <w:r>
              <w:rPr>
                <w:webHidden/>
                <w:rStyle w:val="IndexLink"/>
              </w:rPr>
              <w:t>2</w:t>
            </w:r>
            <w:r>
              <w:rPr>
                <w:rStyle w:val="IndexLink"/>
                <w:rtl w:val="true"/>
              </w:rPr>
              <w:t xml:space="preserve">. </w:t>
            </w:r>
            <w:r>
              <w:rPr>
                <w:rStyle w:val="IndexLink"/>
                <w:rtl w:val="true"/>
              </w:rPr>
              <w:t>حديث ثقلين‌</w:t>
            </w:r>
            <w:r>
              <w:rPr>
                <w:rStyle w:val="IndexLink"/>
                <w:rtl w:val="true"/>
              </w:rPr>
              <w:tab/>
            </w:r>
            <w:r>
              <w:rPr>
                <w:rStyle w:val="IndexLink"/>
              </w:rPr>
              <w:t>21</w:t>
            </w:r>
          </w:hyperlink>
        </w:p>
        <w:p>
          <w:pPr>
            <w:pStyle w:val="Contents2"/>
            <w:tabs>
              <w:tab w:val="clear" w:pos="8743"/>
              <w:tab w:val="right" w:pos="9026" w:leader="dot"/>
            </w:tabs>
            <w:rPr/>
          </w:pPr>
          <w:hyperlink w:anchor="__RefHeading___Toc1182801_3650668749">
            <w:r>
              <w:rPr>
                <w:webHidden/>
                <w:rStyle w:val="IndexLink"/>
                <w:rtl w:val="true"/>
              </w:rPr>
              <w:t>نقد ادله وهابيان‌</w:t>
            </w:r>
            <w:r>
              <w:rPr>
                <w:rStyle w:val="IndexLink"/>
                <w:rtl w:val="true"/>
              </w:rPr>
              <w:tab/>
            </w:r>
            <w:r>
              <w:rPr>
                <w:rStyle w:val="IndexLink"/>
              </w:rPr>
              <w:t>23</w:t>
            </w:r>
          </w:hyperlink>
        </w:p>
        <w:p>
          <w:pPr>
            <w:pStyle w:val="Contents3"/>
            <w:tabs>
              <w:tab w:val="clear" w:pos="8459"/>
              <w:tab w:val="right" w:pos="9026" w:leader="dot"/>
            </w:tabs>
            <w:rPr/>
          </w:pPr>
          <w:hyperlink w:anchor="__RefHeading___Toc1182803_365066874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182805_3650668749">
            <w:r>
              <w:rPr>
                <w:webHidden/>
                <w:rStyle w:val="IndexLink"/>
              </w:rPr>
              <w:t>1</w:t>
            </w:r>
            <w:r>
              <w:rPr>
                <w:rStyle w:val="IndexLink"/>
                <w:rtl w:val="true"/>
              </w:rPr>
              <w:t xml:space="preserve">. </w:t>
            </w:r>
            <w:r>
              <w:rPr>
                <w:rStyle w:val="IndexLink"/>
                <w:rtl w:val="true"/>
              </w:rPr>
              <w:t>شموليّت وعموميّت تشريع اسلامى‌</w:t>
            </w:r>
            <w:r>
              <w:rPr>
                <w:rStyle w:val="IndexLink"/>
                <w:rtl w:val="true"/>
              </w:rPr>
              <w:tab/>
            </w:r>
            <w:r>
              <w:rPr>
                <w:rStyle w:val="IndexLink"/>
              </w:rPr>
              <w:t>23</w:t>
            </w:r>
          </w:hyperlink>
        </w:p>
        <w:p>
          <w:pPr>
            <w:pStyle w:val="Contents3"/>
            <w:tabs>
              <w:tab w:val="clear" w:pos="8459"/>
              <w:tab w:val="right" w:pos="9026" w:leader="dot"/>
            </w:tabs>
            <w:rPr/>
          </w:pPr>
          <w:hyperlink w:anchor="__RefHeading___Toc1182807_3650668749">
            <w:r>
              <w:rPr>
                <w:webHidden/>
                <w:rStyle w:val="IndexLink"/>
              </w:rPr>
              <w:t>2</w:t>
            </w:r>
            <w:r>
              <w:rPr>
                <w:rStyle w:val="IndexLink"/>
                <w:rtl w:val="true"/>
              </w:rPr>
              <w:t xml:space="preserve">. </w:t>
            </w:r>
            <w:r>
              <w:rPr>
                <w:rStyle w:val="IndexLink"/>
                <w:rtl w:val="true"/>
              </w:rPr>
              <w:t>وسعت دايره حلال‌</w:t>
            </w:r>
            <w:r>
              <w:rPr>
                <w:rStyle w:val="IndexLink"/>
                <w:rtl w:val="true"/>
              </w:rPr>
              <w:tab/>
            </w:r>
            <w:r>
              <w:rPr>
                <w:rStyle w:val="IndexLink"/>
              </w:rPr>
              <w:t>23</w:t>
            </w:r>
          </w:hyperlink>
        </w:p>
        <w:p>
          <w:pPr>
            <w:pStyle w:val="Contents3"/>
            <w:tabs>
              <w:tab w:val="clear" w:pos="8459"/>
              <w:tab w:val="right" w:pos="9026" w:leader="dot"/>
            </w:tabs>
            <w:rPr/>
          </w:pPr>
          <w:hyperlink w:anchor="__RefHeading___Toc1182809_3650668749">
            <w:r>
              <w:rPr>
                <w:webHidden/>
                <w:rStyle w:val="IndexLink"/>
              </w:rPr>
              <w:t>3</w:t>
            </w:r>
            <w:r>
              <w:rPr>
                <w:rStyle w:val="IndexLink"/>
                <w:rtl w:val="true"/>
              </w:rPr>
              <w:t xml:space="preserve">. </w:t>
            </w:r>
            <w:r>
              <w:rPr>
                <w:rStyle w:val="IndexLink"/>
                <w:rtl w:val="true"/>
              </w:rPr>
              <w:t>اصل عملى اباحه در اشيا وافعال‌</w:t>
            </w:r>
            <w:r>
              <w:rPr>
                <w:rStyle w:val="IndexLink"/>
                <w:rtl w:val="true"/>
              </w:rPr>
              <w:tab/>
            </w:r>
            <w:r>
              <w:rPr>
                <w:rStyle w:val="IndexLink"/>
              </w:rPr>
              <w:t>24</w:t>
            </w:r>
          </w:hyperlink>
        </w:p>
        <w:p>
          <w:pPr>
            <w:pStyle w:val="Contents3"/>
            <w:tabs>
              <w:tab w:val="clear" w:pos="8459"/>
              <w:tab w:val="right" w:pos="9026" w:leader="dot"/>
            </w:tabs>
            <w:rPr/>
          </w:pPr>
          <w:hyperlink w:anchor="__RefHeading___Toc1182811_3650668749">
            <w:r>
              <w:rPr>
                <w:webHidden/>
                <w:rStyle w:val="IndexLink"/>
                <w:rtl w:val="true"/>
              </w:rPr>
              <w:t>ميزان بودن فعل سلف‌</w:t>
            </w:r>
            <w:r>
              <w:rPr>
                <w:rStyle w:val="IndexLink"/>
                <w:rtl w:val="true"/>
              </w:rPr>
              <w:tab/>
            </w:r>
            <w:r>
              <w:rPr>
                <w:rStyle w:val="IndexLink"/>
              </w:rPr>
              <w:t>24</w:t>
            </w:r>
          </w:hyperlink>
        </w:p>
        <w:p>
          <w:pPr>
            <w:pStyle w:val="Contents4"/>
            <w:tabs>
              <w:tab w:val="clear" w:pos="8176"/>
              <w:tab w:val="right" w:pos="9026" w:leader="dot"/>
            </w:tabs>
            <w:rPr/>
          </w:pPr>
          <w:hyperlink w:anchor="__RefHeading___Toc1182813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182815_3650668749">
            <w:r>
              <w:rPr>
                <w:webHidden/>
                <w:rStyle w:val="IndexLink"/>
                <w:rtl w:val="true"/>
              </w:rPr>
              <w:t>نقد و ارزيابى‌</w:t>
            </w:r>
            <w:r>
              <w:rPr>
                <w:rStyle w:val="IndexLink"/>
                <w:rtl w:val="true"/>
              </w:rPr>
              <w:tab/>
            </w:r>
            <w:r>
              <w:rPr>
                <w:rStyle w:val="IndexLink"/>
              </w:rPr>
              <w:t>25</w:t>
            </w:r>
          </w:hyperlink>
        </w:p>
        <w:p>
          <w:pPr>
            <w:pStyle w:val="Contents4"/>
            <w:tabs>
              <w:tab w:val="clear" w:pos="8176"/>
              <w:tab w:val="right" w:pos="9026" w:leader="dot"/>
            </w:tabs>
            <w:rPr/>
          </w:pPr>
          <w:hyperlink w:anchor="__RefHeading___Toc1182817_3650668749">
            <w:r>
              <w:rPr>
                <w:webHidden/>
                <w:rStyle w:val="IndexLink"/>
                <w:rtl w:val="true"/>
              </w:rPr>
              <w:t>دو خاصيت امور مستحدثه‌</w:t>
            </w:r>
            <w:r>
              <w:rPr>
                <w:rStyle w:val="IndexLink"/>
                <w:rtl w:val="true"/>
              </w:rPr>
              <w:tab/>
            </w:r>
            <w:r>
              <w:rPr>
                <w:rStyle w:val="IndexLink"/>
              </w:rPr>
              <w:t>26</w:t>
            </w:r>
          </w:hyperlink>
        </w:p>
        <w:p>
          <w:pPr>
            <w:pStyle w:val="Contents5"/>
            <w:tabs>
              <w:tab w:val="clear" w:pos="7892"/>
              <w:tab w:val="right" w:pos="9026" w:leader="dot"/>
            </w:tabs>
            <w:rPr/>
          </w:pPr>
          <w:hyperlink w:anchor="__RefHeading___Toc1182819_3650668749">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182821_3650668749">
            <w:r>
              <w:rPr>
                <w:webHidden/>
                <w:rStyle w:val="IndexLink"/>
                <w:rtl w:val="true"/>
              </w:rPr>
              <w:t>خاصيّت اوّل‌</w:t>
            </w:r>
            <w:r>
              <w:rPr>
                <w:rStyle w:val="IndexLink"/>
                <w:rtl w:val="true"/>
              </w:rPr>
              <w:tab/>
            </w:r>
            <w:r>
              <w:rPr>
                <w:rStyle w:val="IndexLink"/>
              </w:rPr>
              <w:t>26</w:t>
            </w:r>
          </w:hyperlink>
        </w:p>
        <w:p>
          <w:pPr>
            <w:pStyle w:val="Contents5"/>
            <w:tabs>
              <w:tab w:val="clear" w:pos="7892"/>
              <w:tab w:val="right" w:pos="9026" w:leader="dot"/>
            </w:tabs>
            <w:rPr/>
          </w:pPr>
          <w:hyperlink w:anchor="__RefHeading___Toc1182823_3650668749">
            <w:r>
              <w:rPr>
                <w:webHidden/>
                <w:rStyle w:val="IndexLink"/>
                <w:rtl w:val="true"/>
              </w:rPr>
              <w:t>خاصيّت دوم‌</w:t>
            </w:r>
            <w:r>
              <w:rPr>
                <w:rStyle w:val="IndexLink"/>
                <w:rtl w:val="true"/>
              </w:rPr>
              <w:tab/>
            </w:r>
            <w:r>
              <w:rPr>
                <w:rStyle w:val="IndexLink"/>
              </w:rPr>
              <w:t>26</w:t>
            </w:r>
          </w:hyperlink>
        </w:p>
        <w:p>
          <w:pPr>
            <w:pStyle w:val="Contents3"/>
            <w:tabs>
              <w:tab w:val="clear" w:pos="8459"/>
              <w:tab w:val="right" w:pos="9026" w:leader="dot"/>
            </w:tabs>
            <w:rPr/>
          </w:pPr>
          <w:hyperlink w:anchor="__RefHeading___Toc1182825_3650668749">
            <w:r>
              <w:rPr>
                <w:webHidden/>
                <w:rStyle w:val="IndexLink"/>
                <w:rtl w:val="true"/>
              </w:rPr>
              <w:t>ديدگاه عبدالملك سعدى‌</w:t>
            </w:r>
            <w:r>
              <w:rPr>
                <w:rStyle w:val="IndexLink"/>
                <w:rtl w:val="true"/>
              </w:rPr>
              <w:tab/>
            </w:r>
            <w:r>
              <w:rPr>
                <w:rStyle w:val="IndexLink"/>
              </w:rPr>
              <w:t>26</w:t>
            </w:r>
          </w:hyperlink>
        </w:p>
        <w:p>
          <w:pPr>
            <w:pStyle w:val="Contents3"/>
            <w:tabs>
              <w:tab w:val="clear" w:pos="8459"/>
              <w:tab w:val="right" w:pos="9026" w:leader="dot"/>
            </w:tabs>
            <w:rPr/>
          </w:pPr>
          <w:hyperlink w:anchor="__RefHeading___Toc1182827_3650668749">
            <w:r>
              <w:rPr>
                <w:webHidden/>
                <w:rStyle w:val="IndexLink"/>
                <w:rtl w:val="true"/>
              </w:rPr>
              <w:t>ديدگاه محمد بن علوى مالكى‌</w:t>
            </w:r>
            <w:r>
              <w:rPr>
                <w:rStyle w:val="IndexLink"/>
                <w:rtl w:val="true"/>
              </w:rPr>
              <w:tab/>
            </w:r>
            <w:r>
              <w:rPr>
                <w:rStyle w:val="IndexLink"/>
              </w:rPr>
              <w:t>28</w:t>
            </w:r>
          </w:hyperlink>
        </w:p>
        <w:p>
          <w:pPr>
            <w:pStyle w:val="Contents3"/>
            <w:tabs>
              <w:tab w:val="clear" w:pos="8459"/>
              <w:tab w:val="right" w:pos="9026" w:leader="dot"/>
            </w:tabs>
            <w:rPr/>
          </w:pPr>
          <w:hyperlink w:anchor="__RefHeading___Toc1182829_3650668749">
            <w:r>
              <w:rPr>
                <w:webHidden/>
                <w:rStyle w:val="IndexLink"/>
                <w:rtl w:val="true"/>
              </w:rPr>
              <w:t>انواع ترك‌</w:t>
            </w:r>
            <w:r>
              <w:rPr>
                <w:rStyle w:val="IndexLink"/>
                <w:rtl w:val="true"/>
              </w:rPr>
              <w:tab/>
            </w:r>
            <w:r>
              <w:rPr>
                <w:rStyle w:val="IndexLink"/>
              </w:rPr>
              <w:t>28</w:t>
            </w:r>
          </w:hyperlink>
        </w:p>
        <w:p>
          <w:pPr>
            <w:pStyle w:val="Contents4"/>
            <w:tabs>
              <w:tab w:val="clear" w:pos="8176"/>
              <w:tab w:val="right" w:pos="9026" w:leader="dot"/>
            </w:tabs>
            <w:rPr/>
          </w:pPr>
          <w:hyperlink w:anchor="__RefHeading___Toc1182831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182833_3650668749">
            <w:r>
              <w:rPr>
                <w:webHidden/>
                <w:rStyle w:val="IndexLink"/>
              </w:rPr>
              <w:t>1</w:t>
            </w:r>
            <w:r>
              <w:rPr>
                <w:rStyle w:val="IndexLink"/>
                <w:rtl w:val="true"/>
              </w:rPr>
              <w:t xml:space="preserve">. </w:t>
            </w:r>
            <w:r>
              <w:rPr>
                <w:rStyle w:val="IndexLink"/>
                <w:rtl w:val="true"/>
              </w:rPr>
              <w:t>ترك مقصود</w:t>
            </w:r>
            <w:r>
              <w:rPr>
                <w:rStyle w:val="IndexLink"/>
                <w:rtl w:val="true"/>
              </w:rPr>
              <w:tab/>
            </w:r>
            <w:r>
              <w:rPr>
                <w:rStyle w:val="IndexLink"/>
              </w:rPr>
              <w:t>28</w:t>
            </w:r>
          </w:hyperlink>
        </w:p>
        <w:p>
          <w:pPr>
            <w:pStyle w:val="Contents3"/>
            <w:tabs>
              <w:tab w:val="clear" w:pos="8459"/>
              <w:tab w:val="right" w:pos="9026" w:leader="dot"/>
            </w:tabs>
            <w:rPr/>
          </w:pPr>
          <w:hyperlink w:anchor="__RefHeading___Toc1182835_3650668749">
            <w:r>
              <w:rPr>
                <w:webHidden/>
                <w:rStyle w:val="IndexLink"/>
              </w:rPr>
              <w:t>32</w:t>
            </w:r>
            <w:r>
              <w:rPr>
                <w:rStyle w:val="IndexLink"/>
                <w:rtl w:val="true"/>
              </w:rPr>
              <w:t xml:space="preserve">. </w:t>
            </w:r>
            <w:r>
              <w:rPr>
                <w:rStyle w:val="IndexLink"/>
                <w:rtl w:val="true"/>
              </w:rPr>
              <w:t>ترك غير مقصود</w:t>
            </w:r>
            <w:r>
              <w:rPr>
                <w:rStyle w:val="IndexLink"/>
                <w:rtl w:val="true"/>
              </w:rPr>
              <w:tab/>
            </w:r>
            <w:r>
              <w:rPr>
                <w:rStyle w:val="IndexLink"/>
              </w:rPr>
              <w:t>28</w:t>
            </w:r>
          </w:hyperlink>
        </w:p>
        <w:p>
          <w:pPr>
            <w:pStyle w:val="Contents3"/>
            <w:tabs>
              <w:tab w:val="clear" w:pos="8459"/>
              <w:tab w:val="right" w:pos="9026" w:leader="dot"/>
            </w:tabs>
            <w:rPr/>
          </w:pPr>
          <w:hyperlink w:anchor="__RefHeading___Toc1182837_3650668749">
            <w:r>
              <w:rPr>
                <w:webHidden/>
                <w:rStyle w:val="IndexLink"/>
                <w:rtl w:val="true"/>
              </w:rPr>
              <w:t>فتاواى وهابيان در مصاديق بدعت‌</w:t>
            </w:r>
            <w:r>
              <w:rPr>
                <w:rStyle w:val="IndexLink"/>
                <w:rtl w:val="true"/>
              </w:rPr>
              <w:tab/>
            </w:r>
            <w:r>
              <w:rPr>
                <w:rStyle w:val="IndexLink"/>
              </w:rPr>
              <w:t>29</w:t>
            </w:r>
          </w:hyperlink>
        </w:p>
        <w:p>
          <w:pPr>
            <w:pStyle w:val="Contents3"/>
            <w:tabs>
              <w:tab w:val="clear" w:pos="8459"/>
              <w:tab w:val="right" w:pos="9026" w:leader="dot"/>
            </w:tabs>
            <w:rPr/>
          </w:pPr>
          <w:hyperlink w:anchor="__RefHeading___Toc1182839_3650668749">
            <w:r>
              <w:rPr>
                <w:webHidden/>
                <w:rStyle w:val="IndexLink"/>
                <w:rtl w:val="true"/>
              </w:rPr>
              <w:t>عدم فتوا به ترك‌</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6_12409"/>
      <w:bookmarkStart w:id="1" w:name="pg1646_12409"/>
      <w:bookmarkEnd w:id="1"/>
    </w:p>
    <w:p>
      <w:pPr>
        <w:pStyle w:val="Heading2"/>
        <w:numPr>
          <w:ilvl w:val="1"/>
          <w:numId w:val="1"/>
        </w:numPr>
        <w:rPr/>
      </w:pPr>
      <w:bookmarkStart w:id="2" w:name="pg1646_12409"/>
      <w:bookmarkStart w:id="3" w:name="__RefHeading___Toc1182727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علي‌اصغر رضواني؛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حوزه نمايندگي ولي 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بدعت‌گذاران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۲۳۲۵۰۳۸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2729_3650668749"/>
      <w:bookmarkStart w:id="6" w:name="_Toc2"/>
      <w:bookmarkEnd w:id="5"/>
      <w:r>
        <w:rPr>
          <w:rtl w:val="true"/>
        </w:rPr>
        <w:t>اشاره</w:t>
      </w:r>
      <w:bookmarkStart w:id="7" w:name="pg1646_12418"/>
      <w:bookmarkEnd w:id="6"/>
    </w:p>
    <w:p>
      <w:pPr>
        <w:pStyle w:val="Heading2"/>
        <w:numPr>
          <w:ilvl w:val="1"/>
          <w:numId w:val="1"/>
        </w:numPr>
        <w:rPr/>
      </w:pPr>
      <w:bookmarkStart w:id="8" w:name="__RefHeading___Toc1182731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بايسته تحقيق كه استاد ارجمند جناب آقاى على‌اصغر رضوانى با تلاش پيگير و درخور تقدير به زواياى پيدا و پنهان اين تفكر پرداخته و با بهرهِ‌مندى از 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0" w:name="pg1646_12419"/>
    </w:p>
    <w:p>
      <w:pPr>
        <w:pStyle w:val="Heading2"/>
        <w:numPr>
          <w:ilvl w:val="1"/>
          <w:numId w:val="1"/>
        </w:numPr>
        <w:rPr/>
      </w:pPr>
      <w:bookmarkStart w:id="11" w:name="__RefHeading___Toc1182733_3650668749"/>
      <w:bookmarkStart w:id="12" w:name="_Toc4"/>
      <w:bookmarkEnd w:id="10"/>
      <w:bookmarkEnd w:id="11"/>
      <w:r>
        <w:rPr>
          <w:rtl w:val="true"/>
        </w:rPr>
        <w:t>پيشگفتار</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كلمات پركاربرد نزد وهابيان،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فتاواى وهابيان پى مى‌بريم كه بسيارى از اعمالى كه در بين مسلمانان سنّت است، نزد آنان به عنوان بدعت مطرح مى‌شود؛ اين نيست مگر به جهت تحجّر وتنگ نظرى آنان در دين وفهم شريعت، يا اينكه در پشت قضيه اغراض سياسى خاصى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مى‌دانيم دين وشريعت اسلامى از سوى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شريعت سهل وآسان معرفى شده است</w:t>
      </w:r>
      <w:r>
        <w:rPr>
          <w:rFonts w:eastAsia="IRNazanin" w:cs="IRNazanin"/>
          <w:color w:val="111111"/>
          <w:sz w:val="28"/>
          <w:szCs w:val="28"/>
          <w:rtl w:val="true"/>
          <w:lang w:bidi="fa-IR"/>
        </w:rPr>
        <w:t>.</w:t>
      </w:r>
      <w:bookmarkStart w:id="13" w:name="pg1646_12422"/>
    </w:p>
    <w:p>
      <w:pPr>
        <w:pStyle w:val="Heading2"/>
        <w:numPr>
          <w:ilvl w:val="1"/>
          <w:numId w:val="1"/>
        </w:numPr>
        <w:rPr/>
      </w:pPr>
      <w:bookmarkStart w:id="14" w:name="__RefHeading___Toc1182735_3650668749"/>
      <w:bookmarkStart w:id="15" w:name="_Toc5"/>
      <w:bookmarkEnd w:id="13"/>
      <w:bookmarkEnd w:id="14"/>
      <w:r>
        <w:rPr>
          <w:rtl w:val="true"/>
        </w:rPr>
        <w:t>بدعت از منظر وهابيان‌</w:t>
      </w:r>
      <w:bookmarkEnd w:id="15"/>
    </w:p>
    <w:p>
      <w:pPr>
        <w:pStyle w:val="Heading3"/>
        <w:numPr>
          <w:ilvl w:val="2"/>
          <w:numId w:val="1"/>
        </w:numPr>
        <w:rPr/>
      </w:pPr>
      <w:bookmarkStart w:id="16" w:name="__RefHeading___Toc1182737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وهابيان از آن جهت كه فكر متحجّرانه وبسيط دارند درصدد برآمده‌اند تا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توسعه داده وآن را شامل هر امرى كه حادث شده ودر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نيز بنمايند، واين كار را تحت عنوان حرص بر محافظت شريعت انجام مى‌دهند؛ در حالى كه نمى‌دانند با اين عملكرد خود دين را از سهل وآسان بودن خارج كرده ومردم را در مشكلات بسيارى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مى‌كنند كه براى هر امر شرعى بايد نصّى خاص از جانب شارع رسيده باشد، وگرنه داخل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مى‌كنند كه شريعت اسلامى عقيم بوده ودربردارنده ضوابط عمومى وقوانين كلى نيست تا بتواند پاسخ‌گوى مصاديق حادث بوده وبا شرايط زمان ومكان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اين مكتب وتفكّر، ابن تيميه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با اين ديدگاه تنگ‌نظرانه تخم تفرقه واختلاف را در بين مسلمين نشاند، واز اين طريق مسلمانان موحّد را به انواع تهمت‌ها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خودش قائل است به اينكه عادت بشر مربوط به عرف وطبيعت آنان است، ولذا اصل در آن حلّيت وعدم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فالأصل فى العبادات لا يشرع منها إلّا ما شرّعه الله، والأصل فى العادات لا يحظر منها إلّا ما حظّره الله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اصل در عبادات آن است كه چيزى به جز آنچه كه خداوند تشريع كرده مشروع نباشد، واصل در عادات آن است كه چيزى جز آنچه كه خداوند محظور وممنوع كرده، ممنوع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وپيروان محمّد بن عبدالوهاب، اين عقيده وروش يعنى اتهام به ديگران را از بزرگشان ابن تيميه به ارث برده وطوايف ديگر اسلامى را به جهت برخى اعمال، به بدعت‌گذارى وشرك وكفر متهم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دائره المعارف 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داشته ومردم در مقابل آن دو دسته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طور بسته با آن برخورد مى‌كنند، وگروهى نيز اهل تجدّدند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دسته اول به طور خاص حنابله مى‌باشند كه نماينده آنان امروزه وهّابيانند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مؤمنى واجب است كه از رفتار وكردار پيشينيان پيروى كرده واز هر نوآورى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ودسته دوم خود را تسليم محيط وحالات مختلف كرده‌اند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18" w:name="__RefHeading___Toc1182739_3650668749"/>
      <w:bookmarkStart w:id="19" w:name="_Toc7"/>
      <w:bookmarkEnd w:id="18"/>
      <w:r>
        <w:rPr>
          <w:rtl w:val="true"/>
        </w:rPr>
        <w:t>ادله وهابيان بر حرمت‌</w:t>
      </w:r>
      <w:bookmarkEnd w:id="19"/>
    </w:p>
    <w:p>
      <w:pPr>
        <w:pStyle w:val="BookText"/>
        <w:rPr/>
      </w:pPr>
      <w:r>
        <w:rPr>
          <w:rFonts w:ascii="IRNazanin" w:hAnsi="IRNazanin" w:eastAsia="IRNazanin"/>
          <w:color w:val="111111"/>
          <w:sz w:val="28"/>
          <w:sz w:val="28"/>
          <w:szCs w:val="28"/>
          <w:rtl w:val="true"/>
          <w:lang w:bidi="fa-IR"/>
        </w:rPr>
        <w:t>وهابيان بر حرمت اين امور وديگر مصاديق به ادله مختلف نقلى وعقلى تمسك كرده‌اند كه مهمترين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بخارى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أحدَثَ فِى أَمْرِنَا هَذا مَا لَيسَ مِنهُ فَهُوَ رَدٌّ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كس در اين امر ما چيزى احداث كند كه از آن نيست، پس آن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روايتى ديگر مسلم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عَمَلًا لَيسَ عَلَيْهِ أَمْرُنا فَهُوَ رَدٌّ</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كس عملى را انجام دهد كه امر ما بر آن نيست پس آن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بِسُنَّتِى وَسُنَّهِ الخُلَفَاءِ الرّاشِدِينَ المَهْدِيّينَ مِنْ بَعْدِى، تَمَسَّكُوا بِها وَعَضُّوا عَلَيْها بِالنّواجِذِ، وَإِيّاكُمْ وَمُحَدّثاتِ الأُمُورِ، فَإنَّ كُلَّ مُحَدَّثَهٍ بِدعَهٌ، وَكُلُّ بِدْعَهٍ ضَلالَه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 شما باد به سنّت من وسنّت خلفاى راشدين هدايت شده بعد از من، به آن سنّت تمسك كرده ومحكم آن را نگه داريد، وبپرهيزيد از امورى كه حادث مى‌شود؛ زيرا هر امر حادثى بدعت بوده وهر بدعتى ضلالت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ونيز استدلال مى‌كنند به آنچه در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آمده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خَيْرُ الحَديثِ كِتابَ الله، وَخيرَ الهُدى هُدى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 الأُمُورِ مُحَدثاتِها وَكُلّ بِدْعَهٍ ضَلالَهٍ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امّا بعد؛ پس همانا بهترين حديث، كتاب خدا وبهترين هدايت، هدايت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وبدترين امور، نوآورى‌ها است وهر بدعتى ضلالت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عبادات توقيفى است ولذا تعبّد به عباداتى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از صحابه نرسيده،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اعمال تشبّه به كفّار است وهر كس به قومى تشبّه پيدا كند از جمله آنان است</w:t>
      </w:r>
      <w:r>
        <w:rPr>
          <w:rFonts w:eastAsia="IRNazanin" w:cs="IRNazanin"/>
          <w:color w:val="111111"/>
          <w:sz w:val="28"/>
          <w:szCs w:val="28"/>
          <w:rtl w:val="true"/>
          <w:lang w:bidi="fa-IR"/>
        </w:rPr>
        <w:t>».</w:t>
      </w:r>
    </w:p>
    <w:p>
      <w:pPr>
        <w:pStyle w:val="Heading3"/>
        <w:numPr>
          <w:ilvl w:val="2"/>
          <w:numId w:val="1"/>
        </w:numPr>
        <w:rPr/>
      </w:pPr>
      <w:bookmarkStart w:id="20" w:name="__RefHeading___Toc1182741_3650668749"/>
      <w:bookmarkStart w:id="21" w:name="_Toc8"/>
      <w:bookmarkEnd w:id="20"/>
      <w:r>
        <w:rPr>
          <w:rtl w:val="true"/>
        </w:rPr>
        <w:t>پاسخ اجمالى‌</w:t>
      </w:r>
      <w:bookmarkEnd w:id="21"/>
    </w:p>
    <w:p>
      <w:pPr>
        <w:pStyle w:val="BookText"/>
        <w:rPr/>
      </w:pPr>
      <w:r>
        <w:rPr>
          <w:rFonts w:ascii="IRNazanin" w:hAnsi="IRNazanin" w:eastAsia="IRNazanin"/>
          <w:color w:val="111111"/>
          <w:sz w:val="28"/>
          <w:sz w:val="28"/>
          <w:szCs w:val="28"/>
          <w:rtl w:val="true"/>
          <w:lang w:bidi="fa-IR"/>
        </w:rPr>
        <w:t>در پاسخ اجمالى به اين ادلّه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اسلامى با هر فرقه وگروه ومذهبى كه هستند، به كبراى كلّى كه همان حرمت بدعت‌گذارى در دين است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سخن در اين است كه آيا اين مصاديق واعمال كه وهابيان مى‌گويند از موارد بدعت محرّم به حساب مى‌آيد يا خير؟</w:t>
      </w:r>
    </w:p>
    <w:p>
      <w:pPr>
        <w:pStyle w:val="BookText"/>
        <w:rPr/>
      </w:pPr>
      <w:r>
        <w:rPr>
          <w:rFonts w:ascii="Amiri" w:hAnsi="Amiri" w:eastAsia="Amiri" w:cs="Amiri"/>
          <w:color w:val="111111"/>
          <w:sz w:val="28"/>
          <w:sz w:val="28"/>
          <w:szCs w:val="28"/>
          <w:rtl w:val="true"/>
          <w:lang w:bidi="ar-SA"/>
        </w:rPr>
        <w:t>ما معتقديم كه حرام دانستن اين مصاديق از باب اينكه بدعت است از بدفهمى مفتيان وهابى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حديث سوّم در جاى خود به اثبات رسيده كه‌از حيث سند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بدعت همان‌گونه كه بعداً اشاره مى‌كنيم، قصد ونيّت انتساب به شارع نهفته است، ولذا اگر كسى يكى از اين موارد مورد ادعاى وهابيان را بدون انتساب به شارع انجام دهد هرگز داخل در مفهوم بدعت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مصاديق در روايات آمده است، واز آنجا كه اين روايات مخالف با پيش‌فرض‌ها واعتقادات نادرست وهابيان است، لذا به آنها بى‌توجّهى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معتقد به توقيفى بودن عبادات هستيم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را به قصد ونيّت عبادت بدون آنكه جواز آن از جانب شارع برسد، نمى‌توان انجام داد، ولى مگر همه آن مصاديقى كه تحريم كرده‌اند، بدين نيّت است؟ بلكه به عنوان يك عمل عرفى وعقلايى است كه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مصاديق گرچه روايت ودليل خاصى برآن از جانب‌شارع وارد نشده، ولى مى‌توان آنها را تحت عنوان عام يا مطلق از ادله قرآنى يا روايى وارد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تشبّه به كفّار حرام نيست ونيز انسان را در زمره آنان قرار نمى‌دهد، بلكه انجام عملى از اعمال كفّار، انسان را در زمره آنان قرار مى‌دهد كه از خصوصيات آنها به حساب آيد؛ مثل به گردن آويختن صليب يا زدن ناقوس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در بحث برپايى مراسم به طور مفصّل شرح وتفصيل داده‌ايم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مصاديق در روايات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 واز آنجا كه سنّت اهل بيت پيامبر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آنها را از مصاديق بدعت خارج كرد</w:t>
      </w:r>
      <w:r>
        <w:rPr>
          <w:rFonts w:eastAsia="IRNazanin" w:cs="IRNazanin"/>
          <w:color w:val="111111"/>
          <w:sz w:val="28"/>
          <w:szCs w:val="28"/>
          <w:rtl w:val="true"/>
          <w:lang w:bidi="fa-IR"/>
        </w:rPr>
        <w:t>.</w:t>
      </w:r>
      <w:bookmarkStart w:id="22" w:name="pg1646_12423"/>
    </w:p>
    <w:p>
      <w:pPr>
        <w:pStyle w:val="Heading2"/>
        <w:numPr>
          <w:ilvl w:val="1"/>
          <w:numId w:val="1"/>
        </w:numPr>
        <w:rPr/>
      </w:pPr>
      <w:bookmarkStart w:id="23" w:name="__RefHeading___Toc1182743_3650668749"/>
      <w:bookmarkStart w:id="24" w:name="_Toc9"/>
      <w:bookmarkEnd w:id="22"/>
      <w:bookmarkEnd w:id="23"/>
      <w:r>
        <w:rPr>
          <w:rtl w:val="true"/>
        </w:rPr>
        <w:t>سنّت‌</w:t>
      </w:r>
      <w:bookmarkEnd w:id="24"/>
    </w:p>
    <w:p>
      <w:pPr>
        <w:pStyle w:val="Heading3"/>
        <w:numPr>
          <w:ilvl w:val="2"/>
          <w:numId w:val="1"/>
        </w:numPr>
        <w:rPr/>
      </w:pPr>
      <w:bookmarkStart w:id="25" w:name="__RefHeading___Toc1182745_3650668749"/>
      <w:bookmarkStart w:id="26" w:name="_Toc10"/>
      <w:bookmarkEnd w:id="25"/>
      <w:r>
        <w:rPr>
          <w:rtl w:val="true"/>
        </w:rPr>
        <w:t>سنّت در لغت‌</w:t>
      </w:r>
      <w:bookmarkEnd w:id="26"/>
    </w:p>
    <w:p>
      <w:pPr>
        <w:pStyle w:val="BookText"/>
        <w:rPr/>
      </w:pPr>
      <w:r>
        <w:rPr>
          <w:rFonts w:ascii="IRNazanin" w:hAnsi="IRNazanin" w:eastAsia="IRNazanin"/>
          <w:color w:val="111111"/>
          <w:sz w:val="28"/>
          <w:sz w:val="28"/>
          <w:szCs w:val="28"/>
          <w:rtl w:val="true"/>
          <w:lang w:bidi="fa-IR"/>
        </w:rPr>
        <w:t>سنّت در لغت به معناى روش وسيره است، وجمع آن سنن است، مانند غرفه وغُرَف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سنّت در قرآن كريم به خداوند ونيز به گذشتگان نسبت داده شده است؛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 اللهِ الَّتِى قَدْ خَلَتْ مِنْ قَبْلُ وَ لَنْ تَجِدَ لِسُنَّهِ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سنّت الهى است كه در گذشته نيز بوده است وهرگز براى سنّت خدا تغيير نخواهى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مَضَتْ سُنَّتُ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سنّت الهى، طريقه حكمت وروش اطاعت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الهى درباره بشر اين بوده است كه پيوسته آنان را بيافريند، وقرنى را پس از قرنى وامّتى را بعد از امّتى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فرستادن پيامبران الهى ونازل كردن كتب وشرايع آسمانى، طريقه اطاعت وبندگى را به آنان بياموزد، وبدين وسيله آنان را امتحان وآزمايش كند، تا آنان بتوانند بر اساس اختيار وانتخاب خود، ودر سايه ايمان وعمل صالح به كمال مطلوب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امت‌ها اين بوده است كه جز عده‌اى، پيامبران الهى را تكذيب مى‌كردند، وراه معصيت وطغيان را بر مى‌گزيدند، وخود را مستوجب سنّت الهى ديگرى؛ يعنى سنّت مجازات الهى مى‌كردند، كه‌نتيجه‌اش گرفتار شدن تكذيب‌كنندگان پيامبران به‌عذاب الهى وهلاكت ونابودى آنان بوده است، چنان‌كه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يُؤْمِنُوا إِذْ جاءَهُمُ الْهُدى وَ يَسْتَغْفِرُوا رَبَّهُمْ إِلَّا أَنْ تَأتِيَهُمْ سُنَّهُ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چيزى مانع مردم نشد از اينكه وقتى هدايت به سويشان آمد ايمان بياورند واز پروردگارشان آمرزش بخواهند، جز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خيره‌سرى كردند؛ گويى مى‌خواستند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رود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7" w:name="__RefHeading___Toc1182747_3650668749"/>
      <w:bookmarkStart w:id="28" w:name="_Toc11"/>
      <w:bookmarkEnd w:id="27"/>
      <w:r>
        <w:rPr>
          <w:rtl w:val="true"/>
        </w:rPr>
        <w:t>سنت در اصطلاح روايات‌</w:t>
      </w:r>
      <w:bookmarkEnd w:id="28"/>
    </w:p>
    <w:p>
      <w:pPr>
        <w:pStyle w:val="BookText"/>
        <w:rPr/>
      </w:pPr>
      <w:r>
        <w:rPr>
          <w:rFonts w:ascii="Amiri" w:hAnsi="Amiri" w:eastAsia="Amiri" w:cs="Amiri"/>
          <w:color w:val="111111"/>
          <w:sz w:val="28"/>
          <w:sz w:val="28"/>
          <w:szCs w:val="28"/>
          <w:rtl w:val="true"/>
          <w:lang w:bidi="ar-SA"/>
        </w:rPr>
        <w:t>در احاديث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به دو معنا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آورده است تا بيانگر راه وروش زندگى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اين كاربرد، معناى گسترده‌اى دارد وهمه احكام دين؛ اعم از احكام تكليفى ووضعى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ديگر سنّت در روايات، به معناى مستحب ومندوب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مواردى كه كلمه سنّت با كتاب ذكر شده، مقصود سنّت به معناى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شَىْ‌ءٍ إِلّا وَفِيهِ كِتابٌ أَو سُنّه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هيچ موضوعى نيست، مگر آنكه براى او حكمى در كتاب يا سنّت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رواياتى كه سنّت وبدعت با يكديگر ذكر شده، مقصود از سنّت همين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دوم سنّت نيز در روايات كاربرد فراوان دارد؛ مثلًا در روايات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 هو من السنه، ومطهّره للفم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كردن از سنّت است ودهان را پاك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السنه أن تصلّى على محّمد وأهل بيته فى كلّ جمعه ألف‌مرّه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از سنّت است كه بر محمّد واهل بيت او در هر جمعه هزار بار صلوات بفرستى</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182749_3650668749"/>
      <w:bookmarkStart w:id="30" w:name="_Toc12"/>
      <w:bookmarkEnd w:id="29"/>
      <w:r>
        <w:rPr>
          <w:rtl w:val="true"/>
        </w:rPr>
        <w:t>سنت در اصطلاح فقها</w:t>
      </w:r>
      <w:bookmarkEnd w:id="30"/>
    </w:p>
    <w:p>
      <w:pPr>
        <w:pStyle w:val="BookText"/>
        <w:rPr/>
      </w:pPr>
      <w:r>
        <w:rPr>
          <w:rFonts w:ascii="Amiri" w:hAnsi="Amiri" w:eastAsia="Amiri" w:cs="Amiri"/>
          <w:color w:val="111111"/>
          <w:sz w:val="28"/>
          <w:sz w:val="28"/>
          <w:szCs w:val="28"/>
          <w:rtl w:val="true"/>
          <w:lang w:bidi="ar-SA"/>
        </w:rPr>
        <w:t>سنّت در اصطلاح فقها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يا فعل يا تقرير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مسلمانان به عصمت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دارند، بدين جهت قول، فعل وتقرير او نزد همه مسلمانان سنّت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شيعه به عصمت ائمه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قول، فعل وتقرير آنان نيز داخل در سنّت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سنّت، نقل است كه دوگونه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وغير متواتر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متواتر افاده علم مى‌كند، ودر اعتبار آن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غير متواتر نيز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قراينى همراه است كه مفيد علم است؛ در اين صورت نيز در حجيّت آن سخن نيست، امّا اگر با قراين مفيدِ علم، همراه نباشد وتنها مفيد ظن باشد، در صورتى اعتبار وحجّيت دارد كه ناقل آن عادل يا ثقه باشد</w:t>
      </w:r>
      <w:r>
        <w:rPr>
          <w:rFonts w:eastAsia="IRNazanin" w:cs="IRNazanin"/>
          <w:color w:val="111111"/>
          <w:sz w:val="28"/>
          <w:szCs w:val="28"/>
          <w:rtl w:val="true"/>
          <w:lang w:bidi="fa-IR"/>
        </w:rPr>
        <w:t>.</w:t>
      </w:r>
      <w:bookmarkStart w:id="31" w:name="pg1646_12424"/>
    </w:p>
    <w:p>
      <w:pPr>
        <w:pStyle w:val="Heading2"/>
        <w:numPr>
          <w:ilvl w:val="1"/>
          <w:numId w:val="1"/>
        </w:numPr>
        <w:rPr/>
      </w:pPr>
      <w:bookmarkStart w:id="32" w:name="__RefHeading___Toc1182751_3650668749"/>
      <w:bookmarkStart w:id="33" w:name="_Toc13"/>
      <w:bookmarkEnd w:id="31"/>
      <w:bookmarkEnd w:id="32"/>
      <w:r>
        <w:rPr>
          <w:rtl w:val="true"/>
        </w:rPr>
        <w:t>بدعت‌</w:t>
      </w:r>
      <w:bookmarkEnd w:id="33"/>
    </w:p>
    <w:p>
      <w:pPr>
        <w:pStyle w:val="Heading3"/>
        <w:numPr>
          <w:ilvl w:val="2"/>
          <w:numId w:val="1"/>
        </w:numPr>
        <w:rPr/>
      </w:pPr>
      <w:bookmarkStart w:id="34" w:name="__RefHeading___Toc1182753_3650668749"/>
      <w:bookmarkStart w:id="35" w:name="_Toc14"/>
      <w:bookmarkEnd w:id="34"/>
      <w:r>
        <w:rPr>
          <w:rtl w:val="true"/>
        </w:rPr>
        <w:t>بدعت در لغت‌</w:t>
      </w:r>
      <w:bookmarkEnd w:id="35"/>
    </w:p>
    <w:p>
      <w:pPr>
        <w:pStyle w:val="BookText"/>
        <w:rPr/>
      </w:pPr>
      <w:r>
        <w:rPr>
          <w:rFonts w:ascii="IRNazanin" w:hAnsi="IRNazanin" w:eastAsia="IRNazanin"/>
          <w:color w:val="111111"/>
          <w:sz w:val="28"/>
          <w:sz w:val="28"/>
          <w:szCs w:val="28"/>
          <w:rtl w:val="true"/>
          <w:lang w:bidi="fa-IR"/>
        </w:rPr>
        <w:t>بدعت در لغت به معناى كار نو وبى‌سابقه است، ومعمولا به كار بى‌سابقه‌اى گفته مى‌شود كه بيانگر نوعى حسن وكمال در فاعل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كار يا چيزى نو وبى‌سابقه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هر گاه درباره خداوند به كار رود به معناى اين است كه خداوند جهان را بدون استفاده از ابزار وبدون ماده پيشين وبدون اينكه از كسى الگوبردارى كرده باشد، آفريده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خليل بن احمد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احداث شى‌ء لم يكن له من قبل خلق ولا ذكر ولا معرفه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ايجاد كردن چيزى است كه براى آن از قبل خلق وذكر ومعرفتى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كُنْتُ بِدْعاً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نوظهورى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بدعت در روايات، غالباً در مقابل شريعت وسنّت به كار رفته است ومقصود از آن، انجام دادن كارى است كه بر خلاف شريعت اسلام وسنّت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الناس رجلان متبع شرعه ومبتدع بدعه</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دوگونه‌اند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پيرو شريعتند، يا بدعت‌گذار در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نبوت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 به الشرائع المجعوله، وقمع به البدع المدخوله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خداوند به واسطه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شريعت‌هايى را كه فراموش شده بود ومردم از آنها آگاهى نداشتند، آشكار ساخت، وبدعت‌هايى را كه اهل بدعت در اديان پيشين وارد كرده بودند ريشه‌كن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أحدثت بدعه إلّا ترك بها سنه</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بدعتى حادث نشد مگر اينكه به سبب آن سنتى ترك گرديد</w:t>
      </w:r>
      <w:r>
        <w:rPr>
          <w:rFonts w:eastAsia="IRNazanin" w:cs="IRNazanin"/>
          <w:color w:val="111111"/>
          <w:sz w:val="28"/>
          <w:szCs w:val="28"/>
          <w:rtl w:val="true"/>
          <w:lang w:bidi="fa-IR"/>
        </w:rPr>
        <w:t>».</w:t>
      </w:r>
    </w:p>
    <w:p>
      <w:pPr>
        <w:pStyle w:val="Heading3"/>
        <w:numPr>
          <w:ilvl w:val="2"/>
          <w:numId w:val="1"/>
        </w:numPr>
        <w:rPr/>
      </w:pPr>
      <w:bookmarkStart w:id="36" w:name="__RefHeading___Toc1182755_3650668749"/>
      <w:bookmarkStart w:id="37" w:name="_Toc15"/>
      <w:bookmarkEnd w:id="36"/>
      <w:r>
        <w:rPr>
          <w:rtl w:val="true"/>
        </w:rPr>
        <w:t>بدعت در اصطلاح‌</w:t>
      </w:r>
      <w:bookmarkEnd w:id="37"/>
    </w:p>
    <w:p>
      <w:pPr>
        <w:pStyle w:val="BookText"/>
        <w:rPr/>
      </w:pPr>
      <w:r>
        <w:rPr>
          <w:rFonts w:ascii="IRNazanin" w:hAnsi="IRNazanin" w:eastAsia="IRNazanin"/>
          <w:color w:val="111111"/>
          <w:sz w:val="28"/>
          <w:sz w:val="28"/>
          <w:szCs w:val="28"/>
          <w:rtl w:val="true"/>
          <w:lang w:bidi="fa-IR"/>
        </w:rPr>
        <w:t>فقها ومحدّثان، بدعت را به گونه‌هاى مختلف تعريف كرده‌اند كه نمونه‌هايى از آنها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رجب حنبلى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البدعه ما أحدث ممّا لا أصل له فى الشريعه يدلّ عليه، أمّا ما كان له أصل من الشرع يدلّ عليه فليس ببدعه شرعاً، وإن كان بدعه لغه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بدعت، امر نوظهورى است كه براى آن در شريعت، دليلى نباشد كه بر آن دلالت كند واگر دليلى در شرع وجود داشته باشد، شرعاً بدعت نيست؛ اگرچه در لغت آن را بدعت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البدعه ما أحدث وليس له أصل فى الشرع، وما كان له أصل يدلّ عليه الشرع فليس ببدعه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بدعت امر حادثى است كه براى او دليلى در شريعت نباشد، واگر دليلى بر آن در شرع باشد، بدعت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البدعه زياده فى الدين أو نقصان منه من إسناد إلى الدين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بدعت عبارت است از زياد كردن يا كم كردن از دين، با انتساب آن به 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البدعه فى الشرع ماحدث بعد الرسول ولم يرد فيه نصّ على الخصوص، ولا يكون داخلًا فى بعض العمومات</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بدعت در شرع، هر امرى است كه بعد از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شود ونص به خصوص بر آن نباشد، وداخل در برخى از عمومات نيز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عينى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احدث وليس له اصل فى الشرع، وسمّى فى عرف الشرع بدعه، وما كان له اصل يدلّ عليه الشرع فليس ببدعه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بدعت چيزى است كه حادث شده وبراى آن دليل واصلى در شرع نيست كه در عرف شرع به آن بدعت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آن اصل ودليلى باشد كه شرع بر آن دلالت كند بدعت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البدعه بكسر الباء فى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احداث مالم يكن فى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عبارت است از حادث كردن چيزى كه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البناء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بدعه فى دين الله لا اصل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استحسنها الناس بأهوائهم سواء بالزياده فيه او بالنقص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ضلاله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وهر بدعتى در دين خدا كه اصل واساسى ندارد ومردم آن را به هواى خود نيكو شمرده‌اند گمراهى است، چه به زيادى در دين باشد يا به نقصان در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على منجور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لاتدخل تحت الاصول والقواعد العامه للشريعه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داخل تحت اصول وقواعد عام شرعى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تعريف‌هاى ياد شده اين است كه بدعت در اصطلاح علماى حديث وفقه اين است كه حكمى به دين افزوده ويا از آن كاسته شود، بدون اينكه مستندى از كتاب يا سنّت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گاه قول يا فعلى كه سابقه نداشته است، با استناد به دليلى از كتاب يا سنّت اظهار گردد، بدعت نخواهد بود، هر چند ممكن است در استنباط آن حكم از كتاب وسنّت خطايى رخ داده باشد؛ زيرا خطا در اجتهاد مورد مؤاخذه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مى‌شويم، از آنجا كه احكام قطعى عقل نيز مورد تأييد قرآن وروايات قرار گرفته است، وعقل قطعى از منابع احكام شرعى است، هر گاه حكم جديدى با استناد به دليل عقلى قطعى به عنوان حكم دينى اظهار شود، بدعت به شمار نمى‌رود</w:t>
      </w:r>
      <w:r>
        <w:rPr>
          <w:rFonts w:eastAsia="IRNazanin" w:cs="IRNazanin"/>
          <w:color w:val="111111"/>
          <w:sz w:val="28"/>
          <w:szCs w:val="28"/>
          <w:rtl w:val="true"/>
          <w:lang w:bidi="fa-IR"/>
        </w:rPr>
        <w:t>.</w:t>
      </w:r>
    </w:p>
    <w:p>
      <w:pPr>
        <w:pStyle w:val="Heading3"/>
        <w:numPr>
          <w:ilvl w:val="2"/>
          <w:numId w:val="1"/>
        </w:numPr>
        <w:rPr/>
      </w:pPr>
      <w:bookmarkStart w:id="38" w:name="__RefHeading___Toc1182757_3650668749"/>
      <w:bookmarkStart w:id="39" w:name="_Toc16"/>
      <w:bookmarkEnd w:id="38"/>
      <w:r>
        <w:rPr>
          <w:rtl w:val="true"/>
        </w:rPr>
        <w:t>توسعه در مفهوم بدعت‌</w:t>
      </w:r>
      <w:bookmarkEnd w:id="39"/>
    </w:p>
    <w:p>
      <w:pPr>
        <w:pStyle w:val="BookText"/>
        <w:rPr/>
      </w:pPr>
      <w:r>
        <w:rPr>
          <w:rFonts w:ascii="IRNazanin" w:hAnsi="IRNazanin" w:eastAsia="IRNazanin"/>
          <w:color w:val="111111"/>
          <w:sz w:val="28"/>
          <w:sz w:val="28"/>
          <w:szCs w:val="28"/>
          <w:rtl w:val="true"/>
          <w:lang w:bidi="fa-IR"/>
        </w:rPr>
        <w:t>برخى دائره مفهوم بدعت را وسيع گرفته ومعنا كرده‌اند كه به اتّهام بدعت، بسيارى از مسلمانان را به جهت انجام اعمالى كه در آنها نوآورى است، از دين اسلام خارج كرده ومتّهم به كفر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حربه از بارزترين وسايلى شده كه وهابيان بر سر مخالفان خود؛ مخصوصاً شيعه مى‌كوبند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حيث معناى لغوى امرى واضح است، ولى از آنجا كه معناى اصطلاحى پيدا كرده، لذا حدود وقيودى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جا دارد تا درباره مفهوم اصطلاحى اين لفظ بحث كنيم</w:t>
      </w:r>
      <w:r>
        <w:rPr>
          <w:rFonts w:eastAsia="IRNazanin" w:cs="IRNazanin"/>
          <w:color w:val="111111"/>
          <w:sz w:val="28"/>
          <w:szCs w:val="28"/>
          <w:rtl w:val="true"/>
          <w:lang w:bidi="fa-IR"/>
        </w:rPr>
        <w:t>.</w:t>
      </w:r>
    </w:p>
    <w:p>
      <w:pPr>
        <w:pStyle w:val="Heading3"/>
        <w:numPr>
          <w:ilvl w:val="2"/>
          <w:numId w:val="1"/>
        </w:numPr>
        <w:rPr/>
      </w:pPr>
      <w:bookmarkStart w:id="40" w:name="__RefHeading___Toc1182759_3650668749"/>
      <w:bookmarkStart w:id="41" w:name="_Toc17"/>
      <w:bookmarkEnd w:id="40"/>
      <w:r>
        <w:rPr>
          <w:rtl w:val="true"/>
        </w:rPr>
        <w:t>قرآن و مذمت بدعت‌گذارى‌</w:t>
      </w:r>
      <w:bookmarkEnd w:id="41"/>
    </w:p>
    <w:p>
      <w:pPr>
        <w:pStyle w:val="BookText"/>
        <w:rPr/>
      </w:pPr>
      <w:r>
        <w:rPr>
          <w:rFonts w:ascii="Amiri" w:hAnsi="Amiri" w:eastAsia="Amiri" w:cs="Amiri"/>
          <w:color w:val="111111"/>
          <w:sz w:val="28"/>
          <w:sz w:val="28"/>
          <w:szCs w:val="28"/>
          <w:rtl w:val="true"/>
          <w:lang w:bidi="ar-SA"/>
        </w:rPr>
        <w:t>قرآن كريم در آياتى اشاره به مذمت بدعت كرده است از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صِراطِى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راه مستقيم من است، از آن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راه‌هاى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كه شما را از طريق حق،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مى‌كند، شايد پرهيزگارى پيشه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ومانند كسانى نباشيد كه پراكنده شدند واختلاف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 عذاب عظيمى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فِتْنَهٌ أَوْ يُصِيبَهُمْ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آنان كه فرمان او را مخالفت مى‌كنند، بايد بترسند از اينكه فتنه‌اى دامنشان را بگيرد، يا عذابى دردناك به آنها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رسول خدا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واز آنچه نهى كرده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بعد از آشكار شدن حق، با پيامبر مخالفت كند، واز راهى جز راه مؤمنان پيروى نمايد، ما او را به همان راه كه مى‌رود مى‌بريم؛ وبه دوزخ داخل مى‌كنيم؛ وجايگاه بدى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دين شما را كامل كردم؛ ونعمت خود را بر شما تمام نمودم؛ واسلام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فِى قُلُوبِ الَّذِينَ اتَّبَعُوهُ رَأْفَهً وَ رَحْمَهً وَ رَهْبانِيَّهً ابْتَدَعُوها ما كَتَبْناها عَلَيْهِمْ إِلَّا ابْتِغاءَ رِضْوانِ اللهِ فَما رَعَوْها حَقَّ رِعايَتِها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دل كسانى كه از او پيروى كردند رأفت ورحمت قرار داديم؛ ورهبانيّتى را كه بدعت گذاردند، ما بر آنان مقرّر نداشته بوديم؛ گرچه هدفشان جلب خشنودى خدا بود، ولى حقّ آن را رعايت نكردند</w:t>
      </w:r>
      <w:r>
        <w:rPr>
          <w:rFonts w:eastAsia="IRNazanin" w:cs="IRNazanin"/>
          <w:color w:val="111111"/>
          <w:sz w:val="28"/>
          <w:szCs w:val="28"/>
          <w:rtl w:val="true"/>
          <w:lang w:bidi="fa-IR"/>
        </w:rPr>
        <w:t>.</w:t>
      </w:r>
    </w:p>
    <w:p>
      <w:pPr>
        <w:pStyle w:val="Heading3"/>
        <w:numPr>
          <w:ilvl w:val="2"/>
          <w:numId w:val="1"/>
        </w:numPr>
        <w:rPr/>
      </w:pPr>
      <w:bookmarkStart w:id="42" w:name="__RefHeading___Toc1182761_3650668749"/>
      <w:bookmarkStart w:id="43" w:name="_Toc18"/>
      <w:bookmarkEnd w:id="42"/>
      <w:r>
        <w:rPr>
          <w:rtl w:val="true"/>
        </w:rPr>
        <w:t>مذمت اهل كتاب به جهت بدعت‌گذارى‌</w:t>
      </w:r>
      <w:bookmarkEnd w:id="43"/>
    </w:p>
    <w:p>
      <w:pPr>
        <w:pStyle w:val="BookText"/>
        <w:rPr/>
      </w:pPr>
      <w:r>
        <w:rPr>
          <w:rFonts w:ascii="IRNazanin" w:hAnsi="IRNazanin" w:eastAsia="IRNazanin"/>
          <w:color w:val="111111"/>
          <w:sz w:val="28"/>
          <w:sz w:val="28"/>
          <w:szCs w:val="28"/>
          <w:rtl w:val="true"/>
          <w:lang w:bidi="fa-IR"/>
        </w:rPr>
        <w:t>بدعت به معنايى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افزودن چيزى بر دين ويا كاستن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حرام است؛ زيرا تشريع مخصوص خداوند است، وجز به اذن ومشيّت خداوند كسى حق ندارد در حوزه تشريع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اهل كتاب را نكوهش مى‌كند كه چرا علماى دين خود را بى‌چون وچرا اطاعت مى‌كردند، وآنان را ارباب خويش بر گزيده بودند،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يهود، مردم را به عبادت خود دعوت نمى‌كردند، ومردم نيز آنان را پرستش نمى‌نمودند، ليكن حرام خداوند را حلال وحلال الهى را حرام مى‌كردند، ومردم آنان را اطاعت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اطاعت در حقيقت پرستش آنان بود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همچنين درباره نصارا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رَهْبانِيَّهً ابْتَدَعُوها ما كَتَبْناها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ورهبانيتى كه آن را بدعت گذاردند، ما آن را برايشان ننوشته بوديم </w:t>
      </w:r>
      <w:r>
        <w:rPr>
          <w:rFonts w:eastAsia="IRNazanin" w:cs="IRNazanin"/>
          <w:color w:val="111111"/>
          <w:sz w:val="28"/>
          <w:szCs w:val="28"/>
          <w:rtl w:val="true"/>
          <w:lang w:bidi="fa-IR"/>
        </w:rPr>
        <w:t>...</w:t>
      </w:r>
    </w:p>
    <w:p>
      <w:pPr>
        <w:pStyle w:val="Heading3"/>
        <w:numPr>
          <w:ilvl w:val="2"/>
          <w:numId w:val="1"/>
        </w:numPr>
        <w:rPr/>
      </w:pPr>
      <w:bookmarkStart w:id="44" w:name="__RefHeading___Toc1182763_3650668749"/>
      <w:bookmarkStart w:id="45" w:name="_Toc19"/>
      <w:bookmarkEnd w:id="44"/>
      <w:r>
        <w:rPr>
          <w:rtl w:val="true"/>
        </w:rPr>
        <w:t>بدعت حَسن وقبيح از نظر اهل سنّت‌</w:t>
      </w:r>
      <w:bookmarkEnd w:id="45"/>
    </w:p>
    <w:p>
      <w:pPr>
        <w:pStyle w:val="BookText"/>
        <w:rPr/>
      </w:pPr>
      <w:r>
        <w:rPr>
          <w:rFonts w:ascii="IRNazanin" w:hAnsi="IRNazanin" w:eastAsia="IRNazanin"/>
          <w:color w:val="111111"/>
          <w:sz w:val="28"/>
          <w:sz w:val="28"/>
          <w:szCs w:val="28"/>
          <w:rtl w:val="true"/>
          <w:lang w:bidi="fa-IR"/>
        </w:rPr>
        <w:t>از بحث‌هاى گذشته روشن شد كه بدعت در اصطلاح شرع ملازم است با قبح، وحكم شرعى آن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تقسيم بدعت اصطلاحى به حسن وقبيح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اهل سنّت بدعت مصطلح را به دو قسم حسن وقبيح تقسيم كرده‌اند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تقسيم بدعتِ مصطلح در شرع به حسن وقبيح، ومشروع ونامشروع نادرست است؛ زيرا در اصطلاح شرع، بدعت به معناى ابداع حكمى است كه مبناى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فعلى قطعاً حرام ومبغوض شارع است</w:t>
      </w:r>
      <w:r>
        <w:rPr>
          <w:rFonts w:eastAsia="IRNazanin" w:cs="IRNazanin"/>
          <w:color w:val="111111"/>
          <w:sz w:val="28"/>
          <w:szCs w:val="28"/>
          <w:rtl w:val="true"/>
          <w:lang w:bidi="fa-IR"/>
        </w:rPr>
        <w:t>.</w:t>
      </w:r>
    </w:p>
    <w:p>
      <w:pPr>
        <w:pStyle w:val="Heading3"/>
        <w:numPr>
          <w:ilvl w:val="2"/>
          <w:numId w:val="1"/>
        </w:numPr>
        <w:rPr/>
      </w:pPr>
      <w:bookmarkStart w:id="46" w:name="__RefHeading___Toc1182765_3650668749"/>
      <w:bookmarkStart w:id="47" w:name="_Toc20"/>
      <w:bookmarkEnd w:id="46"/>
      <w:r>
        <w:rPr>
          <w:rtl w:val="true"/>
        </w:rPr>
        <w:t>هر بدعتى ضلالت است‌</w:t>
      </w:r>
      <w:bookmarkEnd w:id="47"/>
    </w:p>
    <w:p>
      <w:pPr>
        <w:pStyle w:val="BookText"/>
        <w:rPr/>
      </w:pPr>
      <w:r>
        <w:rPr>
          <w:rFonts w:ascii="IRNazanin" w:hAnsi="IRNazanin" w:eastAsia="IRNazanin"/>
          <w:color w:val="111111"/>
          <w:sz w:val="28"/>
          <w:sz w:val="28"/>
          <w:szCs w:val="28"/>
          <w:rtl w:val="true"/>
          <w:lang w:bidi="fa-IR"/>
        </w:rPr>
        <w:t>برخى از علماى اهل‌سنت براى تصحيح وتوجيه بدعت‌هاى عمر بن الخطاب وديگران، بدعت را به دو قسم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حسنه و قبيحه، ولى از ظاهر ادله استفاده مى‌شود كه هر عملى كه بر آن بدعت صدق كند حرام است ولذا نمى‌توان بر عملى بدعت حسنه اطلاق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به سند خود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خير الحديث كتاب الله وخير الهدى هدى محمّد، وشر الأمور محدثاتها وكل بدعه ضلاله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همانا بهترين گفتار كتاب خداست وبهترين هدايت، هدايت محمّد است وبدترين امور چيزهايى است كه در دين حادث شوند وهر بدعتى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رجب حنبلى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بدعه ضلاله، من جوامع الكلم، لايخرج عنه شى‌ء، وهو اصل عظيم من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احدث شيئاً ونسبه إلى الدين ولم يكن له اصل من الدين يرجع اليه فهو ضلاله، والدين برى‌ء منه، وسواء فى ذلك مسائل الاعتقادات او الأعمال أو الأقوال الظاهره والباطنه </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بدعتى گمراهى است، از كلمات جامع اوست كه از آن چيزى بيرون نمى‌رود، وآن اصلى عظيم از اصول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چيزى را حادث كند وبه دين نسبت دهد در حالى كه براى آن دليلى از دين نباشد كه به آن رجوع نمايد، گمراهى است ودين از آن بى‌زار مى‌باشد، ودر اين حكم، مسائل اعتقادى واعمال واقوال ظاهرى وباطنى فرقى نمى‌كند </w:t>
      </w:r>
      <w:r>
        <w:rPr>
          <w:rFonts w:eastAsia="IRNazanin" w:cs="IRNazanin"/>
          <w:color w:val="111111"/>
          <w:sz w:val="28"/>
          <w:szCs w:val="28"/>
          <w:rtl w:val="true"/>
          <w:lang w:bidi="fa-IR"/>
        </w:rPr>
        <w:t>...</w:t>
      </w:r>
    </w:p>
    <w:p>
      <w:pPr>
        <w:pStyle w:val="Heading3"/>
        <w:numPr>
          <w:ilvl w:val="2"/>
          <w:numId w:val="1"/>
        </w:numPr>
        <w:rPr/>
      </w:pPr>
      <w:bookmarkStart w:id="48" w:name="__RefHeading___Toc1182767_3650668749"/>
      <w:bookmarkStart w:id="49" w:name="_Toc21"/>
      <w:bookmarkEnd w:id="48"/>
      <w:r>
        <w:rPr>
          <w:rtl w:val="true"/>
        </w:rPr>
        <w:t>اركان بدعت‌</w:t>
      </w:r>
      <w:bookmarkEnd w:id="49"/>
    </w:p>
    <w:p>
      <w:pPr>
        <w:pStyle w:val="BookText"/>
        <w:rPr/>
      </w:pPr>
      <w:r>
        <w:rPr>
          <w:rFonts w:ascii="Amiri" w:hAnsi="Amiri" w:eastAsia="Amiri" w:cs="Amiri"/>
          <w:color w:val="111111"/>
          <w:sz w:val="28"/>
          <w:sz w:val="28"/>
          <w:szCs w:val="28"/>
          <w:rtl w:val="true"/>
          <w:lang w:bidi="ar-SA"/>
        </w:rPr>
        <w:t>با استفاده از روايات وتعريف‌هايى كه از علماى حديث وفقه در مورد بدعت ذكر شد، به دست مى‌آيد، كه بدعت سه ركن اساسى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حكمى رابه دين نسبت داده يا آن را از دين بيرون كند؛ مثل آنكه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اذان بداند، يا متعه را از دين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 مذمّت نسبت‌هاى نارواى مشركان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آللهُ أَذِنَ لَكُمْ أَمْ عَلَى اللهِ تَفْتَرُونَ؛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خداوند به شما اين اجازه را داده يا بر خدا افترا مى‌بنديد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واى بر كسانى كه مطالبى را با دستان خود مى‌نويسند، آن‌گاه آن رابه خدا نسبت مى‌دهند تا اينكه در مقابل آن پول ناچيزى بگيرند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آن وقتى مذموم است كه گوينده آن عقيده فاسد يا عمل غير مشروعى را در جامعه اشاعه دهد، نه آنكه تنها در دل به آن اعتقاد داشته، يا در مكانى مخفى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مسلم روايتى به سند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إلى ضلاله كان عليه من الإثم مثل آثام من يتّبعه لاينقص ذلك من آثامهم شيئاً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دعوت به ضلالت نمايد؛ مثل گناهان كسانى كه او را در آن ضلالت متابعت مى‌كنند بر اوست، واز گناهان متابعت كنندگان چيزى كاسته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تصريح به دعوت آمده، كه ظهور در اشاعه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دليل شرعى بر امر حادث در دين؛ كه اين ركن از تعريف‌هاى اصطلاحى كه براى بدعت ذكر شد به خوبى استفاده مى‌شود و قرآن نيز 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آللهُ أَذِنَ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آيا خداوند به شما اين اجازه را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دو مورد از بدعت خارج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مواردى كه امرى حادث شود ودليل خاصى براى آن در شرع موجود باشد، ولو آن امر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نيفتاده باشد؛ مثل زلزله كه در عصر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نيفتاد، تا آنكه در بصره زلزله‌اى شد وابن عباس براى مردم نماز آيات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تحت دليل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امورى كه سبب ضمانت وحفظ وبقاى شريعت اسلامى است، عموماتى است كه در آن، شريعت در لسان أدله وجود دارد كه تطبيق بر جزئيات وموضوعات جديد، باعث پويايى وبقاى شريعت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اگر امرى در شريعت حادث شده وآن را به دين نسبت دادند، ولو دليل خاصى بر آن از قرآن وروايات وجود نداشته باشد، ولى داخل در عمومات ادله است واز بدعت خارج مى‌گردد؛ مثلا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زمان كشور مسلمانى درصدد آماده نمودن هواپيماى جنگى ووسايل مدرن نظامى برآيد، مشمول اين آيه شريفه خواهد بود وبه آن عمل كرده است؛ در حالى كه اين ادوات در صدر اسلام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صحيح بخارى ازپيامبر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افضلكم من تعلّم القرآن و علّمه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همانا بهترين شما كسى است كه قرآن را فرا گرفته وآن را به ديگران تعليم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بخواهد قرآن را با شيوه‌هاى جديد فرا گرفته يا بياموزد، اشكالى ندارد؛ زيرا داخل در عموم اين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اين توضيح، بسيارى از مسائلى را كه وهابيان از مصاديق بدعت مى‌شمرند؛ مثل بناى بر قبور، عزادارى براى اولياى الهى، برپايى مراسم جشن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بدعت خارج است؛ زيرا داخل در عمومات ادلّه امثال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يُعَظِّمْ شَعائِرَ اللَّهِ فَإِنَّها مِنْ تَقْوَى الْقُلُوبِ، وديگر ادله است</w:t>
      </w:r>
      <w:r>
        <w:rPr>
          <w:rFonts w:eastAsia="IRNazanin" w:cs="IRNazanin"/>
          <w:color w:val="111111"/>
          <w:sz w:val="28"/>
          <w:szCs w:val="28"/>
          <w:rtl w:val="true"/>
          <w:lang w:bidi="fa-IR"/>
        </w:rPr>
        <w:t>.</w:t>
      </w:r>
    </w:p>
    <w:p>
      <w:pPr>
        <w:pStyle w:val="Heading3"/>
        <w:numPr>
          <w:ilvl w:val="2"/>
          <w:numId w:val="1"/>
        </w:numPr>
        <w:rPr/>
      </w:pPr>
      <w:bookmarkStart w:id="50" w:name="__RefHeading___Toc1182769_3650668749"/>
      <w:bookmarkStart w:id="51" w:name="_Toc22"/>
      <w:bookmarkEnd w:id="50"/>
      <w:r>
        <w:rPr>
          <w:rtl w:val="true"/>
        </w:rPr>
        <w:t>نمونه‌هايى از عمومات قرآنى‌</w:t>
      </w:r>
      <w:bookmarkEnd w:id="51"/>
    </w:p>
    <w:p>
      <w:pPr>
        <w:pStyle w:val="BookText"/>
        <w:rPr/>
      </w:pPr>
      <w:r>
        <w:rPr>
          <w:rFonts w:ascii="IRNazanin" w:hAnsi="IRNazanin" w:eastAsia="IRNazanin"/>
          <w:color w:val="111111"/>
          <w:sz w:val="28"/>
          <w:sz w:val="28"/>
          <w:szCs w:val="28"/>
          <w:rtl w:val="true"/>
          <w:lang w:bidi="fa-IR"/>
        </w:rPr>
        <w:t>همان‌گونه كه اشاره شد در قرآن كريم عمومات واطلاقاتى وجود دارد كه انسان مى‌تواند با ارجاع مصاديق حادث وجديد به آنها، حكمشان را استخراج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نمونه‌هايى از اين عمومات قرآنى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الْمَوَدَّهَ فِى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پاداشى از شما بر رسالتم درخواست نمى‌كنم، جز دوست داشتن نزديكانم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اين آيه شامل برپايى مراسم در مناسبت‌هاى آنها و بناى بر قبورشان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ذَكِّرْهُمْ بِأَيَّامِ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ايّام الله را به آنان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اين آيه شامل برپايى مراسم براى تذكر مردم به تاريخ زندگى بزرگان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 عَزَّرُوهُ وَ نَصَرُوهُ وَ اتَّبَعُوا النُّورَ الَّذِى أُنْزِلَ مَعَهُ اولئِكَ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كسانى كه به او ايمان آوردند، و بزرگش داشتند وحمايت ويارى‌اش كردند، واز نورى كه با او نازل شده پيروى نمودند،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آن شامل برپايى مراسم جشن مى‌شود؛ زيرا مصداق بزرگداشت و احترام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نَقُصُّ عَلَيْكَ مِنْ أَنْباءِ الرُّسُلِ ما نُثَبِّتُ بِهِ فُؤادَكَ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سرگذشت هر يك از انبيا را براى تو بازگو كرديم، تا به وسيله آن، قلبت را آرامش بخشيم واراده‌ات قوّى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آيه شامل برپايى مراسم جشن ولادت و مبعث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تاريخ و فضايل او در آن جلسات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شعائر الهى را بزرگ دارد، اين كار نشانه تقواى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آيه شامل برپايى مراسم جشن و عزا و بناى بر قبور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تِجارَهٌ وَ لا بَيْعٌ عَنْ ذِكْرِ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چراغ پرفروغ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خانه‌هايى قرار دارد كه خداوند اذن فرموده ديوارهاى آن را بالا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دستبرد شياطين وهوسبازان در امان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خانه‌هايى كه نام خدا در آنها برده مى‌شود، وصبح وشام در آنها تسبيح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كه نه تجارت ونه معامله‌اى آنان را از ياد خدا غافل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اطلاقات وعموماتى است كه مى‌توان از آنها حكم استحباب ورجحان اعمالى را؛ همچون بناى بر قبور، برپايى مراسم جشن وعزادارى در ولادت ومناسبات وسوگوارى اولياى الهى وفروع ديگر را استفاده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قرآن خوانده مى‌شود، گوش فرا دهيد وخاموش باشيد؛ شايد مشمول رحمت خدا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اطلاق آيه فوق استفاده مى‌شود كه انسان مى‌تواند با هر وسيله‌اى جديد نيز كه اختراع شده قرآن را استماع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يَجْعَلَ اللهُ لِلْكافِرِينَ عَلَى الْمُؤْمِنِينَ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كافران را بر مؤمنان تسلّطى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انواع واقسام مختلفى از ايجاد سلطه از ناحيه كفّار بر مؤمنين پديد آمده كه در زمان صدور آيه نبوده است، ولكن مى‌توانيم با تمسّك به اطلاق آيه فوق همه موارد سلطه را تحريم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 التَّقْوى وَ لا تَعاوَنُوا عَلَى الإِثْمِ وَ 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نيكى وپرهيزكارى با هم تعاون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گناه وتعدّى همكارى ننماييد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وكمك‌هايى كه بر كارهاى نيك وتقوا ونيز بر گناه و دشمنى در صدر اسلام بوده، محدود به موارد معيّنى بوده، ولى در اين عصر وزمان دائره آن گسترش پيدا كرده است، لذا مى‌توان به اطلاق آيه فوق تمسك كرده وتمام مواردى كه داخل در مصداق حرمت نيست را از آيه فوق استفاده نمود</w:t>
      </w:r>
      <w:r>
        <w:rPr>
          <w:rFonts w:eastAsia="IRNazanin" w:cs="IRNazanin"/>
          <w:color w:val="111111"/>
          <w:sz w:val="28"/>
          <w:szCs w:val="28"/>
          <w:rtl w:val="true"/>
          <w:lang w:bidi="fa-IR"/>
        </w:rPr>
        <w:t>.</w:t>
      </w:r>
    </w:p>
    <w:p>
      <w:pPr>
        <w:pStyle w:val="Heading3"/>
        <w:numPr>
          <w:ilvl w:val="2"/>
          <w:numId w:val="1"/>
        </w:numPr>
        <w:rPr/>
      </w:pPr>
      <w:bookmarkStart w:id="52" w:name="__RefHeading___Toc1182771_3650668749"/>
      <w:bookmarkStart w:id="53" w:name="_Toc23"/>
      <w:bookmarkEnd w:id="52"/>
      <w:r>
        <w:rPr>
          <w:rtl w:val="true"/>
        </w:rPr>
        <w:t>نمونه‌هايى از عمومات حديثى‌</w:t>
      </w:r>
      <w:bookmarkEnd w:id="53"/>
    </w:p>
    <w:p>
      <w:pPr>
        <w:pStyle w:val="BookText"/>
        <w:rPr/>
      </w:pPr>
      <w:r>
        <w:rPr>
          <w:rFonts w:ascii="Amiri" w:hAnsi="Amiri" w:eastAsia="Amiri" w:cs="Amiri"/>
          <w:color w:val="111111"/>
          <w:sz w:val="28"/>
          <w:sz w:val="28"/>
          <w:szCs w:val="28"/>
          <w:rtl w:val="true"/>
          <w:lang w:bidi="ar-SA"/>
        </w:rPr>
        <w:t>برخى از عمومات واطلاقات حديثى است كه مى‌توان به آنها تمسك نموده وبر مصاديق جديد تطبيق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نمونه‌هايى از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وأحبّوا أهل بيتى لحبّى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واهل بيتم را به‌خاطر من‌دوست بداريد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مى‌دانيم كه كارهايى از قبيل برپايى مراسم جشن وعزادارى براى اولياى الهى از مصاديق بارز محبّت درباره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فريضه على كلّ مسلم</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بر هر مسلمانى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افضلكم من تعلّم القرآن وعلّمه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همانا بهترين شما كسى است كه قرآن را فرا گرفته وآن را به ديگران تعليم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اطلاق اين ادله استفاده مى‌شود كه طلب علم ونيز تعليم وتعلّم آن به هر نحو ممكن ومجاز، حلال بلكه راجح است</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182773_3650668749"/>
      <w:bookmarkStart w:id="55" w:name="_Toc24"/>
      <w:bookmarkEnd w:id="54"/>
      <w:r>
        <w:rPr>
          <w:rtl w:val="true"/>
        </w:rPr>
        <w:t>شواهد تاريخى بر تطبيق‌</w:t>
      </w:r>
      <w:bookmarkEnd w:id="55"/>
    </w:p>
    <w:p>
      <w:pPr>
        <w:pStyle w:val="BookText"/>
        <w:rPr/>
      </w:pPr>
      <w:r>
        <w:rPr>
          <w:rFonts w:ascii="IRNazanin" w:hAnsi="IRNazanin" w:eastAsia="IRNazanin"/>
          <w:color w:val="111111"/>
          <w:sz w:val="28"/>
          <w:sz w:val="28"/>
          <w:szCs w:val="28"/>
          <w:rtl w:val="true"/>
          <w:lang w:bidi="fa-IR"/>
        </w:rPr>
        <w:t>با مراجعه به تاريخ پى مى‌بريم كه مسلمانان با مراجعه به مصاديق جديدى كه پديد مى‌آمد، براى به دست آوردن حكم آن به عمومات واطلاقات قرآن يا حديث مراجعه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نمونه‌هايى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طبرانى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شخصى اعرابى گذر كرد كه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نمازش اين‌گونه دعا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لاتراه العيون ولاتخالطه الظنون، ولايصفه الواصفون، ولاتغيّره الحوادث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خدايى كه چشم‌ها او را نمى‌بينند و گمان‌ها به او راه نيابد و توصيف‌كنندگان توان توصيفش ندارند حوادث در او تغيير پديد نمى‌آورند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موكّل اعرابى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نمازش تمام شد او را به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طلايى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اعرابى آمد، حضرت آن طلا را به او بخشيد،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مى‌دانى كه براى چه اين طلا را به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رَحِمى كه بين من وشما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للرحم حقّاً، ولكنّى وهبت لك الذهب لحسن ثنائك على الله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همانا براى رحم حقّى است، ولى من اين طلا را به تو به خاطر اينكه خدا را خوب ستايش كردى بخشيدم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كه در ادله قرآنى وحديثى رسيده، اشاره به اصل دعا ونيز برخى از دعاها ذكر شده است، ولى اين شخص اعرابى به واسطه برخى از اطلاقات وعمومات ادله كه ترغيب به دعا كرده، مناجات‌هايى از ناحيه خود با خدا داشت،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آنها را تأييد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استفاده مى‌شود كه تطبيق كلّيات عمومات واطلاقات بر مصاديق جايز اشكالى نداشته، بلكه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از انس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برپا شد، مردى با سرعت آمد ودر آخر صف نماز قرار گرفت ودر حالى كه نفس نفس مى‌زد، در آن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حمداً كثيراً طيّباً مباركاً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تمام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المتكلّم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كدامين از شما چنين سخنى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أيّكم المتكلّم، فإنّه قال خيراً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كدامين از شما چنين سخنى گفت؟ او سخن نيكى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را گرچه از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وخودش به عنوان تمجيد خدا از زبانش جارى كرده است، ولذا در جواب سؤال پيامبر از اينكه چه كسى اين جملات را گفت، مردم از ترس سكوت كردند،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مصداق را از آنجا كه تحت عمومات واطلاقات دعا ومدح وستايش الهى است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استفاده مى‌شود كه حمل مطلقات وعمومات بر مصاديق تا مادامى كه داخل در حرام ومكروه نگردد،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ابوداود به سندش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رجلا يقول فى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اسألك يا الله الأحد الصمد، الذى لم يلد ولم يولد، و لم يكن له كفواً احد، أن تغفر لى ذنوبى، انك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غفر له، قد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شنيد كه در تشهدش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مى‌خواهم اى خداى يگانه‌اى كه همه محتاجان به سوى تو توجه دارند، كه نه زاده‌اى و نه زاييده شده‌اى و براى تو همتايى نيست، اينكه گناهانم را بيامرزى؛ چرا كه تو بخشنده رحيمى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آمرزيده شد</w:t>
      </w:r>
      <w:r>
        <w:rPr>
          <w:rFonts w:eastAsia="IRNazanin" w:cs="IRNazanin"/>
          <w:color w:val="111111"/>
          <w:sz w:val="28"/>
          <w:szCs w:val="28"/>
          <w:rtl w:val="true"/>
          <w:lang w:bidi="fa-IR"/>
        </w:rPr>
        <w:t>.</w:t>
      </w:r>
    </w:p>
    <w:p>
      <w:pPr>
        <w:pStyle w:val="Heading3"/>
        <w:numPr>
          <w:ilvl w:val="2"/>
          <w:numId w:val="1"/>
        </w:numPr>
        <w:rPr/>
      </w:pPr>
      <w:bookmarkStart w:id="56" w:name="__RefHeading___Toc1182775_3650668749"/>
      <w:bookmarkStart w:id="57" w:name="_Toc25"/>
      <w:bookmarkEnd w:id="56"/>
      <w:r>
        <w:rPr>
          <w:rtl w:val="true"/>
        </w:rPr>
        <w:t>انواع بدعت‌</w:t>
      </w:r>
      <w:bookmarkEnd w:id="57"/>
    </w:p>
    <w:p>
      <w:pPr>
        <w:pStyle w:val="Heading4"/>
        <w:numPr>
          <w:ilvl w:val="3"/>
          <w:numId w:val="1"/>
        </w:numPr>
        <w:rPr/>
      </w:pPr>
      <w:bookmarkStart w:id="58" w:name="__RefHeading___Toc1182777_3650668749"/>
      <w:bookmarkStart w:id="59" w:name="_Toc26"/>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بدعت اصطلاحى را به دو قسمِ بدعت فعلى وبدعت تركى تقسيم كرده‌اند</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182779_3650668749"/>
      <w:bookmarkStart w:id="61" w:name="_Toc27"/>
      <w:bookmarkEnd w:id="60"/>
      <w:r>
        <w:rPr/>
        <w:t>1</w:t>
      </w:r>
      <w:r>
        <w:rPr>
          <w:rtl w:val="true"/>
        </w:rPr>
        <w:t xml:space="preserve">. </w:t>
      </w:r>
      <w:r>
        <w:rPr>
          <w:rtl w:val="true"/>
        </w:rPr>
        <w:t>بدعت تركى‌</w:t>
      </w:r>
      <w:bookmarkEnd w:id="6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مِمَّا رَزَقَكُمُ اللهُ حَلالًا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پاكيزه را كه خداوند براى شما حلال كرده است، حرام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حدّ، تجاوز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متجاوزان را دوست نمى‌دارد واز نعمت‌هاى حلال وپاكيزه‌اى كه خداوند به شما روزى داده است، بخوريد</w:t>
      </w:r>
      <w:r>
        <w:rPr>
          <w:rFonts w:eastAsia="IRNazanin" w:cs="IRNazanin"/>
          <w:color w:val="111111"/>
          <w:sz w:val="28"/>
          <w:szCs w:val="28"/>
          <w:rtl w:val="true"/>
          <w:lang w:bidi="fa-IR"/>
        </w:rPr>
        <w:t>.</w:t>
      </w:r>
    </w:p>
    <w:p>
      <w:pPr>
        <w:pStyle w:val="Heading4"/>
        <w:numPr>
          <w:ilvl w:val="3"/>
          <w:numId w:val="1"/>
        </w:numPr>
        <w:rPr/>
      </w:pPr>
      <w:bookmarkStart w:id="62" w:name="__RefHeading___Toc1182781_3650668749"/>
      <w:bookmarkStart w:id="63" w:name="_Toc28"/>
      <w:bookmarkEnd w:id="62"/>
      <w:r>
        <w:rPr/>
        <w:t>2</w:t>
      </w:r>
      <w:r>
        <w:rPr>
          <w:rtl w:val="true"/>
        </w:rPr>
        <w:t xml:space="preserve">. </w:t>
      </w:r>
      <w:r>
        <w:rPr>
          <w:rtl w:val="true"/>
        </w:rPr>
        <w:t>بدعت فعلى‌</w:t>
      </w:r>
      <w:bookmarkEnd w:id="63"/>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رَهْبانِيَّهً ابْتَدَعُوها ما كَتَبْناها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ورهبانيّتى را كه ابداع كرده بودند، ما بر آنان مقرّر نداشته بوديم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182783_3650668749"/>
      <w:bookmarkStart w:id="65" w:name="_Toc29"/>
      <w:bookmarkEnd w:id="64"/>
      <w:r>
        <w:rPr>
          <w:rtl w:val="true"/>
        </w:rPr>
        <w:t>عوامل پيدايش بدعت‌</w:t>
      </w:r>
      <w:bookmarkEnd w:id="65"/>
    </w:p>
    <w:p>
      <w:pPr>
        <w:pStyle w:val="Heading4"/>
        <w:numPr>
          <w:ilvl w:val="3"/>
          <w:numId w:val="1"/>
        </w:numPr>
        <w:rPr/>
      </w:pPr>
      <w:bookmarkStart w:id="66" w:name="__RefHeading___Toc1182785_3650668749"/>
      <w:bookmarkStart w:id="67" w:name="_Toc30"/>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بدعت از آن جهت كه عمل اختيارى است، لذا داراى اسباب وغاياتى است كه همگى منشأ آن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اين عوامل اشاره مى‌كنيم</w:t>
      </w:r>
      <w:r>
        <w:rPr>
          <w:rFonts w:eastAsia="IRNazanin" w:cs="IRNazanin"/>
          <w:color w:val="111111"/>
          <w:sz w:val="28"/>
          <w:szCs w:val="28"/>
          <w:rtl w:val="true"/>
          <w:lang w:bidi="fa-IR"/>
        </w:rPr>
        <w:t>:</w:t>
      </w:r>
    </w:p>
    <w:p>
      <w:pPr>
        <w:pStyle w:val="Heading4"/>
        <w:numPr>
          <w:ilvl w:val="3"/>
          <w:numId w:val="1"/>
        </w:numPr>
        <w:rPr/>
      </w:pPr>
      <w:bookmarkStart w:id="68" w:name="__RefHeading___Toc1182787_3650668749"/>
      <w:bookmarkStart w:id="69" w:name="_Toc31"/>
      <w:bookmarkEnd w:id="68"/>
      <w:r>
        <w:rPr/>
        <w:t>1</w:t>
      </w:r>
      <w:r>
        <w:rPr>
          <w:rtl w:val="true"/>
        </w:rPr>
        <w:t xml:space="preserve">. </w:t>
      </w:r>
      <w:r>
        <w:rPr>
          <w:rtl w:val="true"/>
        </w:rPr>
        <w:t>مبالغه در تعبّد انسان نسبت به خداوند</w:t>
      </w:r>
      <w:bookmarkEnd w:id="69"/>
    </w:p>
    <w:p>
      <w:pPr>
        <w:pStyle w:val="BookText"/>
        <w:rPr/>
      </w:pPr>
      <w:r>
        <w:rPr>
          <w:rFonts w:ascii="IRNazanin" w:hAnsi="IRNazanin" w:eastAsia="IRNazanin"/>
          <w:color w:val="111111"/>
          <w:sz w:val="28"/>
          <w:sz w:val="28"/>
          <w:szCs w:val="28"/>
          <w:rtl w:val="true"/>
          <w:lang w:bidi="fa-IR"/>
        </w:rPr>
        <w:t>گاهى افراطگرى در تعبّد وبه تعبيرى ديگر خشك مقدسى، انسان را وادار به بدعت‌گذارى در دين مى‌كند، كه مى‌توان نمونه آن را در وضوى غسلى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براى توجيه شستن پاها در وضو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پا ووارد شدن با پاى نظيف در مسجد بهتر از آن است كه انسان پا را مسح كند وسپس با پاى كثيف وارد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توجيه اين است كه انسان مى‌تواند اول پاى خود را بشويد و خشك نموده، سپس به جهت وضوى نماز پاهايش را با نيت تعبّد مسح نمايد</w:t>
      </w:r>
      <w:r>
        <w:rPr>
          <w:rFonts w:eastAsia="IRNazanin" w:cs="IRNazanin"/>
          <w:color w:val="111111"/>
          <w:sz w:val="28"/>
          <w:szCs w:val="28"/>
          <w:rtl w:val="true"/>
          <w:lang w:bidi="fa-IR"/>
        </w:rPr>
        <w:t>.</w:t>
      </w:r>
    </w:p>
    <w:p>
      <w:pPr>
        <w:pStyle w:val="Heading4"/>
        <w:numPr>
          <w:ilvl w:val="3"/>
          <w:numId w:val="1"/>
        </w:numPr>
        <w:rPr/>
      </w:pPr>
      <w:bookmarkStart w:id="70" w:name="__RefHeading___Toc1182789_3650668749"/>
      <w:bookmarkStart w:id="71" w:name="_Toc32"/>
      <w:bookmarkEnd w:id="70"/>
      <w:r>
        <w:rPr/>
        <w:t>2</w:t>
      </w:r>
      <w:r>
        <w:rPr>
          <w:rtl w:val="true"/>
        </w:rPr>
        <w:t xml:space="preserve">. </w:t>
      </w:r>
      <w:r>
        <w:rPr>
          <w:rtl w:val="true"/>
        </w:rPr>
        <w:t>متابعت از هواى نفس‌</w:t>
      </w:r>
      <w:bookmarkEnd w:id="71"/>
    </w:p>
    <w:p>
      <w:pPr>
        <w:pStyle w:val="BookText"/>
        <w:rPr/>
      </w:pPr>
      <w:r>
        <w:rPr>
          <w:rFonts w:ascii="IRNazanin" w:hAnsi="IRNazanin" w:eastAsia="IRNazanin"/>
          <w:color w:val="111111"/>
          <w:sz w:val="28"/>
          <w:sz w:val="28"/>
          <w:szCs w:val="28"/>
          <w:rtl w:val="true"/>
          <w:lang w:bidi="fa-IR"/>
        </w:rPr>
        <w:t>انسان هنگامى كه تاريخ مدعيان نبوّت وبدعت‌گذاران را مطالعه مى‌كند پى مى‌برد كه پيروى از هواى نفس نقش به‌سزايى در ظهور وبروز رفتار ناشايست آنها از جمله بدعت‌گذارى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گذرش به كشته‌شدگان خوارج افتاد وفرمود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بؤساً لكم لقد ضرّكم من 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المضلّ والنفس الأمّاره بالسوه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بَدا به حال شما، هر آينه كسانى كه شما را گول زدند به شما ضرر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آنان را گول زدند؟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گمراه كننده ونفسى كه امر كننده به بدى است </w:t>
      </w:r>
      <w:r>
        <w:rPr>
          <w:rFonts w:eastAsia="IRNazanin" w:cs="IRNazanin"/>
          <w:color w:val="111111"/>
          <w:sz w:val="28"/>
          <w:szCs w:val="28"/>
          <w:rtl w:val="true"/>
          <w:lang w:bidi="fa-IR"/>
        </w:rPr>
        <w:t>...</w:t>
      </w:r>
    </w:p>
    <w:p>
      <w:pPr>
        <w:pStyle w:val="Heading4"/>
        <w:numPr>
          <w:ilvl w:val="3"/>
          <w:numId w:val="1"/>
        </w:numPr>
        <w:rPr/>
      </w:pPr>
      <w:bookmarkStart w:id="72" w:name="__RefHeading___Toc1182791_3650668749"/>
      <w:bookmarkStart w:id="73" w:name="_Toc33"/>
      <w:bookmarkEnd w:id="72"/>
      <w:r>
        <w:rPr/>
        <w:t>3</w:t>
      </w:r>
      <w:r>
        <w:rPr>
          <w:rtl w:val="true"/>
        </w:rPr>
        <w:t xml:space="preserve">. </w:t>
      </w:r>
      <w:r>
        <w:rPr>
          <w:rtl w:val="true"/>
        </w:rPr>
        <w:t>نبود روحيه تسليم‌</w:t>
      </w:r>
      <w:bookmarkEnd w:id="73"/>
    </w:p>
    <w:p>
      <w:pPr>
        <w:pStyle w:val="BookText"/>
        <w:rPr/>
      </w:pPr>
      <w:r>
        <w:rPr>
          <w:rFonts w:ascii="IRNazanin" w:hAnsi="IRNazanin" w:eastAsia="IRNazanin"/>
          <w:color w:val="111111"/>
          <w:sz w:val="28"/>
          <w:sz w:val="28"/>
          <w:szCs w:val="28"/>
          <w:rtl w:val="true"/>
          <w:lang w:bidi="fa-IR"/>
        </w:rPr>
        <w:t xml:space="preserve">هر كس مطالعه‌اى در رابطه با حيات صحابه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داشته باشد پى مى‌برد كه در ميان آنان دو خطّ فكرى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فكرى اجتهاد در مقابل نصوص</w:t>
      </w:r>
    </w:p>
    <w:p>
      <w:pPr>
        <w:pStyle w:val="BookText"/>
        <w:rPr/>
      </w:pPr>
      <w:r>
        <w:rPr>
          <w:rFonts w:ascii="IRNazanin" w:hAnsi="IRNazanin" w:eastAsia="IRNazanin"/>
          <w:color w:val="111111"/>
          <w:sz w:val="28"/>
          <w:sz w:val="28"/>
          <w:szCs w:val="28"/>
          <w:rtl w:val="true"/>
          <w:lang w:bidi="fa-IR"/>
        </w:rPr>
        <w:t xml:space="preserve">اين خطّ فكرى معتقد بود كه لازم نيست به تمام آنچه پيامبر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خبر داده ودستور فرموده ايمان آورد وتعبّداً آن را قبول كرد، بلكه مى‌توان در نصوص‌دينى مطابق با مصالحى كه درك مى‌كنيم اجتهاد كرده ودر آنها تصرّف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فكرى از مبانى اساسى مدرسه خلفا بود ولذا بر اين اساس دست به بدعت‌گذارى در شرع وشريعت اسلامى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تسليم وتعبّد محض</w:t>
      </w:r>
    </w:p>
    <w:p>
      <w:pPr>
        <w:pStyle w:val="BookText"/>
        <w:rPr/>
      </w:pPr>
      <w:r>
        <w:rPr>
          <w:rFonts w:ascii="IRNazanin" w:hAnsi="IRNazanin" w:eastAsia="IRNazanin"/>
          <w:color w:val="111111"/>
          <w:sz w:val="28"/>
          <w:sz w:val="28"/>
          <w:szCs w:val="28"/>
          <w:rtl w:val="true"/>
          <w:lang w:bidi="fa-IR"/>
        </w:rPr>
        <w:t>در مقابل اين خطّ فكرى، خطّ فكرى ديگرى وجود داشت كه معتقد بود بايد در مقابل مجموعه دين وشريعت اسلامى تسليم بوده وتعبّد كامل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 فكرى همان طريق وروش اهل بيت عصمت وطهارت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وپيروان آنان مى‌باشد</w:t>
      </w:r>
      <w:r>
        <w:rPr>
          <w:rFonts w:eastAsia="IRNazanin" w:cs="IRNazanin"/>
          <w:color w:val="111111"/>
          <w:sz w:val="28"/>
          <w:szCs w:val="28"/>
          <w:rtl w:val="true"/>
          <w:lang w:bidi="fa-IR"/>
        </w:rPr>
        <w:t>.</w:t>
      </w:r>
    </w:p>
    <w:p>
      <w:pPr>
        <w:pStyle w:val="Heading3"/>
        <w:numPr>
          <w:ilvl w:val="2"/>
          <w:numId w:val="1"/>
        </w:numPr>
        <w:rPr/>
      </w:pPr>
      <w:bookmarkStart w:id="74" w:name="__RefHeading___Toc1182793_3650668749"/>
      <w:bookmarkStart w:id="75" w:name="_Toc34"/>
      <w:bookmarkEnd w:id="74"/>
      <w:r>
        <w:rPr>
          <w:rtl w:val="true"/>
        </w:rPr>
        <w:t>حجيت سنّت اهل بيت</w:t>
      </w:r>
      <w:r>
        <w:rPr>
          <w:rtl w:val="true"/>
        </w:rPr>
        <w:t>:</w:t>
      </w:r>
      <w:bookmarkEnd w:id="75"/>
    </w:p>
    <w:p>
      <w:pPr>
        <w:pStyle w:val="Heading4"/>
        <w:numPr>
          <w:ilvl w:val="3"/>
          <w:numId w:val="1"/>
        </w:numPr>
        <w:rPr/>
      </w:pPr>
      <w:bookmarkStart w:id="76" w:name="__RefHeading___Toc1182795_3650668749"/>
      <w:bookmarkStart w:id="77" w:name="_Toc35"/>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قسمتى از مصداق‌هايى كه وهّابيان آن را جزء بدعت مى‌دانند به اين جهت است كه آنان سنّت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حجت نمى‌دانند؛ در حالى كه در احاديث آنان به حجّيت سنت اهل بيت تصريح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برخى از ادله به طور اجمال اشاره مى‌كنيم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182797_3650668749"/>
      <w:bookmarkStart w:id="79" w:name="_Toc36"/>
      <w:bookmarkEnd w:id="78"/>
      <w:r>
        <w:rPr/>
        <w:t>1</w:t>
      </w:r>
      <w:r>
        <w:rPr>
          <w:rtl w:val="true"/>
        </w:rPr>
        <w:t xml:space="preserve">. </w:t>
      </w:r>
      <w:r>
        <w:rPr>
          <w:rtl w:val="true"/>
        </w:rPr>
        <w:t>آيه تطهير</w:t>
      </w:r>
      <w:bookmarkEnd w:id="7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چنين مى‌خواهد كه هر رجس وآلايش را از شما اهل بيت پيامبر دور كند وشما را از هر عيب وپليدى كاملًا پاك ومنزّه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به سند خود از عايشه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صبگاهى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دوش او كسايى غير مخيط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حسن بن على وارد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كساء كرد، سپس حسين آمد، او را نيز داخل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آمد او را نيز داخل كساء كرد، آن‌گاه على آمد او را نيز داخل آن نمود؛ بعد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كسانى كه اراده تكوينى خداوند بر اين تعلق گرفته تا از هرگونه پليدى وعيب ونقص پاك باشند، قطعاً معصومند، وهر كس معصوم باشد سنّت او حجّت است، پس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مى‌گويند براى ما حجّت است</w:t>
      </w:r>
      <w:r>
        <w:rPr>
          <w:rFonts w:eastAsia="IRNazanin" w:cs="IRNazanin"/>
          <w:color w:val="111111"/>
          <w:sz w:val="28"/>
          <w:szCs w:val="28"/>
          <w:rtl w:val="true"/>
          <w:lang w:bidi="fa-IR"/>
        </w:rPr>
        <w:t>.</w:t>
      </w:r>
    </w:p>
    <w:p>
      <w:pPr>
        <w:pStyle w:val="Heading4"/>
        <w:numPr>
          <w:ilvl w:val="3"/>
          <w:numId w:val="1"/>
        </w:numPr>
        <w:rPr/>
      </w:pPr>
      <w:bookmarkStart w:id="80" w:name="__RefHeading___Toc1182799_3650668749"/>
      <w:bookmarkStart w:id="81" w:name="_Toc37"/>
      <w:bookmarkEnd w:id="80"/>
      <w:r>
        <w:rPr/>
        <w:t>2</w:t>
      </w:r>
      <w:r>
        <w:rPr>
          <w:rtl w:val="true"/>
        </w:rPr>
        <w:t xml:space="preserve">. </w:t>
      </w:r>
      <w:r>
        <w:rPr>
          <w:rtl w:val="true"/>
        </w:rPr>
        <w:t>حديث ثقلين‌</w:t>
      </w:r>
      <w:bookmarkEnd w:id="81"/>
    </w:p>
    <w:p>
      <w:pPr>
        <w:pStyle w:val="BookText"/>
        <w:rPr/>
      </w:pPr>
      <w:r>
        <w:rPr>
          <w:rFonts w:ascii="IRNazanin" w:hAnsi="IRNazanin" w:eastAsia="IRNazanin"/>
          <w:color w:val="111111"/>
          <w:sz w:val="28"/>
          <w:sz w:val="28"/>
          <w:szCs w:val="28"/>
          <w:rtl w:val="true"/>
          <w:lang w:bidi="fa-IR"/>
        </w:rPr>
        <w:t xml:space="preserve">ترمذى از جابر بن عبدالله در صحيح خود روايت كرده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در حالى كه بر شتر خود سوار بود وخطبه مى‌خواند،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مى‌گذارم كه اگر به آن دو چنگ بزنيد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به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را به قرآن مقرون ساخته است، پس همان‌گونه كه قرآن مصون از اشتباه وخطاست، عترت نيز از خطا واشتباه به دور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ادله ديگرى از قرآن وحديث بر عصمت وحجيت سنّت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طور مفصّل در جاى خود به آن اشاره مى‌كنيم</w:t>
      </w:r>
      <w:r>
        <w:rPr>
          <w:rFonts w:eastAsia="IRNazanin" w:cs="IRNazanin"/>
          <w:color w:val="111111"/>
          <w:sz w:val="28"/>
          <w:szCs w:val="28"/>
          <w:rtl w:val="true"/>
          <w:lang w:bidi="fa-IR"/>
        </w:rPr>
        <w:t>.</w:t>
      </w:r>
      <w:bookmarkStart w:id="82" w:name="pg1646_12425"/>
    </w:p>
    <w:p>
      <w:pPr>
        <w:pStyle w:val="Heading2"/>
        <w:numPr>
          <w:ilvl w:val="1"/>
          <w:numId w:val="1"/>
        </w:numPr>
        <w:rPr/>
      </w:pPr>
      <w:bookmarkStart w:id="83" w:name="__RefHeading___Toc1182801_3650668749"/>
      <w:bookmarkStart w:id="84" w:name="_Toc38"/>
      <w:bookmarkEnd w:id="82"/>
      <w:bookmarkEnd w:id="83"/>
      <w:r>
        <w:rPr>
          <w:rtl w:val="true"/>
        </w:rPr>
        <w:t>نقد ادله وهابيان‌</w:t>
      </w:r>
      <w:bookmarkEnd w:id="84"/>
    </w:p>
    <w:p>
      <w:pPr>
        <w:pStyle w:val="Heading3"/>
        <w:numPr>
          <w:ilvl w:val="2"/>
          <w:numId w:val="1"/>
        </w:numPr>
        <w:rPr/>
      </w:pPr>
      <w:bookmarkStart w:id="85" w:name="__RefHeading___Toc1182803_3650668749"/>
      <w:bookmarkStart w:id="86" w:name="_Toc39"/>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آنچه از فتاواى وهابيان بيان شد خود نمايانگر تحجّر آنان و تعارض برداشت فقهى آنان با شريعت اسلامى است؛ زيرا شريعت اسلامى سهل و آسان است و از جهات مختلف مى‌توان به سهولت و آسانى شريعت و دين اسلام پى برد</w:t>
      </w:r>
      <w:r>
        <w:rPr>
          <w:rFonts w:eastAsia="IRNazanin" w:cs="IRNazanin"/>
          <w:color w:val="111111"/>
          <w:sz w:val="28"/>
          <w:szCs w:val="28"/>
          <w:rtl w:val="true"/>
          <w:lang w:bidi="fa-IR"/>
        </w:rPr>
        <w:t>:</w:t>
      </w:r>
    </w:p>
    <w:p>
      <w:pPr>
        <w:pStyle w:val="Heading3"/>
        <w:numPr>
          <w:ilvl w:val="2"/>
          <w:numId w:val="1"/>
        </w:numPr>
        <w:rPr/>
      </w:pPr>
      <w:bookmarkStart w:id="87" w:name="__RefHeading___Toc1182805_3650668749"/>
      <w:bookmarkStart w:id="88" w:name="_Toc40"/>
      <w:bookmarkEnd w:id="87"/>
      <w:r>
        <w:rPr/>
        <w:t>1</w:t>
      </w:r>
      <w:r>
        <w:rPr>
          <w:rtl w:val="true"/>
        </w:rPr>
        <w:t xml:space="preserve">. </w:t>
      </w:r>
      <w:r>
        <w:rPr>
          <w:rtl w:val="true"/>
        </w:rPr>
        <w:t>شموليّت وعموميّت تشريع اسلامى‌</w:t>
      </w:r>
      <w:bookmarkEnd w:id="88"/>
    </w:p>
    <w:p>
      <w:pPr>
        <w:pStyle w:val="BookText"/>
        <w:rPr/>
      </w:pPr>
      <w:r>
        <w:rPr>
          <w:rFonts w:ascii="IRNazanin" w:hAnsi="IRNazanin" w:eastAsia="IRNazanin"/>
          <w:color w:val="111111"/>
          <w:sz w:val="28"/>
          <w:sz w:val="28"/>
          <w:szCs w:val="28"/>
          <w:rtl w:val="true"/>
          <w:lang w:bidi="fa-IR"/>
        </w:rPr>
        <w:t>شريعت اسلامى بر خلاف شرايع ديگر، از آنجا كه خاتم شرايع آسمانى است، لذا مشتمل بر قواعد وقوانينى شمول‌گرا است كه مى‌تواند تا روز قيامت پاسخ‌گوى همه نيازهاى بشر در تمام زمينه‌ها ودر هر عصر وزمان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فِى الْكِتابِ مِنْ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ماهيچ چيز را دراين كتاب فروگذار نكرديم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شَىْ‌ءٍ فَصَّلْناهُ تَفْصِيلًا؛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چيزى را به‌طور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شَىْ‌ءٍ وَ هُدىً وَ رَحْمَهً وَ 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اين كتاب را بر تو نازل كرديم كه بيانگر همه چيز، ومايه هدايت ورحمت وبشارت براى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خطبه‌اى كه در حجه‌الوداع ايراد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چه را كه باعث نزديكى شما به بهشت ودورى شما از جهنم مى‌شود به آن امر نمودم، وهر چه كه شما را به جهنم نزديك واز بهشت دور مى‌كند شما را از آن نهى كردم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حقيقت اساس اين عموميت وشموليت آن است كه شريعت اسلامى، شريعتى است فطرى كه با فطرت انسان سازگارى تمام داشته وپاسخ‌گوى حاجات بشر است؛ شريعتى كه تعيين‌كننده مصالح ومفاسد واقعى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بيت معصومين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راستا تشريك مساعى كرده ودر جهت توسعه شريعت وتكامل وتطبيق آن سعى فراوان نمودند، تا دين وشريعت الهى واسلامى اين‌گونه در آمد كه قابل انطباق واجرا در تمام زمينه‌ها وعصرها وزمان‌ها است، اما نظر به فتاواى وهابيان گوياى اين مطلب است كه به نياز زمان پاسخگو نيست</w:t>
      </w:r>
      <w:r>
        <w:rPr>
          <w:rFonts w:eastAsia="IRNazanin" w:cs="IRNazanin"/>
          <w:color w:val="111111"/>
          <w:sz w:val="28"/>
          <w:szCs w:val="28"/>
          <w:rtl w:val="true"/>
          <w:lang w:bidi="fa-IR"/>
        </w:rPr>
        <w:t>.</w:t>
      </w:r>
    </w:p>
    <w:p>
      <w:pPr>
        <w:pStyle w:val="Heading3"/>
        <w:numPr>
          <w:ilvl w:val="2"/>
          <w:numId w:val="1"/>
        </w:numPr>
        <w:rPr/>
      </w:pPr>
      <w:bookmarkStart w:id="89" w:name="__RefHeading___Toc1182807_3650668749"/>
      <w:bookmarkStart w:id="90" w:name="_Toc41"/>
      <w:bookmarkEnd w:id="89"/>
      <w:r>
        <w:rPr/>
        <w:t>2</w:t>
      </w:r>
      <w:r>
        <w:rPr>
          <w:rtl w:val="true"/>
        </w:rPr>
        <w:t xml:space="preserve">. </w:t>
      </w:r>
      <w:r>
        <w:rPr>
          <w:rtl w:val="true"/>
        </w:rPr>
        <w:t>وسعت دايره حلال‌</w:t>
      </w:r>
      <w:bookmarkEnd w:id="90"/>
    </w:p>
    <w:p>
      <w:pPr>
        <w:pStyle w:val="BookText"/>
        <w:rPr/>
      </w:pPr>
      <w:r>
        <w:rPr>
          <w:rFonts w:ascii="IRNazanin" w:hAnsi="IRNazanin" w:eastAsia="IRNazanin"/>
          <w:color w:val="111111"/>
          <w:sz w:val="28"/>
          <w:sz w:val="28"/>
          <w:szCs w:val="28"/>
          <w:rtl w:val="true"/>
          <w:lang w:bidi="fa-IR"/>
        </w:rPr>
        <w:t>از جمله امتيازات شريعت اسلامى كه باعث شموليت وعموميت دايره آن شده، مسئله توسعه در حلّيت وگسترش دايره حليّت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اسلام، اصل اولى حليّت وطهارت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براى انسان حلال وپاك است مگر آنكه خلاف آن به طور علم واطمينان ثابت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نخواهيم كرد مگر آنكه پيامبرى مبعوث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يُكَلِّفُ اللهُ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كس را، جز به اندازه توانايى‌اش تكليف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كارهاى مباح وحلال، ناشى از واقع امر وملاكات اقتضايى است كه مولى درصدد آن است كه انسان را نسبت به آن امور وافعال آزاد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گروهى را كه از رخصت‌ها ومباحات الهى اعراض مى‌كنند؟ به خدا سوگند كه من داناترين آنان به خدايم واز همه بيشتر از او خشيت دارم</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زِينَهَ اللهِ الَّتِى أَخْرَجَ لِعِبادِهِ وَ الطَّيِّباتِ مِنَ الرِّزْقِ قُلْ هِىَ لِلَّذِينَ آمَنُوا فِى الْحَياهِ الدُّنْيا خالِصَهً يَوْمَ الْقِيامَهِ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زينت‌هاى الهى را كه براى بندگان خود آفريده، وروزى‌هاى پاكيزه را حرام كرده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زندگى دنيا براى كسانى است كه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ديگران نيز با آنان مشاركت دارند،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جهت توسعه در جانب حلّيت است كه ملاحظه مى‌كنيم شريعت اسلامى تأكيد فراوانى بر ترك اصرار در سؤال ودنبال نمودن مسائل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بر شما ترك كردم شما نيز آن را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حديثى براى شما بيان كردم آن را از من اخذ كنيد؛ زيرا كسانى قبل از شما به جهت كثرت سؤال، وآمد وشد براى سؤال نزد انبيايشان به هلاكت افتادند</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اينها همه ناشى از آن است كه شريعت اسلامى شريعتى آسان وروان است، 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راحتى شما را مى‌خواهد، نه زحمت شما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 وَ خُلِقَ الإِنْسانُ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مى‌خواهد كار را بر شما سبك كند، وانسان ضعيف آفريده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يهوديت ونصرانيت مبعوث نگشتم، بلكه به حنفيّت وتسامح در دين مبعوث شده‌ام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اما بنابر فتاواى وهابيان دايره حليت بسيار تنگ بوده و هر آنچه سلف انجام نداده باشند، هر چند مبتلا به آنان نبوده، حرام است</w:t>
      </w:r>
      <w:r>
        <w:rPr>
          <w:rFonts w:eastAsia="IRNazanin" w:cs="IRNazanin"/>
          <w:color w:val="111111"/>
          <w:sz w:val="28"/>
          <w:szCs w:val="28"/>
          <w:rtl w:val="true"/>
          <w:lang w:bidi="fa-IR"/>
        </w:rPr>
        <w:t>.</w:t>
      </w:r>
    </w:p>
    <w:p>
      <w:pPr>
        <w:pStyle w:val="Heading3"/>
        <w:numPr>
          <w:ilvl w:val="2"/>
          <w:numId w:val="1"/>
        </w:numPr>
        <w:rPr/>
      </w:pPr>
      <w:bookmarkStart w:id="91" w:name="__RefHeading___Toc1182809_3650668749"/>
      <w:bookmarkStart w:id="92" w:name="_Toc42"/>
      <w:bookmarkEnd w:id="91"/>
      <w:r>
        <w:rPr/>
        <w:t>3</w:t>
      </w:r>
      <w:r>
        <w:rPr>
          <w:rtl w:val="true"/>
        </w:rPr>
        <w:t xml:space="preserve">. </w:t>
      </w:r>
      <w:r>
        <w:rPr>
          <w:rtl w:val="true"/>
        </w:rPr>
        <w:t>اصل عملى اباحه در اشيا وافعال‌</w:t>
      </w:r>
      <w:bookmarkEnd w:id="92"/>
    </w:p>
    <w:p>
      <w:pPr>
        <w:pStyle w:val="BookText"/>
        <w:rPr/>
      </w:pPr>
      <w:r>
        <w:rPr>
          <w:rFonts w:ascii="IRNazanin" w:hAnsi="IRNazanin" w:eastAsia="IRNazanin"/>
          <w:color w:val="111111"/>
          <w:sz w:val="28"/>
          <w:sz w:val="28"/>
          <w:szCs w:val="28"/>
          <w:rtl w:val="true"/>
          <w:lang w:bidi="fa-IR"/>
        </w:rPr>
        <w:t>علماى علم اصول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اوّلى در افعال وعادات، حليّت وبرائت است، مگر آنكه مورد نهى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پيامبرش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أَجِدُ فِى ما اوحِىَ إِلَىَّ مُحَرَّماً عَلى طاعِمٍ يَطْعَمُهُ إِلَّا أَنْ يَكُونَ مَيْتَهً أَوْ دَماً مَسْفُوحاً أَوْ لَحْمَ خِنزِيرٍ فَإِنَّهُ رِجْسٌ أَوْ فِسْقاً اهِلَّ لِغَيْرِ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اى پيامبر در احكامى كه به من وحى شده، چيزى كه براى خورندگان طعام حرام باشد نمى‌يابم جز آنكه مردار باشد يا خون ريخته يا گوشت خوك كه پليد است يا حيوانى كه بدون ذكر نام خدا از روى فسق ذبح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يوسف قرضاوى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اول مبدء قرره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فيما خلق الله من اشياء و منافع هو الحل و الاباحه، و لاحرام إلّا ما ورد نص صحيح صريح من الشارع بتحريمه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اوّل مَبدئى كه اسلام آن را تقرير كرده، آن است كه اصل اوّلى در اشياء ومنافعى كه خداوند خلق كرده، حليّت واباحه است، وحرام نيست مگر آنچه كه بر او نصّ صريح صحيح از شارع بر تحريمش رسيده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نظر وهابيان اصل در هر چيزى حرمت است، مگر آنكه دليل بر اباحه آن پيدا شود</w:t>
      </w:r>
      <w:r>
        <w:rPr>
          <w:rFonts w:eastAsia="IRNazanin" w:cs="IRNazanin"/>
          <w:color w:val="111111"/>
          <w:sz w:val="28"/>
          <w:szCs w:val="28"/>
          <w:rtl w:val="true"/>
          <w:lang w:bidi="fa-IR"/>
        </w:rPr>
        <w:t>.</w:t>
      </w:r>
    </w:p>
    <w:p>
      <w:pPr>
        <w:pStyle w:val="Heading3"/>
        <w:numPr>
          <w:ilvl w:val="2"/>
          <w:numId w:val="1"/>
        </w:numPr>
        <w:rPr/>
      </w:pPr>
      <w:bookmarkStart w:id="93" w:name="__RefHeading___Toc1182811_3650668749"/>
      <w:bookmarkStart w:id="94" w:name="_Toc43"/>
      <w:bookmarkEnd w:id="93"/>
      <w:r>
        <w:rPr>
          <w:rtl w:val="true"/>
        </w:rPr>
        <w:t>ميزان بودن فعل سلف‌</w:t>
      </w:r>
      <w:bookmarkEnd w:id="94"/>
    </w:p>
    <w:p>
      <w:pPr>
        <w:pStyle w:val="Heading4"/>
        <w:numPr>
          <w:ilvl w:val="3"/>
          <w:numId w:val="1"/>
        </w:numPr>
        <w:rPr/>
      </w:pPr>
      <w:bookmarkStart w:id="95" w:name="__RefHeading___Toc1182813_3650668749"/>
      <w:bookmarkStart w:id="96" w:name="_Toc44"/>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انسان وقتى به فتاواى وهابيان مراجعه مى‌كند پى مى‌برد به اينكه بسيارى از كارهايى را كه به عنوان بدعت معرفى كرده‌اند، دليلشان اين است كه سلف صالح آن را انجام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در مورد برپايى مولودى‌خوانى در ولادت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لم يفعله السلف مع قيام المقتضى له و عدم المانع منه، ولو كان هذا خيرا محضاً أو راجحاً لكان السلف احقّ به منّا؛ فانهم كانوا اشدّ محبّه برسول الله و تعظيماً له منّا، و هو على الخير احرص</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است كه سلف وپيشينيان انجام نداده‌اند با آنكه مقتضى آن وجود داشت ومانعى نيز بر انجام آن نبود واگر اين كار خير محض يا راجح بود سلف از ما سزاوارتر به انجام آن بودند؛ زيرا آنان محبّت بيشترى از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واز ما بيشتر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تعظيم مى‌نمودند، وبر كارهاى خير حريص‌تر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جايى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اتخاذ موسم غير المواسم الشرعيه كبعض ليالى شهر ربيع الأول التى يقال انّها ليله المولد، و بعض ليالى رجب، أو ثامن شوال الذى يسميه الجهال عيد الابرار، فانّها من البدع التى لم يستحبها السلف و لم يفعلوها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امّا قرار دادن موسمى غير از موسم‌هاى شرعى همچون برخى از شب‌هاى ماه ربيع الاول كه گفته مى‌شود شب مولد است، ونيز برخى از شب‌هاى ماه رجب، يا هشتم شوّال كه جاهلان آن را عيد ابرار مى‌نامند، اينها همه بدعت‌هايى است كه سلف آنها را مستحب ندانسته وانجام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الحاج نيز در تحريم برگزارى مولودى‌خوانى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بدعه بنفس نيته فقط؛ اذ انّ ذلك زياده فى الدين و ليس من عمل السلف الماضين، و اتّباع السلف اولى</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اين عمل به خود نيّتش بدعت است؛ زيرا اين عمل زيادتى در دين است واز عمل پيشينيان به حساب نمى‌آيد؛ در حالى كه متابعت وپيروى از سلف سزاوارتر است</w:t>
      </w:r>
      <w:r>
        <w:rPr>
          <w:rFonts w:eastAsia="IRNazanin" w:cs="IRNazanin"/>
          <w:color w:val="111111"/>
          <w:sz w:val="28"/>
          <w:szCs w:val="28"/>
          <w:rtl w:val="true"/>
          <w:lang w:bidi="fa-IR"/>
        </w:rPr>
        <w:t>.</w:t>
      </w:r>
    </w:p>
    <w:p>
      <w:pPr>
        <w:pStyle w:val="Heading4"/>
        <w:numPr>
          <w:ilvl w:val="3"/>
          <w:numId w:val="1"/>
        </w:numPr>
        <w:rPr/>
      </w:pPr>
      <w:bookmarkStart w:id="97" w:name="__RefHeading___Toc1182815_3650668749"/>
      <w:bookmarkStart w:id="98" w:name="_Toc45"/>
      <w:bookmarkEnd w:id="97"/>
      <w:r>
        <w:rPr>
          <w:rtl w:val="true"/>
        </w:rPr>
        <w:t>نقد و ارزيابى‌</w:t>
      </w:r>
      <w:bookmarkEnd w:id="9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عمل پيشينيان نمى‌تواند مصدرى از مصادر تشريع به حساب آيد، وهيچ دليلى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هيچ موردى نمى‌توانيم آراى جميع افراد سلف را در يك عصر جمع كرده وبه نقطه وحدت ويكپارچگى برسيم، تا چه رسد به اينكه بخواهيم آراى مردم وحتى علماى سه عصر وقرن را جمع كرده وبه نقطه مشترك وواحدى برسيم؛ زيرا در هر مسأله‌اى اختلاف اقوال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اعمال ورفتار سلف بوده كه در جانب نقيض فعل وترك بوده ومحكوم به جوّ سياسى در آن زمان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با موشكافى رفتار گذشتگان مى‌توان به علت آن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گذشتگان گاهى از حالت خوف وترس وگاهى از حالت تسامح وبى‌مبالاتى نسبت به امور شرعى نشأت گرفته است، ودر برخى از موارد نيز ناشى از فهم اشتباه وتأويلات وتوجيهات غير دقيق از نصوص شرعى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يقين مى‌دانيم كه قائلين به وجوب متابعت از رفتار سلف نمى‌توانند از خود يك ضابطه وقانون معيّن ومحدودى را به دست بدهند تا هويّت سلف را مشخص كند، سلفى كه از چنان اطمينان واعتمادى نزد آنان برخوردار است كه مصدر تشريع در مسائل دينى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سلف كيست؟</w:t>
      </w:r>
    </w:p>
    <w:p>
      <w:pPr>
        <w:pStyle w:val="BookText"/>
        <w:rPr/>
      </w:pPr>
      <w:r>
        <w:rPr>
          <w:rFonts w:ascii="IRNazanin" w:hAnsi="IRNazanin" w:eastAsia="IRNazanin"/>
          <w:color w:val="111111"/>
          <w:sz w:val="28"/>
          <w:sz w:val="28"/>
          <w:szCs w:val="28"/>
          <w:rtl w:val="true"/>
          <w:lang w:bidi="fa-IR"/>
        </w:rPr>
        <w:t>جالب توجّه اين است كه ابن تيميه كه از سردمداران اين نظريه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يعتمد المؤمن العلم على عادات اكثر من اعتادها عامه، أو من قيدته العامه، أو قوم مترئسون بالجهاله لم يرسخوا فى العلم، و لا يعدّون من أولى الأمر، ولا يصلحون للشورى، و لعلّهم لم يتمّ ايمانهم بالله و رسوله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چگونه مؤمن عالم مى‌تواند بر عادات عوام مردم يا كسانى كه عوام‌زدگى آنان را زنجير كرده يا قومى كه در جهالت غوطه‌ور بوده وهرگز رسوخ در علم نكرده‌اند، اعتماد كند، آنان كه از اولى الأمر به حساب نيامده وبراى مشورت صلاحيّت ندارند، وشايد كه ايمانشان به خدا ورسولش كامل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اهل سلف ممكن است چنين باشند، چگونه فعل وكردار آنان را حجّت ومصدر تشريع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معتقديم كه مصدر تشريع كه مى‌تواند از خلال آن احكام دين استنباط واستخراج شود، بايد از مصونيّت از خطا برخوردار باشند واز كمترين چيزى كه تصوّرش در تناقض واختلاف واشتباه مى‌رود محفوظ باشد كه در مورد فعل سلف اين چنين تصوّرى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دين اسلام دينى آسمانى است كه براى همه امت‌ها وقوميّت‌هاى گوناگون بشرى نازل شده و نمى‌توان آن را محصور در ضمن عادات وعرفيّت‌هاى خاصّى نموده يا محصور در محدوده وجوّ تقليدى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بالاتر از هر عرفيّتى است؛ زيرا دين درصدد برآوردن حاجات بشر است كه در كمون بشر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متكفّل نظام وقوانين عامى است كه مى‌تواند هدايت عموم بشر را برعهده گرفته تا به سعادت ونجات برساند، كه از آن تعبير به دين جهانى وابدى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عرف عمومى انسان در بردارنده ابعاد تغيير وتحوّل واختلاف وپيشرفت است، لذا اين جهت مورد نظر ولحاظ شارع بوده وبراى آن چاره‌انديشى كرده وحكم كلى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 كه عرف عمومى انسان مورد توجّه واهتمام شريعت اسلامى بوده واز احترام ويژه‌اى برخوردار است، واگر شارع حكمى را متوجه عرف خاصى كرده، از خلال وديدگاه همان عرف عام انسانى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درصدد برآمده‌اند تا با تمسك به عدم فعل سلف نسبت به امور مستحدث وجديد، اين امور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وتحريم نمايند، جنايتى نابخشودنى نسبت به تشريع اسلامى انجام داده‌اند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182817_3650668749"/>
      <w:bookmarkStart w:id="100" w:name="_Toc46"/>
      <w:bookmarkEnd w:id="99"/>
      <w:r>
        <w:rPr>
          <w:rtl w:val="true"/>
        </w:rPr>
        <w:t>دو خاصيت امور مستحدثه‌</w:t>
      </w:r>
      <w:bookmarkEnd w:id="100"/>
    </w:p>
    <w:p>
      <w:pPr>
        <w:pStyle w:val="Heading5"/>
        <w:numPr>
          <w:ilvl w:val="4"/>
          <w:numId w:val="1"/>
        </w:numPr>
        <w:rPr/>
      </w:pPr>
      <w:bookmarkStart w:id="101" w:name="__RefHeading___Toc1182819_3650668749"/>
      <w:bookmarkStart w:id="102" w:name="_Toc4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بيشتر امور شرعى كه حادث مى‌شود وانسان مسلمان با آنها در مراحل مختلف زندگانى سر وكار دارد داراى دو خاصيّت است</w:t>
      </w:r>
      <w:r>
        <w:rPr>
          <w:rFonts w:eastAsia="IRNazanin" w:cs="IRNazanin"/>
          <w:color w:val="111111"/>
          <w:sz w:val="28"/>
          <w:szCs w:val="28"/>
          <w:rtl w:val="true"/>
          <w:lang w:bidi="fa-IR"/>
        </w:rPr>
        <w:t>:</w:t>
      </w:r>
    </w:p>
    <w:p>
      <w:pPr>
        <w:pStyle w:val="Heading5"/>
        <w:numPr>
          <w:ilvl w:val="4"/>
          <w:numId w:val="1"/>
        </w:numPr>
        <w:rPr/>
      </w:pPr>
      <w:bookmarkStart w:id="103" w:name="__RefHeading___Toc1182821_3650668749"/>
      <w:bookmarkStart w:id="104" w:name="_Toc48"/>
      <w:bookmarkEnd w:id="103"/>
      <w:r>
        <w:rPr>
          <w:rtl w:val="true"/>
        </w:rPr>
        <w:t>خاصيّت اوّل‌</w:t>
      </w:r>
      <w:bookmarkEnd w:id="104"/>
    </w:p>
    <w:p>
      <w:pPr>
        <w:pStyle w:val="BookText"/>
        <w:rPr/>
      </w:pPr>
      <w:r>
        <w:rPr>
          <w:rFonts w:ascii="IRNazanin" w:hAnsi="IRNazanin" w:eastAsia="IRNazanin"/>
          <w:color w:val="111111"/>
          <w:sz w:val="28"/>
          <w:sz w:val="28"/>
          <w:szCs w:val="28"/>
          <w:rtl w:val="true"/>
          <w:lang w:bidi="fa-IR"/>
        </w:rPr>
        <w:t xml:space="preserve">چيزى است كه ما مى‌توانيم بر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شرعى امر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كنيم كه آن عبارت است از اصل ممارست مشروع ومبتنى بر ادله ثابت در تشريع</w:t>
      </w:r>
      <w:r>
        <w:rPr>
          <w:rFonts w:eastAsia="IRNazanin" w:cs="IRNazanin"/>
          <w:color w:val="111111"/>
          <w:sz w:val="28"/>
          <w:szCs w:val="28"/>
          <w:rtl w:val="true"/>
          <w:lang w:bidi="fa-IR"/>
        </w:rPr>
        <w:t>.</w:t>
      </w:r>
    </w:p>
    <w:p>
      <w:pPr>
        <w:pStyle w:val="Heading5"/>
        <w:numPr>
          <w:ilvl w:val="4"/>
          <w:numId w:val="1"/>
        </w:numPr>
        <w:rPr/>
      </w:pPr>
      <w:bookmarkStart w:id="105" w:name="__RefHeading___Toc1182823_3650668749"/>
      <w:bookmarkStart w:id="106" w:name="_Toc49"/>
      <w:bookmarkEnd w:id="105"/>
      <w:r>
        <w:rPr>
          <w:rtl w:val="true"/>
        </w:rPr>
        <w:t>خاصيّت دوم‌</w:t>
      </w:r>
      <w:bookmarkEnd w:id="106"/>
    </w:p>
    <w:p>
      <w:pPr>
        <w:pStyle w:val="BookText"/>
        <w:rPr/>
      </w:pPr>
      <w:r>
        <w:rPr>
          <w:rFonts w:ascii="IRNazanin" w:hAnsi="IRNazanin" w:eastAsia="IRNazanin"/>
          <w:color w:val="111111"/>
          <w:sz w:val="28"/>
          <w:sz w:val="28"/>
          <w:szCs w:val="28"/>
          <w:rtl w:val="true"/>
          <w:lang w:bidi="fa-IR"/>
        </w:rPr>
        <w:t xml:space="preserve">چيزى است كه ما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عرفى در امر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مى‌كنيم، كه عبارت است از شكل عمل مشروع واسلوب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به حسب پيشرفت وگذر زمان وطبيعت مختلف عرف‌ها وتقاليد رايج در مجتمع‌ها، تغيير واختلاف پيدا مى‌كند، بدون آنكه تأثيرى بر اصل مشروعيّت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مسلمانان، امروزه بسيارى از امور واعمال شرعى خود را از آن جهت كه جنبه شرعى ثابت دارد انجام مى‌دهند، ولى آنها را در قالب وروش جديدى پياده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تغييرى پيدا شده وبا رفتار مسلمانان صدر اسلام وسلف وپيشينيان سازگارى ندارد، تنها در جانب عرفى امر حادث است نه در جانب شرعى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تغيير در جانب عرفى امرى است كه ضرورت زندگى آن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يادبود گرفتن ونصرت دين اسلام وپيامبرش امرى مسلم بوده ومورد توجّه همه مسلمانان از صدر اسلام تاكنون بوده است، ولى با گذر زمان وتحوّل وتغيير در حالات وعرفيّت‌ها، روش‌هاى نصرت ويادبود فرق كرده است، در عين اينكه روح شرعيّت آن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امرى صحيح وعقلايى ومورد قبول شرع وعقل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به اثبات رسيده كه تنها صدور فعلى از شخص معصوم دلالت بر عدم حرمت آن فعل دارد؛ زيرا شخص معصوم از گناه مصون ومحفوظ است، ولى نمى‌توان ادّعا كرد كه ترك فعلى از طرف معصوم دلالت بر حرمت وكراهت آن دارد؛ زيرا ممكن است كه شخص معصوم فعل مباح يا حتى بنابر نقلى مستحبّى را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درباره افراد معصوم گفته شده تا چه رسد به افرادى كه از عصمت برخوردار نبوده‌اند، به طور حتم عمل سلف وگذشتگان از عصمت برخوردار نبوده وحتى نمى‌توان همه آنان را عادل دانست، لذا نمى‌تواند فعل سلف ميزان مشروعيّت اعمال ما قرار گيرد</w:t>
      </w:r>
      <w:r>
        <w:rPr>
          <w:rFonts w:eastAsia="IRNazanin" w:cs="IRNazanin"/>
          <w:color w:val="111111"/>
          <w:sz w:val="28"/>
          <w:szCs w:val="28"/>
          <w:rtl w:val="true"/>
          <w:lang w:bidi="fa-IR"/>
        </w:rPr>
        <w:t>.</w:t>
      </w:r>
    </w:p>
    <w:p>
      <w:pPr>
        <w:pStyle w:val="Heading3"/>
        <w:numPr>
          <w:ilvl w:val="2"/>
          <w:numId w:val="1"/>
        </w:numPr>
        <w:rPr/>
      </w:pPr>
      <w:bookmarkStart w:id="107" w:name="__RefHeading___Toc1182825_3650668749"/>
      <w:bookmarkStart w:id="108" w:name="_Toc50"/>
      <w:bookmarkEnd w:id="107"/>
      <w:r>
        <w:rPr>
          <w:rtl w:val="true"/>
        </w:rPr>
        <w:t>ديدگاه عبدالملك سعدى‌</w:t>
      </w:r>
      <w:bookmarkEnd w:id="108"/>
    </w:p>
    <w:p>
      <w:pPr>
        <w:pStyle w:val="BookText"/>
        <w:rPr/>
      </w:pPr>
      <w:r>
        <w:rPr>
          <w:rFonts w:ascii="IRNazanin" w:hAnsi="IRNazanin" w:eastAsia="IRNazanin"/>
          <w:color w:val="111111"/>
          <w:sz w:val="28"/>
          <w:sz w:val="28"/>
          <w:szCs w:val="28"/>
          <w:rtl w:val="true"/>
          <w:lang w:bidi="fa-IR"/>
        </w:rPr>
        <w:t xml:space="preserve">او كه از علماى اهل سنت عراق است كتابى را در ردّ وهابيان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البدعه فى مفهومها الاسلامى الدقيق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قسمتى از كتاب در ردّ مبناى وهابيان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عدم فعله لايدلّ على مشروعيه الفعل ولا على مشروعيه الترك، بل يترك الأمر على الاباحه الأصليه، فعدم الفعل كما لايقوم دليلا على مشروعيته كذلك لايقوم دليلا على المنع من فعله مادام الفعل لم يحصل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هذا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تحت قاعده من القواعد أو تمكّنا من قياسه على امر منصوص فيه قلنا بمشروعيته، و ان رفضته القواعد أو خالف النصوص قلنا ببدعته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همانا انجام ندادن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مشروعيت فعل يا بر مشروعيت ترك نيست، بلكه امر را به اباحه اصلى وا مى‌گذارد، از اين رو انجام‌ندادن همان‌گونه كه دليل بر مشروعيت آن نيست همچنين دليل بر منع از انجام آن نمى‌باشد، تا مادامى كه نهيى از آن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 نظر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فعل داخل در قاعده‌اى از قواعد شد يا توانستيم آن را بر امر منصوص قياس كنيم قايل به مشروعيت آن مى‌شويم، و اگر قواعد آن را رد كرده يا نصوص با آن به مخالفت پرداخت قايل به بدعت آن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ردّ استدلال وهابيان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خيراً لفعله من هو خير منّا قول بتجميد الشريعه الاسلاميه و حصر لشموليتها فى القرن الأول من هذه الأمه، و واقعها خلاف ذلك؛ فانّها ليست عاجزه عن اعطاء حكمها لكل عمل يحدث اعتماداً على قواعد الاسلام و مبادئه؛ سواء كان فى المعاملات أو فى بعض العبادات التى لم يرد تحديد و حصر فيها من الشارع</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همانا سخن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خير بود كسى كه بهتر از ماست آن را انجام داده بود، اعتراف به جمود شريعت اسلامى و محصور كردن گسترش و شموليت آن به قرن اول از اين امت است، در حالى كه واقع خلاف آن است؛ زيرا شريعت عاجز از آن نيست كه حكم خود را براى هر عملى كه حادث مى‌شود با اعتماد بر قواعد و مبانى اسلامى بيان كند، چه در معاملات باشد يا در عباداتى كه محدوديت و حصرى در آنها از شارع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ادامه بر ضد مبناى وهابيان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فاسد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الخطأ الواضح اطلاق لفظ البدعه على امر حصل فيه خلاف بين فقهاء المسلمين فى ثبوته أو نفيه أو ضعفه أو رجحانه أو اعتمد القائل فيه على حديث ضعيف عند المحدثين؛ لانّ هذا الاطلاق سيؤدى إلى ان يكون فقهاء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الصحابه فمن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مبتدعين؛ لانّ كل مجتهد يرى قوه رأيه و ضعف رأى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عائشه تخالف ابن عباس مثلا فى حكم هو يثبته و هى تنفيه، يلزم ان يكون كل واحد منهما مبتدعاً فى نظر الثانى، و بالتالى يؤدى إلى تضليل الفقهاء بعضهم لبعض، و هذا لم يقع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انّ واحداً منهم اطلق لفظ المبتدع على الآخر، بل الامر على العكس؛ فانّ أى مذهب إذا لم يلزم الناس بالأخذ بمسأله من المسائل فانّه يفضل العمل 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بها خروجاً من خلاف من أوجبها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اشاره دلاله على احترام بعضهم رأى البعض و ان لم يتوصل اجتهاده إلى الأخذ بها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اشتباه آشكارى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امرى اطلاق كنيم كه بين فقهاى مسلمانان در ثبوت يا نفى يا ضعف يا رجحان آن اختلاف شده يا قايل به آن بر حديث ضعيف نزد محدثان اعتماد كرده است؛ زيرا اين اطلاق سرانجام به اين نتيجه منجر مى‌شود كه فقهاى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و بعد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بدعت گزارند، چون هر مجتهدى رأى خود را قوى دانسته و رأى ديگرى را ضعيف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عايشه از باب مثال با ابن عباس در حكمى مخالف است كه او اثبات كرده، ولى عايشه نفى مى‌كند، لازم مى‌آيد كه يكى از آن دو در نظر ديگرى بدعت‌گزار باشد و در نتيجه اين امر منجر به نسبت گمراهى فقها به يكديگر مى‌شود، در حالى كه اين امر هرگز اتفاق نيفتاده است، و ثابت نشده كه شخصى از فقها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ديگرى اطلاق كند، بلكه امر به عكس بوده است؛ زيرا هر مذهبى در صورتى كه مردم را به اخذ به مسأله‌اى از مسايل ملزم نكند عمل به آن را بر نظر ديگران تفضيل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عمل مى‌شود تا از خلافى كه برخى آن را موجب شده‌اند خارج شوند و اين اشاره و دلالت بر احترام رأى يكديگر دارد گرچه اجتهادش به اخذ به آن نرسيده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سعدى همچنين در ردّ تندروى وهابيان و به كارگيرى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يؤسف انّ البعض ممّن ليس من اهل التخصص بالفقه أو قرأ الفقه و لم يتضلّع به جعل من نفسه عالماً يتصدّى للفتوى، و غالباً مايقع فى الخطأ تبعاً لهواه أو للاتجاه الذى ساربه، فاخذ يصف الناس بالمبتدعين، و الاعمال التى لاتتنافى مع الشريعه بالبدعه، ظناً منه انّ قرائته و ثقافته العامه فى الشريعه اهلته ليقول ذلك و يتطرّف فى دعوته؛ و لذلك لم نجد أى طالب علم تضلع بالفقه و الأصول يقول بقوله أو يرضى باسلوبه؛ سواء من القدامى أو المعاصرين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از جمله امورى كه مايه تأسف است اينكه برخى از كسانى كه تخصص در فقه نداشته يا اصلًا فقه نخوانده و در آن تبحرى ندارند خود را عالم به حساب آورده و متصدى فتوا شده‌اند، و لذا در غالب اوقات به جهت متابعت از هواى نفس يا روشى را كه‌پيگيرى كرده، در خطا مى‌افتد و شروع به توصيف مردم به بدعت‌گزار شده و اعمالى كه با شريعت تنافى ندارد را به بدعت نسبت مى‌دهد، به گمان اينكه قرائت و فهم عمومى در شريعت او را اهليت داده كه اين‌گونه بگويد و در دعوتش تندروى كند، و لذا هيچ طالب علمى كه در فقه و اصول تخصص پيدا كرده را نمى‌يابيم كه گفته او را بگويد يا به روش او راضى باشد؛ چه از افراد مقدمين يا معاصرين</w:t>
      </w:r>
      <w:r>
        <w:rPr>
          <w:rFonts w:eastAsia="IRNazanin" w:cs="IRNazanin"/>
          <w:color w:val="111111"/>
          <w:sz w:val="28"/>
          <w:szCs w:val="28"/>
          <w:rtl w:val="true"/>
          <w:lang w:bidi="fa-IR"/>
        </w:rPr>
        <w:t>.</w:t>
      </w:r>
    </w:p>
    <w:p>
      <w:pPr>
        <w:pStyle w:val="Heading3"/>
        <w:numPr>
          <w:ilvl w:val="2"/>
          <w:numId w:val="1"/>
        </w:numPr>
        <w:rPr/>
      </w:pPr>
      <w:bookmarkStart w:id="109" w:name="__RefHeading___Toc1182827_3650668749"/>
      <w:bookmarkStart w:id="110" w:name="_Toc51"/>
      <w:bookmarkEnd w:id="109"/>
      <w:r>
        <w:rPr>
          <w:rtl w:val="true"/>
        </w:rPr>
        <w:t>ديدگاه محمد بن علوى مالكى‌</w:t>
      </w:r>
      <w:bookmarkEnd w:id="110"/>
    </w:p>
    <w:p>
      <w:pPr>
        <w:pStyle w:val="BookText"/>
        <w:rPr/>
      </w:pPr>
      <w:r>
        <w:rPr>
          <w:rFonts w:ascii="IRNazanin" w:hAnsi="IRNazanin" w:eastAsia="IRNazanin"/>
          <w:color w:val="111111"/>
          <w:sz w:val="28"/>
          <w:sz w:val="28"/>
          <w:szCs w:val="28"/>
          <w:rtl w:val="true"/>
          <w:lang w:bidi="fa-IR"/>
        </w:rPr>
        <w:t>محمّد بن علوى مالكى در نقد ميزان بودن فعل سلف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فغايه حجتهم 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العمل لم‌يفعله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 عمل السلف وعليه فهو حرام أو بدعه أو ضلاله؛ لانّه مخالف لكتاب الله وسنه رسوله، هكذا يتجاسرون على الدين واحكامه بلا نظر ولا رويّه، وهذا الكلام منهم اوّله حقّ وآخره باطل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دليل آنها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واز كردار پيشينيان نيست، ولذا حرام يا بدعت يا گمراهى است؛ زيرا مخالف كتاب خدا وسنت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اين‌گونه بر دين واحكام آن جسارت مى‌كنند بدون آنكه نظر وتأمّل نمايند، واين كلام آنها، اولش حقّ وآخرش باطل است </w:t>
      </w:r>
      <w:r>
        <w:rPr>
          <w:rFonts w:eastAsia="IRNazanin" w:cs="IRNazanin"/>
          <w:color w:val="111111"/>
          <w:sz w:val="28"/>
          <w:szCs w:val="28"/>
          <w:rtl w:val="true"/>
          <w:lang w:bidi="fa-IR"/>
        </w:rPr>
        <w:t>...</w:t>
      </w:r>
    </w:p>
    <w:p>
      <w:pPr>
        <w:pStyle w:val="Heading3"/>
        <w:numPr>
          <w:ilvl w:val="2"/>
          <w:numId w:val="1"/>
        </w:numPr>
        <w:rPr/>
      </w:pPr>
      <w:bookmarkStart w:id="111" w:name="__RefHeading___Toc1182829_3650668749"/>
      <w:bookmarkStart w:id="112" w:name="_Toc52"/>
      <w:bookmarkEnd w:id="111"/>
      <w:r>
        <w:rPr>
          <w:rtl w:val="true"/>
        </w:rPr>
        <w:t>انواع ترك‌</w:t>
      </w:r>
      <w:bookmarkEnd w:id="112"/>
    </w:p>
    <w:p>
      <w:pPr>
        <w:pStyle w:val="Heading4"/>
        <w:numPr>
          <w:ilvl w:val="3"/>
          <w:numId w:val="1"/>
        </w:numPr>
        <w:rPr/>
      </w:pPr>
      <w:bookmarkStart w:id="113" w:name="__RefHeading___Toc1182831_3650668749"/>
      <w:bookmarkStart w:id="114" w:name="_Toc53"/>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ترك بر دو قسم است</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182833_3650668749"/>
      <w:bookmarkStart w:id="116" w:name="_Toc54"/>
      <w:bookmarkEnd w:id="115"/>
      <w:r>
        <w:rPr/>
        <w:t>1</w:t>
      </w:r>
      <w:r>
        <w:rPr>
          <w:rtl w:val="true"/>
        </w:rPr>
        <w:t xml:space="preserve">. </w:t>
      </w:r>
      <w:r>
        <w:rPr>
          <w:rtl w:val="true"/>
        </w:rPr>
        <w:t>ترك مقصود</w:t>
      </w:r>
      <w:bookmarkEnd w:id="116"/>
    </w:p>
    <w:p>
      <w:pPr>
        <w:pStyle w:val="BookText"/>
        <w:rPr/>
      </w:pPr>
      <w:r>
        <w:rPr>
          <w:rFonts w:ascii="Amiri" w:hAnsi="Amiri" w:eastAsia="Amiri" w:cs="Amiri"/>
          <w:color w:val="111111"/>
          <w:sz w:val="28"/>
          <w:sz w:val="28"/>
          <w:szCs w:val="28"/>
          <w:rtl w:val="true"/>
          <w:lang w:bidi="ar-SA"/>
        </w:rPr>
        <w:t>وآن تركى است كه اصوليون از آن به ترك وجودى تعبير مى‌كنند</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182835_3650668749"/>
      <w:bookmarkStart w:id="118" w:name="_Toc55"/>
      <w:bookmarkEnd w:id="117"/>
      <w:r>
        <w:rPr/>
        <w:t>32</w:t>
      </w:r>
      <w:r>
        <w:rPr>
          <w:rtl w:val="true"/>
        </w:rPr>
        <w:t xml:space="preserve">. </w:t>
      </w:r>
      <w:r>
        <w:rPr>
          <w:rtl w:val="true"/>
        </w:rPr>
        <w:t>ترك غير مقصود</w:t>
      </w:r>
      <w:bookmarkEnd w:id="118"/>
    </w:p>
    <w:p>
      <w:pPr>
        <w:pStyle w:val="BookText"/>
        <w:rPr/>
      </w:pPr>
      <w:r>
        <w:rPr>
          <w:rFonts w:ascii="Amiri" w:hAnsi="Amiri" w:eastAsia="Amiri" w:cs="Amiri"/>
          <w:color w:val="111111"/>
          <w:sz w:val="28"/>
          <w:sz w:val="28"/>
          <w:szCs w:val="28"/>
          <w:rtl w:val="true"/>
          <w:lang w:bidi="ar-SA"/>
        </w:rPr>
        <w:t>كه از آن به ترك عدمى تعبير مى‌كنند، وآن موضوعى است كه شارع متعرض حكم آن نشده؛ زيرا مقتضى آن نبوده است، ومورد بحث صورت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علوى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كون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السلف الصالح لم يفعله ليس بدليل بل هو عدم دليل، ودليل التحريم انّما يكون بورود نصّ يفيد النهى عند فعل الشى‌ء أو الإنكار على فعله من المشرّع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ممّن يقوم مقامه من الذين جعل سنتهم هى سنته وطريقتهم هى طريقته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سلف صالح اين كار را انجام نداده دليل بر عدم جواز نمى‌شود، بلكه عدم دليل است، ودليل تحريم به ورود نصّى است كه دلالت بر نهى از انجام شى‌ء يا انكارِ كارى از مشرّع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يا از كسانى كه جانشين آنان بوده كسانى كه سنّت وروش آنها همان سنّت وروش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Heading3"/>
        <w:numPr>
          <w:ilvl w:val="2"/>
          <w:numId w:val="1"/>
        </w:numPr>
        <w:rPr/>
      </w:pPr>
      <w:bookmarkStart w:id="119" w:name="__RefHeading___Toc1182837_3650668749"/>
      <w:bookmarkStart w:id="120" w:name="_Toc56"/>
      <w:bookmarkEnd w:id="119"/>
      <w:r>
        <w:rPr>
          <w:rtl w:val="true"/>
        </w:rPr>
        <w:t>فتاواى وهابيان در مصاديق بدعت‌</w:t>
      </w:r>
      <w:bookmarkEnd w:id="120"/>
    </w:p>
    <w:p>
      <w:pPr>
        <w:pStyle w:val="BookText"/>
        <w:rPr/>
      </w:pPr>
      <w:r>
        <w:rPr>
          <w:rFonts w:ascii="IRNazanin" w:hAnsi="IRNazanin" w:eastAsia="IRNazanin"/>
          <w:color w:val="111111"/>
          <w:sz w:val="28"/>
          <w:sz w:val="28"/>
          <w:szCs w:val="28"/>
          <w:rtl w:val="true"/>
          <w:lang w:bidi="fa-IR"/>
        </w:rPr>
        <w:t>با مراجعه به كتاب‌هاى فتوايى مفتيان وهابى پى به مصاديقى از بدعت مى‌بريم كه تعجّب انسان را برمى‌انگيزاند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چيزى به برخى از اين مصاديق اشاره مى‌كنيم وقضاوت را به خوانندگان محترم وا مى‌گذاريم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عبدالعزيز 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التوسل بجاه فلان أو ببركه فلان أو بحقّ فلان بدعه و ليست من الشرك،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انّى اسألك بجاه انبيائك أو بجاه وليّك فلان، أو بعبدك فلان او بحقّ فلان أو ببركه فلان فذلك لا يجوز و هو من البدع و من وسائل الشرك، لانّه لم يرد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عن الصحابه فيكون بدعه </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توسّل به جاه فلان يا به بركت فلان يا به حقّ فلان شخص بدعت است ولى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جاه انبيايت يا به جاه فلان وليّت يا به فلان بنده‌ات يا به حقّ فلان يا به بركت فلان از تو مى‌خواهم، اين نوع درخواست جايز نيست، واز جمله بدعت‌ها واز وسايل شرك است؛ زيرا اين نوع درخواست 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ونه از صحابه؛ لذا بدعت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شوراى دائمى مفتيان وهابيان مى‌نويسند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البناء على القبور بدعه منكره فيها غلو فى تعظيم من دفن فى ذلك، و هو ذريعه إلى الشرك، فيجب على ولى أمر المسلمين أو نائبه الامر بازاله ما على القبور من ذلك و تسويتها بالأرض قضاءً على هذه البدعه، و سدّاً لذريعه الشرك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بناء بر قبور بدعت منكر است كه در آن غلوّ در تعظيم كسانى است كه در آن قبرها دفن شده‌اند، واين عمل راهى به سوى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ولى امر مسلمين يا نايب اوست كه امر كند تا آنچه بر روى قبور ساخته شده خراب كرده وقبور را نيز با زمين يكسان سازند، تا اين بدعت را ابطال كرده وراه به شرك نيز بسته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فوزان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السجود على التربه المسماه تربه الولى ان كان المقصود منه التبرك بهذه التربه و التقرّب إلى الولى فهذا شرك اكبر، و ان كان المقصود التقرّب إلى الله مع اعتقاد فضيله هذه التربه و انّ فى السجود عليها فضيله كالفضيله التى جعلها الله فى الأرض المقدسه فى المسجد الحرام و المسجد النبوى و المسجد الاقصى فهذا ابتداع فى الدين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سجده كردن بر تربتى كه به نام تربت ولى است اگر مقصود از آن، تبرّك به اين تربت وتقرّب به ولى است، اين شرك اكبر است، واگر مقصود، تقرّب به خدا است همراه با اعتقاد به فضيلت اين تربت، واينكه در سجود بر آن فضيلتى است؛ همانند فضيلتى كه خداوند در سرزمين مقدس در مسجدالحرام ومسجد نبوى و مسجدالأقصى قرار داده، اين بدعت در دين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شوراى دائمى فتواى وهابيان مى‌نويسند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شدّ الرحال لزياره قبور الانبياء و الصالحين و غيرهم، بل هو بدعه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بار سفر بستن به جهت زيارت قبور انبيا وصالحان وديگران جايز نيست؛ بلكه اين عمل بدعت به حساب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عبدالعزيز 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لايجوز الاحتفال بمولد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غيره، لانّ ذلك من البدع المحدثه فى الدين، لانّ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يفعله ولا خلفاؤه الراشدون و لا غيرهم من الصحابه و لا التابعون لهم باحسان فى القرون المفضله، و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برپايى مراسم به جهت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او جايز نيست؛ اين عمل از بدعت‌هايى است كه در دين حادث شده است؛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وخلفاى راشدين وغير آنان از صحابه اين عمل را انجام نداده‌اند ونيز تابعين صحابه كه به نيكى از آنان پيروى كردند، در قرن‌هايى كه برترى داده شده‌اند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شوراى دائمى مفتيان وهابى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يجوز الاحتفال بمن مات من الانبياء و الصالحين و لا احياء ذكراهم بالموالد و رفع الاعلام و لا بوضع السرج و الشموع على قبورهم، ولا بناء القباب و المساجد على اضرحتهم أو كسوتها أو نحو ذلك، لانّ جميع ما ذكر من البدع المحدثه فى الدين، و من وسائل الشرك، فانّ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 ذلك بمن سبقه من الانبياء و الصالحين، و لا فعله الصحابه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احد من ائمه المسلمين فى القرون الثلاثه التى شهد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خير القرون من بعده من الاولياء و الصالحين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برپايى مراسم جشن براى كسانى كه از انبيا وصالحان از دار دنيا رحلت كرده‌اند جايز نيست، ونيز زنده داشتن ياد آنان در مولودها وبرداشتن علم‌ها وقرار دادن چراغ‌ها وشمع‌ها بر روى قبر آنان وساختن قبه‌ها ومساجد بر روى ضريح‌هاى آنان يا پوشاندن روى آنها يا مثل اين اعمال، جايز نيست؛ زيرا تمام آنچه كه ذكر شد از بدعت‌هايى است كه در دين حادث شده واز وسايل شرك است؛ زيرا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وانبيا وصالحان گذشته اين كارها را انجام ندادند، ونيز صحابه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وهيچ يك از ائمه مسلمين در آن سه قرنى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داده كه بهترين قرن‌ها بعد از او است، نسبت به هيچ يك از اوليا وصالحان انجام ندادند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دائمى وهابيان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الصلاه و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الأذان، و هكذا الجهر بها بعد الأذان مع الأذان، من البدع المحدثه فى الدين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فرستادن صلوات و تحيّت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اذان و هم چنين بلند كردن صدا به آن بعد از اذان همراه با اذان، از جمله بدعت‌هايى است كه در دين حادث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عبدالعزيز بن باز نيز در مجموعه فتاوايش همين فتوا را صادر كرده است</w:t>
      </w:r>
      <w:r>
        <w:rPr>
          <w:rFonts w:eastAsia="Amiri" w:cs="Amiri" w:ascii="Amiri" w:hAnsi="Amiri"/>
          <w:color w:val="111111"/>
          <w:sz w:val="28"/>
          <w:szCs w:val="28"/>
          <w:rtl w:val="true"/>
          <w:lang w:bidi="ar-SA"/>
        </w:rPr>
        <w:t xml:space="preserve">. </w:t>
      </w:r>
      <w:r>
        <w:rPr>
          <w:rStyle w:val="FootnoteAnchor"/>
        </w:rPr>
        <w:footnoteReference w:id="5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ابن عثيمين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الاحتفال بعيد الميلاد للطفل فيه تشبيهاً باعداء الله، فانّ هذه العاده ليست من عاداه المسلمين، و انّما ورثت من غيرهم، و قد ثبت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تشبّه بقوم فهو منهم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همانا در برپايى مراسم جشن تولد براى طفل، تشبّه به دشمنان خداست؛ زيرا اين عادت از عادات مسلمانان به حساب نمى‌آيد، بلكه از ديگران به ارث رسيده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شوراى دائمى وهابيان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فى ايقاد السراج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تعليق لمبات الكهرباء فوقها أو حولها أو فوق مناراتها و تعليق الرايات و الاعلام و وضع الزهور عليها فى الاعياد و المناسبات تزييناً و اعظاماً لها تشبهاً بالكفّار فيما يصنعون ببيعهم و كنائسهم، و قد نهى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التشبّه بهم فى أعيادهم و عباداتهم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همانا در روشن كردن چراغ در مساجد يا آويزان كردن لامپ‌هاى برقى بر بالا يا اطراف آنها يا بالاى مناره‌ها يا آويزان كردن پرچم وعلم وگذاشتن دسته گل بر مناره‌ها، در اعياد ومناسبات به عنوان تزيين وبزرگداشت آن اعياد ومناسبت‌ها، تشبيه به كفار است همان‌طور كه آنان نسبت به معابد وكنيسه‌هاى خود انجام مى‌دهند، وحال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تشبّه به كفّار در اعياد وعباداتشان نهى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عبدالعزيز 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ذبح الابقار أو الاغنام عند انتهاء بناء المساجد لا اصل له و اعتقاده خطا محض، و ينبغى الانكار على من يعتقد ذلك أو يفعله، لانّ هذا بدعه فى الدين، و كلّ بدعه ضلاله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همانا ذبح گاو يا گوسفند، هنگام به اتمام رسيدن ساختمان مساجد، اصل واساسى بر آن نيست، واعتقاد به آن خطاى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وسزاوار است كسى را كه معتقد به اين امور است يا اينكه اين كارها را انجام مى‌دهد، انكار كنيم؛ زيرا اين‌امور بدعت دردين به حساب مى‌آيد، وهربدعتى ضلالت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صالح بن فوزان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البدع التى تقع عند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كثره التردد عليه؛ كلّما دخل المسجد ذهب يسلّم عليه، و كذلك الجلوس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البدع كذلك الدعاء عند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القبور، مظنّه انّ الدعاء عنده مستجاب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از جمله بدعت‌هايى كه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 زياد تردد كردن بر آن است؛ هرگاه كه وارد مسجد مى‌شود مى‌رود تا بر آن سلام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نشستن كنار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جمله بدعت‌ها دعا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ديگر قبرهاست به گمان اينكه دعا نزد قبر مستجاب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التبرك بثوب الكعبه و التمسح به من البدع؛ لانّ ذلك لم‌يرد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تبرك به پارچه كعبه و مسح كردن آن از جمله بدعت هاست؛ چرا كه اين عمل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شوراى دائمى وهابيان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الناس إلى هذه المساجد و تمسحهم بجدرانها و محاريبها و التبرّك بها بدعه و نوع من انواع الشرك شبيه بعمل الكفّار فى الجاهليه الاولى باصنامهم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مردم به اين مساجد ودست كشيدن آنان به ديوارهاى آن وتبرّك جستن به آن بدعت بوده ونوعى از انواع شرك به حساب مى‌آيد، ونيز شبيه به رفتار كفار در جاهليّت اولى نسبت به بت‌هايشان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 المصحف فى السياره دفعاً للعين أو توقياً للخطر بدعه، فانّ الصحابه لم يكونوا يحملون فى المصحف دفعاً للخطر أو للعين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قرار دادن قرآن در ماشين به جهت دورى از چشم زدن يا حفظكردن خود از خطر، حكمش اين است كه اين كار بدعت است؛ زيرا صحابه چنين كارى را انجام نمى‌دادند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فوزان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الدعاء الجماعى بدعه </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دسته جمعى بدعت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الاجتماع عند اهل الميت و قرائه القرآن، و توزيع التمر و اللحم فكلّه من البدع التى ينبغى للمرء تجنّبها، فانّه ربّما يحدث مع ذلك نياحه و بكاء و حزن، و تذكر للميت حتّى تبقى المصيبه فى قلوبهم 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انصح هؤلاء الذين يفعلون مثل هذا انصحهم ان يتوبوا إلى الله عزّوجلّ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امّا اجتماع در كنار مرده وخواندن قرآن وتوزيع خرما وگوشت، همگى از بدعت‌هايى است كه سزاوار است بر انسان كه آنها را رها كند؛ زيرا چه بسا همراه اين امور نوحه‌سرايى وگريه وحزن مى‌شود واز مرده چنان ياد مى‌شود كه به خاطر آن، مصيبت قلوب مردم زايل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افراد را كه چنين كارهايى را انجام مى‌دهند، نصيحت مى‌كنم كه به سوى خداوند عزّوجلّ توبه كنند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الاجتماع عند القبر و القرائه من الامور المنكره التى لم تكن معروفه فى عهد السلف الصالح</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اجتماع كنار قبر وقرائت قرآن از امور منكرى است كه در عهد سلف صالح معروف نبوده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واجتماع الناس للعزاء فى بيت واحد فانّ ذلك من البدع، فان انضم إلى ذلك صنع الطعام فى هذا البيت كان من النياحه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النياحه كما يعلمها الكثير من اهل العلم أو من طلبه العلم من كبائر الذنوب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امّا اجتماع مردم در يك خانه براى تعزيت، از بدعت‌ها به حساب مى‌آيد، اگر به ضميمه اين كار طعام هم در آن خانه پخته شود، اين عمل از نوحه‌سرايى به حساب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ونوحه‌سرايى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بسيارى از اهل علم واز طلاب علم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بزرگ به حساب مى‌آيد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استئجار قارى‌ء ليقرأ القرآن الكريم على روح الميت من البدع، و ليس فيه اجر لا للقارى‌ء و لا للميت، ذلك لان القارى‌ء انما قرأ للدنيا و المال فقط، و كل عمل صالح يقصد به الدنيا فانّه لايقرب إلى الله و لا يكون فيه ثواب عند الله، و على هذا فيكون هذا العمل ضائعاً ليس فيه سوى اتلاف المال على الورثه، فليحذر منه فانّه بدعه و منكر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اجير گرفتن قارى قرآن تا اينكه قرآن كريم را بر روح مرده قرائت كند از بدعت‌ها به حساب مى‌آيد، ودر آن اجرى براى قارى ومرده نيست؛ زيرا قارى تنها براى دنيا ومال، قرائت قرآن مى‌كند وهر عملى كه مقصود به آن دنيا باشد نمى‌تواند موجب تقرّب به خدا باشد ودر آن ثوابى نزد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او ضايع شده وغير از اتلاف مال بر ورثه به حساب نمى‌آيد، لذا بايد از اين عمل احتراز جست؛ زيرا بدعت بوده واز منكرات به حساب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شوراى دائمى وهابيان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استئجار من يقرأ قرآناً على نيت الميت تنفيذاً لوصيّته التى اوصى بها من الامور المبتدعه، فلايجوز ذلك، و لايصحّ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اجير كردن كسى براى قرائت به نيّت مرده به‌جهت تنفيذ وصيت او كه به آن سفارش كرده، از امورى است كه بدعت بوده ولذا اين عمل جايز وصحيح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عبدالعزيز 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يثبت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عن اصحابه و لا عن السلف الصالح اقامه حفل للميت مطلقا لا عند وفاته و لا بعد اسبوع أو اربعين يوما أو سنه من وفاته، بل ذلك بدعه و عاده قبيحه كانت عند قدماء المصريين و غيرهم من الكافرين، فيجب النصح للمسلين الذين يقيمون هذه الحفلات و انكارها عليهم عسى أن يتوبوا إلى الله و يجتنبوها لما فيها من الابتداع فى الدين و مشابهه الكافرين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اصحابش ونيز از سلف صالح ثابت نشده كه هيچ نوع برنامه‌اى را براى مرده گرفته باشند، نه هنگام وفاتش ونه بعد از يك هفته يا چهل روز يا يك‌سال بعد از وفاتش، بلكه تمام اين كارها بدعت وعادت قبيحى است كه نزد قدماى مصر وديگر كافران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مسلمانانى را كه اين برنامه‌ها را مى‌گيرند نصيحت كرده وبر آنان به جهت اين كارها انكار نمود؛ زيرا اميد است كه به سوى خدا توبه كرده ودست از اين كارها بردارند، چون در اين اعمال بدعت‌هايى در دين ومشابهت با كفّار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فتواى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اقامه الولائم للمعزين لا اصل له، بل هو بدعه و منكر و من امر الجاهليه، فلا يجوز للمعزين ان يقيموا الولائم للميت لا فى اليوم الاول و لا فى الثالث و لا فى الرابع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همانا برپا كردن وليمه براى تعزيت دهندگان، اصل واساسى ندارد، بلكه اين عمل بدعت ومنكر بوده واز امر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تعزيت‌دهندگان جايز نيست كه وليمه براى صاحبان عزا برپا كنند، نه در روز اول ونه روز سوم ونه 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شوراى دائمى وهابيان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يجوز ان تهب ثواب ما صليت للميت، بل هو بدعه، لانّه لم يثبت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عن الصحابه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هديه كردن ثواب نماز بر ميّت، جايز نيست، بلكه اين عمل بدعت است؛ زيرا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وصحابه ثابت نشده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شوراى دائمى وهابيان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يجوز اهداء الثواب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ختم القرآن و لا غيره، لانّ السلف الصالح من الصحابه و من بعدهم لم يفعلوا ذلك، و العبادات توقيفيه </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هديه دادن ثواب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نه ثواب ختم قرآن ونه غير قرآن؛ زيرا سلف صالح از صحابه وبعد از آنان چنين كارى را انجام ندادند، وحال آنكه عبادات توقيفى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تقبيل اقارب الميت عند التعزيه لا اعلم فيه سنه، و لهذا لا ينبغى للناس ان يتخذوه سنه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هنگام تعزيت دادن بوسيدن نزديكان مرده را من سنّت نمى‌دانم، ولذا براى مردم سزاوار نيست كه اين عمل را سنّت كنند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فوزان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يجب انكار التلقين لانه بدعه </w:t>
      </w:r>
      <w:r>
        <w:rPr>
          <w:rFonts w:eastAsia="IRNazanin" w:cs="IRNazanin"/>
          <w:color w:val="111111"/>
          <w:sz w:val="28"/>
          <w:szCs w:val="28"/>
          <w:rtl w:val="true"/>
          <w:lang w:bidi="fa-IR"/>
        </w:rPr>
        <w:t xml:space="preserve">...»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است انكار تلقين ميّت؛ زيرا اين عمل بدعت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شوراى دائمى وهابيان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توزيع الاطعمه و الفواكه عند القبور بدعه، و لا يجوز للقرّاء ان يقرؤوا القرآن على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كلّه بدعه منكره لا تجوز</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توزيع غذا وميوه در كنار قبور بدعت است وبراى قاريان جايز نيست كه قرآن را بر روى قبرها بخوانند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تمام اين كارها بدعت ومنكر بوده وجايز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قرائه الفاتحه من الحاضرين فهو ايضاً بدعه </w:t>
      </w:r>
      <w:r>
        <w:rPr>
          <w:rFonts w:eastAsia="IRNazanin" w:cs="IRNazanin"/>
          <w:color w:val="111111"/>
          <w:sz w:val="28"/>
          <w:szCs w:val="28"/>
          <w:rtl w:val="true"/>
          <w:lang w:bidi="fa-IR"/>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قرائت فاتحه از حاضران نيز بدعت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قرائه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الميّت بدعه لا أصل لها، و كذلك قرائه القرآن بعد الدفن ليست بسنه بل هى بدعه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قرائت سوره يس بر قبر ميّت بدعت است و براى آن اساسى نمى‌باشد، و نيز قرائت قرآن بعد از دفن سنت نيست بلكه بدعت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دائمى فتواى وهابيان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التهليل يعنى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الأموات عند حملانهم الى القبر لانعلم دليلا يعتمد عليه، انّها تقال عند حمل الأموات الى القبور، بل هى بدعه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همانا تهليل 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اموات هنگام حمل آنها به طرف قبر دليل قابل اعتمادى بر آن نمى‌دانيم، گرچه هنگام حمل اموات به طرف قبرها گفته مى‌شود، بلكه اين گفتار بدعت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الّذين يتمسكون باستار الكعبه و يدعون كثيراً عملهم لا اصل له فى السنه، و هو بدعه ينبغى على طالب العلم ان يبيّن لهم هذا، و انه ليس من هدى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الالتزام بين الحجر الاسود و بين الكعبه، فهذا قد ورد عن الصحابه فعله، و لابأس به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كسانى كه به پرده‌هاى كعبه مى‌چسبند وزياد دعا مى‌خوانند، براى عملشان در سنّت اصل واساسى نيست؛ بلكه اين كار بدعت است، لذا بر عالم است كه براى مردم اين مطلب را بيان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فوزان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البدع التى احدثت فى مجال العبادات فى هذا الزمان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بالنيه للصلاه، بان يقول نويت ان اصلّى لله كذا و كذا، و هذا بدعه، لانّه ليس من سنه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النيه محلّها القلب، فهو عمل قلبى لا عمل لسانى، و منها الذكر الجماعى بعد الصلاه، لان المشروع ان كل شخص يقول الذكر الوارد منفرداً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بدعت‌هايى كه در مجال عبادات در اين زمان پديد آمده بسيار است؛ از جمله جهر به نيّت در نماز است، به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مى‌كنم كه براى خدا فلان نماز را به جاى آورم، واين عمل بدعت است؛ زيرا از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نمى‌آيد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وجايگاه نيّت در قلب است، نيّت عمل قلبى است نه عمل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از بدعت‌ها، ذكر دسته جمعى بعد از نماز است؛ زيرا مشروع آن است كه هر شخصى ذكر معيّن را به صورت تنهايى بگويد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دائمى وهابيان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الصعود إلى الغار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غار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شعائر الحجّ، و لا من سنن الاسلام، بل انّه بدعه و ذريعه من ذرائع الشرك بالله، و عليه ان يمنع الناس من الصعود 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بالاى غار حرا رفتن از شعائر و اعمال حج و نيز از سنت‌هاى اسلام نيست بلكه بدعت بوده و راهى از راه‌هاى شرك به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سزاوار است كه مردم را از صعود به آن منع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الزائرين يتمسّح بالمحراب و المنبر و جدران المسجد، و كل هذا من البدع</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برخى از زائران دست به محراب و منبر و ديوارهاى مسجد مى‌كشند، و همه اين كارها بدعت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دائمى فتواى وهابيان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قرائه القرآن جماعه بصوت واحد بعد كلّ من صلاه الصبح و المغرب و غيرهما بدعه، و كذا التزام الدعاء جماعه بعد الصلاه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قرائت قرآن به طور دسته‌جمعى با يك صدا بعد از هر نماز صبح و مغرب و غير اين دو، بدعت است، و نيز التزام به دعاى دسته‌جمعى بعد از نماز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دائمى فتواى وهابيان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صدق الله العظيم بعد الانتهاء من قرائه القرآن بدعه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گفتن صدق الله العظيم بعد از فارغ شدن از قرائت قرآن بدعت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دائمى فتواى وهابيان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لايجوز للقرّاء ان يقرؤا القرآن على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كلّه بدعه منكره لاتجوز</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براى قاريان كه قرائت قرآن بر مرده‌ها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تمام اين كارها بدعت منكر است و لذا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اتخاذ الندوات و المحاضرات بآيات من القرآن دائماً كانها سنه مشروعه فهذا لاينبغى</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مجالس ومحاضرات به صورت دائم با آياتى از قرآن به صورتى كه گويا اين عمل سنّت مشروعى است، سزاوار نمى‌باشد</w:t>
      </w:r>
      <w:r>
        <w:rPr>
          <w:rFonts w:eastAsia="IRNazanin" w:cs="IRNazanin"/>
          <w:color w:val="111111"/>
          <w:sz w:val="28"/>
          <w:szCs w:val="28"/>
          <w:rtl w:val="true"/>
          <w:lang w:bidi="fa-IR"/>
        </w:rPr>
        <w:t>.</w:t>
      </w:r>
      <w:bookmarkStart w:id="121" w:name="pg1646_12427"/>
    </w:p>
    <w:p>
      <w:pPr>
        <w:pStyle w:val="Heading3"/>
        <w:numPr>
          <w:ilvl w:val="2"/>
          <w:numId w:val="1"/>
        </w:numPr>
        <w:rPr/>
      </w:pPr>
      <w:bookmarkStart w:id="122" w:name="__RefHeading___Toc1182839_3650668749"/>
      <w:bookmarkStart w:id="123" w:name="_Toc57"/>
      <w:bookmarkEnd w:id="121"/>
      <w:bookmarkEnd w:id="122"/>
      <w:r>
        <w:rPr>
          <w:rtl w:val="true"/>
        </w:rPr>
        <w:t>عدم فتوا به ترك‌</w:t>
      </w:r>
      <w:bookmarkEnd w:id="123"/>
    </w:p>
    <w:p>
      <w:pPr>
        <w:pStyle w:val="BookText"/>
        <w:rPr/>
      </w:pPr>
      <w:r>
        <w:rPr>
          <w:rFonts w:ascii="IRNazanin" w:hAnsi="IRNazanin" w:eastAsia="IRNazanin"/>
          <w:color w:val="111111"/>
          <w:sz w:val="28"/>
          <w:sz w:val="28"/>
          <w:szCs w:val="28"/>
          <w:rtl w:val="true"/>
          <w:lang w:bidi="fa-IR"/>
        </w:rPr>
        <w:t>با مراجعه به فتاواى علماى اهل‌سنت حتى بزرگان وهابيان همچون ابن تيميه پى مى‌بريم كه آنان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فعل، دلالت بر حرمت يا كراهت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نقل برخى از عبارات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تيميه در ردّ كسى كه قائل به كراهت دخول در حمام يا عدم استحباب آن شده واستدلال به عدم دخول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وابوبكر وعمر در حمام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لأحد أن يحتجّ على كراهيه دخولها أو عدم استحبابها بكون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يدخلها ولا ابوبكر ولا عمر؛ فانّ هذا انّما يكون حجه لو امتنعوا من دخول الحمام وقصدوا اجتنابها، أو امكنهم دخولها فلم يدخلوها، وقد علم انّه لم يكن فى بلادهم حينئذ حمّام، فليس اضافه عدم الدخول إلى وجود مانع الكراهه أو عدم ما يقتضى الاستحباب بأولى من اضافته الى فوات شرط الدخول، وهو القدره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انّ ما خلقه الله فى سائر الأرض من القوت واللباس والمراكب والمساكن لم يكن كل نوع منه كان موجوداً فى الحجاز، فلم يأكل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نوع من انواع الطعام القوت والفاكهه، ولا لبس من كل نوع من انواع اللباس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كسى نمى‌تواند بر كراهيت دخول حمام يا عدم استحباب آن به داخل نشدن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وابوبكر وعمر در حمام استدلال كند؛ زيرا اين استدلال آن وقتى صحيح است كه آنان از دخول حمام امتناع كرده وقصد اجتناب داشته باشند يا اينكه برايشان دخول در حمام امكان داشته ولى در عين حال داخل نشده‌اند، در حالى كه مى‌دانيم در آن زمان در شهرهاى آنها حمام وجود نداشته است، ولذا نسبت دادن عدم دخول حمام را به وجود مانع كراهت يا نبود مقتضى استحباب، اولى از انتساب به فوت شرط دخول كه همان قدرت وامكان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آنچه را خداوند در ساير زمين‌ها خلق كرده از قوت ولباس ومركب‌ها ومساكن، همه اين انواع در حجاز نبوده است، ونيز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انواع غذاها وميوه‌ها نخورده وتمام انواع لباس‌ها را نپوشيده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نخوردن دليل بر عدم جواز خوردن و حرمت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اينكه اين كلام ابن تيميه با آنچه از او در بحث نقد ميزان‌بودن فعل سلف نقل كرديم </w:t>
      </w:r>
      <w:r>
        <w:rPr>
          <w:rStyle w:val="FootnoteAnchor"/>
          <w:rtl w:val="true"/>
        </w:rPr>
        <w:footnoteReference w:id="92"/>
      </w:r>
      <w:r>
        <w:rPr>
          <w:rFonts w:ascii="Amiri" w:hAnsi="Amiri" w:eastAsia="Amiri" w:cs="Amiri"/>
          <w:color w:val="111111"/>
          <w:sz w:val="28"/>
          <w:sz w:val="28"/>
          <w:szCs w:val="28"/>
          <w:rtl w:val="true"/>
          <w:lang w:bidi="ar-SA"/>
        </w:rPr>
        <w:t>، تهافت دارد و اين از تناقضات او به حساب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علوى مالكى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اكثر بعض المتأخرين من الاستدلال بالعدم والترك على تحريم اشياء او ذمّها، وافرط فى استعماله بعض المتنطعين المتزمتين بحجه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يفعله او بحجّه انّ الخلفاء الراشدين لم يفعلوه، وهذا منهم جهل عريض، ناتج عن عقل مريض؛ ذلك انّ تركهم العمل به قد يكون لعذر قام لهم فى الوقت، أو لما هو افضل منه، أو لعلّه لم يبلغ جميعهم علم به، وتفصيل ذلك هو؛</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الأصوليين عرّفوا السنه بانّها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أو تقريره، ولم يدخلوا ما تركه فى جمله ذلك، لانّه ليس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هو خطاب الله، وقد ذكر الاصوليون انّه هو الّذى يدلّ عليه القرآن أو السنه أو الاجماع أو القياس، والترك ليس واحداً منها، فلا يكون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عدم فعل وعدم الفعل يقتضى عدم الدليل، فلا يقتضى الترك تحريماً الّا بدليل أو قرينه من كتاب أو سنه أو اجماع أو قياس</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برخى از متأخرين، در استدلال به عدم وترك بر تحريم اشياء وذمّ آنها افراط كرده‌اند، ونيز برخى از تندروها در اين زمينه زياده روى نموده‌اند به اين استدلال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انجام نداده ونيز خلفاى راشدين چنين نكرده‌اند، واين حرف از آنان نادانى گسترده‌اى است كه ناشى از عقل مريض است؛ زيرا ترك يك عمل از آنان گاهى به جهت عذرى است كه براى آنان در آن وقت پديد آمده است، يا به جهت آن است كه بهتر از آن را ملاحظه كرده بودند، يا آنكه درباره آن هيچ كس چيزى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 آن اين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اصولى‌ها سنّت را اين‌گونه تعريف كرده‌اند كه آن، قول وفعل وتقرير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وترك حضرت را در آن داخل نكرده‌اند؛ زيرا دليل به 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همان خطاب خداست، واصولى‌ها گفته‌اند كه همان چيزى است كه قرآن يا سنّت يا اجماع يا قياس بر آن دلالت دارد، وترك، يكى از آنها نيست ولذا دليل به 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عدم فعل است وعدم فعل مقتضى عدم دليل است ولذا ترك، تحريم به حساب نمى‌آيد، مگر با دليل يا قرينه‌اى از كتاب يا سنّت يا اجماع يا قياس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مالكى‌ها وحنفى‌ها براى كراهت دو ركعت نماز قبل از مغرب به قول ابراهيم نخعى تمسك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وعمر وعثمان اين دو ركعت را به جاى نمى‌آوردند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ابن حزم در ردّ آنها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صحّ لما كانت فيه حجه؛ لأنّه ليس فيه انّهم نهوا عنهما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اگر اين مطالب صحيح باشد دليل وحجت نمى‌شود؛ زيرا در آن نيامده كه آنان از اين دو ركعت نماز نهى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عبدالله بن صديق غمارى در ردّ كسانى كه منكر رفع يدين در حال دعايند وگمان كرده‌اند كه بدعت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نداده، مى‌گويد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الشى‌ء لا يدلّ على منعه؛ لانّه ليس بنهى،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95"/>
      </w:r>
      <w:r>
        <w:rPr>
          <w:rFonts w:ascii="Amiri" w:hAnsi="Amiri" w:eastAsia="Amiri" w:cs="Amiri"/>
          <w:color w:val="111111"/>
          <w:sz w:val="28"/>
          <w:sz w:val="28"/>
          <w:szCs w:val="28"/>
          <w:rtl w:val="true"/>
          <w:lang w:bidi="ar-SA"/>
        </w:rPr>
        <w:t>الآيه،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تركه فانتهوا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امرتكم بأمر فأتوا منه ما استطعتم، واذا نهيتكم عن شى‌ء فاجتنبوه،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شيئاً فاجتنبوه، فترك الشى‌ء لا يدلّ على منعه وانّما يدل على جواز تركه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ترك صلاه الضحى دلّ تركه لها على انّها جائزه؛ إذ لو كانت واجبه ما تركها، وكذلك تركه رفع يديه فى الدعاء احياناً يدلّ على جواز تركه لا على انّه ممنوع</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ترك شى‌ء دليل بر منع آن نيست؛ زيرا نهى به حساب نمى‌آيد، وخداوند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وآنچه را كه رسول براى شما آورده اخذ كنيد واز آنچه نهى كرده دست برداريد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را ترك كرده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به چيزى امر كردم به قدر استطاعت خود آن را انجام دهيد، وهرگاه شما را از چيزى نهى كردم، آن را اجتناب نماييد، ولى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چيزى را ترك كردم شما نيز ترك كنيد؛ بنابراين ترك چيزى دليل بر منع آن نيست بلكه تنها دلالت بر جواز ترك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 ضحى را ترك كرد، اين ترك دلالت مى‌كند كه آن نماز جايز است؛ زيرا اگر واجب بود آن را ترك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ترك بالا بردن دو دست هنگام دعا در برخى از اوقات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بر جواز ترك آن است نه اينكه دليل بر ممنوعيت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 محمد بن يعقوب كلينى، تهران، دار الكتب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تعريفها، انواعها، احكامها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صالح بن فوزان، چاپ اول، رياض، دار العاصمه،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البدعه فى مفهومها الاسلامى الدقيق، دكتر عبدالملك سعدى، بغداد، دار الايمان،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الاسماء واللغات، نووى، بيروت،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الحلال والحرام فى الإسلام، يوسف قرضاوى، تهران، سازمان تبليغات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الاخطاء التى يقع فيها الحاج و المعتمر، ابن عثيمين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الشريف المرتضى، السيد المرتضى، بيروت، موسسه النور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شيعه‌شناسى و پاسخ به شبهات، على اصغر رضوانى، تهران،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ترمذى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اسلاميه، صالح بن فوزان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التعزيه، ابن عثيمين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منار الاسلام، شيخ ابن عثمين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مجله البحوث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الفتاوى، ابن عثمين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فتاوى اللجنه الدائمه للبحوث العلميه والافتاء، احمد بن عبدالرزاق درويش، جده، دار المويد،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فتاوى ومقالات متنوعه، شيخ عبدالعزيز بن عبدالله بن باز، رياض، دار الوطن،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رسائل الامام حسن البناء، حسن البناء، قاهره، دار الدعوه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من فتاوى الشيخ صالح بن فوزان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السلف فى فهم النصوص بين المنظريه والتطبيقن محمد بن علوى مالكى،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محمدحسين طباطبايى، تهران، دار الكتب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النهايه، ابن اثير، قم، اسماعيليان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الشيعه، محمد بن حسن حر عاملى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ابن تيميه،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الاسلاميه،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صحاح‌اللغه،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مفردات راغب، ماده بدع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الامام حسن البنا،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البدعه، دكتر عبدالملك سعدى،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الايمان والكفر، باب الشرك؛ تفسير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الاعتصام بالكتاب والسنه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سنن ترمذى، ح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الفكرى فى ميزان الشرع والعقل، محمّد غزالى،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الحلال والحرام،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البدعه فى مفهومها الاسلامى الدقيق،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البدعه فى مفهومها الاسلامى الدقيق،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البدعه فى مفهومها الاسلامى الدقيق،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البدعه فى مفهومها الاسلامى الدقيق،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السلف فى فهم النصوص،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السلف فى فهم النصوص،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ومقالات متنوعه،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اللجنه الدائمه للبحوث العلميه والافتاء، رقم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فتاوى الشيخ صالح بن فوزان،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اللجنه الدائمه للبحوث العلميه والافتاء، رقم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ومقالات متنوعه،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اللجنه الدائمه للبحوث العلميه والافتاء، رقم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اللجنه الدائمه للبحوث العلميه والافتاء، رقم </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منار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البحوث الاسلاميه،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مجله‌الدعوه، شماره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ابن عثيمين،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اللجنه‌الدائمه للبحوث العلميه والافتاء، رقم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على الهاتف، ابن عثيمين،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البدع والمحدثات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ابن فوزان،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منار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ورسائل ابن عثيمين، 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الباب المفتوح،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فتاوى ورسائل ابن عثيمين، 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اللجنه الدائمه للبحوث العلميه والافتاء، رقم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بن باز،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ومقالات متنوّعه،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اللجنه الدائمه للبحوث العلميه والافتاء، رقم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التعزيه،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فتاوى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اللجنه الدائمه للبحوث العلميه والافتاء، رقم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عثيمين،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التعزيه،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اللجنه الدائمه للبحوث العلميه والافتاء، رقم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الأخطاء الّتى يقع فيها الحاج والمعتمر،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البدعه، ابن فوزان،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اللجنه الدائمه للبحوث العلميه والافتاء، رقم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الأخطاء،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اللجنه الدائمه للبحوث العلميه والافتاء، رقم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على الدرب،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فتاوا ابن تيميه،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السلف فى فهم النصوص،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محلى ابن حزم،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السلف فى فهم النصوص،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2.jpeg"/><Relationship Id="rId16" Type="http://schemas.openxmlformats.org/officeDocument/2006/relationships/image" Target="media/image2.jpeg"/><Relationship Id="rId17" Type="http://schemas.openxmlformats.org/officeDocument/2006/relationships/footer" Target="footer10.xml"/><Relationship Id="rId18" Type="http://schemas.openxmlformats.org/officeDocument/2006/relationships/footnotes" Target="footnotes.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14789</Words>
  <Characters>59027</Characters>
  <CharactersWithSpaces>73165</CharactersWithSpaces>
  <Paragraphs>806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2026-08-16T17:30:18Z</dcterms:created>
  <dc:creator>ghaemiyeh.com</dc:creator>
  <dc:description/>
  <dc:language>en-US</dc:language>
  <cp:lastModifiedBy/>
  <dcterms:modified xsi:type="dcterms:W3CDTF">2026-08-16T21:00:20Z</dcterms:modified>
  <cp:revision>1</cp:revision>
  <dc:subject/>
  <dc:title>بدعت چیست</dc:title>
</cp:coreProperties>
</file>

<file path=docProps/custom.xml><?xml version="1.0" encoding="utf-8"?>
<Properties xmlns="http://schemas.openxmlformats.org/officeDocument/2006/custom-properties" xmlns:vt="http://schemas.openxmlformats.org/officeDocument/2006/docPropsVTypes"/>
</file>