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فقدالاعتدال فی نقدالرجال دراسة تحلیلیة لشرطیة عدالةالراوی عندالجمهور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8395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28397_3650668749">
            <w:r>
              <w:rPr>
                <w:webHidden/>
                <w:rStyle w:val="IndexLink"/>
                <w:rtl w:val="true"/>
              </w:rPr>
              <w:t>الإهداء</w:t>
            </w:r>
            <w:r>
              <w:rPr>
                <w:rStyle w:val="IndexLink"/>
                <w:rtl w:val="true"/>
              </w:rPr>
              <w:tab/>
            </w:r>
            <w:r>
              <w:rPr>
                <w:rStyle w:val="IndexLink"/>
              </w:rPr>
              <w:t>5</w:t>
            </w:r>
          </w:hyperlink>
        </w:p>
        <w:p>
          <w:pPr>
            <w:pStyle w:val="Contents2"/>
            <w:tabs>
              <w:tab w:val="clear" w:pos="8743"/>
              <w:tab w:val="right" w:pos="9026" w:leader="dot"/>
            </w:tabs>
            <w:rPr/>
          </w:pPr>
          <w:hyperlink w:anchor="__RefHeading___Toc928399_3650668749">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928401_3650668749">
            <w:r>
              <w:rPr>
                <w:webHidden/>
                <w:rStyle w:val="IndexLink"/>
                <w:rtl w:val="true"/>
              </w:rPr>
              <w:t>الفصل‌الاول</w:t>
            </w:r>
            <w:r>
              <w:rPr>
                <w:rStyle w:val="IndexLink"/>
                <w:rtl w:val="true"/>
              </w:rPr>
              <w:t xml:space="preserve">: </w:t>
            </w:r>
            <w:r>
              <w:rPr>
                <w:rStyle w:val="IndexLink"/>
                <w:rtl w:val="true"/>
              </w:rPr>
              <w:t>بين يدى‌البحث</w:t>
            </w:r>
            <w:r>
              <w:rPr>
                <w:rStyle w:val="IndexLink"/>
                <w:rtl w:val="true"/>
              </w:rPr>
              <w:tab/>
            </w:r>
            <w:r>
              <w:rPr>
                <w:rStyle w:val="IndexLink"/>
              </w:rPr>
              <w:t>13</w:t>
            </w:r>
          </w:hyperlink>
        </w:p>
        <w:p>
          <w:pPr>
            <w:pStyle w:val="Contents3"/>
            <w:tabs>
              <w:tab w:val="clear" w:pos="8459"/>
              <w:tab w:val="right" w:pos="9026" w:leader="dot"/>
            </w:tabs>
            <w:rPr/>
          </w:pPr>
          <w:hyperlink w:anchor="__RefHeading___Toc928403_3650668749">
            <w:r>
              <w:rPr>
                <w:webHidden/>
                <w:rStyle w:val="IndexLink"/>
                <w:rtl w:val="true"/>
              </w:rPr>
              <w:t>المبحث الاول</w:t>
            </w:r>
            <w:r>
              <w:rPr>
                <w:rStyle w:val="IndexLink"/>
                <w:rtl w:val="true"/>
              </w:rPr>
              <w:t xml:space="preserve">: </w:t>
            </w:r>
            <w:r>
              <w:rPr>
                <w:rStyle w:val="IndexLink"/>
                <w:rtl w:val="true"/>
              </w:rPr>
              <w:t>الحاجة إلى علم الرجال</w:t>
            </w:r>
            <w:r>
              <w:rPr>
                <w:rStyle w:val="IndexLink"/>
                <w:rtl w:val="true"/>
              </w:rPr>
              <w:tab/>
            </w:r>
            <w:r>
              <w:rPr>
                <w:rStyle w:val="IndexLink"/>
              </w:rPr>
              <w:t>13</w:t>
            </w:r>
          </w:hyperlink>
        </w:p>
        <w:p>
          <w:pPr>
            <w:pStyle w:val="Contents3"/>
            <w:tabs>
              <w:tab w:val="clear" w:pos="8459"/>
              <w:tab w:val="right" w:pos="9026" w:leader="dot"/>
            </w:tabs>
            <w:rPr/>
          </w:pPr>
          <w:hyperlink w:anchor="__RefHeading___Toc928405_3650668749">
            <w:r>
              <w:rPr>
                <w:webHidden/>
                <w:rStyle w:val="IndexLink"/>
                <w:rtl w:val="true"/>
              </w:rPr>
              <w:t>المبحث الثانى</w:t>
            </w:r>
            <w:r>
              <w:rPr>
                <w:rStyle w:val="IndexLink"/>
                <w:rtl w:val="true"/>
              </w:rPr>
              <w:t xml:space="preserve">: </w:t>
            </w:r>
            <w:r>
              <w:rPr>
                <w:rStyle w:val="IndexLink"/>
                <w:rtl w:val="true"/>
              </w:rPr>
              <w:t>إشارة إجمالية إلي ضوابط وشروط الراوى عند الجمهور</w:t>
            </w:r>
            <w:r>
              <w:rPr>
                <w:rStyle w:val="IndexLink"/>
                <w:rtl w:val="true"/>
              </w:rPr>
              <w:tab/>
            </w:r>
            <w:r>
              <w:rPr>
                <w:rStyle w:val="IndexLink"/>
              </w:rPr>
              <w:t>16</w:t>
            </w:r>
          </w:hyperlink>
        </w:p>
        <w:p>
          <w:pPr>
            <w:pStyle w:val="Contents3"/>
            <w:tabs>
              <w:tab w:val="clear" w:pos="8459"/>
              <w:tab w:val="right" w:pos="9026" w:leader="dot"/>
            </w:tabs>
            <w:rPr/>
          </w:pPr>
          <w:hyperlink w:anchor="__RefHeading___Toc928407_3650668749">
            <w:r>
              <w:rPr>
                <w:webHidden/>
                <w:rStyle w:val="IndexLink"/>
                <w:rtl w:val="true"/>
              </w:rPr>
              <w:t>المبحث الثالث</w:t>
            </w:r>
            <w:r>
              <w:rPr>
                <w:rStyle w:val="IndexLink"/>
                <w:rtl w:val="true"/>
              </w:rPr>
              <w:t xml:space="preserve">: </w:t>
            </w:r>
            <w:r>
              <w:rPr>
                <w:rStyle w:val="IndexLink"/>
                <w:rtl w:val="true"/>
              </w:rPr>
              <w:t xml:space="preserve">نظرة تفصيلية لشرطية العدالة عند الجمهور </w:t>
            </w:r>
            <w:r>
              <w:rPr>
                <w:rStyle w:val="IndexLink"/>
              </w:rPr>
              <w:t>٢</w:t>
            </w:r>
            <w:r>
              <w:rPr>
                <w:rStyle w:val="IndexLink"/>
                <w:rtl w:val="true"/>
              </w:rPr>
              <w:tab/>
            </w:r>
            <w:r>
              <w:rPr>
                <w:rStyle w:val="IndexLink"/>
              </w:rPr>
              <w:t>19</w:t>
            </w:r>
          </w:hyperlink>
        </w:p>
        <w:p>
          <w:pPr>
            <w:pStyle w:val="Contents3"/>
            <w:tabs>
              <w:tab w:val="clear" w:pos="8459"/>
              <w:tab w:val="right" w:pos="9026" w:leader="dot"/>
            </w:tabs>
            <w:rPr/>
          </w:pPr>
          <w:hyperlink w:anchor="__RefHeading___Toc928409_3650668749">
            <w:r>
              <w:rPr>
                <w:webHidden/>
                <w:rStyle w:val="IndexLink"/>
                <w:rtl w:val="true"/>
              </w:rPr>
              <w:t>المبحث الرابع</w:t>
            </w:r>
            <w:r>
              <w:rPr>
                <w:rStyle w:val="IndexLink"/>
                <w:rtl w:val="true"/>
              </w:rPr>
              <w:t xml:space="preserve">: </w:t>
            </w:r>
            <w:r>
              <w:rPr>
                <w:rStyle w:val="IndexLink"/>
                <w:rtl w:val="true"/>
              </w:rPr>
              <w:t>البِدْعَة وحقيقتها عند الجمهور</w:t>
            </w:r>
            <w:r>
              <w:rPr>
                <w:rStyle w:val="IndexLink"/>
                <w:rtl w:val="true"/>
              </w:rPr>
              <w:tab/>
            </w:r>
            <w:r>
              <w:rPr>
                <w:rStyle w:val="IndexLink"/>
              </w:rPr>
              <w:t>23</w:t>
            </w:r>
          </w:hyperlink>
        </w:p>
        <w:p>
          <w:pPr>
            <w:pStyle w:val="Contents3"/>
            <w:tabs>
              <w:tab w:val="clear" w:pos="8459"/>
              <w:tab w:val="right" w:pos="9026" w:leader="dot"/>
            </w:tabs>
            <w:rPr/>
          </w:pPr>
          <w:hyperlink w:anchor="__RefHeading___Toc928411_3650668749">
            <w:r>
              <w:rPr>
                <w:webHidden/>
                <w:rStyle w:val="IndexLink"/>
                <w:rtl w:val="true"/>
              </w:rPr>
              <w:t>نتائج الفصل الأوّل</w:t>
            </w:r>
            <w:r>
              <w:rPr>
                <w:rStyle w:val="IndexLink"/>
                <w:rtl w:val="true"/>
              </w:rPr>
              <w:tab/>
            </w:r>
            <w:r>
              <w:rPr>
                <w:rStyle w:val="IndexLink"/>
              </w:rPr>
              <w:t>26</w:t>
            </w:r>
          </w:hyperlink>
        </w:p>
        <w:p>
          <w:pPr>
            <w:pStyle w:val="Contents2"/>
            <w:tabs>
              <w:tab w:val="clear" w:pos="8743"/>
              <w:tab w:val="right" w:pos="9026" w:leader="dot"/>
            </w:tabs>
            <w:rPr/>
          </w:pPr>
          <w:hyperlink w:anchor="__RefHeading___Toc928413_3650668749">
            <w:r>
              <w:rPr>
                <w:webHidden/>
                <w:rStyle w:val="IndexLink"/>
                <w:rtl w:val="true"/>
              </w:rPr>
              <w:t>الفصل الثاني</w:t>
            </w:r>
            <w:r>
              <w:rPr>
                <w:rStyle w:val="IndexLink"/>
                <w:rtl w:val="true"/>
              </w:rPr>
              <w:t xml:space="preserve">: </w:t>
            </w:r>
            <w:r>
              <w:rPr>
                <w:rStyle w:val="IndexLink"/>
                <w:rtl w:val="true"/>
              </w:rPr>
              <w:t>توثيق النواصب</w:t>
            </w:r>
            <w:r>
              <w:rPr>
                <w:rStyle w:val="IndexLink"/>
                <w:rtl w:val="true"/>
              </w:rPr>
              <w:tab/>
            </w:r>
            <w:r>
              <w:rPr>
                <w:rStyle w:val="IndexLink"/>
              </w:rPr>
              <w:t>29</w:t>
            </w:r>
          </w:hyperlink>
        </w:p>
        <w:p>
          <w:pPr>
            <w:pStyle w:val="Contents3"/>
            <w:tabs>
              <w:tab w:val="clear" w:pos="8459"/>
              <w:tab w:val="right" w:pos="9026" w:leader="dot"/>
            </w:tabs>
            <w:rPr/>
          </w:pPr>
          <w:hyperlink w:anchor="__RefHeading___Toc928415_3650668749">
            <w:r>
              <w:rPr>
                <w:webHidden/>
                <w:rStyle w:val="IndexLink"/>
                <w:rtl w:val="true"/>
              </w:rPr>
              <w:t>المقدّمة وتحتوي على مطالب</w:t>
            </w:r>
            <w:r>
              <w:rPr>
                <w:rStyle w:val="IndexLink"/>
                <w:rtl w:val="true"/>
              </w:rPr>
              <w:tab/>
            </w:r>
            <w:r>
              <w:rPr>
                <w:rStyle w:val="IndexLink"/>
              </w:rPr>
              <w:t>29</w:t>
            </w:r>
          </w:hyperlink>
        </w:p>
        <w:p>
          <w:pPr>
            <w:pStyle w:val="Contents3"/>
            <w:tabs>
              <w:tab w:val="clear" w:pos="8459"/>
              <w:tab w:val="right" w:pos="9026" w:leader="dot"/>
            </w:tabs>
            <w:rPr/>
          </w:pPr>
          <w:hyperlink w:anchor="__RefHeading___Toc928417_3650668749">
            <w:r>
              <w:rPr>
                <w:webHidden/>
                <w:rStyle w:val="IndexLink"/>
                <w:rtl w:val="true"/>
              </w:rPr>
              <w:t>الأوّل</w:t>
            </w:r>
            <w:r>
              <w:rPr>
                <w:rStyle w:val="IndexLink"/>
                <w:rtl w:val="true"/>
              </w:rPr>
              <w:t xml:space="preserve">: </w:t>
            </w:r>
            <w:r>
              <w:rPr>
                <w:rStyle w:val="IndexLink"/>
                <w:rtl w:val="true"/>
              </w:rPr>
              <w:t>التمهيد</w:t>
            </w:r>
            <w:r>
              <w:rPr>
                <w:rStyle w:val="IndexLink"/>
                <w:rtl w:val="true"/>
              </w:rPr>
              <w:tab/>
            </w:r>
            <w:r>
              <w:rPr>
                <w:rStyle w:val="IndexLink"/>
              </w:rPr>
              <w:t>29</w:t>
            </w:r>
          </w:hyperlink>
        </w:p>
        <w:p>
          <w:pPr>
            <w:pStyle w:val="Contents3"/>
            <w:tabs>
              <w:tab w:val="clear" w:pos="8459"/>
              <w:tab w:val="right" w:pos="9026" w:leader="dot"/>
            </w:tabs>
            <w:rPr/>
          </w:pPr>
          <w:hyperlink w:anchor="__RefHeading___Toc928419_3650668749">
            <w:r>
              <w:rPr>
                <w:webHidden/>
                <w:rStyle w:val="IndexLink"/>
                <w:rtl w:val="true"/>
              </w:rPr>
              <w:t>الثاني</w:t>
            </w:r>
            <w:r>
              <w:rPr>
                <w:rStyle w:val="IndexLink"/>
                <w:rtl w:val="true"/>
              </w:rPr>
              <w:t xml:space="preserve">: </w:t>
            </w:r>
            <w:r>
              <w:rPr>
                <w:rStyle w:val="IndexLink"/>
                <w:rtl w:val="true"/>
              </w:rPr>
              <w:t>تعريف النصب والنواصب</w:t>
            </w:r>
            <w:r>
              <w:rPr>
                <w:rStyle w:val="IndexLink"/>
                <w:rtl w:val="true"/>
              </w:rPr>
              <w:tab/>
            </w:r>
            <w:r>
              <w:rPr>
                <w:rStyle w:val="IndexLink"/>
              </w:rPr>
              <w:t>30</w:t>
            </w:r>
          </w:hyperlink>
        </w:p>
        <w:p>
          <w:pPr>
            <w:pStyle w:val="Contents3"/>
            <w:tabs>
              <w:tab w:val="clear" w:pos="8459"/>
              <w:tab w:val="right" w:pos="9026" w:leader="dot"/>
            </w:tabs>
            <w:rPr/>
          </w:pPr>
          <w:hyperlink w:anchor="__RefHeading___Toc928421_3650668749">
            <w:r>
              <w:rPr>
                <w:webHidden/>
                <w:rStyle w:val="IndexLink"/>
                <w:rtl w:val="true"/>
              </w:rPr>
              <w:t>الثالث</w:t>
            </w:r>
            <w:r>
              <w:rPr>
                <w:rStyle w:val="IndexLink"/>
                <w:rtl w:val="true"/>
              </w:rPr>
              <w:t xml:space="preserve">: </w:t>
            </w:r>
            <w:r>
              <w:rPr>
                <w:rStyle w:val="IndexLink"/>
                <w:rtl w:val="true"/>
              </w:rPr>
              <w:t>بيان مظاهر النصب، وبمَ يتحقَّق</w:t>
            </w:r>
            <w:r>
              <w:rPr>
                <w:rStyle w:val="IndexLink"/>
                <w:rtl w:val="true"/>
              </w:rPr>
              <w:tab/>
            </w:r>
            <w:r>
              <w:rPr>
                <w:rStyle w:val="IndexLink"/>
              </w:rPr>
              <w:t>32</w:t>
            </w:r>
          </w:hyperlink>
        </w:p>
        <w:p>
          <w:pPr>
            <w:pStyle w:val="Contents3"/>
            <w:tabs>
              <w:tab w:val="clear" w:pos="8459"/>
              <w:tab w:val="right" w:pos="9026" w:leader="dot"/>
            </w:tabs>
            <w:rPr/>
          </w:pPr>
          <w:hyperlink w:anchor="__RefHeading___Toc928423_3650668749">
            <w:r>
              <w:rPr>
                <w:webHidden/>
                <w:rStyle w:val="IndexLink"/>
                <w:rtl w:val="true"/>
              </w:rPr>
              <w:t>الرابع</w:t>
            </w:r>
            <w:r>
              <w:rPr>
                <w:rStyle w:val="IndexLink"/>
                <w:rtl w:val="true"/>
              </w:rPr>
              <w:t xml:space="preserve">: </w:t>
            </w:r>
            <w:r>
              <w:rPr>
                <w:rStyle w:val="IndexLink"/>
                <w:rtl w:val="true"/>
              </w:rPr>
              <w:t>بيان دلالات النصب</w:t>
            </w:r>
            <w:r>
              <w:rPr>
                <w:rStyle w:val="IndexLink"/>
                <w:rtl w:val="true"/>
              </w:rPr>
              <w:tab/>
            </w:r>
            <w:r>
              <w:rPr>
                <w:rStyle w:val="IndexLink"/>
              </w:rPr>
              <w:t>34</w:t>
            </w:r>
          </w:hyperlink>
        </w:p>
        <w:p>
          <w:pPr>
            <w:pStyle w:val="Contents3"/>
            <w:tabs>
              <w:tab w:val="clear" w:pos="8459"/>
              <w:tab w:val="right" w:pos="9026" w:leader="dot"/>
            </w:tabs>
            <w:rPr/>
          </w:pPr>
          <w:hyperlink w:anchor="__RefHeading___Toc928425_3650668749">
            <w:r>
              <w:rPr>
                <w:webHidden/>
                <w:rStyle w:val="IndexLink"/>
                <w:rtl w:val="true"/>
              </w:rPr>
              <w:t>المبحث الأوَّل</w:t>
            </w:r>
            <w:r>
              <w:rPr>
                <w:rStyle w:val="IndexLink"/>
                <w:rtl w:val="true"/>
              </w:rPr>
              <w:t xml:space="preserve">: </w:t>
            </w:r>
            <w:r>
              <w:rPr>
                <w:rStyle w:val="IndexLink"/>
                <w:rtl w:val="true"/>
              </w:rPr>
              <w:t>النصب والعدالة</w:t>
            </w:r>
            <w:r>
              <w:rPr>
                <w:rStyle w:val="IndexLink"/>
                <w:rtl w:val="true"/>
              </w:rPr>
              <w:tab/>
            </w:r>
            <w:r>
              <w:rPr>
                <w:rStyle w:val="IndexLink"/>
              </w:rPr>
              <w:t>36</w:t>
            </w:r>
          </w:hyperlink>
        </w:p>
        <w:p>
          <w:pPr>
            <w:pStyle w:val="Contents3"/>
            <w:tabs>
              <w:tab w:val="clear" w:pos="8459"/>
              <w:tab w:val="right" w:pos="9026" w:leader="dot"/>
            </w:tabs>
            <w:rPr/>
          </w:pPr>
          <w:hyperlink w:anchor="__RefHeading___Toc928427_3650668749">
            <w:r>
              <w:rPr>
                <w:webHidden/>
                <w:rStyle w:val="IndexLink"/>
                <w:rtl w:val="true"/>
              </w:rPr>
              <w:t>المبحث الثانى</w:t>
            </w:r>
            <w:r>
              <w:rPr>
                <w:rStyle w:val="IndexLink"/>
                <w:rtl w:val="true"/>
              </w:rPr>
              <w:t xml:space="preserve">: </w:t>
            </w:r>
            <w:r>
              <w:rPr>
                <w:rStyle w:val="IndexLink"/>
                <w:rtl w:val="true"/>
              </w:rPr>
              <w:t>كيف وثَّقوا النواصب؟</w:t>
            </w:r>
            <w:r>
              <w:rPr>
                <w:rStyle w:val="IndexLink"/>
                <w:rtl w:val="true"/>
              </w:rPr>
              <w:tab/>
            </w:r>
            <w:r>
              <w:rPr>
                <w:rStyle w:val="IndexLink"/>
              </w:rPr>
              <w:t>40</w:t>
            </w:r>
          </w:hyperlink>
        </w:p>
        <w:p>
          <w:pPr>
            <w:pStyle w:val="Contents4"/>
            <w:tabs>
              <w:tab w:val="clear" w:pos="8176"/>
              <w:tab w:val="right" w:pos="9026" w:leader="dot"/>
            </w:tabs>
            <w:rPr/>
          </w:pPr>
          <w:hyperlink w:anchor="__RefHeading___Toc928429_365066874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928431_3650668749">
            <w:r>
              <w:rPr>
                <w:webHidden/>
                <w:rStyle w:val="IndexLink"/>
                <w:rtl w:val="true"/>
              </w:rPr>
              <w:t>القسم الأوّل</w:t>
            </w:r>
            <w:r>
              <w:rPr>
                <w:rStyle w:val="IndexLink"/>
                <w:rtl w:val="true"/>
              </w:rPr>
              <w:t xml:space="preserve">: </w:t>
            </w:r>
            <w:r>
              <w:rPr>
                <w:rStyle w:val="IndexLink"/>
                <w:rtl w:val="true"/>
              </w:rPr>
              <w:t>التوثيقات العامّة للنواصب</w:t>
            </w:r>
            <w:r>
              <w:rPr>
                <w:rStyle w:val="IndexLink"/>
                <w:rtl w:val="true"/>
              </w:rPr>
              <w:tab/>
            </w:r>
            <w:r>
              <w:rPr>
                <w:rStyle w:val="IndexLink"/>
              </w:rPr>
              <w:t>40</w:t>
            </w:r>
          </w:hyperlink>
        </w:p>
        <w:p>
          <w:pPr>
            <w:pStyle w:val="Contents5"/>
            <w:tabs>
              <w:tab w:val="clear" w:pos="7892"/>
              <w:tab w:val="right" w:pos="9026" w:leader="dot"/>
            </w:tabs>
            <w:rPr/>
          </w:pPr>
          <w:hyperlink w:anchor="__RefHeading___Toc928433_365066874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928435_3650668749">
            <w:r>
              <w:rPr>
                <w:webHidden/>
                <w:rStyle w:val="IndexLink"/>
                <w:rtl w:val="true"/>
              </w:rPr>
              <w:t>الفرع الأول</w:t>
            </w:r>
            <w:r>
              <w:rPr>
                <w:rStyle w:val="IndexLink"/>
                <w:rtl w:val="true"/>
              </w:rPr>
              <w:t xml:space="preserve">: </w:t>
            </w:r>
            <w:r>
              <w:rPr>
                <w:rStyle w:val="IndexLink"/>
                <w:rtl w:val="true"/>
              </w:rPr>
              <w:t>التوثيقات العامّة للنواصب بالمباشرة والتصريح</w:t>
            </w:r>
            <w:r>
              <w:rPr>
                <w:rStyle w:val="IndexLink"/>
                <w:rtl w:val="true"/>
              </w:rPr>
              <w:tab/>
            </w:r>
            <w:r>
              <w:rPr>
                <w:rStyle w:val="IndexLink"/>
              </w:rPr>
              <w:t>41</w:t>
            </w:r>
          </w:hyperlink>
        </w:p>
        <w:p>
          <w:pPr>
            <w:pStyle w:val="Contents5"/>
            <w:tabs>
              <w:tab w:val="clear" w:pos="7892"/>
              <w:tab w:val="right" w:pos="9026" w:leader="dot"/>
            </w:tabs>
            <w:rPr/>
          </w:pPr>
          <w:hyperlink w:anchor="__RefHeading___Toc928437_3650668749">
            <w:r>
              <w:rPr>
                <w:webHidden/>
                <w:rStyle w:val="IndexLink"/>
                <w:rtl w:val="true"/>
              </w:rPr>
              <w:t>الفرع الثاني</w:t>
            </w:r>
            <w:r>
              <w:rPr>
                <w:rStyle w:val="IndexLink"/>
                <w:rtl w:val="true"/>
              </w:rPr>
              <w:t xml:space="preserve">: </w:t>
            </w:r>
            <w:r>
              <w:rPr>
                <w:rStyle w:val="IndexLink"/>
                <w:rtl w:val="true"/>
              </w:rPr>
              <w:t>التوثيقات العامَّة للنواصب بالملازمة والتلويح</w:t>
            </w:r>
            <w:r>
              <w:rPr>
                <w:rStyle w:val="IndexLink"/>
                <w:rtl w:val="true"/>
              </w:rPr>
              <w:tab/>
            </w:r>
            <w:r>
              <w:rPr>
                <w:rStyle w:val="IndexLink"/>
              </w:rPr>
              <w:t>46</w:t>
            </w:r>
          </w:hyperlink>
        </w:p>
        <w:p>
          <w:pPr>
            <w:pStyle w:val="Contents4"/>
            <w:tabs>
              <w:tab w:val="clear" w:pos="8176"/>
              <w:tab w:val="right" w:pos="9026" w:leader="dot"/>
            </w:tabs>
            <w:rPr/>
          </w:pPr>
          <w:hyperlink w:anchor="__RefHeading___Toc928439_3650668749">
            <w:r>
              <w:rPr>
                <w:webHidden/>
                <w:rStyle w:val="IndexLink"/>
                <w:rtl w:val="true"/>
              </w:rPr>
              <w:t>القسم الثاني</w:t>
            </w:r>
            <w:r>
              <w:rPr>
                <w:rStyle w:val="IndexLink"/>
                <w:rtl w:val="true"/>
              </w:rPr>
              <w:t xml:space="preserve">: </w:t>
            </w:r>
            <w:r>
              <w:rPr>
                <w:rStyle w:val="IndexLink"/>
                <w:rtl w:val="true"/>
              </w:rPr>
              <w:t>التوثيقات الخاصّة لأفراد النواصب وآحادهم</w:t>
            </w:r>
            <w:r>
              <w:rPr>
                <w:rStyle w:val="IndexLink"/>
                <w:rtl w:val="true"/>
              </w:rPr>
              <w:tab/>
            </w:r>
            <w:r>
              <w:rPr>
                <w:rStyle w:val="IndexLink"/>
              </w:rPr>
              <w:t>49</w:t>
            </w:r>
          </w:hyperlink>
        </w:p>
        <w:p>
          <w:pPr>
            <w:pStyle w:val="Contents5"/>
            <w:tabs>
              <w:tab w:val="clear" w:pos="7892"/>
              <w:tab w:val="right" w:pos="9026" w:leader="dot"/>
            </w:tabs>
            <w:rPr/>
          </w:pPr>
          <w:hyperlink w:anchor="__RefHeading___Toc928441_365066874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928443_3650668749">
            <w:r>
              <w:rPr>
                <w:webHidden/>
                <w:rStyle w:val="IndexLink"/>
              </w:rPr>
              <w:t>١</w:t>
            </w:r>
            <w:r>
              <w:rPr>
                <w:rStyle w:val="IndexLink"/>
                <w:rtl w:val="true"/>
              </w:rPr>
              <w:t xml:space="preserve">- </w:t>
            </w:r>
            <w:r>
              <w:rPr>
                <w:rStyle w:val="IndexLink"/>
                <w:rtl w:val="true"/>
              </w:rPr>
              <w:t>إبراهيم بن يعقوب الجوزجاني</w:t>
            </w:r>
            <w:r>
              <w:rPr>
                <w:rStyle w:val="IndexLink"/>
                <w:rtl w:val="true"/>
              </w:rPr>
              <w:tab/>
            </w:r>
            <w:r>
              <w:rPr>
                <w:rStyle w:val="IndexLink"/>
              </w:rPr>
              <w:t>49</w:t>
            </w:r>
          </w:hyperlink>
        </w:p>
        <w:p>
          <w:pPr>
            <w:pStyle w:val="Contents5"/>
            <w:tabs>
              <w:tab w:val="clear" w:pos="7892"/>
              <w:tab w:val="right" w:pos="9026" w:leader="dot"/>
            </w:tabs>
            <w:rPr/>
          </w:pPr>
          <w:hyperlink w:anchor="__RefHeading___Toc928445_3650668749">
            <w:r>
              <w:rPr>
                <w:webHidden/>
                <w:rStyle w:val="IndexLink"/>
              </w:rPr>
              <w:t>٢</w:t>
            </w:r>
            <w:r>
              <w:rPr>
                <w:rStyle w:val="IndexLink"/>
                <w:rtl w:val="true"/>
              </w:rPr>
              <w:t xml:space="preserve">- </w:t>
            </w:r>
            <w:r>
              <w:rPr>
                <w:rStyle w:val="IndexLink"/>
                <w:rtl w:val="true"/>
              </w:rPr>
              <w:t>حريز بن عثمان</w:t>
            </w:r>
            <w:r>
              <w:rPr>
                <w:rStyle w:val="IndexLink"/>
                <w:rtl w:val="true"/>
              </w:rPr>
              <w:tab/>
            </w:r>
            <w:r>
              <w:rPr>
                <w:rStyle w:val="IndexLink"/>
              </w:rPr>
              <w:t>52</w:t>
            </w:r>
          </w:hyperlink>
        </w:p>
        <w:p>
          <w:pPr>
            <w:pStyle w:val="Contents5"/>
            <w:tabs>
              <w:tab w:val="clear" w:pos="7892"/>
              <w:tab w:val="right" w:pos="9026" w:leader="dot"/>
            </w:tabs>
            <w:rPr/>
          </w:pPr>
          <w:hyperlink w:anchor="__RefHeading___Toc928447_3650668749">
            <w:r>
              <w:rPr>
                <w:webHidden/>
                <w:rStyle w:val="IndexLink"/>
              </w:rPr>
              <w:t>٣</w:t>
            </w:r>
            <w:r>
              <w:rPr>
                <w:rStyle w:val="IndexLink"/>
                <w:rtl w:val="true"/>
              </w:rPr>
              <w:t xml:space="preserve">- </w:t>
            </w:r>
            <w:r>
              <w:rPr>
                <w:rStyle w:val="IndexLink"/>
                <w:rtl w:val="true"/>
              </w:rPr>
              <w:t>خالد بن سلمة بن العاص بن هشام بن المغيرة القرشي</w:t>
            </w:r>
            <w:r>
              <w:rPr>
                <w:rStyle w:val="IndexLink"/>
                <w:rtl w:val="true"/>
              </w:rPr>
              <w:tab/>
            </w:r>
            <w:r>
              <w:rPr>
                <w:rStyle w:val="IndexLink"/>
              </w:rPr>
              <w:t>56</w:t>
            </w:r>
          </w:hyperlink>
        </w:p>
        <w:p>
          <w:pPr>
            <w:pStyle w:val="Contents5"/>
            <w:tabs>
              <w:tab w:val="clear" w:pos="7892"/>
              <w:tab w:val="right" w:pos="9026" w:leader="dot"/>
            </w:tabs>
            <w:rPr/>
          </w:pPr>
          <w:hyperlink w:anchor="__RefHeading___Toc928449_3650668749">
            <w:r>
              <w:rPr>
                <w:webHidden/>
                <w:rStyle w:val="IndexLink"/>
              </w:rPr>
              <w:t>4</w:t>
            </w:r>
            <w:r>
              <w:rPr>
                <w:rStyle w:val="IndexLink"/>
                <w:rtl w:val="true"/>
              </w:rPr>
              <w:t xml:space="preserve">- </w:t>
            </w:r>
            <w:r>
              <w:rPr>
                <w:rStyle w:val="IndexLink"/>
                <w:rtl w:val="true"/>
              </w:rPr>
              <w:t>داود بن الحصين بن عقيل الأموي</w:t>
            </w:r>
            <w:r>
              <w:rPr>
                <w:rStyle w:val="IndexLink"/>
                <w:rtl w:val="true"/>
              </w:rPr>
              <w:tab/>
            </w:r>
            <w:r>
              <w:rPr>
                <w:rStyle w:val="IndexLink"/>
              </w:rPr>
              <w:t>57</w:t>
            </w:r>
          </w:hyperlink>
        </w:p>
        <w:p>
          <w:pPr>
            <w:pStyle w:val="Contents5"/>
            <w:tabs>
              <w:tab w:val="clear" w:pos="7892"/>
              <w:tab w:val="right" w:pos="9026" w:leader="dot"/>
            </w:tabs>
            <w:rPr/>
          </w:pPr>
          <w:hyperlink w:anchor="__RefHeading___Toc928451_3650668749">
            <w:r>
              <w:rPr>
                <w:webHidden/>
                <w:rStyle w:val="IndexLink"/>
              </w:rPr>
              <w:t>5</w:t>
            </w:r>
            <w:r>
              <w:rPr>
                <w:rStyle w:val="IndexLink"/>
                <w:rtl w:val="true"/>
              </w:rPr>
              <w:t xml:space="preserve">- </w:t>
            </w:r>
            <w:r>
              <w:rPr>
                <w:rStyle w:val="IndexLink"/>
                <w:rtl w:val="true"/>
              </w:rPr>
              <w:t>ثور بن يزيد الحمصي</w:t>
            </w:r>
            <w:r>
              <w:rPr>
                <w:rStyle w:val="IndexLink"/>
                <w:rtl w:val="true"/>
              </w:rPr>
              <w:tab/>
            </w:r>
            <w:r>
              <w:rPr>
                <w:rStyle w:val="IndexLink"/>
              </w:rPr>
              <w:t>58</w:t>
            </w:r>
          </w:hyperlink>
        </w:p>
        <w:p>
          <w:pPr>
            <w:pStyle w:val="Contents5"/>
            <w:tabs>
              <w:tab w:val="clear" w:pos="7892"/>
              <w:tab w:val="right" w:pos="9026" w:leader="dot"/>
            </w:tabs>
            <w:rPr/>
          </w:pPr>
          <w:hyperlink w:anchor="__RefHeading___Toc928453_3650668749">
            <w:r>
              <w:rPr>
                <w:webHidden/>
                <w:rStyle w:val="IndexLink"/>
              </w:rPr>
              <w:t>6</w:t>
            </w:r>
            <w:r>
              <w:rPr>
                <w:rStyle w:val="IndexLink"/>
                <w:rtl w:val="true"/>
              </w:rPr>
              <w:t xml:space="preserve">- </w:t>
            </w:r>
            <w:r>
              <w:rPr>
                <w:rStyle w:val="IndexLink"/>
                <w:rtl w:val="true"/>
              </w:rPr>
              <w:t>عمران بن حطان السدوسي</w:t>
            </w:r>
            <w:r>
              <w:rPr>
                <w:rStyle w:val="IndexLink"/>
                <w:rtl w:val="true"/>
              </w:rPr>
              <w:tab/>
            </w:r>
            <w:r>
              <w:rPr>
                <w:rStyle w:val="IndexLink"/>
              </w:rPr>
              <w:t>60</w:t>
            </w:r>
          </w:hyperlink>
        </w:p>
        <w:p>
          <w:pPr>
            <w:pStyle w:val="Contents5"/>
            <w:tabs>
              <w:tab w:val="clear" w:pos="7892"/>
              <w:tab w:val="right" w:pos="9026" w:leader="dot"/>
            </w:tabs>
            <w:rPr/>
          </w:pPr>
          <w:hyperlink w:anchor="__RefHeading___Toc928455_3650668749">
            <w:r>
              <w:rPr>
                <w:webHidden/>
                <w:rStyle w:val="IndexLink"/>
              </w:rPr>
              <w:t>7</w:t>
            </w:r>
            <w:r>
              <w:rPr>
                <w:rStyle w:val="IndexLink"/>
                <w:rtl w:val="true"/>
              </w:rPr>
              <w:t xml:space="preserve">- </w:t>
            </w:r>
            <w:r>
              <w:rPr>
                <w:rStyle w:val="IndexLink"/>
                <w:rtl w:val="true"/>
              </w:rPr>
              <w:t>أبو حسان الأعرج</w:t>
            </w:r>
            <w:r>
              <w:rPr>
                <w:rStyle w:val="IndexLink"/>
                <w:rtl w:val="true"/>
              </w:rPr>
              <w:tab/>
            </w:r>
            <w:r>
              <w:rPr>
                <w:rStyle w:val="IndexLink"/>
              </w:rPr>
              <w:t>61</w:t>
            </w:r>
          </w:hyperlink>
        </w:p>
        <w:p>
          <w:pPr>
            <w:pStyle w:val="Contents5"/>
            <w:tabs>
              <w:tab w:val="clear" w:pos="7892"/>
              <w:tab w:val="right" w:pos="9026" w:leader="dot"/>
            </w:tabs>
            <w:rPr/>
          </w:pPr>
          <w:hyperlink w:anchor="__RefHeading___Toc928457_3650668749">
            <w:r>
              <w:rPr>
                <w:webHidden/>
                <w:rStyle w:val="IndexLink"/>
              </w:rPr>
              <w:t>٨</w:t>
            </w:r>
            <w:r>
              <w:rPr>
                <w:rStyle w:val="IndexLink"/>
                <w:rtl w:val="true"/>
              </w:rPr>
              <w:t xml:space="preserve">- </w:t>
            </w:r>
            <w:r>
              <w:rPr>
                <w:rStyle w:val="IndexLink"/>
                <w:rtl w:val="true"/>
              </w:rPr>
              <w:t>عكرمة مولى إبن عباس</w:t>
            </w:r>
            <w:r>
              <w:rPr>
                <w:rStyle w:val="IndexLink"/>
                <w:rtl w:val="true"/>
              </w:rPr>
              <w:tab/>
            </w:r>
            <w:r>
              <w:rPr>
                <w:rStyle w:val="IndexLink"/>
              </w:rPr>
              <w:t>63</w:t>
            </w:r>
          </w:hyperlink>
        </w:p>
        <w:p>
          <w:pPr>
            <w:pStyle w:val="Contents5"/>
            <w:tabs>
              <w:tab w:val="clear" w:pos="7892"/>
              <w:tab w:val="right" w:pos="9026" w:leader="dot"/>
            </w:tabs>
            <w:rPr/>
          </w:pPr>
          <w:hyperlink w:anchor="__RefHeading___Toc928459_3650668749">
            <w:r>
              <w:rPr>
                <w:webHidden/>
                <w:rStyle w:val="IndexLink"/>
              </w:rPr>
              <w:t>٩</w:t>
            </w:r>
            <w:r>
              <w:rPr>
                <w:rStyle w:val="IndexLink"/>
                <w:rtl w:val="true"/>
              </w:rPr>
              <w:t xml:space="preserve">- </w:t>
            </w:r>
            <w:r>
              <w:rPr>
                <w:rStyle w:val="IndexLink"/>
                <w:rtl w:val="true"/>
              </w:rPr>
              <w:t>لمازة بن زبار الجهضمي</w:t>
            </w:r>
            <w:r>
              <w:rPr>
                <w:rStyle w:val="IndexLink"/>
                <w:rtl w:val="true"/>
              </w:rPr>
              <w:tab/>
            </w:r>
            <w:r>
              <w:rPr>
                <w:rStyle w:val="IndexLink"/>
              </w:rPr>
              <w:t>65</w:t>
            </w:r>
          </w:hyperlink>
        </w:p>
        <w:p>
          <w:pPr>
            <w:pStyle w:val="Contents5"/>
            <w:tabs>
              <w:tab w:val="clear" w:pos="7892"/>
              <w:tab w:val="right" w:pos="9026" w:leader="dot"/>
            </w:tabs>
            <w:rPr/>
          </w:pPr>
          <w:hyperlink w:anchor="__RefHeading___Toc928461_3650668749">
            <w:r>
              <w:rPr>
                <w:webHidden/>
                <w:rStyle w:val="IndexLink"/>
              </w:rPr>
              <w:t>١٠</w:t>
            </w:r>
            <w:r>
              <w:rPr>
                <w:rStyle w:val="IndexLink"/>
                <w:rtl w:val="true"/>
              </w:rPr>
              <w:t xml:space="preserve">- </w:t>
            </w:r>
            <w:r>
              <w:rPr>
                <w:rStyle w:val="IndexLink"/>
                <w:rtl w:val="true"/>
              </w:rPr>
              <w:t>عبدالله بن سالم الأشعري</w:t>
            </w:r>
            <w:r>
              <w:rPr>
                <w:rStyle w:val="IndexLink"/>
                <w:rtl w:val="true"/>
              </w:rPr>
              <w:tab/>
            </w:r>
            <w:r>
              <w:rPr>
                <w:rStyle w:val="IndexLink"/>
              </w:rPr>
              <w:t>67</w:t>
            </w:r>
          </w:hyperlink>
        </w:p>
        <w:p>
          <w:pPr>
            <w:pStyle w:val="Contents4"/>
            <w:tabs>
              <w:tab w:val="clear" w:pos="8176"/>
              <w:tab w:val="right" w:pos="9026" w:leader="dot"/>
            </w:tabs>
            <w:rPr/>
          </w:pPr>
          <w:hyperlink w:anchor="__RefHeading___Toc928463_3650668749">
            <w:r>
              <w:rPr>
                <w:webHidden/>
                <w:rStyle w:val="IndexLink"/>
                <w:rtl w:val="true"/>
              </w:rPr>
              <w:t>المبحث الثالث</w:t>
            </w:r>
            <w:r>
              <w:rPr>
                <w:rStyle w:val="IndexLink"/>
                <w:rtl w:val="true"/>
              </w:rPr>
              <w:t xml:space="preserve">: </w:t>
            </w:r>
            <w:r>
              <w:rPr>
                <w:rStyle w:val="IndexLink"/>
                <w:rtl w:val="true"/>
              </w:rPr>
              <w:t>محاولات لدرء التناقض بين شرطية العدالة، وتوثيق النواصب</w:t>
            </w:r>
            <w:r>
              <w:rPr>
                <w:rStyle w:val="IndexLink"/>
                <w:rtl w:val="true"/>
              </w:rPr>
              <w:tab/>
            </w:r>
            <w:r>
              <w:rPr>
                <w:rStyle w:val="IndexLink"/>
              </w:rPr>
              <w:t>68</w:t>
            </w:r>
          </w:hyperlink>
        </w:p>
        <w:p>
          <w:pPr>
            <w:pStyle w:val="Contents5"/>
            <w:tabs>
              <w:tab w:val="clear" w:pos="7892"/>
              <w:tab w:val="right" w:pos="9026" w:leader="dot"/>
            </w:tabs>
            <w:rPr/>
          </w:pPr>
          <w:hyperlink w:anchor="__RefHeading___Toc928465_365066874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928467_3650668749">
            <w:r>
              <w:rPr>
                <w:webHidden/>
                <w:rStyle w:val="IndexLink"/>
                <w:rtl w:val="true"/>
              </w:rPr>
              <w:t>النقطة الأُولى</w:t>
            </w:r>
            <w:r>
              <w:rPr>
                <w:rStyle w:val="IndexLink"/>
                <w:rtl w:val="true"/>
              </w:rPr>
              <w:t xml:space="preserve">: </w:t>
            </w:r>
            <w:r>
              <w:rPr>
                <w:rStyle w:val="IndexLink"/>
                <w:rtl w:val="true"/>
              </w:rPr>
              <w:t>الإحساس بالتناقض والتصريح به</w:t>
            </w:r>
            <w:r>
              <w:rPr>
                <w:rStyle w:val="IndexLink"/>
                <w:rtl w:val="true"/>
              </w:rPr>
              <w:tab/>
            </w:r>
            <w:r>
              <w:rPr>
                <w:rStyle w:val="IndexLink"/>
              </w:rPr>
              <w:t>69</w:t>
            </w:r>
          </w:hyperlink>
        </w:p>
        <w:p>
          <w:pPr>
            <w:pStyle w:val="Contents5"/>
            <w:tabs>
              <w:tab w:val="clear" w:pos="7892"/>
              <w:tab w:val="right" w:pos="9026" w:leader="dot"/>
            </w:tabs>
            <w:rPr/>
          </w:pPr>
          <w:hyperlink w:anchor="__RefHeading___Toc928469_3650668749">
            <w:r>
              <w:rPr>
                <w:webHidden/>
                <w:rStyle w:val="IndexLink"/>
                <w:rtl w:val="true"/>
              </w:rPr>
              <w:t>النقطة الثانية</w:t>
            </w:r>
            <w:r>
              <w:rPr>
                <w:rStyle w:val="IndexLink"/>
                <w:rtl w:val="true"/>
              </w:rPr>
              <w:t xml:space="preserve">: </w:t>
            </w:r>
            <w:r>
              <w:rPr>
                <w:rStyle w:val="IndexLink"/>
                <w:rtl w:val="true"/>
              </w:rPr>
              <w:t>عرض المحاولة الأُولى لحلّ التناقض، وتقييمها علمياً</w:t>
            </w:r>
            <w:r>
              <w:rPr>
                <w:rStyle w:val="IndexLink"/>
                <w:rtl w:val="true"/>
              </w:rPr>
              <w:tab/>
            </w:r>
            <w:r>
              <w:rPr>
                <w:rStyle w:val="IndexLink"/>
              </w:rPr>
              <w:t>70</w:t>
            </w:r>
          </w:hyperlink>
        </w:p>
        <w:p>
          <w:pPr>
            <w:pStyle w:val="Contents6"/>
            <w:tabs>
              <w:tab w:val="clear" w:pos="7609"/>
              <w:tab w:val="right" w:pos="9026" w:leader="dot"/>
            </w:tabs>
            <w:rPr/>
          </w:pPr>
          <w:hyperlink w:anchor="__RefHeading___Toc928471_3650668749">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928473_3650668749">
            <w:r>
              <w:rPr>
                <w:webHidden/>
                <w:rStyle w:val="IndexLink"/>
                <w:rtl w:val="true"/>
              </w:rPr>
              <w:t>أ</w:t>
            </w:r>
            <w:r>
              <w:rPr>
                <w:rStyle w:val="IndexLink"/>
                <w:rtl w:val="true"/>
              </w:rPr>
              <w:t xml:space="preserve">- </w:t>
            </w:r>
            <w:r>
              <w:rPr>
                <w:rStyle w:val="IndexLink"/>
                <w:rtl w:val="true"/>
              </w:rPr>
              <w:t>توثيق هذه المحاولة؛</w:t>
            </w:r>
            <w:r>
              <w:rPr>
                <w:rStyle w:val="IndexLink"/>
                <w:rtl w:val="true"/>
              </w:rPr>
              <w:tab/>
            </w:r>
            <w:r>
              <w:rPr>
                <w:rStyle w:val="IndexLink"/>
              </w:rPr>
              <w:t>71</w:t>
            </w:r>
          </w:hyperlink>
        </w:p>
        <w:p>
          <w:pPr>
            <w:pStyle w:val="Contents6"/>
            <w:tabs>
              <w:tab w:val="clear" w:pos="7609"/>
              <w:tab w:val="right" w:pos="9026" w:leader="dot"/>
            </w:tabs>
            <w:rPr/>
          </w:pPr>
          <w:hyperlink w:anchor="__RefHeading___Toc928475_3650668749">
            <w:r>
              <w:rPr>
                <w:webHidden/>
                <w:rStyle w:val="IndexLink"/>
                <w:rtl w:val="true"/>
              </w:rPr>
              <w:t>ب</w:t>
            </w:r>
            <w:r>
              <w:rPr>
                <w:rStyle w:val="IndexLink"/>
                <w:rtl w:val="true"/>
              </w:rPr>
              <w:t xml:space="preserve">- </w:t>
            </w:r>
            <w:r>
              <w:rPr>
                <w:rStyle w:val="IndexLink"/>
                <w:rtl w:val="true"/>
              </w:rPr>
              <w:t>تاريخ هذه المحاولة، وأوَّل مَن نُسبت إليه</w:t>
            </w:r>
            <w:r>
              <w:rPr>
                <w:rStyle w:val="IndexLink"/>
                <w:rtl w:val="true"/>
              </w:rPr>
              <w:tab/>
            </w:r>
            <w:r>
              <w:rPr>
                <w:rStyle w:val="IndexLink"/>
              </w:rPr>
              <w:t>73</w:t>
            </w:r>
          </w:hyperlink>
        </w:p>
        <w:p>
          <w:pPr>
            <w:pStyle w:val="Contents6"/>
            <w:tabs>
              <w:tab w:val="clear" w:pos="7609"/>
              <w:tab w:val="right" w:pos="9026" w:leader="dot"/>
            </w:tabs>
            <w:rPr/>
          </w:pPr>
          <w:hyperlink w:anchor="__RefHeading___Toc928477_3650668749">
            <w:r>
              <w:rPr>
                <w:webHidden/>
                <w:rStyle w:val="IndexLink"/>
                <w:rtl w:val="true"/>
              </w:rPr>
              <w:t>ج</w:t>
            </w:r>
            <w:r>
              <w:rPr>
                <w:rStyle w:val="IndexLink"/>
                <w:rtl w:val="true"/>
              </w:rPr>
              <w:t xml:space="preserve">- </w:t>
            </w:r>
            <w:r>
              <w:rPr>
                <w:rStyle w:val="IndexLink"/>
                <w:rtl w:val="true"/>
              </w:rPr>
              <w:t>الوقفة الأُخرى التي تستحق الوقوف عندها في هذه المحاولة، هي علّة القول بها</w:t>
            </w:r>
            <w:r>
              <w:rPr>
                <w:rStyle w:val="IndexLink"/>
                <w:rtl w:val="true"/>
              </w:rPr>
              <w:tab/>
            </w:r>
            <w:r>
              <w:rPr>
                <w:rStyle w:val="IndexLink"/>
              </w:rPr>
              <w:t>76</w:t>
            </w:r>
          </w:hyperlink>
        </w:p>
        <w:p>
          <w:pPr>
            <w:pStyle w:val="Contents6"/>
            <w:tabs>
              <w:tab w:val="clear" w:pos="7609"/>
              <w:tab w:val="right" w:pos="9026" w:leader="dot"/>
            </w:tabs>
            <w:rPr/>
          </w:pPr>
          <w:hyperlink w:anchor="__RefHeading___Toc928479_3650668749">
            <w:r>
              <w:rPr>
                <w:webHidden/>
                <w:rStyle w:val="IndexLink"/>
                <w:rtl w:val="true"/>
              </w:rPr>
              <w:t>د</w:t>
            </w:r>
            <w:r>
              <w:rPr>
                <w:rStyle w:val="IndexLink"/>
                <w:rtl w:val="true"/>
              </w:rPr>
              <w:t xml:space="preserve">- </w:t>
            </w:r>
            <w:r>
              <w:rPr>
                <w:rStyle w:val="IndexLink"/>
                <w:rtl w:val="true"/>
              </w:rPr>
              <w:t>تقييم المحاولة الأُولى تقييماً موضوعياً</w:t>
            </w:r>
            <w:r>
              <w:rPr>
                <w:rStyle w:val="IndexLink"/>
                <w:rtl w:val="true"/>
              </w:rPr>
              <w:tab/>
            </w:r>
            <w:r>
              <w:rPr>
                <w:rStyle w:val="IndexLink"/>
              </w:rPr>
              <w:t>77</w:t>
            </w:r>
          </w:hyperlink>
        </w:p>
        <w:p>
          <w:pPr>
            <w:pStyle w:val="Contents5"/>
            <w:tabs>
              <w:tab w:val="clear" w:pos="7892"/>
              <w:tab w:val="right" w:pos="9026" w:leader="dot"/>
            </w:tabs>
            <w:rPr/>
          </w:pPr>
          <w:hyperlink w:anchor="__RefHeading___Toc928481_3650668749">
            <w:r>
              <w:rPr>
                <w:webHidden/>
                <w:rStyle w:val="IndexLink"/>
                <w:rtl w:val="true"/>
              </w:rPr>
              <w:t>النقطة الثالثة</w:t>
            </w:r>
            <w:r>
              <w:rPr>
                <w:rStyle w:val="IndexLink"/>
                <w:rtl w:val="true"/>
              </w:rPr>
              <w:t xml:space="preserve">: </w:t>
            </w:r>
            <w:r>
              <w:rPr>
                <w:rStyle w:val="IndexLink"/>
                <w:rtl w:val="true"/>
              </w:rPr>
              <w:t>عرض المحاولة الثانية للحل، وتقييمها علمياً</w:t>
            </w:r>
            <w:r>
              <w:rPr>
                <w:rStyle w:val="IndexLink"/>
                <w:rtl w:val="true"/>
              </w:rPr>
              <w:tab/>
            </w:r>
            <w:r>
              <w:rPr>
                <w:rStyle w:val="IndexLink"/>
              </w:rPr>
              <w:t>79</w:t>
            </w:r>
          </w:hyperlink>
        </w:p>
        <w:p>
          <w:pPr>
            <w:pStyle w:val="Contents4"/>
            <w:tabs>
              <w:tab w:val="clear" w:pos="8176"/>
              <w:tab w:val="right" w:pos="9026" w:leader="dot"/>
            </w:tabs>
            <w:rPr/>
          </w:pPr>
          <w:hyperlink w:anchor="__RefHeading___Toc928483_3650668749">
            <w:r>
              <w:rPr>
                <w:webHidden/>
                <w:rStyle w:val="IndexLink"/>
                <w:rtl w:val="true"/>
              </w:rPr>
              <w:t>خلاصة الفصل الثاني</w:t>
            </w:r>
            <w:r>
              <w:rPr>
                <w:rStyle w:val="IndexLink"/>
                <w:rtl w:val="true"/>
              </w:rPr>
              <w:tab/>
            </w:r>
            <w:r>
              <w:rPr>
                <w:rStyle w:val="IndexLink"/>
              </w:rPr>
              <w:t>81</w:t>
            </w:r>
          </w:hyperlink>
        </w:p>
        <w:p>
          <w:pPr>
            <w:pStyle w:val="Contents2"/>
            <w:tabs>
              <w:tab w:val="clear" w:pos="8743"/>
              <w:tab w:val="right" w:pos="9026" w:leader="dot"/>
            </w:tabs>
            <w:rPr/>
          </w:pPr>
          <w:hyperlink w:anchor="__RefHeading___Toc928485_3650668749">
            <w:r>
              <w:rPr>
                <w:webHidden/>
                <w:rStyle w:val="IndexLink"/>
                <w:rtl w:val="true"/>
              </w:rPr>
              <w:t>الفصل الثالث</w:t>
            </w:r>
            <w:r>
              <w:rPr>
                <w:rStyle w:val="IndexLink"/>
                <w:rtl w:val="true"/>
              </w:rPr>
              <w:t xml:space="preserve">: </w:t>
            </w:r>
            <w:r>
              <w:rPr>
                <w:rStyle w:val="IndexLink"/>
                <w:rtl w:val="true"/>
              </w:rPr>
              <w:t>تضعيف الشيعي</w:t>
            </w:r>
            <w:r>
              <w:rPr>
                <w:rStyle w:val="IndexLink"/>
                <w:rtl w:val="true"/>
              </w:rPr>
              <w:tab/>
            </w:r>
            <w:r>
              <w:rPr>
                <w:rStyle w:val="IndexLink"/>
              </w:rPr>
              <w:t>85</w:t>
            </w:r>
          </w:hyperlink>
        </w:p>
        <w:p>
          <w:pPr>
            <w:pStyle w:val="Contents3"/>
            <w:tabs>
              <w:tab w:val="clear" w:pos="8459"/>
              <w:tab w:val="right" w:pos="9026" w:leader="dot"/>
            </w:tabs>
            <w:rPr/>
          </w:pPr>
          <w:hyperlink w:anchor="__RefHeading___Toc928487_3650668749">
            <w:r>
              <w:rPr>
                <w:webHidden/>
                <w:rStyle w:val="IndexLink"/>
                <w:rtl w:val="true"/>
              </w:rPr>
              <w:t>النقطة الأُولى</w:t>
            </w:r>
            <w:r>
              <w:rPr>
                <w:rStyle w:val="IndexLink"/>
                <w:rtl w:val="true"/>
              </w:rPr>
              <w:t xml:space="preserve">: </w:t>
            </w:r>
            <w:r>
              <w:rPr>
                <w:rStyle w:val="IndexLink"/>
                <w:rtl w:val="true"/>
              </w:rPr>
              <w:t>التمهيد</w:t>
            </w:r>
            <w:r>
              <w:rPr>
                <w:rStyle w:val="IndexLink"/>
                <w:rtl w:val="true"/>
              </w:rPr>
              <w:tab/>
            </w:r>
            <w:r>
              <w:rPr>
                <w:rStyle w:val="IndexLink"/>
              </w:rPr>
              <w:t>85</w:t>
            </w:r>
          </w:hyperlink>
        </w:p>
        <w:p>
          <w:pPr>
            <w:pStyle w:val="Contents3"/>
            <w:tabs>
              <w:tab w:val="clear" w:pos="8459"/>
              <w:tab w:val="right" w:pos="9026" w:leader="dot"/>
            </w:tabs>
            <w:rPr/>
          </w:pPr>
          <w:hyperlink w:anchor="__RefHeading___Toc928489_3650668749">
            <w:r>
              <w:rPr>
                <w:webHidden/>
                <w:rStyle w:val="IndexLink"/>
                <w:rtl w:val="true"/>
              </w:rPr>
              <w:t>النقطة الثانية</w:t>
            </w:r>
            <w:r>
              <w:rPr>
                <w:rStyle w:val="IndexLink"/>
                <w:rtl w:val="true"/>
              </w:rPr>
              <w:t xml:space="preserve">: </w:t>
            </w:r>
            <w:r>
              <w:rPr>
                <w:rStyle w:val="IndexLink"/>
                <w:rtl w:val="true"/>
              </w:rPr>
              <w:t>تعريف التشيُّع وبيان ماهيّته</w:t>
            </w:r>
            <w:r>
              <w:rPr>
                <w:rStyle w:val="IndexLink"/>
                <w:rtl w:val="true"/>
              </w:rPr>
              <w:tab/>
            </w:r>
            <w:r>
              <w:rPr>
                <w:rStyle w:val="IndexLink"/>
              </w:rPr>
              <w:t>86</w:t>
            </w:r>
          </w:hyperlink>
        </w:p>
        <w:p>
          <w:pPr>
            <w:pStyle w:val="Contents4"/>
            <w:tabs>
              <w:tab w:val="clear" w:pos="8176"/>
              <w:tab w:val="right" w:pos="9026" w:leader="dot"/>
            </w:tabs>
            <w:rPr/>
          </w:pPr>
          <w:hyperlink w:anchor="__RefHeading___Toc928491_365066874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928493_3650668749">
            <w:r>
              <w:rPr>
                <w:webHidden/>
                <w:rStyle w:val="IndexLink"/>
                <w:rtl w:val="true"/>
              </w:rPr>
              <w:t>المبحث الأول</w:t>
            </w:r>
            <w:r>
              <w:rPr>
                <w:rStyle w:val="IndexLink"/>
                <w:rtl w:val="true"/>
              </w:rPr>
              <w:t xml:space="preserve">: </w:t>
            </w:r>
            <w:r>
              <w:rPr>
                <w:rStyle w:val="IndexLink"/>
                <w:rtl w:val="true"/>
              </w:rPr>
              <w:t>التشيُّع والعدالة</w:t>
            </w:r>
            <w:r>
              <w:rPr>
                <w:rStyle w:val="IndexLink"/>
                <w:rtl w:val="true"/>
              </w:rPr>
              <w:tab/>
            </w:r>
            <w:r>
              <w:rPr>
                <w:rStyle w:val="IndexLink"/>
              </w:rPr>
              <w:t>92</w:t>
            </w:r>
          </w:hyperlink>
        </w:p>
        <w:p>
          <w:pPr>
            <w:pStyle w:val="Contents5"/>
            <w:tabs>
              <w:tab w:val="clear" w:pos="7892"/>
              <w:tab w:val="right" w:pos="9026" w:leader="dot"/>
            </w:tabs>
            <w:rPr/>
          </w:pPr>
          <w:hyperlink w:anchor="__RefHeading___Toc928495_365066874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928497_3650668749">
            <w:r>
              <w:rPr>
                <w:webHidden/>
                <w:rStyle w:val="IndexLink"/>
                <w:rtl w:val="true"/>
              </w:rPr>
              <w:t>الأمر الأوّل</w:t>
            </w:r>
            <w:r>
              <w:rPr>
                <w:rStyle w:val="IndexLink"/>
                <w:rtl w:val="true"/>
              </w:rPr>
              <w:t xml:space="preserve">: </w:t>
            </w:r>
            <w:r>
              <w:rPr>
                <w:rStyle w:val="IndexLink"/>
                <w:rtl w:val="true"/>
              </w:rPr>
              <w:t>هل التشيُّع من الأمور المفسقة التي يطعن بها على الراوي؟</w:t>
            </w:r>
            <w:r>
              <w:rPr>
                <w:rStyle w:val="IndexLink"/>
                <w:rtl w:val="true"/>
              </w:rPr>
              <w:tab/>
            </w:r>
            <w:r>
              <w:rPr>
                <w:rStyle w:val="IndexLink"/>
              </w:rPr>
              <w:t>94</w:t>
            </w:r>
          </w:hyperlink>
        </w:p>
        <w:p>
          <w:pPr>
            <w:pStyle w:val="Contents5"/>
            <w:tabs>
              <w:tab w:val="clear" w:pos="7892"/>
              <w:tab w:val="right" w:pos="9026" w:leader="dot"/>
            </w:tabs>
            <w:rPr/>
          </w:pPr>
          <w:hyperlink w:anchor="__RefHeading___Toc928499_3650668749">
            <w:r>
              <w:rPr>
                <w:webHidden/>
                <w:rStyle w:val="IndexLink"/>
                <w:rtl w:val="true"/>
              </w:rPr>
              <w:t>الأمر الثاني</w:t>
            </w:r>
            <w:r>
              <w:rPr>
                <w:rStyle w:val="IndexLink"/>
                <w:rtl w:val="true"/>
              </w:rPr>
              <w:t xml:space="preserve">: </w:t>
            </w:r>
            <w:r>
              <w:rPr>
                <w:rStyle w:val="IndexLink"/>
                <w:rtl w:val="true"/>
              </w:rPr>
              <w:t>هل التشيُّع من البدع المحرمة التي يطعن بها على الراوي؟</w:t>
            </w:r>
            <w:r>
              <w:rPr>
                <w:rStyle w:val="IndexLink"/>
                <w:rtl w:val="true"/>
              </w:rPr>
              <w:tab/>
            </w:r>
            <w:r>
              <w:rPr>
                <w:rStyle w:val="IndexLink"/>
              </w:rPr>
              <w:t>98</w:t>
            </w:r>
          </w:hyperlink>
        </w:p>
        <w:p>
          <w:pPr>
            <w:pStyle w:val="Contents4"/>
            <w:tabs>
              <w:tab w:val="clear" w:pos="8176"/>
              <w:tab w:val="right" w:pos="9026" w:leader="dot"/>
            </w:tabs>
            <w:rPr/>
          </w:pPr>
          <w:hyperlink w:anchor="__RefHeading___Toc928501_3650668749">
            <w:r>
              <w:rPr>
                <w:webHidden/>
                <w:rStyle w:val="IndexLink"/>
                <w:rtl w:val="true"/>
              </w:rPr>
              <w:t>المبحث الثانى</w:t>
            </w:r>
            <w:r>
              <w:rPr>
                <w:rStyle w:val="IndexLink"/>
                <w:rtl w:val="true"/>
              </w:rPr>
              <w:t xml:space="preserve">: </w:t>
            </w:r>
            <w:r>
              <w:rPr>
                <w:rStyle w:val="IndexLink"/>
                <w:rtl w:val="true"/>
              </w:rPr>
              <w:t xml:space="preserve">كيف ضعَّفوا الشيعى؟ </w:t>
            </w:r>
            <w:r>
              <w:rPr>
                <w:rStyle w:val="IndexLink"/>
                <w:rtl w:val="true"/>
              </w:rPr>
              <w:t>!</w:t>
              <w:tab/>
            </w:r>
            <w:r>
              <w:rPr>
                <w:rStyle w:val="IndexLink"/>
              </w:rPr>
              <w:t>109</w:t>
            </w:r>
          </w:hyperlink>
        </w:p>
        <w:p>
          <w:pPr>
            <w:pStyle w:val="Contents5"/>
            <w:tabs>
              <w:tab w:val="clear" w:pos="7892"/>
              <w:tab w:val="right" w:pos="9026" w:leader="dot"/>
            </w:tabs>
            <w:rPr/>
          </w:pPr>
          <w:hyperlink w:anchor="__RefHeading___Toc928503_365066874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928505_3650668749">
            <w:r>
              <w:rPr>
                <w:webHidden/>
                <w:rStyle w:val="IndexLink"/>
                <w:rtl w:val="true"/>
              </w:rPr>
              <w:t>المنهج الأوَّل</w:t>
            </w:r>
            <w:r>
              <w:rPr>
                <w:rStyle w:val="IndexLink"/>
                <w:rtl w:val="true"/>
              </w:rPr>
              <w:t xml:space="preserve">: </w:t>
            </w:r>
            <w:r>
              <w:rPr>
                <w:rStyle w:val="IndexLink"/>
                <w:rtl w:val="true"/>
              </w:rPr>
              <w:t>تضعيفهم لمَن رموه بالتشيُّع إجمالاً</w:t>
            </w:r>
            <w:r>
              <w:rPr>
                <w:rStyle w:val="IndexLink"/>
                <w:rtl w:val="true"/>
              </w:rPr>
              <w:tab/>
            </w:r>
            <w:r>
              <w:rPr>
                <w:rStyle w:val="IndexLink"/>
              </w:rPr>
              <w:t>110</w:t>
            </w:r>
          </w:hyperlink>
        </w:p>
        <w:p>
          <w:pPr>
            <w:pStyle w:val="Contents6"/>
            <w:tabs>
              <w:tab w:val="clear" w:pos="7609"/>
              <w:tab w:val="right" w:pos="9026" w:leader="dot"/>
            </w:tabs>
            <w:rPr/>
          </w:pPr>
          <w:hyperlink w:anchor="__RefHeading___Toc928507_3650668749">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928509_3650668749">
            <w:r>
              <w:rPr>
                <w:webHidden/>
                <w:rStyle w:val="IndexLink"/>
              </w:rPr>
              <w:t>١</w:t>
            </w:r>
            <w:r>
              <w:rPr>
                <w:rStyle w:val="IndexLink"/>
                <w:rtl w:val="true"/>
              </w:rPr>
              <w:t xml:space="preserve">- </w:t>
            </w:r>
            <w:r>
              <w:rPr>
                <w:rStyle w:val="IndexLink"/>
                <w:rtl w:val="true"/>
              </w:rPr>
              <w:t>التضعيف بسبب الاعتقاد</w:t>
            </w:r>
            <w:r>
              <w:rPr>
                <w:rStyle w:val="IndexLink"/>
                <w:rtl w:val="true"/>
              </w:rPr>
              <w:tab/>
            </w:r>
            <w:r>
              <w:rPr>
                <w:rStyle w:val="IndexLink"/>
              </w:rPr>
              <w:t>110</w:t>
            </w:r>
          </w:hyperlink>
        </w:p>
        <w:p>
          <w:pPr>
            <w:pStyle w:val="Contents6"/>
            <w:tabs>
              <w:tab w:val="clear" w:pos="7609"/>
              <w:tab w:val="right" w:pos="9026" w:leader="dot"/>
            </w:tabs>
            <w:rPr/>
          </w:pPr>
          <w:hyperlink w:anchor="__RefHeading___Toc928511_3650668749">
            <w:r>
              <w:rPr>
                <w:webHidden/>
                <w:rStyle w:val="IndexLink"/>
              </w:rPr>
              <w:t>٢</w:t>
            </w:r>
            <w:r>
              <w:rPr>
                <w:rStyle w:val="IndexLink"/>
                <w:rtl w:val="true"/>
              </w:rPr>
              <w:t xml:space="preserve">- </w:t>
            </w:r>
            <w:r>
              <w:rPr>
                <w:rStyle w:val="IndexLink"/>
                <w:rtl w:val="true"/>
              </w:rPr>
              <w:t>قاعدة عدم قبول قول مبتدع في مبتدع</w:t>
            </w:r>
            <w:r>
              <w:rPr>
                <w:rStyle w:val="IndexLink"/>
                <w:rtl w:val="true"/>
              </w:rPr>
              <w:tab/>
            </w:r>
            <w:r>
              <w:rPr>
                <w:rStyle w:val="IndexLink"/>
              </w:rPr>
              <w:t>111</w:t>
            </w:r>
          </w:hyperlink>
        </w:p>
        <w:p>
          <w:pPr>
            <w:pStyle w:val="Contents6"/>
            <w:tabs>
              <w:tab w:val="clear" w:pos="7609"/>
              <w:tab w:val="right" w:pos="9026" w:leader="dot"/>
            </w:tabs>
            <w:rPr/>
          </w:pPr>
          <w:hyperlink w:anchor="__RefHeading___Toc928513_3650668749">
            <w:r>
              <w:rPr>
                <w:webHidden/>
                <w:rStyle w:val="IndexLink"/>
              </w:rPr>
              <w:t>٣</w:t>
            </w:r>
            <w:r>
              <w:rPr>
                <w:rStyle w:val="IndexLink"/>
                <w:rtl w:val="true"/>
              </w:rPr>
              <w:t xml:space="preserve">- </w:t>
            </w:r>
            <w:r>
              <w:rPr>
                <w:rStyle w:val="IndexLink"/>
                <w:rtl w:val="true"/>
              </w:rPr>
              <w:t>التضعيف بسبب الرمي بالتشيُّع الناتج من رواية الفضائل</w:t>
            </w:r>
            <w:r>
              <w:rPr>
                <w:rStyle w:val="IndexLink"/>
                <w:rtl w:val="true"/>
              </w:rPr>
              <w:tab/>
            </w:r>
            <w:r>
              <w:rPr>
                <w:rStyle w:val="IndexLink"/>
              </w:rPr>
              <w:t>111</w:t>
            </w:r>
          </w:hyperlink>
        </w:p>
        <w:p>
          <w:pPr>
            <w:pStyle w:val="Contents6"/>
            <w:tabs>
              <w:tab w:val="clear" w:pos="7609"/>
              <w:tab w:val="right" w:pos="9026" w:leader="dot"/>
            </w:tabs>
            <w:rPr/>
          </w:pPr>
          <w:hyperlink w:anchor="__RefHeading___Toc928515_3650668749">
            <w:r>
              <w:rPr>
                <w:webHidden/>
                <w:rStyle w:val="IndexLink"/>
              </w:rPr>
              <w:t>4</w:t>
            </w:r>
            <w:r>
              <w:rPr>
                <w:rStyle w:val="IndexLink"/>
                <w:rtl w:val="true"/>
              </w:rPr>
              <w:t xml:space="preserve">- </w:t>
            </w:r>
            <w:r>
              <w:rPr>
                <w:rStyle w:val="IndexLink"/>
                <w:rtl w:val="true"/>
              </w:rPr>
              <w:t>قاعدة اشتراط قبول رواية المبتدع فيما لا يقوي بدعته</w:t>
            </w:r>
            <w:r>
              <w:rPr>
                <w:rStyle w:val="IndexLink"/>
                <w:rtl w:val="true"/>
              </w:rPr>
              <w:tab/>
            </w:r>
            <w:r>
              <w:rPr>
                <w:rStyle w:val="IndexLink"/>
              </w:rPr>
              <w:t>116</w:t>
            </w:r>
          </w:hyperlink>
        </w:p>
        <w:p>
          <w:pPr>
            <w:pStyle w:val="Contents5"/>
            <w:tabs>
              <w:tab w:val="clear" w:pos="7892"/>
              <w:tab w:val="right" w:pos="9026" w:leader="dot"/>
            </w:tabs>
            <w:rPr/>
          </w:pPr>
          <w:hyperlink w:anchor="__RefHeading___Toc928517_3650668749">
            <w:r>
              <w:rPr>
                <w:webHidden/>
                <w:rStyle w:val="IndexLink"/>
                <w:rtl w:val="true"/>
              </w:rPr>
              <w:t>المنهج الثاني</w:t>
            </w:r>
            <w:r>
              <w:rPr>
                <w:rStyle w:val="IndexLink"/>
                <w:rtl w:val="true"/>
              </w:rPr>
              <w:t xml:space="preserve">: </w:t>
            </w:r>
            <w:r>
              <w:rPr>
                <w:rStyle w:val="IndexLink"/>
                <w:rtl w:val="true"/>
              </w:rPr>
              <w:t>تضعيفهم لأغلب الرواة الشيعة عملياً عند ذكر تراجمهم</w:t>
            </w:r>
            <w:r>
              <w:rPr>
                <w:rStyle w:val="IndexLink"/>
                <w:rtl w:val="true"/>
              </w:rPr>
              <w:tab/>
            </w:r>
            <w:r>
              <w:rPr>
                <w:rStyle w:val="IndexLink"/>
              </w:rPr>
              <w:t>119</w:t>
            </w:r>
          </w:hyperlink>
        </w:p>
        <w:p>
          <w:pPr>
            <w:pStyle w:val="Contents6"/>
            <w:tabs>
              <w:tab w:val="clear" w:pos="7609"/>
              <w:tab w:val="right" w:pos="9026" w:leader="dot"/>
            </w:tabs>
            <w:rPr/>
          </w:pPr>
          <w:hyperlink w:anchor="__RefHeading___Toc928519_3650668749">
            <w:r>
              <w:rPr>
                <w:webHidden/>
                <w:rStyle w:val="IndexLink"/>
                <w:rtl w:val="true"/>
              </w:rPr>
              <w:t>اشاره</w:t>
            </w:r>
            <w:r>
              <w:rPr>
                <w:rStyle w:val="IndexLink"/>
                <w:rtl w:val="true"/>
              </w:rPr>
              <w:tab/>
            </w:r>
            <w:r>
              <w:rPr>
                <w:rStyle w:val="IndexLink"/>
              </w:rPr>
              <w:t>119</w:t>
            </w:r>
          </w:hyperlink>
        </w:p>
        <w:p>
          <w:pPr>
            <w:pStyle w:val="Contents6"/>
            <w:tabs>
              <w:tab w:val="clear" w:pos="7609"/>
              <w:tab w:val="right" w:pos="9026" w:leader="dot"/>
            </w:tabs>
            <w:rPr/>
          </w:pPr>
          <w:hyperlink w:anchor="__RefHeading___Toc928521_3650668749">
            <w:r>
              <w:rPr>
                <w:webHidden/>
                <w:rStyle w:val="IndexLink"/>
              </w:rPr>
              <w:t>١</w:t>
            </w:r>
            <w:r>
              <w:rPr>
                <w:rStyle w:val="IndexLink"/>
                <w:rtl w:val="true"/>
              </w:rPr>
              <w:t xml:space="preserve">- </w:t>
            </w:r>
            <w:r>
              <w:rPr>
                <w:rStyle w:val="IndexLink"/>
                <w:rtl w:val="true"/>
              </w:rPr>
              <w:t>الأصبغ بن نباتة الحنظلي المجاشعي</w:t>
            </w:r>
            <w:r>
              <w:rPr>
                <w:rStyle w:val="IndexLink"/>
                <w:rtl w:val="true"/>
              </w:rPr>
              <w:tab/>
            </w:r>
            <w:r>
              <w:rPr>
                <w:rStyle w:val="IndexLink"/>
              </w:rPr>
              <w:t>120</w:t>
            </w:r>
          </w:hyperlink>
        </w:p>
        <w:p>
          <w:pPr>
            <w:pStyle w:val="Contents6"/>
            <w:tabs>
              <w:tab w:val="clear" w:pos="7609"/>
              <w:tab w:val="right" w:pos="9026" w:leader="dot"/>
            </w:tabs>
            <w:rPr/>
          </w:pPr>
          <w:hyperlink w:anchor="__RefHeading___Toc928523_3650668749">
            <w:r>
              <w:rPr>
                <w:webHidden/>
                <w:rStyle w:val="IndexLink"/>
              </w:rPr>
              <w:t>٢</w:t>
            </w:r>
            <w:r>
              <w:rPr>
                <w:rStyle w:val="IndexLink"/>
                <w:rtl w:val="true"/>
              </w:rPr>
              <w:t xml:space="preserve">- </w:t>
            </w:r>
            <w:r>
              <w:rPr>
                <w:rStyle w:val="IndexLink"/>
                <w:rtl w:val="true"/>
              </w:rPr>
              <w:t>الحارث بن عبدالله الهَمْداني</w:t>
            </w:r>
            <w:r>
              <w:rPr>
                <w:rStyle w:val="IndexLink"/>
                <w:rtl w:val="true"/>
              </w:rPr>
              <w:tab/>
            </w:r>
            <w:r>
              <w:rPr>
                <w:rStyle w:val="IndexLink"/>
              </w:rPr>
              <w:t>123</w:t>
            </w:r>
          </w:hyperlink>
        </w:p>
        <w:p>
          <w:pPr>
            <w:pStyle w:val="Contents6"/>
            <w:tabs>
              <w:tab w:val="clear" w:pos="7609"/>
              <w:tab w:val="right" w:pos="9026" w:leader="dot"/>
            </w:tabs>
            <w:rPr/>
          </w:pPr>
          <w:hyperlink w:anchor="__RefHeading___Toc928525_3650668749">
            <w:r>
              <w:rPr>
                <w:webHidden/>
                <w:rStyle w:val="IndexLink"/>
              </w:rPr>
              <w:t>٣</w:t>
            </w:r>
            <w:r>
              <w:rPr>
                <w:rStyle w:val="IndexLink"/>
                <w:rtl w:val="true"/>
              </w:rPr>
              <w:t xml:space="preserve">- </w:t>
            </w:r>
            <w:r>
              <w:rPr>
                <w:rStyle w:val="IndexLink"/>
                <w:rtl w:val="true"/>
              </w:rPr>
              <w:t>ثعلبة بن يزيد الحمّاني</w:t>
            </w:r>
            <w:r>
              <w:rPr>
                <w:rStyle w:val="IndexLink"/>
                <w:rtl w:val="true"/>
              </w:rPr>
              <w:tab/>
            </w:r>
            <w:r>
              <w:rPr>
                <w:rStyle w:val="IndexLink"/>
              </w:rPr>
              <w:t>126</w:t>
            </w:r>
          </w:hyperlink>
        </w:p>
        <w:p>
          <w:pPr>
            <w:pStyle w:val="Contents6"/>
            <w:tabs>
              <w:tab w:val="clear" w:pos="7609"/>
              <w:tab w:val="right" w:pos="9026" w:leader="dot"/>
            </w:tabs>
            <w:rPr/>
          </w:pPr>
          <w:hyperlink w:anchor="__RefHeading___Toc928527_3650668749">
            <w:r>
              <w:rPr>
                <w:webHidden/>
                <w:rStyle w:val="IndexLink"/>
              </w:rPr>
              <w:t>4</w:t>
            </w:r>
            <w:r>
              <w:rPr>
                <w:rStyle w:val="IndexLink"/>
                <w:rtl w:val="true"/>
              </w:rPr>
              <w:t xml:space="preserve">- </w:t>
            </w:r>
            <w:r>
              <w:rPr>
                <w:rStyle w:val="IndexLink"/>
                <w:rtl w:val="true"/>
              </w:rPr>
              <w:t>أحمد بن الأزهر ابن منيع</w:t>
            </w:r>
            <w:r>
              <w:rPr>
                <w:rStyle w:val="IndexLink"/>
                <w:rtl w:val="true"/>
              </w:rPr>
              <w:tab/>
            </w:r>
            <w:r>
              <w:rPr>
                <w:rStyle w:val="IndexLink"/>
              </w:rPr>
              <w:t>128</w:t>
            </w:r>
          </w:hyperlink>
        </w:p>
        <w:p>
          <w:pPr>
            <w:pStyle w:val="Contents6"/>
            <w:tabs>
              <w:tab w:val="clear" w:pos="7609"/>
              <w:tab w:val="right" w:pos="9026" w:leader="dot"/>
            </w:tabs>
            <w:rPr/>
          </w:pPr>
          <w:hyperlink w:anchor="__RefHeading___Toc928529_3650668749">
            <w:r>
              <w:rPr>
                <w:webHidden/>
                <w:rStyle w:val="IndexLink"/>
              </w:rPr>
              <w:t>5</w:t>
            </w:r>
            <w:r>
              <w:rPr>
                <w:rStyle w:val="IndexLink"/>
                <w:rtl w:val="true"/>
              </w:rPr>
              <w:t xml:space="preserve">- </w:t>
            </w:r>
            <w:r>
              <w:rPr>
                <w:rStyle w:val="IndexLink"/>
                <w:rtl w:val="true"/>
              </w:rPr>
              <w:t>الحسن بن صالح بن حي</w:t>
            </w:r>
            <w:r>
              <w:rPr>
                <w:rStyle w:val="IndexLink"/>
                <w:rtl w:val="true"/>
              </w:rPr>
              <w:tab/>
            </w:r>
            <w:r>
              <w:rPr>
                <w:rStyle w:val="IndexLink"/>
              </w:rPr>
              <w:t>130</w:t>
            </w:r>
          </w:hyperlink>
        </w:p>
        <w:p>
          <w:pPr>
            <w:pStyle w:val="Contents6"/>
            <w:tabs>
              <w:tab w:val="clear" w:pos="7609"/>
              <w:tab w:val="right" w:pos="9026" w:leader="dot"/>
            </w:tabs>
            <w:rPr/>
          </w:pPr>
          <w:hyperlink w:anchor="__RefHeading___Toc928531_3650668749">
            <w:r>
              <w:rPr>
                <w:webHidden/>
                <w:rStyle w:val="IndexLink"/>
              </w:rPr>
              <w:t>6</w:t>
            </w:r>
            <w:r>
              <w:rPr>
                <w:rStyle w:val="IndexLink"/>
                <w:rtl w:val="true"/>
              </w:rPr>
              <w:t xml:space="preserve">- </w:t>
            </w:r>
            <w:r>
              <w:rPr>
                <w:rStyle w:val="IndexLink"/>
                <w:rtl w:val="true"/>
              </w:rPr>
              <w:t>حمران بن أعين</w:t>
            </w:r>
            <w:r>
              <w:rPr>
                <w:rStyle w:val="IndexLink"/>
                <w:rtl w:val="true"/>
              </w:rPr>
              <w:tab/>
            </w:r>
            <w:r>
              <w:rPr>
                <w:rStyle w:val="IndexLink"/>
              </w:rPr>
              <w:t>133</w:t>
            </w:r>
          </w:hyperlink>
        </w:p>
        <w:p>
          <w:pPr>
            <w:pStyle w:val="Contents6"/>
            <w:tabs>
              <w:tab w:val="clear" w:pos="7609"/>
              <w:tab w:val="right" w:pos="9026" w:leader="dot"/>
            </w:tabs>
            <w:rPr/>
          </w:pPr>
          <w:hyperlink w:anchor="__RefHeading___Toc928533_3650668749">
            <w:r>
              <w:rPr>
                <w:webHidden/>
                <w:rStyle w:val="IndexLink"/>
              </w:rPr>
              <w:t>٧</w:t>
            </w:r>
            <w:r>
              <w:rPr>
                <w:rStyle w:val="IndexLink"/>
                <w:rtl w:val="true"/>
              </w:rPr>
              <w:t xml:space="preserve">- </w:t>
            </w:r>
            <w:r>
              <w:rPr>
                <w:rStyle w:val="IndexLink"/>
                <w:rtl w:val="true"/>
              </w:rPr>
              <w:t>سعّاد بن سليمان الجعفي</w:t>
            </w:r>
            <w:r>
              <w:rPr>
                <w:rStyle w:val="IndexLink"/>
                <w:rtl w:val="true"/>
              </w:rPr>
              <w:tab/>
            </w:r>
            <w:r>
              <w:rPr>
                <w:rStyle w:val="IndexLink"/>
              </w:rPr>
              <w:t>135</w:t>
            </w:r>
          </w:hyperlink>
        </w:p>
        <w:p>
          <w:pPr>
            <w:pStyle w:val="Contents6"/>
            <w:tabs>
              <w:tab w:val="clear" w:pos="7609"/>
              <w:tab w:val="right" w:pos="9026" w:leader="dot"/>
            </w:tabs>
            <w:rPr/>
          </w:pPr>
          <w:hyperlink w:anchor="__RefHeading___Toc928535_3650668749">
            <w:r>
              <w:rPr>
                <w:webHidden/>
                <w:rStyle w:val="IndexLink"/>
              </w:rPr>
              <w:t>٨</w:t>
            </w:r>
            <w:r>
              <w:rPr>
                <w:rStyle w:val="IndexLink"/>
                <w:rtl w:val="true"/>
              </w:rPr>
              <w:t xml:space="preserve">- </w:t>
            </w:r>
            <w:r>
              <w:rPr>
                <w:rStyle w:val="IndexLink"/>
                <w:rtl w:val="true"/>
              </w:rPr>
              <w:t>عبد السلام بن صالح الهروي</w:t>
            </w:r>
            <w:r>
              <w:rPr>
                <w:rStyle w:val="IndexLink"/>
                <w:rtl w:val="true"/>
              </w:rPr>
              <w:tab/>
            </w:r>
            <w:r>
              <w:rPr>
                <w:rStyle w:val="IndexLink"/>
              </w:rPr>
              <w:t>136</w:t>
            </w:r>
          </w:hyperlink>
        </w:p>
        <w:p>
          <w:pPr>
            <w:pStyle w:val="Contents6"/>
            <w:tabs>
              <w:tab w:val="clear" w:pos="7609"/>
              <w:tab w:val="right" w:pos="9026" w:leader="dot"/>
            </w:tabs>
            <w:rPr/>
          </w:pPr>
          <w:hyperlink w:anchor="__RefHeading___Toc928537_3650668749">
            <w:r>
              <w:rPr>
                <w:webHidden/>
                <w:rStyle w:val="IndexLink"/>
              </w:rPr>
              <w:t>٩</w:t>
            </w:r>
            <w:r>
              <w:rPr>
                <w:rStyle w:val="IndexLink"/>
                <w:rtl w:val="true"/>
              </w:rPr>
              <w:t xml:space="preserve">- </w:t>
            </w:r>
            <w:r>
              <w:rPr>
                <w:rStyle w:val="IndexLink"/>
                <w:rtl w:val="true"/>
              </w:rPr>
              <w:t>فطر بن خليفة</w:t>
            </w:r>
            <w:r>
              <w:rPr>
                <w:rStyle w:val="IndexLink"/>
                <w:rtl w:val="true"/>
              </w:rPr>
              <w:tab/>
            </w:r>
            <w:r>
              <w:rPr>
                <w:rStyle w:val="IndexLink"/>
              </w:rPr>
              <w:t>141</w:t>
            </w:r>
          </w:hyperlink>
        </w:p>
        <w:p>
          <w:pPr>
            <w:pStyle w:val="Contents6"/>
            <w:tabs>
              <w:tab w:val="clear" w:pos="7609"/>
              <w:tab w:val="right" w:pos="9026" w:leader="dot"/>
            </w:tabs>
            <w:rPr/>
          </w:pPr>
          <w:hyperlink w:anchor="__RefHeading___Toc928539_3650668749">
            <w:r>
              <w:rPr>
                <w:webHidden/>
                <w:rStyle w:val="IndexLink"/>
              </w:rPr>
              <w:t>١٠</w:t>
            </w:r>
            <w:r>
              <w:rPr>
                <w:rStyle w:val="IndexLink"/>
                <w:rtl w:val="true"/>
              </w:rPr>
              <w:t xml:space="preserve">- </w:t>
            </w:r>
            <w:r>
              <w:rPr>
                <w:rStyle w:val="IndexLink"/>
                <w:rtl w:val="true"/>
              </w:rPr>
              <w:t>ثوير بن أبي فاختة</w:t>
            </w:r>
            <w:r>
              <w:rPr>
                <w:rStyle w:val="IndexLink"/>
                <w:rtl w:val="true"/>
              </w:rPr>
              <w:tab/>
            </w:r>
            <w:r>
              <w:rPr>
                <w:rStyle w:val="IndexLink"/>
              </w:rPr>
              <w:t>144</w:t>
            </w:r>
          </w:hyperlink>
        </w:p>
        <w:p>
          <w:pPr>
            <w:pStyle w:val="Contents3"/>
            <w:tabs>
              <w:tab w:val="clear" w:pos="8459"/>
              <w:tab w:val="right" w:pos="9026" w:leader="dot"/>
            </w:tabs>
            <w:rPr/>
          </w:pPr>
          <w:hyperlink w:anchor="__RefHeading___Toc928541_3650668749">
            <w:r>
              <w:rPr>
                <w:webHidden/>
                <w:rStyle w:val="IndexLink"/>
                <w:rtl w:val="true"/>
              </w:rPr>
              <w:t>خلاصة الفصل الثالث</w:t>
            </w:r>
            <w:r>
              <w:rPr>
                <w:rStyle w:val="IndexLink"/>
                <w:rtl w:val="true"/>
              </w:rPr>
              <w:t xml:space="preserve">: </w:t>
            </w:r>
            <w:r>
              <w:rPr>
                <w:rStyle w:val="IndexLink"/>
                <w:rtl w:val="true"/>
              </w:rPr>
              <w:t>تألَّف هذا الفصل من مقدّمةٍ ومبحثَين</w:t>
            </w:r>
            <w:r>
              <w:rPr>
                <w:rStyle w:val="IndexLink"/>
                <w:rtl w:val="true"/>
              </w:rPr>
              <w:tab/>
            </w:r>
            <w:r>
              <w:rPr>
                <w:rStyle w:val="IndexLink"/>
              </w:rPr>
              <w:t>145</w:t>
            </w:r>
          </w:hyperlink>
        </w:p>
        <w:p>
          <w:pPr>
            <w:pStyle w:val="Contents2"/>
            <w:tabs>
              <w:tab w:val="clear" w:pos="8743"/>
              <w:tab w:val="right" w:pos="9026" w:leader="dot"/>
            </w:tabs>
            <w:rPr/>
          </w:pPr>
          <w:hyperlink w:anchor="__RefHeading___Toc928543_3650668749">
            <w:r>
              <w:rPr>
                <w:webHidden/>
                <w:rStyle w:val="IndexLink"/>
                <w:rtl w:val="true"/>
              </w:rPr>
              <w:t>فهرس المصادر</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4_13506"/>
      <w:bookmarkStart w:id="1" w:name="pg1614_13506"/>
      <w:bookmarkEnd w:id="1"/>
    </w:p>
    <w:p>
      <w:pPr>
        <w:pStyle w:val="Heading2"/>
        <w:numPr>
          <w:ilvl w:val="1"/>
          <w:numId w:val="1"/>
        </w:numPr>
        <w:rPr/>
      </w:pPr>
      <w:bookmarkStart w:id="2" w:name="pg1614_13506"/>
      <w:bookmarkStart w:id="3" w:name="__RefHeading___Toc928395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كروي، محمد</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فقدالاعتدال في نقدالرجال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تحليلية لشرطية عدالةالراوي عندالجمهور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الكروي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 تعديل</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علم‌الرجال</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ف</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۲۴۹۴۱۴۷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8397_3650668749"/>
      <w:bookmarkStart w:id="6" w:name="_Toc2"/>
      <w:bookmarkEnd w:id="5"/>
      <w:r>
        <w:rPr>
          <w:rtl w:val="true"/>
        </w:rPr>
        <w:t>الإهداء</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إلى الهادي من الضلال، والمرشد من العمى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معلِّم الإنسانية الأكبر، وهادي البشرية الأعظم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إلى المبعوث رحمة للعالمين، أبي 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إلى مَن اختارهم الله واصطفاهم أُمناء لوحيه وأبواباً لمعرفته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إلى الائمَّة من آل النبيّ الأطهار المظلومين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أُهدي هذا الجهد المتواضع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دَخَلُواْ عَلَيْهِ قَالُواْ يَا أَيُّهَا الْعَزِيزُ مَسَّنَا وَأَهْلَنَا الضُّرُّ وَجِئْنَا بِبِضَاعَةٍ مُّزْجَاةٍ فَأَوْفِ لَنَا الْكَيْلَ وَتَصَدَّقْ عَلَيْنَآ إِنَّ اللَّهَ يَجْزِي الْمُتَصَدِّقِينَ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4_13512"/>
      <w:bookmarkStart w:id="8" w:name="pg1614_13512"/>
      <w:bookmarkEnd w:id="8"/>
    </w:p>
    <w:p>
      <w:pPr>
        <w:pStyle w:val="Heading2"/>
        <w:numPr>
          <w:ilvl w:val="1"/>
          <w:numId w:val="1"/>
        </w:numPr>
        <w:rPr/>
      </w:pPr>
      <w:bookmarkStart w:id="9" w:name="pg1614_13512"/>
      <w:bookmarkStart w:id="10" w:name="__RefHeading___Toc928399_3650668749"/>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الحمد لله ربِّ العالمين، حمداً يفوق سائر الحمد، كفضل ربِّنا على جميع خلقه، والصلاة والسلام على أشرف الأنام، محمد وآله الطيِّبين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الاهتمام بالسُنَّة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وفعله 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الاهتمام بالشريعة بعينها؛ لأنَّ السُنَّة هي الركن الركين، والمَعين الذي لا ينضب للشريعة، بعد القرآن؛ لذا فقد اعتنى المسلمون بمختلف طوائفهم وفرقهم بالحديث وما يتعلَّق به اهتماماً منقطع النظير، فوضعوا لعلم الحديث قواعد وأُسس وضوابط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الطريق الغالب لوصول تلك السنَّة هو خبر الواحد الحاكي عن تلك السنَّة، وخبر الواحد له دعامتان أساسيتان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والسند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فقد وضع علماء الحديث وعلماء الأصول ضوابط لكلا الدعامتين، لا يُحتجّ بالخبر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فوضعوا للسند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طريق المتن،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مجموعة الرواة الذين مرَّ من خلالهم ذلك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والبلوغ، والضبط، واختلفوا في ضوابط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عليه جمهور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غير الشيعة الإمامية، وهم جمهور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العدالة في الراوي، وعدم كفاية الوثوق بالخبر أو كون الراوي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عليه مشهور الشيعة الإمامية، فهو كفاية كون الراوي ثقة، لا يكذب في الحديث</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مقام التأسيس والنظرية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هذا الكتاب إنَّما يتناول شرطية العدالة في الراوي عند الجمهور، ومدى انعكاسها وتطبيقها عملياً على طوائف خاصة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البحث ليس في أصل اشتراط العدالة، بل في مدى تطبيقها، بعد الفراغ من شرطيتها عند الجمهور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وسيثبت من خلال طيَّات هذا الكتاب أنَّ الجمهور اضطربوا أيّ اضطراب في تطبيق ما أسَّسوه في مقام النظرية، في خصوص شرط العدالة؛ فوثَّقوا رواةً لا ينبغي توثيقهم على مبانيهم، وضعَّفوا آخرين لا يستحقّون التضعيف على نفس المباني؛ لذا جاء عنوان الكتاب فقد الاعتدال في نقد الرجال ليشخِّص هذا الخلل في تطبيق النظرية على مصاديقها، ويشير إلى المطلوب في نقد الرجال</w:t>
      </w:r>
      <w:r>
        <w:rPr>
          <w:rFonts w:eastAsia="Amiri" w:cs="Amiri" w:ascii="Amiri" w:hAnsi="Amiri"/>
          <w:color w:val="111111"/>
          <w:sz w:val="28"/>
          <w:szCs w:val="28"/>
          <w:rtl w:val="true"/>
          <w:lang w:bidi="ar-SA"/>
        </w:rPr>
        <w:t xml:space="preserve">. </w:t>
      </w:r>
      <w:bookmarkStart w:id="12" w:name="pg1614_13514"/>
    </w:p>
    <w:p>
      <w:pPr>
        <w:pStyle w:val="Heading2"/>
        <w:numPr>
          <w:ilvl w:val="1"/>
          <w:numId w:val="1"/>
        </w:numPr>
        <w:rPr/>
      </w:pPr>
      <w:bookmarkStart w:id="13" w:name="__RefHeading___Toc928401_3650668749"/>
      <w:bookmarkStart w:id="14" w:name="_Toc4"/>
      <w:bookmarkEnd w:id="12"/>
      <w:bookmarkEnd w:id="13"/>
      <w:r>
        <w:rPr>
          <w:rtl w:val="true"/>
        </w:rPr>
        <w:t>الفصل‌الاول</w:t>
      </w:r>
      <w:r>
        <w:rPr>
          <w:rtl w:val="true"/>
        </w:rPr>
        <w:t xml:space="preserve">: </w:t>
      </w:r>
      <w:r>
        <w:rPr>
          <w:rtl w:val="true"/>
        </w:rPr>
        <w:t>بين يدى‌البحث</w:t>
      </w:r>
      <w:bookmarkEnd w:id="14"/>
    </w:p>
    <w:p>
      <w:pPr>
        <w:pStyle w:val="Heading3"/>
        <w:numPr>
          <w:ilvl w:val="2"/>
          <w:numId w:val="1"/>
        </w:numPr>
        <w:rPr/>
      </w:pPr>
      <w:bookmarkStart w:id="15" w:name="__RefHeading___Toc928403_3650668749"/>
      <w:bookmarkStart w:id="16" w:name="_Toc5"/>
      <w:bookmarkEnd w:id="15"/>
      <w:r>
        <w:rPr>
          <w:rtl w:val="true"/>
        </w:rPr>
        <w:t>المبحث الاول</w:t>
      </w:r>
      <w:r>
        <w:rPr>
          <w:rtl w:val="true"/>
        </w:rPr>
        <w:t xml:space="preserve">: </w:t>
      </w:r>
      <w:r>
        <w:rPr>
          <w:rtl w:val="true"/>
        </w:rPr>
        <w:t>الحاجة إلى علم الرجال</w:t>
      </w:r>
      <w:bookmarkEnd w:id="16"/>
    </w:p>
    <w:p>
      <w:pPr>
        <w:pStyle w:val="BookText"/>
        <w:rPr/>
      </w:pPr>
      <w:r>
        <w:rPr>
          <w:rFonts w:ascii="Amiri" w:hAnsi="Amiri" w:eastAsia="Amiri" w:cs="Amiri"/>
          <w:color w:val="111111"/>
          <w:sz w:val="28"/>
          <w:sz w:val="28"/>
          <w:szCs w:val="28"/>
          <w:rtl w:val="true"/>
          <w:lang w:bidi="ar-SA"/>
        </w:rPr>
        <w:t xml:space="preserve">لا يخفى على كل ذي مِسكة من عقل أنَّ 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المعصوم أو فعله أو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أحد أهمِّ مصادر التشريع الإسلامي، وهذا ممَّا لا يختلف عليه اثنان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الطريق الغالب لوصول السنّة الشريفة لنا هو خبر الواحد الحاكي لتلك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ثبوت حجّيته ولزوم العمل على طبق مؤدَّاه بشروط خاصة وضوابط معيّنة ذُكرت في محلّها، عند البحث عن حجّية وشرائط خبر الواحد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المُخبر عنه مُتَّكٍ على ركيزتين أساسيتين لا يقوم بدونهما، ألا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والمتن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 المتن، وهو جملة مَن رواه، من قولهم فلان سند،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فسُمِّي سنداً لاعتماد العلماء في صحة الحديث وضعفه عليه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فان من الواضح حينئذٍ أن لا غنى للمتعاملين مع السنّة الشريفة من فقهاء ومجتهدين عن علم الرجال، أو علم الجرح والتعديل كما يسمِّيه بعضهم؛ لأنَّه يؤمِّن الشروط المعتبرة في سلامة إحدى الركيزتين المتقدِّمتي الذكر؛ إذ من خلاله يتمّ البتُّ باستيفاء الخبر للشروط الخاصة المتعلِّقة بالسند أو عدم استيفائه لتلك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فالحاجة إلى معرفة حال رواة الحديث، من حيث اتِّصافهم بتلك الشروط الخاصة أو عدم اتّصافهم بها، تتمّ من خلال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الحلي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العلم بحال الرواة من أساس الأحكام الشرعية، وعليه تبتني القواعد 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مجتهد معرفته وعلمه، ولا يسوغ له تركه وجهله؛ إذ أكثر الأحكام تُستفاد من الأخبار النبويَّة والروايات عن الأئَّمة المهدية</w:t>
      </w:r>
      <w:r>
        <w:rPr>
          <w:rFonts w:eastAsia="Amiri" w:cs="Amiri" w:ascii="Amiri" w:hAnsi="Amiri"/>
          <w:color w:val="111111"/>
          <w:sz w:val="28"/>
          <w:szCs w:val="28"/>
          <w:rtl w:val="true"/>
          <w:lang w:bidi="ar-SA"/>
        </w:rPr>
        <w:t xml:space="preserve">. . .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وقال الفخر الرازي في المحصول في علم أصول الفقه، عند ذكر العلوم التي لابدَّ للمجتهد من معرفتها، 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العلوم التي يحتاج المجتهد، إليها،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الأحكام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العلم بهذه الأربعة، ولابدَّ معها من أربعةٍ أُخرى، اثنان مقدّمان واثنان مؤخّران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أمَّا العِلمان المُتمّان فأحدهما يتعلّق بالكتاب، وهو علم الناسخ والمنسوخ، والآخر بالسنّة، وهو علم الجرح والتعديل ومعرفة أحوال الرجال</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البعض إلغاء دور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الأعصار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بذرائع شتّى، فهذا الفخر الرازي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البحث عن أحوال الرجال في زماننا هذا، مع طول المدّة وكثرة الوسائط، أمر كالمتعذّر، فالأولى الاكتفاء بتعديل الأئمّة الذين اتَّفق الخلق على عدالتهم، كالبخاري و مسلم وأمثالهما</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ولا يخفى ما في هذا الرأي من ضعف؛ إذ دعوى تعذّر معرفة أحوال الرجال مردودة على مدَّعيها إلى أن تثبت بالدليل، ثُمَّ في الموارد التي لا يتَّفق عليها الأئمَّة المذكورون، كيف يتمّ التعامل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الموارد التي سكتوا عنها أو كانت عباراتهم فيها مُجمَلَة، فما العمل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فلابدَّ للمجتهد أن يُعمل رأيه كي يثبت توفّر الشروط المعينة في فلان باعتباره راوٍ أو عدم توفرها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وأضف لكل ما سبق أنَّ هؤلاء الأئمَّة المذكورين لا يعدون كونهم مجتهدين، وقد تسالم في الفقه وغيره أنَّ قول المجتهد ليس بحجةٍ على مجتهدٍ آخر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كما أنَّ هناك آخرين ادَّعوا نفس الدعوى الآنفة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عدم الحاجة إلى علم الرجال، وخصوصاً في الأعصار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بذريعة قطعية صدور روايات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وصحيح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وذهب إلى قطعية روايات الصحيحين أغلب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الدكتور صبحي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بين المُحدِّثين في أنَّ كلا من المتواتر اللفظي والمعنوي يُوجِب العلم القطعي اليقيني، وإنّما هم يختلفون في الحديث الصحيح الآحادي، هل يفيد الظن أم القطع؟ فالنووي في التقريب يراه ظني الثبوت، وأكثر أهل الحديث يقطعون منه بما أخرجه الشيخان البخاري ومسلم، وبعضهم يُرجِّحون أنَّ الآحادي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أخرجه الشيخان أم سواهما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العلم القطعي اليقيني، كالمتواتر بقسميه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خبر الواحد العدل عن مثله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العلم والعمل معاً</w:t>
      </w:r>
      <w:r>
        <w:rPr>
          <w:rFonts w:eastAsia="Amiri" w:cs="Amiri" w:ascii="Amiri" w:hAnsi="Amiri"/>
          <w:color w:val="111111"/>
          <w:sz w:val="28"/>
          <w:szCs w:val="28"/>
          <w:rtl w:val="true"/>
          <w:lang w:bidi="ar-SA"/>
        </w:rPr>
        <w:t>»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الدعوى أيضاً مردودة؛ إذ حتى لو سُلِّم بقطعية صدور ما في الصحيحين، فالحاجة تبقى ماسَّة إلى علم الرجال؛ لأنَّ أدلة الأحكام لا تختصّ بالصحيحين، بل إنَّ الثابت بما لايقبل الشك أنَّ الكثير من الروايات الصحاح قد وردت في غير هذين الصحيحين، وهذا ما لا يحتاج الى دليل</w:t>
      </w:r>
      <w:r>
        <w:rPr>
          <w:rFonts w:eastAsia="Amiri" w:cs="Amiri" w:ascii="Amiri" w:hAnsi="Amiri"/>
          <w:color w:val="111111"/>
          <w:sz w:val="28"/>
          <w:szCs w:val="28"/>
          <w:rtl w:val="true"/>
          <w:lang w:bidi="ar-SA"/>
        </w:rPr>
        <w:t xml:space="preserve">. </w:t>
      </w:r>
      <w:bookmarkStart w:id="17" w:name="pg1614_13517"/>
    </w:p>
    <w:p>
      <w:pPr>
        <w:pStyle w:val="BookText"/>
        <w:rPr/>
      </w:pPr>
      <w:bookmarkEnd w:id="17"/>
      <w:r>
        <w:rPr>
          <w:rFonts w:ascii="Amiri" w:hAnsi="Amiri" w:eastAsia="Amiri" w:cs="Amiri"/>
          <w:color w:val="111111"/>
          <w:sz w:val="28"/>
          <w:sz w:val="28"/>
          <w:szCs w:val="28"/>
          <w:rtl w:val="true"/>
          <w:lang w:bidi="ar-SA"/>
        </w:rPr>
        <w:t xml:space="preserve">على أنَّ نفس الدعوى غير مسلّمة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غير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الصحيح باقٍ على ظنيّته لا يوجب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قطعاً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 من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الحنفيّون والشافعيون، وجمهور المالكيين، وجميع المعتزلة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الواحد لا يوجب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عند جميعهم أنَّه قد يمكن أن يكون كذباً أو موهوماً فيه، واتَّفقوا كلّهم في هذا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ومعنى هذا أنَّ مشهور الجمهور قائل ببقاء الحديث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بلغ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الظنية، ولا ينقلب إلى قطعي الصدور كي يوجب علماً كما في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إلى هنا أن لا غنى للمجتهد عن علم الرجال؛ لأهمِّيته التي لا تُنكَر في إثبات السنّة الشريفة، التي هي ثاني مصدر من المصادر التي تعيّن الاحكام الشرعية بعد القرآن الكريم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28405_3650668749"/>
      <w:bookmarkStart w:id="19" w:name="_Toc6"/>
      <w:bookmarkEnd w:id="18"/>
      <w:r>
        <w:rPr>
          <w:rtl w:val="true"/>
        </w:rPr>
        <w:t>المبحث الثانى</w:t>
      </w:r>
      <w:r>
        <w:rPr>
          <w:rtl w:val="true"/>
        </w:rPr>
        <w:t xml:space="preserve">: </w:t>
      </w:r>
      <w:r>
        <w:rPr>
          <w:rtl w:val="true"/>
        </w:rPr>
        <w:t>إشارة إجمالية إلي ضوابط وشروط الراوى عند الجمهور</w:t>
      </w:r>
      <w:bookmarkEnd w:id="19"/>
    </w:p>
    <w:p>
      <w:pPr>
        <w:pStyle w:val="BookText"/>
        <w:rPr/>
      </w:pPr>
      <w:r>
        <w:rPr>
          <w:rFonts w:ascii="Amiri" w:hAnsi="Amiri" w:eastAsia="Amiri" w:cs="Amiri"/>
          <w:color w:val="111111"/>
          <w:sz w:val="28"/>
          <w:sz w:val="28"/>
          <w:szCs w:val="28"/>
          <w:rtl w:val="true"/>
          <w:lang w:bidi="ar-SA"/>
        </w:rPr>
        <w:t>لقد اتَّفقت كلمة الجمهور على شروط اعتبروها في الراوي كي يؤخَذ بروايته، فادَّعى كثير منهم الإجماع، بل الاتفاق عليها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الشروط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البلوغ، العدالة، والضبط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في ذلك كلمة أهل الحديث، محدِّثين ورجاليين، وأهل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علم الأصول عندهم شامل لجميع ما يتعلَّق بالمُخبِر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الراوي، والمُخبَر عنه وهو مدلول الخبر، والخبر نفسه وهو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الجميع أصولييهم تعرَّضوا لشرائط الراوي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هنا أن نتعرَّض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طائفةٍ من أقوال أهل الحديث، ثُمَّ الأصوليين في تلك الشرائط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أجمع جماهير أئمَّة الحديث والفقه على أنَّه يشترط فيمَن يُحتَجّ بروايته أن يكون عدلاً ضابطاً لما يرويه، وتفصيله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بالغاً، عاقلاً، سالماً من أسباب الفسق وخوارم المروءة، متيقّظاً غير مُغفل، حافظاً إن حدّث من حفظه، ضابطاً لكتابه إن حدّث منه، وإن كان يُحدِّث بالمعنى، اشترط فيه مع ذلك أن يكون عالماً بما يُحيل من المعاني</w:t>
      </w:r>
      <w:r>
        <w:rPr>
          <w:rFonts w:eastAsia="Amiri" w:cs="Amiri" w:ascii="Amiri" w:hAnsi="Amiri"/>
          <w:color w:val="111111"/>
          <w:sz w:val="28"/>
          <w:szCs w:val="28"/>
          <w:rtl w:val="true"/>
          <w:lang w:bidi="ar-SA"/>
        </w:rPr>
        <w:t>. . . .</w:t>
      </w:r>
      <w:r>
        <w:rPr>
          <w:rStyle w:val="FootnoteAnchor"/>
          <w:rtl w:val="true"/>
        </w:rPr>
        <w:footnoteReference w:id="9"/>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جُماعة الإجماع أيضاً،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جماهير أئمة العلم بالحديث والفقه والأصول على أنَّه يشترط فيمَن يحتجّ بحديثه العدالة والضبط، فالعدالة أن يكون مسلماً بالغاً عاقلاً سليماً من أسباب الفسق وخوارم المروءة، والضبط أن يكون متيقّظاً حافظاً إن حدَّث</w:t>
      </w:r>
      <w:r>
        <w:rPr>
          <w:rFonts w:eastAsia="Amiri" w:cs="Amiri" w:ascii="Amiri" w:hAnsi="Amiri"/>
          <w:color w:val="111111"/>
          <w:sz w:val="28"/>
          <w:szCs w:val="28"/>
          <w:rtl w:val="true"/>
          <w:lang w:bidi="ar-SA"/>
        </w:rPr>
        <w:t>. . . .</w:t>
      </w:r>
      <w:r>
        <w:rPr>
          <w:rStyle w:val="FootnoteAnchor"/>
          <w:rtl w:val="true"/>
        </w:rPr>
        <w:footnoteReference w:id="10"/>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أيضاً السيوطي قائلاً في صفة مَن تُقبَل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الجماهير من أئمّة الحديث والفقه أنَّه يشترط فيه أن يكون عدلاً ضابطاً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مسلماً بالغاً عاقلاً سليماً من أسباب الفسق وخوارم</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إلى أن قال معلّقاً على السلامة من أسباب الفسق وخوارم المروءة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ما حرّر في الشهادات من كتب الفقه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تأخذوا العلم إلاَّ ممَّن تقبلون شهادته</w:t>
      </w:r>
      <w:r>
        <w:rPr>
          <w:rFonts w:eastAsia="Amiri" w:cs="Amiri" w:ascii="Amiri" w:hAnsi="Amiri"/>
          <w:color w:val="111111"/>
          <w:sz w:val="28"/>
          <w:szCs w:val="28"/>
          <w:rtl w:val="true"/>
          <w:lang w:bidi="ar-SA"/>
        </w:rPr>
        <w:t xml:space="preserve">» . . . .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وكأنَّه يرى أنَّ عدالة الراوي هي عينها عدالة الشاهد، أي لا تكفي العدالة الظاهرية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في المبحث اللاحق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ترقّى بعضهم وذكر الاتفاق على ذلك، كما أدّعاه الدمشقي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علماء </w:t>
      </w:r>
    </w:p>
    <w:p>
      <w:pPr>
        <w:pStyle w:val="BookText"/>
        <w:rPr/>
      </w:pPr>
      <w:r>
        <w:rPr>
          <w:rFonts w:ascii="Amiri" w:hAnsi="Amiri" w:eastAsia="Amiri" w:cs="Amiri"/>
          <w:color w:val="111111"/>
          <w:sz w:val="28"/>
          <w:sz w:val="28"/>
          <w:szCs w:val="28"/>
          <w:rtl w:val="true"/>
          <w:lang w:bidi="ar-SA"/>
        </w:rPr>
        <w:t>الحديث على أنَّه لا يُؤخَذ بالحديث إلاَّ إذا كانت رواته موصوفين بالعدالة والضبط</w:t>
      </w:r>
      <w:r>
        <w:rPr>
          <w:rFonts w:eastAsia="Amiri" w:cs="Amiri" w:ascii="Amiri" w:hAnsi="Amiri"/>
          <w:color w:val="111111"/>
          <w:sz w:val="28"/>
          <w:szCs w:val="28"/>
          <w:rtl w:val="true"/>
          <w:lang w:bidi="ar-SA"/>
        </w:rPr>
        <w:t>. . .» .</w:t>
      </w:r>
      <w:r>
        <w:rPr>
          <w:rStyle w:val="FootnoteAnchor"/>
          <w:rtl w:val="true"/>
        </w:rPr>
        <w:footnoteReference w:id="12"/>
      </w:r>
      <w:r>
        <w:rPr>
          <w:rFonts w:ascii="Amiri" w:hAnsi="Amiri" w:eastAsia="Amiri" w:cs="Amiri"/>
          <w:color w:val="111111"/>
          <w:sz w:val="28"/>
          <w:sz w:val="28"/>
          <w:szCs w:val="28"/>
          <w:rtl w:val="true"/>
          <w:lang w:bidi="ar-SA"/>
        </w:rPr>
        <w:t xml:space="preserve">نعم، اشترط بعضهم شروطاً زائدة على ذلك، كاشتراط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 من التدليس</w:t>
      </w:r>
      <w:r>
        <w:rPr>
          <w:rStyle w:val="FootnoteAnchor"/>
          <w:rtl w:val="true"/>
        </w:rPr>
        <w:footnoteReference w:id="13"/>
      </w:r>
      <w:r>
        <w:rPr>
          <w:rFonts w:ascii="Amiri" w:hAnsi="Amiri" w:eastAsia="Amiri" w:cs="Amiri"/>
          <w:color w:val="111111"/>
          <w:sz w:val="28"/>
          <w:sz w:val="28"/>
          <w:szCs w:val="28"/>
          <w:rtl w:val="true"/>
          <w:lang w:bidi="ar-SA"/>
        </w:rPr>
        <w:t>، كما وافقه في ذلك الخطيب البغدادي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خبر الواحد حتى تثبت عدالة رجاله واتِّصال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العدالة أن يكون الراوي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وينبغي أن لا يكون مُدلِّساً في روايته</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أمَّا الأصوليون، فلم يتعدّوا هذه الشروط، وهذه نماذج مُنتقاة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للعمل بخبر الواحد شرائط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الأول التكليف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أهل القبلة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وهي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 .» .</w:t>
      </w:r>
      <w:r>
        <w:rPr>
          <w:rStyle w:val="FootnoteAnchor"/>
          <w:rtl w:val="true"/>
        </w:rPr>
        <w:footnoteReference w:id="15"/>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السرخسي إنَّ هذه الشرائط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والضبط، والعدالة، والإسلام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عين تلك الشروط الآمدي،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الشروط المعتبرة فهي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الراوي مُكلَّفاً؛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ضبطه لما يسمعه أرجح من عدم ضبطه؛ 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متصفاً بالعدالة</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تلخّص إلى هنا أنَّ محدِّثي الجمهور و أصوليّيهم مجمعون على شرطية هذه </w:t>
      </w:r>
      <w:bookmarkStart w:id="20" w:name="pg1614_13520"/>
    </w:p>
    <w:p>
      <w:pPr>
        <w:pStyle w:val="BookText"/>
        <w:rPr/>
      </w:pPr>
      <w:bookmarkEnd w:id="20"/>
      <w:r>
        <w:rPr>
          <w:rFonts w:ascii="Amiri" w:hAnsi="Amiri" w:eastAsia="Amiri" w:cs="Amiri"/>
          <w:color w:val="111111"/>
          <w:sz w:val="28"/>
          <w:sz w:val="28"/>
          <w:szCs w:val="28"/>
          <w:rtl w:val="true"/>
          <w:lang w:bidi="ar-SA"/>
        </w:rPr>
        <w:t>الشروط الأربعة في الراوي، نعم أضاف بعضهم شرط عدم التدليس، وهذا لا يضرّ بإجماعهم واتفاقهم المذكور</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21" w:name="__RefHeading___Toc928407_3650668749"/>
      <w:bookmarkStart w:id="22" w:name="_Toc7"/>
      <w:bookmarkEnd w:id="21"/>
      <w:r>
        <w:rPr>
          <w:rtl w:val="true"/>
        </w:rPr>
        <w:t>المبحث الثالث</w:t>
      </w:r>
      <w:r>
        <w:rPr>
          <w:rtl w:val="true"/>
        </w:rPr>
        <w:t xml:space="preserve">: </w:t>
      </w:r>
      <w:r>
        <w:rPr>
          <w:rtl w:val="true"/>
        </w:rPr>
        <w:t xml:space="preserve">نظرة تفصيلية لشرطية العدالة عند الجمهور </w:t>
      </w:r>
      <w:r>
        <w:rPr/>
        <w:t>٢</w:t>
      </w:r>
      <w:bookmarkEnd w:id="22"/>
    </w:p>
    <w:p>
      <w:p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أفردنا العدالة بالتفصيل؛ لأنَّها مدار البحث، وفيها ومنها نشأ الكثير من الاضطراب بين ما اشتُرِط نظرياً، وبين ما توصَّلوا إليه واصطدموا به في مقام الجري العملي؛ إذ إنّهم وضعوا في العدالة شروط وأركان اختلفت أو تخلَّفت عند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نتعرّف على العدالة المُشترَطة كشرط أساسي من شروط الراوي، فالجمهور مجمعون على شرطيتها، وعدم كفاية الوثاقة من الواضحات عندهم، وهذه نُبذ من أهمّ ما قيل في شرطيتها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البغدادي في كفايته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الفضل محمد بن عبيد الله المالكي إنه قرأ على القاضي أبي بكر محمد بن الطيب</w:t>
      </w:r>
      <w:r>
        <w:rPr>
          <w:rStyle w:val="FootnoteAnchor"/>
          <w:rtl w:val="true"/>
        </w:rPr>
        <w:footnoteReference w:id="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والعدالة المطلوبة في صفة الشاهد والمُخبِر هي العدالة، الراجعة إلى </w:t>
      </w:r>
    </w:p>
    <w:p>
      <w:pPr>
        <w:pStyle w:val="BookText"/>
        <w:rPr/>
      </w:pPr>
      <w:r>
        <w:rPr>
          <w:rFonts w:ascii="Amiri" w:hAnsi="Amiri" w:eastAsia="Amiri" w:cs="Amiri"/>
          <w:color w:val="111111"/>
          <w:sz w:val="28"/>
          <w:sz w:val="28"/>
          <w:szCs w:val="28"/>
          <w:rtl w:val="true"/>
          <w:lang w:bidi="ar-SA"/>
        </w:rPr>
        <w:t>استقامة دينه وسلامة مذهبه، وسلامته من الفسق وما يجري مجراه بما اتفق أنَّه مُبطِل العدالة، من أفعال الجوارح والقلوب المنهي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أن يقال في جميع صفات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اتّباع أوامر الله تعالى والانتهاء عن ارتكاب ما نهى عنه، ممّا يُسقط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مع ذلك أنَّه لا يكاد يسلم المكلَّف من البشر من كل ذنب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فيجب لذلك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العدل هو مَن عُرف بأداء فرائضه ولزوم ما أُمر به وتوقّي ما نُهي عنه، وتجنّب الفواحش المُسقطة، وتحرّي الحق والواجب في أفعاله ومعاملاته، والتوقّي في لفظه ممّا يثلم الدين والمروءة، فمن كانت هذه حاله، فهو الموصوف بأنَّه عدل في دينه ومعروف بالصدق في حديثه، وليس يكفيه في ذلك اجتناب الكبائر من الذنوب</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فيلاحظ هنا تأكيد الخطيب البغدادي على أنَّ اجتناب الكبائر لا يكفي في تحقق العدالة، بل لابد منه وبالاضافة إلى ذلك تجنّب كل ما يثلم الدين، بل والمروءة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عدالة المُحدِّث أن يكون مسلماً لا يدعو إلى بدعة، ولا يُعلن من أنواع المعاصي ما تسقط به عدالته</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ويلاحظ في هذا القول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العدالة، وهذا لا ينافي ما تقدم من قول الخطيب البغدادي؛ لأنَّ البدعة من الأمور التي توجب الفسق، كما سيتضح ذلك قريباً عند الكلام عنها، فهي من الفواحش المُسقطة وهي مما يثلم الدين كما سيتضح، بل إنَّ الخطيب البغدادي صرَّح أيضاً بذلك عند تعليقه على قول شعبة </w:t>
      </w:r>
      <w:r>
        <w:rPr>
          <w:rStyle w:val="FootnoteAnchor"/>
          <w:rtl w:val="true"/>
        </w:rPr>
        <w:footnoteReference w:id="23"/>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عن أهل الشرف؛ فإنَّهم لا يكذبون</w:t>
      </w:r>
      <w:r>
        <w:rPr>
          <w:rFonts w:eastAsia="Amiri" w:cs="Amiri" w:ascii="Amiri" w:hAnsi="Amiri"/>
          <w:color w:val="111111"/>
          <w:sz w:val="28"/>
          <w:szCs w:val="28"/>
          <w:rtl w:val="true"/>
          <w:lang w:bidi="ar-SA"/>
        </w:rPr>
        <w:t>» .</w:t>
      </w:r>
      <w:r>
        <w:rPr>
          <w:rStyle w:val="FootnoteAnchor"/>
          <w:rtl w:val="true"/>
        </w:rPr>
        <w:footnoteReference w:id="24"/>
      </w:r>
      <w:r>
        <w:rPr>
          <w:rFonts w:ascii="Amiri" w:hAnsi="Amiri" w:eastAsia="Amiri" w:cs="Amiri"/>
          <w:color w:val="111111"/>
          <w:sz w:val="28"/>
          <w:sz w:val="28"/>
          <w:szCs w:val="28"/>
          <w:rtl w:val="true"/>
          <w:lang w:bidi="ar-SA"/>
        </w:rPr>
        <w:t>قال الخطيب مُعلِّقاً على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p>
    <w:p>
      <w:pPr>
        <w:pStyle w:val="BookText"/>
        <w:rPr/>
      </w:pPr>
      <w:r>
        <w:rPr>
          <w:rFonts w:ascii="Amiri" w:hAnsi="Amiri" w:eastAsia="Amiri" w:cs="Amiri"/>
          <w:color w:val="111111"/>
          <w:sz w:val="28"/>
          <w:sz w:val="28"/>
          <w:szCs w:val="28"/>
          <w:rtl w:val="true"/>
          <w:lang w:bidi="ar-SA"/>
        </w:rPr>
        <w:t>بعد استقامة الطريقة وثبوت العدالة والسلامة من البدعة، فأمّا مَن لم يكن على هذه الصفة، فيجب العدول عنه واجتناب السماع منه</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مَلَكَة تحمله على التقوى والمروءة، والمراد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الأعمال السيئة، من شركٍ أو فسق أو بدعة</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السخاوي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وضابطها إجمالاً أنَّها مَلَكَة تحمل على ملازمة التقوى والمروءة، والمراد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الأعمال السيئة من شرك أو فسق أو بدعة</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الوزير، عند تعريفه للعدالة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محافظة دينية تحمل على ملازمة التقوى والمروءة، ليس معها بدعة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وقولنا ليس معها بدعة؛ ليخرج المُبتدِع، إذ هؤلاء ليسوا عدولاً</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الشروط الراجعة إلى الراوي فخمسة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هيئة راسخة في النفس، تحمل على ملازمة التقوى والمروءة جميعاً، حتى يحصل ثقة النفس بصدقه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واعلم أنَّ العدالة شرط بالاتفاق، لكن اختُلف في معناها، فعند الحنفية عبارة عن الإسلام وعدم الفسق، وعندنا ملكة في النفس تمنع من اقتراف الكبائر وصغائر الخسّة، كسرقة لقمة، والرذائل المباحة</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على هذا، فإنَّ البدعة من موانع العدالة، سواء على قول الحنفية أم على قول غيرهم القائلين بالملكة، وسيتَّضح ذلك أكثر عند الكلام عن البدعة وإثبات كونها من الذنوب المُؤاخَذ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الدمشقي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وأصل عدالة المُحدِّث أن يكون مسلماً لا يدعو إلى بدعة</w:t>
      </w:r>
      <w:r>
        <w:rPr>
          <w:rFonts w:eastAsia="Amiri" w:cs="Amiri" w:ascii="Amiri" w:hAnsi="Amiri"/>
          <w:color w:val="111111"/>
          <w:sz w:val="28"/>
          <w:szCs w:val="28"/>
          <w:rtl w:val="true"/>
          <w:lang w:bidi="ar-SA"/>
        </w:rPr>
        <w:t>» .</w:t>
      </w:r>
      <w:r>
        <w:rPr>
          <w:rStyle w:val="FootnoteAnchor"/>
          <w:rtl w:val="true"/>
        </w:rPr>
        <w:footnoteReference w:id="3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أهمّ الأقوال في مسألة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ونستطيع أن نستنتج من هذه الأقوال 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شرط اتفاقي بينهم، لم يشذّ أحد من محدّثي الجمهور ورجالييهم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يتطرَّق أي واحد منهم إلى كفاية الوثاقة وعدم الكذب، وهذا يعني عدم كفاية ذلك، بل لابد من إحراز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على العدالة، اختُلف 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كونها عدم ارتكاب المفسق، أو أنَّها مَلَكَة تمنع من ارتكاب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صغائرها وكبائرها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كلا القولين فإنَّ المداومة على ارتكاب ذنب معيَّن يكشف قطعاً وجزماً عن عدم العدالة، سواء قيل إنَّها عدم ارتكاب المفسق هذا واضح؛ لأنَّ ارتكاب ذنب ما هو من المفسقات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قيل بأنَّها 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المداومة على الذنب يكشف عن عدم تلك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فالمبتدع المقيم على بدعته المفسقة غير عادل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العدالة، فمَن صرَّح بذلك مباشرة، كما هو في القول رقم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فهذا واضح عندهم، أمَّا القول رقم</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وهو قول الخطيب البغدادي، فقد صرَّح بنفسه في موضع آخر على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لم يصرح، فدخول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في مفهوم العدالة متوقّف على إثبات كون البدعة من الأمور المفسقة، وارتكابها يُعدّ من المخالفات الصريحة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خصّصنا البدعة هنا بالكلام دون غيرها من شروط العدالة و أركانها وموانعها، لمساسها الكبير ببحثنا، على ما سيتبيَّن لاحقاً في بحث النصب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أيضاً على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العدالة، كون البدعة أحد أسباب الجرح والطعن في الراوي، حيث ذكروا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الجرح مختلفة، ومدارها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أو المخالفة، أو الغلط، أو جهالة الحال، أو دعوى الانقطاع في السند</w:t>
      </w:r>
      <w:r>
        <w:rPr>
          <w:rFonts w:eastAsia="Amiri" w:cs="Amiri" w:ascii="Amiri" w:hAnsi="Amiri"/>
          <w:color w:val="111111"/>
          <w:sz w:val="28"/>
          <w:szCs w:val="28"/>
          <w:rtl w:val="true"/>
          <w:lang w:bidi="ar-SA"/>
        </w:rPr>
        <w:t>. . .» .</w:t>
      </w:r>
      <w:r>
        <w:rPr>
          <w:rStyle w:val="FootnoteAnchor"/>
          <w:rtl w:val="true"/>
        </w:rPr>
        <w:footnoteReference w:id="3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العدالة، أظهر الذهبي استغرابه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w:t>
      </w:r>
      <w:bookmarkStart w:id="23" w:name="pg1614_13524"/>
    </w:p>
    <w:p>
      <w:pPr>
        <w:pStyle w:val="BookText"/>
        <w:rPr/>
      </w:pPr>
      <w:bookmarkEnd w:id="23"/>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ناسباً ذلك الاستغراب لقائل، فقال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ساغ توثيق مبتدع، وحدُّ الثقة العدالة والإتقان، فكيف يكون عدلاً مَن هو صاحب بدعة؟ </w:t>
      </w:r>
      <w:r>
        <w:rPr>
          <w:rFonts w:eastAsia="Amiri" w:cs="Amiri" w:ascii="Amiri" w:hAnsi="Amiri"/>
          <w:color w:val="111111"/>
          <w:sz w:val="28"/>
          <w:szCs w:val="28"/>
          <w:rtl w:val="true"/>
          <w:lang w:bidi="ar-SA"/>
        </w:rPr>
        <w:t>! . . .»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نقف عند مفهوم البدعة وماهيتها، كي تتَّضح حدود العدالة بصورةٍ أدقّ</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928409_3650668749"/>
      <w:bookmarkStart w:id="25" w:name="_Toc8"/>
      <w:bookmarkEnd w:id="24"/>
      <w:r>
        <w:rPr>
          <w:rtl w:val="true"/>
        </w:rPr>
        <w:t>المبحث الرابع</w:t>
      </w:r>
      <w:r>
        <w:rPr>
          <w:rtl w:val="true"/>
        </w:rPr>
        <w:t xml:space="preserve">: </w:t>
      </w:r>
      <w:r>
        <w:rPr>
          <w:rtl w:val="true"/>
        </w:rPr>
        <w:t>البِدْعَة وحقيقتها عند الجمهور</w:t>
      </w:r>
      <w:bookmarkEnd w:id="25"/>
    </w:p>
    <w:p>
      <w:pPr>
        <w:pStyle w:val="BookText"/>
        <w:rPr/>
      </w:pPr>
      <w:r>
        <w:rPr>
          <w:rFonts w:ascii="Amiri" w:hAnsi="Amiri" w:eastAsia="Amiri" w:cs="Amiri"/>
          <w:color w:val="111111"/>
          <w:sz w:val="28"/>
          <w:sz w:val="28"/>
          <w:szCs w:val="28"/>
          <w:rtl w:val="true"/>
          <w:lang w:bidi="ar-SA"/>
        </w:rPr>
        <w:t>قبل البدء بمناقشة ماهية البدعة وحقيقتها عند الجمهور، نستعرض المفهوم اللغوي للبدعة، لمساسه وقربه من معناها الاصطلاحي، وفيما يلي تعريف البِدْعَة لغةً في أهمِّ المصادر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د 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الباء والدال والعين أصلان،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الشيء وصنعه لا عن مثال،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والكلال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أبدعت الشيء قولاً أو فعلاً، إذا ابتدأته لا عن مثال، والله بديع السماوات والأرض،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فلان الركي، إذا استنبطه، وفلان بدع في الأمر،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أوّل</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والبديع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يكون أولاً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وما ابتدع من الدين بعد الإكمال،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كل محدثة</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أما البِدعَة في الاصطلاح، فهي لا تبتعد كثيراً عن المعنى اللغوي، وهذا بسط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رجب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ممّا لا أصل له في الشريعة يدل عليه، أمّا ما كان له أصل من الشرع يدل عليه، فليس ببدعة شرعاً، وإن كان بدعة لغة</w:t>
      </w:r>
      <w:r>
        <w:rPr>
          <w:rFonts w:eastAsia="Amiri" w:cs="Amiri" w:ascii="Amiri" w:hAnsi="Amiri"/>
          <w:color w:val="111111"/>
          <w:sz w:val="28"/>
          <w:szCs w:val="28"/>
          <w:rtl w:val="true"/>
          <w:lang w:bidi="ar-SA"/>
        </w:rPr>
        <w:t>» .</w:t>
      </w:r>
      <w:r>
        <w:rPr>
          <w:rStyle w:val="FootnoteAnchor"/>
          <w:rtl w:val="true"/>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الجرجاني، فلم يختلف تعريفه عمّا تقدَّم؛ إذ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المخالفة للسنة،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محدث بدعة، وكلّ بدعة ضلالة، وكلّ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قد يكون منها ما ليس بمكروه فيسمّى بدعة مباحة، وهو ما شهد لجنسه أصل في الشرع، أو اقتضته مصلحة تندفع بها مفسدة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التفتازاني،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المحدث في الدين من غير أن يكون في عهد الصحابة والتابعين، ولا دلَّ عليه الدليل الشرعي</w:t>
      </w:r>
      <w:r>
        <w:rPr>
          <w:rFonts w:eastAsia="Amiri" w:cs="Amiri" w:ascii="Amiri" w:hAnsi="Amiri"/>
          <w:color w:val="111111"/>
          <w:sz w:val="28"/>
          <w:szCs w:val="28"/>
          <w:rtl w:val="true"/>
          <w:lang w:bidi="ar-SA"/>
        </w:rPr>
        <w:t>» .</w:t>
      </w:r>
      <w:r>
        <w:rPr>
          <w:rStyle w:val="FootnoteAnchor"/>
          <w:rtl w:val="true"/>
        </w:rPr>
        <w:footnoteReference w:id="37"/>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ذكرها أبو البقاء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عملٍ على غير مثال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الحدث في الدين بعد الإكمال، أو ما أستُحدث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الأهواء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هي أصغر من الكفر وأكبر من الفسق، وفي المحيط الرضوي أنَّ كل بدعة تخالف دليلاً يوجب العلم والعمل به فهي كفر، وكل بدعةٍ تخالف دليلاً يوجب العمل ظاهراً فهي ضلالة وليست بكفر، وقد اعتمد عليه عامة أهل السنّة والجماعة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الشاطبي في كلام طويل الذيل، ننقل منه موضع الحاجة، فقد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البدعة طريقة في الدين مخترعة تضاهي الشرعية، يقصد بالسلوك عليها ما يقصد بالطريقة الشرعية، ولابد من بيان ألفاظ هذا الحد، فالطريقة والطريق والسبيل والسُنن هي بمعنى واحد، وهو ما رسم للسلوك عليه، وإنّما قُيِّدت بالدين؛ لأنّها فيه تخترع، وإليه يضيفها صاحبها، وأيضاً فلو كانت طريقة مخترعة في الدنيا على الخصوص، لم تُسمَّ بدعة، كإحداث الصنائع والبلدان التي لا عهد بها فيما تقدم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الطرائق في الدين تنقسم، فمنها ماله أصل في الشريعة، ومنها ما ليس له أصل فيها، خصّ منها ما هو المقصود بالحد، وهو القسم المُخترَع؛ أي طريقة ابتدعت على غير مثال تقدمها من الشارع، إذ البدعة أنّما خاصتها أنَّها خارجة عمّا رسمه </w:t>
      </w:r>
    </w:p>
    <w:p>
      <w:pPr>
        <w:pStyle w:val="BookText"/>
        <w:rPr/>
      </w:pPr>
      <w:r>
        <w:rPr>
          <w:rFonts w:ascii="Amiri" w:hAnsi="Amiri" w:eastAsia="Amiri" w:cs="Amiri"/>
          <w:color w:val="111111"/>
          <w:sz w:val="28"/>
          <w:sz w:val="28"/>
          <w:szCs w:val="28"/>
          <w:rtl w:val="true"/>
          <w:lang w:bidi="ar-SA"/>
        </w:rPr>
        <w:t>الشارع، وبهذا القيد انفصلت عن كل ما ظهر لبادي الرأي أنّه مُخترَع، ممّا هو متعلّق بالدين، كعلم النحو والتصريف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فإنّها وإن لم توجد في الزمان الأول، فأصولها موجودة في الشرع</w:t>
      </w:r>
      <w:r>
        <w:rPr>
          <w:rFonts w:eastAsia="Amiri" w:cs="Amiri" w:ascii="Amiri" w:hAnsi="Amiri"/>
          <w:color w:val="111111"/>
          <w:sz w:val="28"/>
          <w:szCs w:val="28"/>
          <w:rtl w:val="true"/>
          <w:lang w:bidi="ar-SA"/>
        </w:rPr>
        <w:t>. . .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ومن مجمل هذه التعاريف يمكن ملاحظة الأمور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بدعة بالمعنى اللغوي واُخرى بالمعنى الاصطلاحي؛ إذ الأُولى هي كل شيء مُخترَع على غير مثال سابق، في الدين أو غيره، له أصل عام من جنسه أم ليس 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جميع التعاريف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المُحدَث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أعمّ من الثانية، وقد يفترقان في البدعة غير الدينية، فهي بدعة لغة فقط، وقد يفترقان أيضاً في البدعة التي لها أصل من جنسها، فهي بدعة لغة دون أن تكون بدعة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البدعة المذمومة هي البدعة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الاصطلاحية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الأعم؛ لأنَّ الأعم لها أفراد، ومن أفرادها ما كان لها أصل في الدين، أو التي ليست في الدين أساساً، فهذين الفردين لا يشملهما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 ما تقدم، فأنَّه سينفعنا في تطبيق ذلك على ما سيأتي في الفصول اللاحقة، عند التعرض للنصب والتشيع في الرواة، وما هو القادح في العدالة وغير القادح فيها على 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تتميماً للفائدة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أمرٍ مهم لا يُغفَل عنه، وهو أنَّه إذا أطلقت البدعة، أو أُطلق لفظ المبتدع، دون قيد أو قرينة ما، فإنَّه ينصرف للبدعة المذمومة آنفة الذكر، دون غيرها من أفراد البدعة،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المُحدَث في الدين من غير أن يكون في عهد الصحابة والتابعين، ولا دلَّ عليه الدليل الشرعي</w:t>
      </w:r>
      <w:r>
        <w:rPr>
          <w:rFonts w:eastAsia="Amiri" w:cs="Amiri" w:ascii="Amiri" w:hAnsi="Amiri"/>
          <w:color w:val="111111"/>
          <w:sz w:val="28"/>
          <w:szCs w:val="28"/>
          <w:rtl w:val="true"/>
          <w:lang w:bidi="ar-SA"/>
        </w:rPr>
        <w:t>» .</w:t>
      </w:r>
      <w:r>
        <w:rPr>
          <w:rStyle w:val="FootnoteAnchor"/>
          <w:rtl w:val="true"/>
        </w:rPr>
        <w:footnoteReference w:id="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من الواضحات بعد أن اتَّضح أنَّها،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مأخوذ عدمها في مفهوم </w:t>
      </w:r>
      <w:bookmarkStart w:id="26" w:name="pg1614_13527"/>
    </w:p>
    <w:p>
      <w:pPr>
        <w:pStyle w:val="BookText"/>
        <w:rPr/>
      </w:pPr>
      <w:bookmarkEnd w:id="26"/>
      <w:r>
        <w:rPr>
          <w:rFonts w:ascii="Amiri" w:hAnsi="Amiri" w:eastAsia="Amiri" w:cs="Amiri"/>
          <w:color w:val="111111"/>
          <w:sz w:val="28"/>
          <w:sz w:val="28"/>
          <w:szCs w:val="28"/>
          <w:rtl w:val="true"/>
          <w:lang w:bidi="ar-SA"/>
        </w:rPr>
        <w:t>العدالة، واتضح أيضاً أنَّها من أسباب الطعن والجرح في الراوي، فلابد حين إطلاقها أن تنصرف إلى المصداق البارز منها، وهي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السخاوي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أُحدث على غير مثال متقدّم، فيشمل المحمود والمذموم، ولذا ضمّها بعض العلماء إلى الأحكام الخمسة، وهو واضح، لكنّها خُصَّت شرعاً بالمذموم ممّا هو خلاف المعروف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41"/>
      </w:r>
    </w:p>
    <w:p>
      <w:pPr>
        <w:pStyle w:val="Heading3"/>
        <w:numPr>
          <w:ilvl w:val="2"/>
          <w:numId w:val="1"/>
        </w:numPr>
        <w:rPr/>
      </w:pPr>
      <w:bookmarkStart w:id="27" w:name="__RefHeading___Toc928411_3650668749"/>
      <w:bookmarkStart w:id="28" w:name="_Toc9"/>
      <w:bookmarkEnd w:id="27"/>
      <w:r>
        <w:rPr>
          <w:rtl w:val="true"/>
        </w:rPr>
        <w:t>نتائج الفصل الأوّل</w:t>
      </w:r>
      <w:bookmarkEnd w:id="28"/>
    </w:p>
    <w:p>
      <w:pPr>
        <w:pStyle w:val="BookText"/>
        <w:rPr/>
      </w:pPr>
      <w:r>
        <w:rPr>
          <w:rFonts w:ascii="Amiri" w:hAnsi="Amiri" w:eastAsia="Amiri" w:cs="Amiri"/>
          <w:color w:val="111111"/>
          <w:sz w:val="28"/>
          <w:sz w:val="28"/>
          <w:szCs w:val="28"/>
          <w:rtl w:val="true"/>
          <w:lang w:bidi="ar-SA"/>
        </w:rPr>
        <w:t>لقد تناولنا في الفصل الأول من هذا الكتاب بحوثاً لا غنى عنها في الفصول اللاحقة، فكانت النتائج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أن لا غنى عن علم الرجال؛ لأنَّه يؤمِّن سلامة السند الذي هو أحد رُكنَي الخبر، فمن خلاله يُعلَم اتصاف رجال الحديث بالشروط الخاصة المعتبرة في سلامة السند أو عدم اتّصافهم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حاول البعض إلغاء أو تقليل دور علم الرجال بدعاوى شتى كلها مردودة، تعرّضنا لها ولردِّها مفصّلاً، لذا فالحاجة لعلم الرجال تبقى ماسّة، ولا غنى عنه لكل 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أثبتنا وجود إجماعٍ بل إطباق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الجمهور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غير الشيعة الإمامية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شروط الراوي،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والضبط، وتضمَّنت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والبلوغ والعقل والسلامة من أسباب الفسق، بل وخوارم المروءة، وتلك الشروط أجمع عليها المُحدِّثون والأصوليون على حدٍ سواء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أثبتنا أنَّ العدالة، المُدَّعاة شرطيتها للراوي عندهم، هي العدالة الفقهية المشترطة في الشاهد، وهي الإتيان بالواجبات والانتهاء عن المحرمات، </w:t>
      </w:r>
    </w:p>
    <w:p>
      <w:pPr>
        <w:pStyle w:val="BookText"/>
        <w:rPr/>
      </w:pPr>
      <w:r>
        <w:rPr>
          <w:rFonts w:ascii="Amiri" w:hAnsi="Amiri" w:eastAsia="Amiri" w:cs="Amiri"/>
          <w:color w:val="111111"/>
          <w:sz w:val="28"/>
          <w:sz w:val="28"/>
          <w:szCs w:val="28"/>
          <w:rtl w:val="true"/>
          <w:lang w:bidi="ar-SA"/>
        </w:rPr>
        <w:t>باجتناب كبائرها وعدم الإصرار على صغائرها، والظاهر أنَّ الخلاف جاري عندهم أيضاً في كونها مَلَكَة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قيداً في العدالة عندهم، باعتبار أنَّ البدعة نوع من المعاصي، أن لم نقل أنها كبيرة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والعدالة شرط اتفاقي عندهم، لم يشذّ عن ذكره أحد منهم، ولم يكتف أحد منهم البتة بالوثاقة، أي التحرّز عن الكذب</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شروط تحقق العدالة في الراوي، كان من اللازم التعرّف على البدعة؛ لكي نتحقّق من عدمها المشروط في العدالة، وإنَّما خصَّصنا الكلام هنا عن البدعة دون غيرها من شروط وموانع العدالة؛ لمساسها الكبير في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التعرف على المعنى اللغوي للبدعة، ذكرنا أنَّها إنْ اُطلقت مجرَّدة، انصرفت إلى المعنى المذموم، وهو كل مُحدَثٍ بالدين على غير مثال سابق، ولذا فإنَّ مَن وُصِمَ بها، كان ذلك جرحاً قادحاً له</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614_13530"/>
      <w:bookmarkStart w:id="30" w:name="pg1614_13530"/>
      <w:bookmarkEnd w:id="30"/>
    </w:p>
    <w:p>
      <w:pPr>
        <w:pStyle w:val="Heading2"/>
        <w:numPr>
          <w:ilvl w:val="1"/>
          <w:numId w:val="1"/>
        </w:numPr>
        <w:rPr/>
      </w:pPr>
      <w:bookmarkStart w:id="31" w:name="pg1614_13530"/>
      <w:bookmarkStart w:id="32" w:name="__RefHeading___Toc928413_3650668749"/>
      <w:bookmarkStart w:id="33" w:name="_Toc10"/>
      <w:bookmarkEnd w:id="31"/>
      <w:bookmarkEnd w:id="32"/>
      <w:r>
        <w:rPr>
          <w:rtl w:val="true"/>
        </w:rPr>
        <w:t>الفصل الثاني</w:t>
      </w:r>
      <w:r>
        <w:rPr>
          <w:rtl w:val="true"/>
        </w:rPr>
        <w:t xml:space="preserve">: </w:t>
      </w:r>
      <w:r>
        <w:rPr>
          <w:rtl w:val="true"/>
        </w:rPr>
        <w:t>توثيق النواصب</w:t>
      </w:r>
      <w:bookmarkEnd w:id="33"/>
    </w:p>
    <w:p>
      <w:pPr>
        <w:pStyle w:val="Heading3"/>
        <w:numPr>
          <w:ilvl w:val="2"/>
          <w:numId w:val="1"/>
        </w:numPr>
        <w:rPr/>
      </w:pPr>
      <w:bookmarkStart w:id="34" w:name="__RefHeading___Toc928415_3650668749"/>
      <w:bookmarkStart w:id="35" w:name="_Toc11"/>
      <w:bookmarkEnd w:id="34"/>
      <w:r>
        <w:rPr>
          <w:rtl w:val="true"/>
        </w:rPr>
        <w:t>المقدّمة وتحتوي على مطالب</w:t>
      </w:r>
      <w:bookmarkEnd w:id="35"/>
    </w:p>
    <w:p>
      <w:pPr>
        <w:pStyle w:val="Heading3"/>
        <w:numPr>
          <w:ilvl w:val="2"/>
          <w:numId w:val="1"/>
        </w:numPr>
        <w:rPr/>
      </w:pPr>
      <w:bookmarkStart w:id="36" w:name="__RefHeading___Toc928417_3650668749"/>
      <w:bookmarkStart w:id="37" w:name="_Toc12"/>
      <w:bookmarkEnd w:id="36"/>
      <w:r>
        <w:rPr>
          <w:rtl w:val="true"/>
        </w:rPr>
        <w:t>الأوّل</w:t>
      </w:r>
      <w:r>
        <w:rPr>
          <w:rtl w:val="true"/>
        </w:rPr>
        <w:t xml:space="preserve">: </w:t>
      </w:r>
      <w:r>
        <w:rPr>
          <w:rtl w:val="true"/>
        </w:rPr>
        <w:t>التمهيد</w:t>
      </w:r>
      <w:bookmarkEnd w:id="37"/>
    </w:p>
    <w:p>
      <w:pPr>
        <w:pStyle w:val="BookText"/>
        <w:rPr/>
      </w:pPr>
      <w:r>
        <w:rPr>
          <w:rFonts w:ascii="Amiri" w:hAnsi="Amiri" w:eastAsia="Amiri" w:cs="Amiri"/>
          <w:color w:val="111111"/>
          <w:sz w:val="28"/>
          <w:sz w:val="28"/>
          <w:szCs w:val="28"/>
          <w:rtl w:val="true"/>
          <w:lang w:bidi="ar-SA"/>
        </w:rPr>
        <w:t xml:space="preserve">لا يخفى على مَن له أدنى تأمُّلٍ في التاريخ الإسلامي، أنَّ هناك جماعة عُرفت على مدى تاريخ الإسلام ببغضها لأمير المؤمنين علي بن أبي طالب عليه السلام، ولسنا هنا بصدد دراسة هذه الظاهرة وأسباب نشوئها وعوامل تكوينها، فذاك أمر راجع لدراسة تاريخ الإسلام والعقائد الإسلامية، لكنّ المهم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نؤكِّد أنَّ النصب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اختصَّ ببُغض أمير المؤمنين علي بن أبي طالب وأهل بيته عليهم السلام، كما سيتضح عما قريب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سنبحث عمّا للنصب والنواصب عن ما علاقةٍ بعلم الرجال عند الجمهور، وكيف تعامل علماء الجرح والتعديل مع هذه الفرقة، وهل أنَّ توثيق الناصبي يصطدم مع القواعد الأساسية التي أسَّسها علماء الجمهور في علم رجالهم، وكيف تمَّ توثيق النواصب، وما هي الحلول التي وضعت لرفع التناقض في ذلك، ومدى نجاح تلك الحلول؟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نتعرض لنماذج اشتهرت في تاريخ علم الرجال عند الجمهور بهذه الظاهرة، ومدى تأثيرهم وتأثير مرويّاتهم في علم الحديث عندهم</w:t>
      </w:r>
      <w:r>
        <w:rPr>
          <w:rFonts w:eastAsia="Amiri" w:cs="Amiri" w:ascii="Amiri" w:hAnsi="Amiri"/>
          <w:color w:val="111111"/>
          <w:sz w:val="28"/>
          <w:szCs w:val="28"/>
          <w:rtl w:val="true"/>
          <w:lang w:bidi="ar-SA"/>
        </w:rPr>
        <w:t xml:space="preserve">. </w:t>
      </w:r>
      <w:bookmarkStart w:id="38" w:name="pg1614_13531"/>
    </w:p>
    <w:p>
      <w:pPr>
        <w:pStyle w:val="Heading3"/>
        <w:numPr>
          <w:ilvl w:val="2"/>
          <w:numId w:val="1"/>
        </w:numPr>
        <w:rPr/>
      </w:pPr>
      <w:bookmarkStart w:id="39" w:name="__RefHeading___Toc928419_3650668749"/>
      <w:bookmarkStart w:id="40" w:name="_Toc13"/>
      <w:bookmarkEnd w:id="38"/>
      <w:bookmarkEnd w:id="39"/>
      <w:r>
        <w:rPr>
          <w:rtl w:val="true"/>
        </w:rPr>
        <w:t>الثاني</w:t>
      </w:r>
      <w:r>
        <w:rPr>
          <w:rtl w:val="true"/>
        </w:rPr>
        <w:t xml:space="preserve">: </w:t>
      </w:r>
      <w:r>
        <w:rPr>
          <w:rtl w:val="true"/>
        </w:rPr>
        <w:t>تعريف النصب والنواصب</w:t>
      </w:r>
      <w:bookmarkEnd w:id="40"/>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 أو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حالها حال أيّ لفظ استعمل كمصطلح يختص بعلم من العلوم، فإنَّ له معنى لغوياً، كما أنَّ له معنى خاصّاً باصطلاح أهل ذلك الفنّ، يكون مغايراً للمعنى اللغوي، لكنّه مشتقّ منه ومتفرّع عليه، فكذا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وسيتضح أنَّ النصب في اللغة هو المعاداة، بل الظاهر عن أهل اللغة أنَّ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مطلق العداء هي دلالة مجازية تحتاج إلى قرينة لإتمام معناها كي تدلّ على العداء،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ناصبه العداوة، أو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أظهرها له وأقامها، لكن بكثرة الاستعمال وتقادمه سقط الاحتياج للقرينة، وبقي ذو القرينة دالّا ًعلى ذلك المعنى المجازي، لذا قال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وناصبت فلاناً الشر والحرب والعداوة ونحوها، ونصبنا لهم حرباً، وإن لم تسمّ الحرب جاز</w:t>
      </w:r>
      <w:r>
        <w:rPr>
          <w:rFonts w:eastAsia="Amiri" w:cs="Amiri" w:ascii="Amiri" w:hAnsi="Amiri"/>
          <w:color w:val="111111"/>
          <w:sz w:val="28"/>
          <w:szCs w:val="28"/>
          <w:rtl w:val="true"/>
          <w:lang w:bidi="ar-SA"/>
        </w:rPr>
        <w:t>» .</w:t>
      </w:r>
      <w:r>
        <w:rPr>
          <w:rStyle w:val="FootnoteAnchor"/>
          <w:rtl w:val="true"/>
        </w:rPr>
        <w:footnoteReference w:id="42"/>
      </w:r>
      <w:r>
        <w:rPr>
          <w:rFonts w:ascii="Amiri" w:hAnsi="Amiri" w:eastAsia="Amiri" w:cs="Amiri"/>
          <w:color w:val="111111"/>
          <w:sz w:val="28"/>
          <w:sz w:val="28"/>
          <w:szCs w:val="28"/>
          <w:rtl w:val="true"/>
          <w:lang w:bidi="ar-SA"/>
        </w:rPr>
        <w:t>وما ذكرناه واضح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تسمَ‌ّ الحرب جاز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الزبيدي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كناصَبَه الشر، و من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والحرب والعداوة مناصبةً،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له، كنصبه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ثلاثياً، وقد تقدم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وكلّه من الانتصاب</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فالذي يظهر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الإقامة، وإنّما تكثّرت اشتقاقاتها بحسب القرينة اللفظية المصاحبة لذي القرينة؛ لذا قال صاحب المصدر المتقدّم أيضاً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تنصبت لفلان، عاديتُه نصباً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وقال الزمخشري أيضاً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ونصبنا لهم حرباً، وناصبناهم مناصبة، وناصبت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عاديتُه نصباً</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في المعجم الوسيط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أو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أظهرها له وأقامها</w:t>
      </w:r>
      <w:r>
        <w:rPr>
          <w:rFonts w:eastAsia="Amiri" w:cs="Amiri" w:ascii="Amiri" w:hAnsi="Amiri"/>
          <w:color w:val="111111"/>
          <w:sz w:val="28"/>
          <w:szCs w:val="28"/>
          <w:rtl w:val="true"/>
          <w:lang w:bidi="ar-SA"/>
        </w:rPr>
        <w:t>» .</w:t>
      </w:r>
      <w:r>
        <w:rPr>
          <w:rStyle w:val="FootnoteAnchor"/>
          <w:rtl w:val="true"/>
        </w:rPr>
        <w:footnoteReference w:id="4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غير بعيد عن الاستعمال اللغوي الآنف الذكر، </w:t>
      </w:r>
    </w:p>
    <w:p>
      <w:pPr>
        <w:pStyle w:val="BookText"/>
        <w:rPr/>
      </w:pPr>
      <w:r>
        <w:rPr>
          <w:rFonts w:ascii="Amiri" w:hAnsi="Amiri" w:eastAsia="Amiri" w:cs="Amiri"/>
          <w:color w:val="111111"/>
          <w:sz w:val="28"/>
          <w:sz w:val="28"/>
          <w:szCs w:val="28"/>
          <w:rtl w:val="true"/>
          <w:lang w:bidi="ar-SA"/>
        </w:rPr>
        <w:t>ومشتقّ منه، لكنّه أختصّ بحصّةٍ معيّنة منه دون غيرها، فهذا اللفظ اختصَّ بمَن عادى أمير المؤمنين علي بن أبي طالب عليه السلام، أو هو مع أهل بيته عليهم السلام، على ما نصَّت عليه أشهر المعاجم اللغوية وكتب أهل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اللغة لا علاقة لها بتحديد الاصطلاح، فلماذا ذُكر هذا الاصطلاح فيها؟</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الاصطلاح لشيوعه ووضوحه وقِدمه كأنَّه أصبح من المسلّمات، لذا لابأس أن تتدخل كتب اللغة في ذلك، وإن كان الأمر من مختصّات كتب التاريخ أو العقائد أو الملل والنحل؛ فإنَّهم وإن ذكروا هذا الاصطلاح استطراداً، من باب ذكر المصداق المشهور أو الأتم، الاَّ أنَّ ذكرهم للمصطلح لم يختلف تماماً عمّا ذكره أهل الفن، ممَّن كتبوا في العقائد أو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طائفة من أقوال أهل اللغة الذين تعرضوا 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وأهل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ينصبون لعليٍّ</w:t>
      </w:r>
      <w:r>
        <w:rPr>
          <w:rFonts w:eastAsia="Amiri" w:cs="Amiri" w:ascii="Amiri" w:hAnsi="Amiri"/>
          <w:color w:val="111111"/>
          <w:sz w:val="28"/>
          <w:szCs w:val="28"/>
          <w:rtl w:val="true"/>
          <w:lang w:bidi="ar-SA"/>
        </w:rPr>
        <w:t>. . .»</w:t>
      </w:r>
      <w:r>
        <w:rPr>
          <w:rStyle w:val="FootnoteAnchor"/>
          <w:rtl w:val="true"/>
        </w:rPr>
        <w:footnoteReference w:id="4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يتديّنون ببغضة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النواصب والناصبية وأهل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المتديّنون ببغضة سيدنا أميرالمؤمنين ويعسوب المسلمين،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 .» .</w:t>
      </w:r>
      <w:r>
        <w:rPr>
          <w:rStyle w:val="FootnoteAnchor"/>
          <w:rtl w:val="true"/>
        </w:rPr>
        <w:footnoteReference w:id="49"/>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المعاداة،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لفلان،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عاديته،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يتظاهر بعداوة أهل البيت أو لمواليهم لأجل متابعتهم لهم،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النواصب والناصبة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النصب المتدينون ببغضه، لأنَّهم نصبوا له، أي عادوه</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أهمّ أقوال أهل اللغة الذين تعرّضوا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 أو النواصب</w:t>
      </w:r>
      <w:r>
        <w:rPr>
          <w:rFonts w:eastAsia="Amiri" w:cs="Amiri" w:ascii="Amiri" w:hAnsi="Amiri"/>
          <w:color w:val="111111"/>
          <w:sz w:val="28"/>
          <w:szCs w:val="28"/>
          <w:rtl w:val="true"/>
          <w:lang w:bidi="ar-SA"/>
        </w:rPr>
        <w:t xml:space="preserve">) . </w:t>
      </w:r>
      <w:bookmarkStart w:id="41" w:name="pg1614_13533"/>
    </w:p>
    <w:p>
      <w:pPr>
        <w:pStyle w:val="BookText"/>
        <w:rPr/>
      </w:pPr>
      <w:bookmarkEnd w:id="41"/>
      <w:r>
        <w:rPr>
          <w:rFonts w:ascii="Amiri" w:hAnsi="Amiri" w:eastAsia="Amiri" w:cs="Amiri"/>
          <w:color w:val="111111"/>
          <w:sz w:val="28"/>
          <w:sz w:val="28"/>
          <w:szCs w:val="28"/>
          <w:rtl w:val="true"/>
          <w:lang w:bidi="ar-SA"/>
        </w:rPr>
        <w:t>أمّا أقوال أهل الفن، من محدّثين أو ممَّن كتب في العقائد والملل والنحل وغيرهم، فهذه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المُبغضين لعلي وأولاده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الناصبة؛ الواقعين في علي</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الذهبي، فقد وافقه في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بغض أهل البيت ومعاداتهم</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جاء تعريف العسقلاني قريباً ممّا تقدَّم، حيث 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الانحراف عن علي وآل بيته</w:t>
      </w:r>
      <w:r>
        <w:rPr>
          <w:rFonts w:eastAsia="Amiri" w:cs="Amiri" w:ascii="Amiri" w:hAnsi="Amiri"/>
          <w:color w:val="111111"/>
          <w:sz w:val="28"/>
          <w:szCs w:val="28"/>
          <w:rtl w:val="true"/>
          <w:lang w:bidi="ar-SA"/>
        </w:rPr>
        <w:t>&gt;</w:t>
      </w:r>
      <w:r>
        <w:rPr>
          <w:rStyle w:val="FootnoteAnchor"/>
          <w:rtl w:val="true"/>
        </w:rPr>
        <w:footnoteReference w:id="54"/>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الكفومي، قائلاً</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أيضاً لمذهب، وهو بغض عليّ بن أبي طالب</w:t>
      </w:r>
      <w:r>
        <w:rPr>
          <w:rFonts w:eastAsia="Amiri" w:cs="Amiri" w:ascii="Amiri" w:hAnsi="Amiri"/>
          <w:color w:val="111111"/>
          <w:sz w:val="28"/>
          <w:szCs w:val="28"/>
          <w:rtl w:val="true"/>
          <w:lang w:bidi="ar-SA"/>
        </w:rPr>
        <w:t>. . .»</w:t>
      </w:r>
      <w:r>
        <w:rPr>
          <w:rStyle w:val="FootnoteAnchor"/>
          <w:rtl w:val="true"/>
        </w:rPr>
        <w:footnoteReference w:id="55"/>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شارح قصيدة ابن القيّم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 والناصبة وأهل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المتدينون ببغضة عليّ</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فتحصّل من جميع ما تقدّم أنَّ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العداء في اللغة، ولكنَّه كمصطلحٍ، أختصَّ بمعاداة وبغض أمير المؤمنين علي بن أبي طالب وأهل بيته الطاهرين عليهم السلام، بحيث إذا اطلق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 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النواصب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انصرف إلى المعنى المذكور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عادى غير علي وأهل بيته عليهم السلام، لا يُطلَق عليه هذا اللفظ، وهذا واضح ممَّا تقدم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28421_3650668749"/>
      <w:bookmarkStart w:id="43" w:name="_Toc14"/>
      <w:bookmarkEnd w:id="42"/>
      <w:r>
        <w:rPr>
          <w:rtl w:val="true"/>
        </w:rPr>
        <w:t>الثالث</w:t>
      </w:r>
      <w:r>
        <w:rPr>
          <w:rtl w:val="true"/>
        </w:rPr>
        <w:t xml:space="preserve">: </w:t>
      </w:r>
      <w:r>
        <w:rPr>
          <w:rtl w:val="true"/>
        </w:rPr>
        <w:t>بيان مظاهر النصب، وبمَ يتحقَّق</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ممّا تقدم من تعاريف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لغوية واصطلاحية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النصب يتحقَّق ببغض أميرالمؤمنين علي بن أبي طالب وأهل بيته عليهم السلام، ولا شكَّ ولاريب أنَّ البغض مقابل </w:t>
      </w:r>
    </w:p>
    <w:p>
      <w:pPr>
        <w:pStyle w:val="BookText"/>
        <w:rPr/>
      </w:pPr>
      <w:r>
        <w:rPr>
          <w:rFonts w:ascii="Amiri" w:hAnsi="Amiri" w:eastAsia="Amiri" w:cs="Amiri"/>
          <w:color w:val="111111"/>
          <w:sz w:val="28"/>
          <w:sz w:val="28"/>
          <w:szCs w:val="28"/>
          <w:rtl w:val="true"/>
          <w:lang w:bidi="ar-SA"/>
        </w:rPr>
        <w:t xml:space="preserve">للحبّ، وكما أنَّ للحبّ مظاهر وصور يتمظهر بها خارجاً، فكذا ما يقابل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مظاهر وصور يتمظهر بها خارجاًَ، وتلك المظاهر والصور تكون هي المبرزة لذلك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فالبغض يظهر إلى الخارج بفعلٍ تارةً، وبقول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الفعل، فتارة يكون بحمل السلاح على المبغوض، أو التحريض على إيقاع الأذى به، أو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من الأفعال التي تدلّ دلالة مباشرة أو بالتبع على 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فتارة يكون بالتصريح مباشرة بالبغض، وتارة يكون بالدلالة الالتزامية لذلك، كإخفاء محاسن أو فضائل المبغوض، وإهالة التراب عليها بداعي البغض لا بداعٍ آخر؛ فإخفاء الفضائل خوفاً لا يقال له 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السبَّ والشتم من أبرز مظاهر البغض القولي الصريح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 في ترجمته لربيعة بن يزيد السلمي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فكان من النواصب، يشتم علياً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وقال الجزري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لحريز بن عثمان الرحبي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ناصبياً يبغض علياً ويسبّه كل يوم سبعين مرة بكرة، وسبعين عشاءً</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وقال العقيلي في ترجمة حريز بن عثمان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أيوب بن يحيى بن ضريس،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جرير أنَّ حريز كان يشتم علياً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لاأحبَّه، قتل آبائي، قتل آبائي، يعني علياً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فما تقدَّم من شواهد وأمثالها تؤكّد أنَّ السبَّ أو الشتم يعدّان من أوضح مصاديق البغض والنصب، وهذا ممّا لا يحتاج إلى كثير بيان وتوقف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بغض علي عليه السلام وأهل بيته بأيّ مظهر ظهر يكفي في تحقّق النصب حينئذٍ، وهذا ممّا لا ريب فيه</w:t>
      </w:r>
      <w:r>
        <w:rPr>
          <w:rFonts w:eastAsia="Amiri" w:cs="Amiri" w:ascii="Amiri" w:hAnsi="Amiri"/>
          <w:color w:val="111111"/>
          <w:sz w:val="28"/>
          <w:szCs w:val="28"/>
          <w:rtl w:val="true"/>
          <w:lang w:bidi="ar-SA"/>
        </w:rPr>
        <w:t xml:space="preserve">. </w:t>
      </w:r>
      <w:bookmarkStart w:id="44" w:name="pg1614_13535"/>
    </w:p>
    <w:p>
      <w:pPr>
        <w:pStyle w:val="Heading3"/>
        <w:numPr>
          <w:ilvl w:val="2"/>
          <w:numId w:val="1"/>
        </w:numPr>
        <w:rPr/>
      </w:pPr>
      <w:bookmarkStart w:id="45" w:name="__RefHeading___Toc928423_3650668749"/>
      <w:bookmarkStart w:id="46" w:name="_Toc15"/>
      <w:bookmarkEnd w:id="44"/>
      <w:bookmarkEnd w:id="45"/>
      <w:r>
        <w:rPr>
          <w:rtl w:val="true"/>
        </w:rPr>
        <w:t>الرابع</w:t>
      </w:r>
      <w:r>
        <w:rPr>
          <w:rtl w:val="true"/>
        </w:rPr>
        <w:t xml:space="preserve">: </w:t>
      </w:r>
      <w:r>
        <w:rPr>
          <w:rtl w:val="true"/>
        </w:rPr>
        <w:t>بيان دلالات النصب</w:t>
      </w:r>
      <w:bookmarkEnd w:id="46"/>
    </w:p>
    <w:p>
      <w:pPr>
        <w:pStyle w:val="BookText"/>
        <w:rPr/>
      </w:pPr>
      <w:r>
        <w:rPr>
          <w:rFonts w:ascii="Amiri" w:hAnsi="Amiri" w:eastAsia="Amiri" w:cs="Amiri"/>
          <w:color w:val="111111"/>
          <w:sz w:val="28"/>
          <w:sz w:val="28"/>
          <w:szCs w:val="28"/>
          <w:rtl w:val="true"/>
          <w:lang w:bidi="ar-SA"/>
        </w:rPr>
        <w:t>لمّا كان بغض علي عليه السلام وأهل بيته بأيّ مظهر ظهر، وبأيّ مبرزٍ برز، هو دالٌ، كان لابد له من مدلولٍ يدلّ عليه، ولم تترك الشريعة هذا الأمر المهم حتى أولته عناية قلَّ نظيرها؛ فقد وردت روايات وآثار في مختلف مصادر الحديث الإسلامية توضِّح ذلك، وتبيّن ما هي مداليل بغض أمير المؤمنين علي عليه السلام، وتكشف عن حقيقة المُبغِض وحاله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يهمنا هنا الوقوف على الروايات الصحاح على مباني الجمهور، والتي تشير بصراحة قاطعة إلى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طائفة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علي عليه السلام علامة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بسنده عن علي بن أبي طالب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فلق الحبة، وبرأ النسمة، أنَّه لعهد النبي الأُمّي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لا يحبني إلاّ مؤمن، ولا يبغضني إلاّ منافق</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وهذا النص قطعي الدلالة على كون المُبغِض من أهل النفاق، فهو نص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يقبل أدنى شك وتأمل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الناصبي منافق، مقطوع بنفاقه، وهذه النتيجة ليست استحساناً أو قياساً، أو تكلّفاً عقلياً أو منطقياً، بل هي نتيجة مقطوع بها من خلال نص الشريعة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إنَّ النصوص إنّما ذكرت المبغض لأمير المؤمنين علي بن أبي طالب عليه السلام ولم تذكر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فجواب ذلك واضح جداً، إذ من المقطوع به ممّا مرّ من أقوال أهل اللغة وأهل الاصطلاح، أنَّ الناصبي هو المبغض لعلي عليه السلام، وليس هناك تغاير بينهما، فيثبت حينئذٍ أنَّ المبغض لعلي عليه السلام منافق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موقف الشريعة من المنافق واضح وجليّ، ومبيَّن في نصوص لاحصر لها، ولا داعي لإيضاحه هنا؛ لأنَّه من أوضح الواضحات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علي عليه السلام بغض لله 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ورد في ذلك روايات صحاح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مسنداً عن اُمِّ سلمة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أحبني، ومن أحبني فقد 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أبغض علياً فقد أبغضني، ومَن أبغضني فقد أبغض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وقد أخرجه الحاكم، واصفاً إيّاه بالصحة، ووافقه الذهبي</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ويشهد لهذا الحديث الصحيح روايات لا حصر لها، منها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وهو حديث أشهر من أن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أخرجه البخاري في صحيحه</w:t>
      </w:r>
      <w:r>
        <w:rPr>
          <w:rStyle w:val="FootnoteAnchor"/>
          <w:rtl w:val="true"/>
        </w:rPr>
        <w:footnoteReference w:id="64"/>
      </w:r>
      <w:r>
        <w:rPr>
          <w:rFonts w:ascii="Amiri" w:hAnsi="Amiri" w:eastAsia="Amiri" w:cs="Amiri"/>
          <w:color w:val="111111"/>
          <w:sz w:val="28"/>
          <w:sz w:val="28"/>
          <w:szCs w:val="28"/>
          <w:rtl w:val="true"/>
          <w:lang w:bidi="ar-SA"/>
        </w:rPr>
        <w:t>، والنسّائي في خصائصه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الذي أُخرج في الصحيحين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والثابت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غيرها، 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وحبُّه لهما، وحينئذٍ لو ثبت ما ينافي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ثبت بالتبع البغض لله تعالى ولرسوله؛ أي يكون ذلك المُبغِض لعلي عليه السلام مُبغِضاً لله تعالى ولرسوله، فالحبُّ والبغض ضدّان لا يجتمعان، أمّا ارتفاعهما فهو خارج عمّا نحن فيه، إذ كلامنا عن المبغض لا غير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النيسابوري بسنده إلى أبي مليكة عن أبيه، قال</w:t>
      </w:r>
      <w:r>
        <w:rPr>
          <w:rFonts w:eastAsia="Amiri" w:cs="Amiri" w:ascii="Amiri" w:hAnsi="Amiri"/>
          <w:color w:val="111111"/>
          <w:sz w:val="28"/>
          <w:szCs w:val="28"/>
          <w:rtl w:val="true"/>
          <w:lang w:bidi="ar-SA"/>
        </w:rPr>
        <w:t xml:space="preserve">: </w:t>
      </w:r>
      <w:bookmarkStart w:id="47" w:name="pg1614_13537"/>
    </w:p>
    <w:p>
      <w:pPr>
        <w:pStyle w:val="BookText"/>
        <w:rPr/>
      </w:pPr>
      <w:bookmarkEnd w:id="47"/>
      <w:r>
        <w:rPr>
          <w:rFonts w:ascii="Amiri" w:hAnsi="Amiri" w:eastAsia="Amiri" w:cs="Amiri"/>
          <w:color w:val="111111"/>
          <w:sz w:val="28"/>
          <w:sz w:val="28"/>
          <w:szCs w:val="28"/>
          <w:rtl w:val="true"/>
          <w:lang w:bidi="ar-SA"/>
        </w:rPr>
        <w:t>جاء رجل من أهل الشام فسبّ علياً عند ابن عباس، فحصبه</w:t>
      </w:r>
      <w:r>
        <w:rPr>
          <w:rStyle w:val="FootnoteAnchor"/>
          <w:rtl w:val="true"/>
        </w:rPr>
        <w:footnoteReference w:id="67"/>
      </w:r>
      <w:r>
        <w:rPr>
          <w:rFonts w:ascii="Amiri" w:hAnsi="Amiri" w:eastAsia="Amiri" w:cs="Amiri"/>
          <w:color w:val="111111"/>
          <w:sz w:val="28"/>
          <w:sz w:val="28"/>
          <w:szCs w:val="28"/>
          <w:rtl w:val="true"/>
          <w:lang w:bidi="ar-SA"/>
        </w:rPr>
        <w:t>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آذيت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الّذين يُؤذون الله ورسوله لعنهم الله في الدنيا والآخرة، وأعدَّ لهم عذاباً مهيناً،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لآذيته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وافقه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أشهر رجاليّي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هذا الأثر في تلخيصه للمستدرك</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فتلخّص ممّا تقدَّم أنَّ الناصبي منافق، مبغض لله تعالى ولرسوله، وإن ادّعى الحب ظاهراً، ونؤكّد على أنَّ هذه النتيجة ليست استنباطاً أو استنتاجاً عقلياً، بل هي أمر نصّت عليه الشريعة بنصوص صحيحة من حيث السند، وقطعية من حيث الدلالة، ولا مجال لردِّها أو تأويلها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28425_3650668749"/>
      <w:bookmarkStart w:id="49" w:name="_Toc16"/>
      <w:bookmarkEnd w:id="48"/>
      <w:r>
        <w:rPr>
          <w:rtl w:val="true"/>
        </w:rPr>
        <w:t>المبحث الأوَّل</w:t>
      </w:r>
      <w:r>
        <w:rPr>
          <w:rtl w:val="true"/>
        </w:rPr>
        <w:t xml:space="preserve">: </w:t>
      </w:r>
      <w:r>
        <w:rPr>
          <w:rtl w:val="true"/>
        </w:rPr>
        <w:t>النصب والعدالة</w:t>
      </w:r>
      <w:bookmarkEnd w:id="49"/>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بغض أمير المؤمنين علي وأهل بيته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نصّت عليه المعاجم اللغوية وكتب أهل الفن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الموصوف به منافق مبغض لله تعالى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ورد في روايات صحيحة كثيرة أوردنا نزراً يسيراً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سنبحث العلاقة بين النصب والناصبي من جهة، وبين العدالة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وبكلام أوضح، هل يمكن بحالٍ من الأحوال أن يكون الناصبي عادلاً حائزاً على أهمّ شرطٍ من شروط الراوي، وهو الشرط المُجمَع والمُتَّفق عليه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فاقدٌ لهذا الشرط؟</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لابد أن نُذكِّر بما مرّ في الفصل الأوّل من أنَّ أهمّ الشروط التي يجب توفّرها في الراوي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البلوغ، العدالة، الضبط، وهذه الشروط اتفاقية لم يشذ أحد عن ذكرها من المُحدِّثين والأصوليين، كما مرّ في الفصل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أثبتنا هناك أنَّ العدالة تعدُّ واحداً من أهم الشروط الأربعة الآنفة الذكر عند الجمهور، وقلنا إنَّ ارتكاب المفسق يرفع العدالة، كما مرَّ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أثبتنا أنَّ العدالة قد أُخذ في 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ارتكاب البِدعة منافٍ تماماً للعدالة ورافع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كلّ هذه المقدّمات، نطبِّق ما سبق على موضوع بحثنا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خصوص النصب والنواصب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هل أنَّ الناصبي يمكن أن يُوصَف باِلعدالة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تقدَّم في أول هذا الفصل أنَّ الناصبي منافق بنص الشريعة، وتقدم أيضاً أنَّ حبَّ علي وأهل بيته عليهم السلام أمر قد حثَّت عليه الشريعة، ونهت عن خلافه، برواياتٍ كثيرة صحاح؛ إذ إنَّ أمير المؤمنين عليه السلام هو من أهل الإيمان الذين اُمر المسلمون بحبهم بالعموم، كما أنَّه وردت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بحبِّه بالخصوص، وتثبت أنَّ حبَّه من الإيمان وبغضه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فالناصبي المبغض لعلي عليه السلام وأهل بيته، قد أتى بمحرَّمٍ مقطوع الحرمة، وترك واجباً مقطوع الوجوب، ومَن كان هذا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فاسقاً لا محالة، مقطوع الفسق، ولذا نرى ابن عباس في الحديث الصحيح الذي مرَّ آنفاً، حَصَبَ الرجل الشامي السابّ لعلي عليه السلام نهياً له عن المنكر، وبياناً منه للناس وللحاضرين بالخصوص، على أنَّ هذا الساب قد أتى بمحرمٍ ومخالفة شنيعة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هذا الأمر المهمّ الصنعاني صراحة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النصب، فعرفت من رسمه عن القاموس أنَّه التديّن ببغض علي، فالمتَّصف به مبتدع شر ابتداع أيضاً، فاعل لمحرمٍ تارك لواجب، فإنَّ محبة علي مأمور بها عموماً وخصوصاً، أمّا الأوّل، فلأنَّه داخل في أدلّته إيجاب محبة أهل الإيمان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الخاصّة، فأحاديث لا يأتي عليها العدُّ آمرة بحبّه، ومخبرة بأنَّه لا يحبّه إلاّ مؤمن، ولا يبغضه إلاّ منافق، وقد أودعنا الروضة الندية، شرح التحفة العلوية</w:t>
      </w:r>
      <w:r>
        <w:rPr>
          <w:rStyle w:val="FootnoteAnchor"/>
          <w:rtl w:val="true"/>
        </w:rPr>
        <w:footnoteReference w:id="69"/>
      </w:r>
      <w:r>
        <w:rPr>
          <w:rFonts w:ascii="Amiri" w:hAnsi="Amiri" w:eastAsia="Amiri" w:cs="Amiri"/>
          <w:color w:val="111111"/>
          <w:sz w:val="28"/>
          <w:sz w:val="28"/>
          <w:szCs w:val="28"/>
          <w:rtl w:val="true"/>
          <w:lang w:bidi="ar-SA"/>
        </w:rPr>
        <w:t>من ذلك شطراً من الأحاديث بحمد الله، معزوّة إلى محله، مصحَّحة ومحسنة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فالناصبي أتى بمحرم قطعاً، ولم يأتِ بالواجب الآخر من موالاة سائر أهل الإيمان، كالصحابة، إذ ليس من لازمه محبّة بقية الصحابة، وهب أنّه من لازمه، فلا يخرجه عن الإخلال بواجب محبة علي، وفعله لمحرَّم من بغضه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وبهذا عرفت أنَّ الناصبي المطلق خارج عن العدالة</w:t>
      </w:r>
      <w:r>
        <w:rPr>
          <w:rFonts w:eastAsia="Amiri" w:cs="Amiri" w:ascii="Amiri" w:hAnsi="Amiri"/>
          <w:color w:val="111111"/>
          <w:sz w:val="28"/>
          <w:szCs w:val="28"/>
          <w:rtl w:val="true"/>
          <w:lang w:bidi="ar-SA"/>
        </w:rPr>
        <w:t>. . .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فالناصبي مبتدع، وللاستدلال على ابتداعه نرجع إلى تعريف البدعة الذي أوردناه في الفصل الأول، فقد قلنا هناك إنَّ البدعة الاصطلاحية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المُحدَث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أصل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لنرجع إلى تعريف النصب، لنلاحظ أنَّ النواصب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المتدينون ببغض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نصَّ على ذلك ابن منظور والزبيدي والزمخشري،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وجعلوه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نصَّ على ذلك صاحب الكليات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تعاريف النصب أنَّ النواصب يتديَّنون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يجعلوه من الدين ويدخلوه فيه، وهذا مطابق تماماً لتعريف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أنَّهم أتوا بشيء جديد على خلاف الشرع المقدس؛ لأنَّ النصب لعلي عليه السلام لم يأتِ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يأمر به قطعاً، بل أمر بخلافه وبضده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فالناصبي أتى بشيء لم يكن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تأمر به الشريعة، بل أمرت بضده، فالناصبي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مُدخل في الدين 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ذلك، وتقدم أنَّ مفهوم العدالة قد أُخذ فيه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ينتج لا محالة أنَّ الناصبي ليس بعادل؛ لأنَّه مبتدع، وحدّ العدالة قد اُخذ فيه عدم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لعلها من الواضحات التي لا غبار عليها، لكن مع ذلك نورد كلام أحد مشاهير علماء الجمهور في ذلك، وهو السيوطي، إذ قال ما نصه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أسرد هنا مَن رُمي ببدعته ممَّن أخرج لهم البخاري ومسلم أو أحدهما، </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هطمان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يونس بن بكير، وهؤلاء رُموا بالإرجاء، وهُو تأخير القول في الحكم على مرتكب الكبائر بالنار، إسحاق بن سويد العدوي، بهز بن أسد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قيس بن أبي حازم، هؤلاء رُموا بالنصب، وهو بغض علي، وتقديم غيره عليه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وواضح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النصب، الذي ذكره لاحقاً، من البِدع المؤاخذ عليها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إلى هنا أنَّ الناصبي فاسق ومبتدع، وكلا الأمرين ينافيان العدالة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قال 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تمييز أسباب الطعن في المذكورين، ومنه يتضح مَن يصلح منهم للاحتجاج به ومَن لا يصلح،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بسبب الاعتقاد، وقد قدّمنا حكمه، وبينّا في ترجمة كل منهم أنَّه ما لم يكن داعية، أو كان وتاب، أو اعتضدت روايته بمتابع، وهذا بيان ما رموا به، فالإرجاء بمعنى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والتشيّع محبة علي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والنصب بغض علي وتقديم غيره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وهذه أسماؤهم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إسحاق بن سويد العدوي رمي بالنصب</w:t>
      </w:r>
      <w:r>
        <w:rPr>
          <w:rFonts w:eastAsia="Amiri" w:cs="Amiri" w:ascii="Amiri" w:hAnsi="Amiri"/>
          <w:color w:val="111111"/>
          <w:sz w:val="28"/>
          <w:szCs w:val="28"/>
          <w:rtl w:val="true"/>
          <w:lang w:bidi="ar-SA"/>
        </w:rPr>
        <w:t>. . .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وواضح من كلام ابن حجر هذا أنَّ النصب أحد الأمور التي توجب الطعن في الراوي، ولا يهمّنا هنا كيفية الإجابة والدفاع عن ذلك، أو التفصيل بين الداعية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سيأتي بسط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المهم في المقام إثبات كون النصب من البدع الموجبة للطعن في الراوي، وتخدش بأحد أهم الشروط الواجب توفرها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بذلك أنَّ توثيق الناصبي يناقض تماماً ما اتفقوا وأجمعوا عليه، من اشتراط العدالة في الراوي واشتراط عدم البدعة فيه؛ لأنَّ النصب ذنب محرم وبدعة مفسقة، فكيف يتلائم اشتراط العدالة مع تعديل الفاسق المبتدع؟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هذا التناقض الواضح محمد بن إسماعيل الصنعاني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العدالة في رسم الصحيح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هناك</w:t>
      </w:r>
      <w:r>
        <w:rPr>
          <w:rFonts w:eastAsia="Amiri" w:cs="Amiri" w:ascii="Amiri" w:hAnsi="Amiri"/>
          <w:color w:val="111111"/>
          <w:sz w:val="28"/>
          <w:szCs w:val="28"/>
          <w:rtl w:val="true"/>
          <w:lang w:bidi="ar-SA"/>
        </w:rPr>
        <w:t xml:space="preserve">: </w:t>
      </w:r>
      <w:bookmarkStart w:id="50" w:name="pg1614_13541"/>
    </w:p>
    <w:p>
      <w:pPr>
        <w:pStyle w:val="BookText"/>
        <w:rPr/>
      </w:pPr>
      <w:bookmarkEnd w:id="50"/>
      <w:r>
        <w:rPr>
          <w:rFonts w:ascii="Amiri" w:hAnsi="Amiri" w:eastAsia="Amiri" w:cs="Amiri"/>
          <w:color w:val="111111"/>
          <w:sz w:val="28"/>
          <w:sz w:val="28"/>
          <w:szCs w:val="28"/>
          <w:rtl w:val="true"/>
          <w:lang w:bidi="ar-SA"/>
        </w:rPr>
        <w:t>هنا 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أخذوا في رسم الصحيح والحسن عدالة الراوي، كما سبق للحافظ في النُخبة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الحافظ ابن حجر العسقلاني في كتاب 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كتب صاحب العواصم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عبدالله أبو بكر 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جميع كتب أصول الحديث، وفسَّرَ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بأنَّها مَلَكَة تحمل على ملازمة التقوى والمروءة، وفسّر التقوى بأنَّها اجتناب الأعمال السيئة، من شركٍ وفسق أو بدعة، فأفاد أنَّ العدالة شرط للراوي، وقد عرفت أنَّ ترك البدعة من ماهية العدالة، فالعدل لا يكون عدلاً إلاَّ باجتناب البدعة بأنواعها، ولا يخفى أنَّه هذا يناقض ما قرَّره الحافظ، من القول بقبول المبتدع، مناقضة ظاهرة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إذن، فاللازم إمّا أن يتخلّوا عمّا أجمعوا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شرطية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يرفعوا اليد عن توثيق الناصبي، وكلا الأمرين لم يعملوا بهما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928427_3650668749"/>
      <w:bookmarkStart w:id="52" w:name="_Toc17"/>
      <w:bookmarkEnd w:id="51"/>
      <w:r>
        <w:rPr>
          <w:rtl w:val="true"/>
        </w:rPr>
        <w:t>المبحث الثانى</w:t>
      </w:r>
      <w:r>
        <w:rPr>
          <w:rtl w:val="true"/>
        </w:rPr>
        <w:t xml:space="preserve">: </w:t>
      </w:r>
      <w:r>
        <w:rPr>
          <w:rtl w:val="true"/>
        </w:rPr>
        <w:t>كيف وثَّقوا النواصب؟</w:t>
      </w:r>
      <w:bookmarkEnd w:id="52"/>
    </w:p>
    <w:p>
      <w:pPr>
        <w:pStyle w:val="Heading4"/>
        <w:numPr>
          <w:ilvl w:val="3"/>
          <w:numId w:val="1"/>
        </w:numPr>
        <w:rPr/>
      </w:pPr>
      <w:bookmarkStart w:id="53" w:name="__RefHeading___Toc928429_3650668749"/>
      <w:bookmarkStart w:id="54" w:name="_Toc18"/>
      <w:bookmarkEnd w:id="53"/>
      <w:r>
        <w:rPr>
          <w:rtl w:val="true"/>
        </w:rPr>
        <w:t>اشاره</w:t>
      </w:r>
      <w:bookmarkEnd w:id="54"/>
    </w:p>
    <w:p>
      <w:pPr>
        <w:pStyle w:val="BookText"/>
        <w:rPr/>
      </w:pPr>
      <w:r>
        <w:rPr>
          <w:rFonts w:ascii="Amiri" w:hAnsi="Amiri" w:eastAsia="Amiri" w:cs="Amiri"/>
          <w:color w:val="111111"/>
          <w:sz w:val="28"/>
          <w:sz w:val="28"/>
          <w:szCs w:val="28"/>
          <w:rtl w:val="true"/>
          <w:lang w:bidi="ar-SA"/>
        </w:rPr>
        <w:t>إنَّ النظرة الإجمالية في كتب الرجال عند الجمهور، تظهر لنا أنَّ أهل الفن وخبراءه فيهم يوثّقون النواصب، تارة بالتوثيقات العامة الكلية، وتارة بالتوثيقات الخاصة لأفراد النواصب وآحادهم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وسنتعرض لكلا القسمين ما أمكن، ومن الله تعالى نستمدّ العون</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928431_3650668749"/>
      <w:bookmarkStart w:id="56" w:name="_Toc19"/>
      <w:bookmarkEnd w:id="55"/>
      <w:r>
        <w:rPr>
          <w:rtl w:val="true"/>
        </w:rPr>
        <w:t>القسم الأوّل</w:t>
      </w:r>
      <w:r>
        <w:rPr>
          <w:rtl w:val="true"/>
        </w:rPr>
        <w:t xml:space="preserve">: </w:t>
      </w:r>
      <w:r>
        <w:rPr>
          <w:rtl w:val="true"/>
        </w:rPr>
        <w:t>التوثيقات العامّة للنواصب</w:t>
      </w:r>
      <w:bookmarkEnd w:id="56"/>
    </w:p>
    <w:p>
      <w:pPr>
        <w:pStyle w:val="Heading5"/>
        <w:numPr>
          <w:ilvl w:val="4"/>
          <w:numId w:val="1"/>
        </w:numPr>
        <w:rPr/>
      </w:pPr>
      <w:bookmarkStart w:id="57" w:name="__RefHeading___Toc928433_3650668749"/>
      <w:bookmarkStart w:id="58" w:name="_Toc20"/>
      <w:bookmarkEnd w:id="57"/>
      <w:r>
        <w:rPr>
          <w:rtl w:val="true"/>
        </w:rPr>
        <w:t>اشاره</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المتتبع للكتب الرجالية وقواعد الدراية عند الجمهور، لا يجد كثيراً من العناء في رصد أقوال وعبائر تدلّ صراحة، ومن دون لبس، على توثيق مَن وُصموا بالنصب، وهذا التوثيق العام يلاحظ تارة بصورة مباشرة وبالتصريح، وتارة أخرى يلاحظ بالملازمة والتلويح، وسنورد هاهنا نبذاً من أشهر ما قيل في كلا الفرعين</w:t>
      </w:r>
      <w:r>
        <w:rPr>
          <w:rFonts w:eastAsia="Amiri" w:cs="Amiri" w:ascii="Amiri" w:hAnsi="Amiri"/>
          <w:color w:val="111111"/>
          <w:sz w:val="28"/>
          <w:szCs w:val="28"/>
          <w:rtl w:val="true"/>
          <w:lang w:bidi="ar-SA"/>
        </w:rPr>
        <w:t xml:space="preserve">. </w:t>
      </w:r>
      <w:bookmarkStart w:id="59" w:name="pg1614_13542"/>
    </w:p>
    <w:p>
      <w:pPr>
        <w:pStyle w:val="Heading5"/>
        <w:numPr>
          <w:ilvl w:val="4"/>
          <w:numId w:val="1"/>
        </w:numPr>
        <w:rPr/>
      </w:pPr>
      <w:bookmarkStart w:id="60" w:name="__RefHeading___Toc928435_3650668749"/>
      <w:bookmarkStart w:id="61" w:name="_Toc21"/>
      <w:bookmarkEnd w:id="59"/>
      <w:bookmarkEnd w:id="60"/>
      <w:r>
        <w:rPr>
          <w:rtl w:val="true"/>
        </w:rPr>
        <w:t>الفرع الأول</w:t>
      </w:r>
      <w:r>
        <w:rPr>
          <w:rtl w:val="true"/>
        </w:rPr>
        <w:t xml:space="preserve">: </w:t>
      </w:r>
      <w:r>
        <w:rPr>
          <w:rtl w:val="true"/>
        </w:rPr>
        <w:t>التوثيقات العامّة للنواصب بالمباشرة والتصريح</w:t>
      </w:r>
      <w:bookmarkEnd w:id="61"/>
    </w:p>
    <w:p>
      <w:pPr>
        <w:pStyle w:val="BookText"/>
        <w:rPr/>
      </w:pPr>
      <w:r>
        <w:rPr>
          <w:rFonts w:ascii="Amiri" w:hAnsi="Amiri" w:eastAsia="Amiri" w:cs="Amiri"/>
          <w:color w:val="111111"/>
          <w:sz w:val="28"/>
          <w:sz w:val="28"/>
          <w:szCs w:val="28"/>
          <w:rtl w:val="true"/>
          <w:lang w:bidi="ar-SA"/>
        </w:rPr>
        <w:t>بعدما تبيّن أنَّ توثيق النواصب يعدّ مناقضةً صريحة لأهمّ مبنى من مبانيهم في التوثيق والتضعيف، وهو اشتراط العدالة، سنورد هنا نَصَّين من أشهر ما قيل في توثيق النواصب، مع ذكر ما يعارضه من أقوال على وفق مبانيهم، فهاهما النصّان مع ما عليهما من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واحد من رجاليي الجمهور منسوباً إلى أبي داود صاحب السنن،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أهل الأهواء أصحّ حديثاً من الخوارج، ثُمَّ ذكر عمران بن حطان وأبا حسّان الأعرج</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وواضح أنَّ هذا يُعدّ توثيقاً عامّاً لهذه الفرقة التي تعدّ من أوضح مصاديق النواصب</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على وزن أفعل، فهي صفة تفضيل، بمعنى أنّ الخوارج، مقايسة بأهل الأهواء، يكون حديثهم أصح وأعلى مرتبة، وهو لا يعدّ توثيقاً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رجاليي الجمهور لم يفهموا هذا من كلام أبي داود، بل فهموا منه التوثيق؛ لذا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مَن زعم أنَّ البخاري ومسلم احتجَّا بأهل الأهواء تارة، وأهل الأهواء الدعاة إلى مذهبهم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المناوي، بعد إيراد اعتراض على الشيخين بأنَّهما احتجّا في الصحيحين برواةٍ دعاةٍ لمذهبهم،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الحافظ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أهل الأهواء أصحّ حديثاً من الخوارج</w:t>
      </w:r>
      <w:r>
        <w:rPr>
          <w:rFonts w:eastAsia="Amiri" w:cs="Amiri" w:ascii="Amiri" w:hAnsi="Amiri"/>
          <w:color w:val="111111"/>
          <w:sz w:val="28"/>
          <w:szCs w:val="28"/>
          <w:rtl w:val="true"/>
          <w:lang w:bidi="ar-SA"/>
        </w:rPr>
        <w:t>» .</w:t>
      </w:r>
      <w:r>
        <w:rPr>
          <w:rStyle w:val="FootnoteAnchor"/>
          <w:rtl w:val="true"/>
        </w:rPr>
        <w:footnoteReference w:id="7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فهم ابن حجر أيضاً لعبارة أبي داود؛ لذا نراه يقيِّد إطلاقه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أهل الأهواء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فليس على إطلاقه</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يضاف له أنَّ أبا داود نفسه تعرَّض في ذيل كلامه السابق إلى توثيق عمران بن حطان، الذي كان رأساً من رؤوس الخوارج القعدية، بل هو شاعرهم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حسان الأعرج، وهو أيضاً من رجال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لِما سبق من تناقضه مع اشتراط العدالة في الراوي، وأنَّ الخوارج خارجون عن حد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القول معارض لما اشتهر بينهم، فيما نقله أكابر أهل النقل عندهم، كالرامهرمزي، وابن الجوزي، والخطيب البغدادي، وابن حجر العسقلاني، وغيرهم، من قول شيخ من شيوخهم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ورجع؛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الأحاديث دين، فانظروا عمَّن تأخذون دينكم، فإنّا كنّا إذا هوينا أمراً صيّرناه حديثاً</w:t>
      </w:r>
      <w:r>
        <w:rPr>
          <w:rFonts w:eastAsia="Amiri" w:cs="Amiri" w:ascii="Amiri" w:hAnsi="Amiri"/>
          <w:color w:val="111111"/>
          <w:sz w:val="28"/>
          <w:szCs w:val="28"/>
          <w:rtl w:val="true"/>
          <w:lang w:bidi="ar-SA"/>
        </w:rPr>
        <w:t>» .</w:t>
      </w:r>
      <w:r>
        <w:rPr>
          <w:rStyle w:val="FootnoteAnchor"/>
          <w:rtl w:val="true"/>
        </w:rPr>
        <w:footnoteReference w:id="78"/>
      </w:r>
      <w:r>
        <w:rPr>
          <w:rFonts w:ascii="Amiri" w:hAnsi="Amiri" w:eastAsia="Amiri" w:cs="Amiri"/>
          <w:color w:val="111111"/>
          <w:sz w:val="28"/>
          <w:sz w:val="28"/>
          <w:szCs w:val="28"/>
          <w:rtl w:val="true"/>
          <w:lang w:bidi="ar-SA"/>
        </w:rPr>
        <w:t>مخرجين لهذا القول مُسنداً عن ابن لهيعة، حتى قال عنه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بها عبد الرحمن بن مهدي الإمام عن ابن لهيعة، فهي من قديم حديثه الصحيح</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كما أنّه معارض لما أخرجه الخطيب البغدادي مُسنداً عن الأعمش،</w:t>
      </w:r>
      <w:r>
        <w:rPr>
          <w:rStyle w:val="FootnoteAnchor"/>
          <w:rtl w:val="true"/>
        </w:rPr>
        <w:footnoteReference w:id="80"/>
      </w:r>
      <w:r>
        <w:rPr>
          <w:rFonts w:ascii="Amiri" w:hAnsi="Amiri" w:eastAsia="Amiri" w:cs="Amiri"/>
          <w:color w:val="111111"/>
          <w:sz w:val="28"/>
          <w:sz w:val="28"/>
          <w:szCs w:val="28"/>
          <w:rtl w:val="true"/>
          <w:lang w:bidi="ar-SA"/>
        </w:rPr>
        <w:t>وهو من أئمّة أهل الحديث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الحسين القطان، نا عبدالله‌بن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نمير، قال ثنا ابن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 إياس بن معاوية </w:t>
      </w:r>
      <w:r>
        <w:rPr>
          <w:rStyle w:val="FootnoteAnchor"/>
          <w:rtl w:val="true"/>
        </w:rPr>
        <w:footnoteReference w:id="81"/>
      </w:r>
      <w:r>
        <w:rPr>
          <w:rFonts w:ascii="Amiri" w:hAnsi="Amiri" w:eastAsia="Amiri" w:cs="Amiri"/>
          <w:color w:val="111111"/>
          <w:sz w:val="28"/>
          <w:sz w:val="28"/>
          <w:szCs w:val="28"/>
          <w:rtl w:val="true"/>
          <w:lang w:bidi="ar-SA"/>
        </w:rPr>
        <w:t>فحدَّث بحديث،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تذكر هذا؟ فضرب لي مثل رجل من الخوارج،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تضرب هذا المثل، تريد أن أكنس الطريق بثوبي، فلا أدع بعرة ولا خنفساء الاّ حملتها؟ </w:t>
      </w:r>
      <w:r>
        <w:rPr>
          <w:rFonts w:eastAsia="Amiri" w:cs="Amiri" w:ascii="Amiri" w:hAnsi="Amiri"/>
          <w:color w:val="111111"/>
          <w:sz w:val="28"/>
          <w:szCs w:val="28"/>
          <w:rtl w:val="true"/>
          <w:lang w:bidi="ar-SA"/>
        </w:rPr>
        <w:t>! .</w:t>
      </w:r>
      <w:r>
        <w:rPr>
          <w:rStyle w:val="FootnoteAnchor"/>
          <w:rtl w:val="true"/>
        </w:rPr>
        <w:footnoteReference w:id="8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والنقل تامّ السند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فالملاحظ أنَّ الأعمش جعل حديثهم بمنزلة أوساخ الطريق، فهو عنده كالبعرة أو الخنفساء ليس إلاّ، فأين هذا القول من قول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القول ممَّن قال بتوثيق هذه 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التوثيقات العامة بالمباشرة والتصريح أيضاً ما ورد عن ابن حجر في ترجمته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لمازة بن زبّار الجهضمي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مانصه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 مَن يوصَف بالنصب يكون مشهوراً بصدق اللهجة، والتمسّك بأمور الديانة، بخلاف مَن يوصف بالرفض، فإنَّ غالبهم كاذب لا يتورَّع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أنَّ الناصبة اعتقدوا أنَّ علياً قتل عثمان، أو كان أعان عليه، فكان بغضهم له ديانة بزعمهم، ثُمَّ إِنضاف إلى ذلك أنَّ منهم مَن قتلت أقاربه في حروب علي</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وقبل الشروع في تحليل هذا القول، نرى من المناسب أن ننقل كلام ابن حجر بأكمله، إيضاحاً للصورة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ترجمته للمُومى إليه مانصه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موسى بن إسماعيل عن مطر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لبيد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لمازة بن زبار الجهضمي،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وقد قتل من قومي في غداة واحدة ستة آلاف، 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 الدوري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أبيه عن أبي لبيد، وكان شتّاماً،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يشتم؟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الطبري عن طريق عبدالله بن المبارك عن جرير بن حازم، حدَّثني الزبير بن خرّيت عن أبي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أسبّ رجلاً قتل منّا خمسمائة وألفين والشمس هاهنا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توثيقهم الناصبي غالباً وتوهينهم الشيعي مطلقاً</w:t>
      </w:r>
      <w:r>
        <w:rPr>
          <w:rStyle w:val="FootnoteAnchor"/>
          <w:rtl w:val="true"/>
        </w:rPr>
        <w:footnoteReference w:id="84"/>
      </w:r>
      <w:r>
        <w:rPr>
          <w:rFonts w:ascii="Amiri" w:hAnsi="Amiri" w:eastAsia="Amiri" w:cs="Amiri"/>
          <w:color w:val="111111"/>
          <w:sz w:val="28"/>
          <w:sz w:val="28"/>
          <w:szCs w:val="28"/>
          <w:rtl w:val="true"/>
          <w:lang w:bidi="ar-SA"/>
        </w:rPr>
        <w:t>، ولاسيما أنَّ علياً ورد في حقه لا يحبه إلاّ مؤمن ولا يبغضه إلاّ منافق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لي في الجواب عن ذلك أنَّ البغض هاهنا مقيّد بسبب، وهو كونه </w:t>
      </w:r>
    </w:p>
    <w:p>
      <w:pPr>
        <w:pStyle w:val="BookText"/>
        <w:rPr/>
      </w:pPr>
      <w:r>
        <w:rPr>
          <w:rFonts w:ascii="Amiri" w:hAnsi="Amiri" w:eastAsia="Amiri" w:cs="Amiri"/>
          <w:color w:val="111111"/>
          <w:sz w:val="28"/>
          <w:sz w:val="28"/>
          <w:szCs w:val="28"/>
          <w:rtl w:val="true"/>
          <w:lang w:bidi="ar-SA"/>
        </w:rPr>
        <w:t xml:space="preserve">نصرالنبي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من الطبع البشري بُغض مَن وقعت منه إساءة في حق المُبغض، والحب بعكسه، وذلك ما يرجع إلى أمور الدنيا غالباً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والخبر في حبِّ عليٍّ وبغضه فيه حتى ادّعى أنّه نبي أو أنّه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إفكهم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وردَ في حقّ علي من ذلك قد ورد مثله فى حق الأنصار</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وأجاب عنه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بَغَضَهم لأجل النصر، كان ذلك علامة نفاقه، وبالعكس، فكذا يقال فى حق علي، وأيضاً فأكثر مَن يوصف بالنصب يكون مشهوراً بصدق اللهجة والتمسّك بأمور الديانة</w:t>
      </w:r>
      <w:r>
        <w:rPr>
          <w:rFonts w:eastAsia="Amiri" w:cs="Amiri" w:ascii="Amiri" w:hAnsi="Amiri"/>
          <w:color w:val="111111"/>
          <w:sz w:val="28"/>
          <w:szCs w:val="28"/>
          <w:rtl w:val="true"/>
          <w:lang w:bidi="ar-SA"/>
        </w:rPr>
        <w:t>. . .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إلى آخر كلامه الذي نقلناه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على هذا التوثيق أنَّه يأتي عليه ما أتى على كلام أبي داود، من مناقضته الصريحة لشرطية العدالة، التي تُعدُّ أهمّ شرط شرطوه في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الكلام الغريب العجيب يحتاج الى وقفةٍ طويلةٍ وتأمّلٍ دقيق؛ لما فيه من العظائم التي سنجملها بالنقاط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فأكثر مَن يوصَف بالنصب يكون مشهوراً بصدق اللهجة والتمسّك بأمور الديانة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العجب العجاب أن يكون المُبغض لمَن أمر الله بحبّه وأحبّه</w:t>
      </w:r>
      <w:r>
        <w:rPr>
          <w:rStyle w:val="FootnoteAnchor"/>
          <w:rtl w:val="true"/>
        </w:rPr>
        <w:footnoteReference w:id="87"/>
      </w:r>
      <w:r>
        <w:rPr>
          <w:rFonts w:ascii="Amiri" w:hAnsi="Amiri" w:eastAsia="Amiri" w:cs="Amiri"/>
          <w:color w:val="111111"/>
          <w:sz w:val="28"/>
          <w:sz w:val="28"/>
          <w:szCs w:val="28"/>
          <w:rtl w:val="true"/>
          <w:lang w:bidi="ar-SA"/>
        </w:rPr>
        <w:t xml:space="preserve">، وأحبَّه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منه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الحديث المتواتر</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متمسّكاً بأمور الديانة؟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ديانةٍ هذه التي يُبغَضُ فيها مَن أمر الله ورسوله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تُسمَّى معصية الله ورسوله ديانة وتمسّكاً بالدين؟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خذ أجلى وأوضح مصداقٍ من مصاديق النواصب، وهم الخوارج، فهم موصوفون بالنصب، وينطبق عليهم كلام ابن حجر في النواصب، فكيف يكون مثل </w:t>
      </w:r>
    </w:p>
    <w:p>
      <w:pPr>
        <w:pStyle w:val="BookText"/>
        <w:rPr/>
      </w:pPr>
      <w:r>
        <w:rPr>
          <w:rFonts w:ascii="Amiri" w:hAnsi="Amiri" w:eastAsia="Amiri" w:cs="Amiri"/>
          <w:color w:val="111111"/>
          <w:sz w:val="28"/>
          <w:sz w:val="28"/>
          <w:szCs w:val="28"/>
          <w:rtl w:val="true"/>
          <w:lang w:bidi="ar-SA"/>
        </w:rPr>
        <w:t xml:space="preserve">الخوارج متمسِّكون بأُمور الديانة وقد وردت فيهم أحاديث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انحرافهم، وأنَّهم كلاب النار، وأنَّهم يمرقون من الإسلام كما يمرق السهم من الرّميّه؟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في كلامه الآنف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البُغض ها هنا مقيَّد، وهو كونه نصرَ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فادَّعى أنَّ بغض علي عليه السلام لا يكون علامة للنفاق إلاّ إذا اقترن بأمر آخر، وهو بغضه لنصرته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والردّ على هذا الكلام واضحٌ بيِّن، إذ إنَّ الحديث مُطلَق، ومَن ادَّعى التقييد عليه إبراز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يعلِّق الحكم بالإيمان أو النفاق على النصرة،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لنصرتك إياي، ولا يبغضك إلاّ منافق لنصرتك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البيان، وهو في مقام البيان، ولم يقيِّد الحديث بشيء، فالحديث إذن مطلق، وهذا يدلّ على أنَّ الذات الطاهرة لعليً‌ّ عليه السلام هي تمام العلّة للحكم بالإيمان على المُحبّ، وبالنفاق على المبغض، وربط الحديث بالنصرة إلغاء لخصوصية ذات عليً‌ّ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ابن حجر أيّما اشتباه بأنْ شبَّه ما ورد في عليً‌ّ عليه السلام، بما ورد في حق الأنصار،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ورد في حقِّ علي من ذلك قد ورد مثله في حق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بَغضَهم لأجل النصر كان ذلك علامة نفاقه، وبالعكس، فكذا يُقال في حقِّ علي</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الحديثين واضح لكل ذي عينين؛ فحديث الأنصار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الإيمان حبّ الأنصار، وآية النفاق بغض الأنصار</w:t>
      </w:r>
      <w:r>
        <w:rPr>
          <w:rFonts w:eastAsia="Amiri" w:cs="Amiri" w:ascii="Amiri" w:hAnsi="Amiri"/>
          <w:color w:val="111111"/>
          <w:sz w:val="28"/>
          <w:szCs w:val="28"/>
          <w:rtl w:val="true"/>
          <w:lang w:bidi="ar-SA"/>
        </w:rPr>
        <w:t>» .</w:t>
      </w:r>
      <w:r>
        <w:rPr>
          <w:rStyle w:val="FootnoteAnchor"/>
          <w:rtl w:val="true"/>
        </w:rPr>
        <w:footnoteReference w:id="90"/>
      </w:r>
      <w:r>
        <w:rPr>
          <w:rFonts w:ascii="Amiri" w:hAnsi="Amiri" w:eastAsia="Amiri" w:cs="Amiri"/>
          <w:color w:val="111111"/>
          <w:sz w:val="28"/>
          <w:sz w:val="28"/>
          <w:szCs w:val="28"/>
          <w:rtl w:val="true"/>
          <w:lang w:bidi="ar-SA"/>
        </w:rPr>
        <w:t xml:space="preserve">فإنَّ الحكم في هذا الحديث معلَّق على وصف الأنصار لا على أشخاصهم، وواضح أنَّ تعليق الحكم على الوصف مُشعِر بالعِلّية، فلو فرضنا تخلّي الأنصار عن وصف النصرة، لما كان حبّهم علامة الإيمان وبغضهم علامة النفاق، أمّا في حق عليً‌ّ عليه السلام فالأمر مختلف تماماً، فقد عُلِّق الوصف على ذات عليً‌ّ عليه السلام لا </w:t>
      </w:r>
      <w:bookmarkStart w:id="62" w:name="pg1614_13547"/>
    </w:p>
    <w:p>
      <w:pPr>
        <w:pStyle w:val="BookText"/>
        <w:rPr/>
      </w:pPr>
      <w:bookmarkEnd w:id="62"/>
      <w:r>
        <w:rPr>
          <w:rFonts w:ascii="Amiri" w:hAnsi="Amiri" w:eastAsia="Amiri" w:cs="Amiri"/>
          <w:color w:val="111111"/>
          <w:sz w:val="28"/>
          <w:sz w:val="28"/>
          <w:szCs w:val="28"/>
          <w:rtl w:val="true"/>
          <w:lang w:bidi="ar-SA"/>
        </w:rPr>
        <w:t>على وصف آخر، ممَّا يدلّ على أنَّ تلك الذات التي نالت من القرب الإلهي ما نالت، أصبحت ميزاناً بين الإيمان والنفاق بما هي هي، وفرق شاسع بين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في كلامه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 الطبع البشري بُغض مَن وقعت منه إساءة في حقّ المُبغض، والحبّ بعكسه، وذلك ما يرجع الى أُمور الدنيا غالباً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الكلام فيه ما فيه؛ إذ ينبغي على هذا أنْ تكون قريش مُحقّة في بغضها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قاتلها وقتل منها، بل إنَّ للكفار الذين عاشوا في زمن الأنبياء السالفين الحق في بغض أنبيائهم؛ لأنَّ الأنبياء أساؤوا لهؤلاء الكفار، وهذا كلام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فالأديان إنَّما جاءت لتشذّب وتهذّب الطباع البشرية، وتقنِّن الحبّ والبغض وبقية المشاعر والأحاسيس، فلا يحقّ للمؤمن مثلاً أنْ يحبّ كافراً محارباً معادياً لله ولرسوله، ولا أنْ يواليه، ولا ينبغي للمؤمن أنْ يُبغض مؤمناً يريد إقامة الحق، فكيف ببغض سيد المؤمنين وأميرهم، لا لشيءٍ إلاّ لإقامته العدل ومحاربته للباطل؟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التوثيقات العامّة أيضاً ما ذكره ابن تيمية، بقوله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والخوارج أصدق من الرافضة وأدين وأورع، بل الخوارج لا نعرف عنهم أنَّهم يتعمّدون الكذب، بل هم من أصدق الناس</w:t>
      </w:r>
      <w:r>
        <w:rPr>
          <w:rFonts w:eastAsia="Amiri" w:cs="Amiri" w:ascii="Amiri" w:hAnsi="Amiri"/>
          <w:color w:val="111111"/>
          <w:sz w:val="28"/>
          <w:szCs w:val="28"/>
          <w:rtl w:val="true"/>
          <w:lang w:bidi="ar-SA"/>
        </w:rPr>
        <w:t>» .</w:t>
      </w:r>
      <w:r>
        <w:rPr>
          <w:rStyle w:val="FootnoteAnchor"/>
          <w:rtl w:val="true"/>
        </w:rPr>
        <w:footnoteReference w:id="91"/>
      </w:r>
      <w:r>
        <w:rPr>
          <w:rFonts w:ascii="Amiri" w:hAnsi="Amiri" w:eastAsia="Amiri" w:cs="Amiri"/>
          <w:color w:val="111111"/>
          <w:sz w:val="28"/>
          <w:sz w:val="28"/>
          <w:szCs w:val="28"/>
          <w:rtl w:val="true"/>
          <w:lang w:bidi="ar-SA"/>
        </w:rPr>
        <w:t>فهذا توثيق لأهمّ مصداق من مصاديق النواصب، أعني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التعليق على هذا الكلام قد يكون خارج عن حدود هذا الكتاب، فيترك لمقام آخر</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928437_3650668749"/>
      <w:bookmarkStart w:id="64" w:name="_Toc22"/>
      <w:bookmarkEnd w:id="63"/>
      <w:r>
        <w:rPr>
          <w:rtl w:val="true"/>
        </w:rPr>
        <w:t>الفرع الثاني</w:t>
      </w:r>
      <w:r>
        <w:rPr>
          <w:rtl w:val="true"/>
        </w:rPr>
        <w:t xml:space="preserve">: </w:t>
      </w:r>
      <w:r>
        <w:rPr>
          <w:rtl w:val="true"/>
        </w:rPr>
        <w:t>التوثيقات العامَّة للنواصب بالملازمة والتلويح</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وُثِّق النواصب أيضاً بمجموعهم، لكن لا بذكرهم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ابن حجر في ما ذكرناه في الفرع الأوّل حين ذكرهم بالنص عليهم، وأنَّهم متديّنون، وأنَّ أغلبهم صادق اللهجة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بذكر المصداق الأتمّ والأوضح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ابن داود صاحب السنن، حينما وثَّق الخوارج، مع كونهم من أصدق مصاديق أهل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وُثّقوا باللوازم، كإثبات الوثاقة لجميع فرق المسلمين عدا فرقة معيَّنة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النواصب </w:t>
      </w:r>
    </w:p>
    <w:p>
      <w:pPr>
        <w:pStyle w:val="BookText"/>
        <w:rPr/>
      </w:pP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كعدم عدّ النواصب من فرق أهل الأهواء والبِدع عند ذكرهم، إلى غير ذلك من اللوازم البيّنة التي تُثبت وثاقة أهل النصب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هنا نماذج من تلك العبائر التي أصبحت فيما بعد قواعد سار عليها أغلب أهل الجرح والتعديل، وهي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المشهور المنسوب إلى ابن إدريس الشافعي، والذي صار بينهم قاعدة أشهر من نارٍ على علم، وهي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شهادة أهل الأهواء إلاّ الخطابية من الرافضة</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فهذا القول وإن لم يذكر النواصب بالخصوص في عموم المستثنى منه، إلاّ أنَّهم داخلون في ذلك العموم؛ لأنَّهم من أهل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ذلك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يستثنون فيمَن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ورد على الأقوال السابقة، من مناقضته لشرطية العدالة، إذ إنَّ أهل الأهواء مبتدعة بالبداهة، فكيف تُقبل رواية المبتدع وحدّ العدالة عدم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مناقض لرأي الشافعي نفسه، الذي اشترط العدالة أيضاً في الراوي، على ما نقله ابن الصلاح عنه،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عدالة الراوي تارة تثبت بتنصيص معدلين على عدالته، وتارة تثبت بالاستفاضة، فمَن اشتهرت عدالته بين أهل النقل أو نحوهم من أهل العلم، وشاع الثناء عليه بالثقة والأمانة، استغني فيه بذلك عن بيّنةٍ شاهدة بعدالته تنصيصاً، وهذا هو الصحيح من مذهب الشافعي، وعليه الاعتماد في فنّ أصول الفقه</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فالراوي عند الشافعي إمّا عدل بالشياع، أو عدل بالبيّنة، وعلى كلا الحالين لابد من عدالته، فكيف يجتمع هذا مع تعديل أهل البدع والأهواء، والبدعة من منافيات العدالة إجماعاً بل اتفاقاً؟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التوثيقات العامة بالملازمة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شريك </w:t>
      </w:r>
      <w:r>
        <w:rPr>
          <w:rStyle w:val="FootnoteAnchor"/>
          <w:rtl w:val="true"/>
        </w:rPr>
        <w:footnoteReference w:id="94"/>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 العلم عن كل مَن لقيت إلاّ الرافضة، فإنَّهم يضعون الحديث ويتَّخذونه ديناً</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فالظاهر من الكلام المتقدّم أنَّ شريكاً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أئمّة الحديث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جميع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ضمنهم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المستثنى منه، الذين يحمل العلم عنهم، واستثنى من ذلك الروافض، ولازم ذلك توثيقه للجميع؛ لأنَّ حمل العلم هنا تعبير آخر عن نقل الحديث، وهذا ما فهمه الذهبي ناقل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التوثيقات العامة بالملازمة أيضاً 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مؤمل بن إهاب</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يزيد بن هارون</w:t>
      </w:r>
      <w:r>
        <w:rPr>
          <w:rStyle w:val="FootnoteAnchor"/>
          <w:rtl w:val="true"/>
        </w:rPr>
        <w:footnoteReference w:id="9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عن كل صاحب بدعة إذا لم يكن داعية، إلاّ الرافضة، فأنَّهم يكذبون</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وهذا القول كسابقيه؛ إذ إنَّه شهد بوثاقة أهل البدع، خلا الرافضة، مع تمييزه بين الداعيه وغير الداعية، وسيأتي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مناقض لما سبق من شرطية العدالة أوّلاً، ومن منافات العدالة للبدعة ثانياً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تقدَّم جميعاً يتَّضح أنَّ النواصب قد وُثِّقوا توثيقاً عاماً تارةً، بذكرهم مباشرةً، أو ذكر مصداقهم الأتم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وتارةً أخرى بعدم ذكرهم فيمَن لا يُنقل الحديث عنه، وجعلهم ممَّن يُكتب عنه، وينقل عنه العلم، وكلا الأمرين واضح في التوثيق</w:t>
      </w:r>
      <w:r>
        <w:rPr>
          <w:rFonts w:eastAsia="Amiri" w:cs="Amiri" w:ascii="Amiri" w:hAnsi="Amiri"/>
          <w:color w:val="111111"/>
          <w:sz w:val="28"/>
          <w:szCs w:val="28"/>
          <w:rtl w:val="true"/>
          <w:lang w:bidi="ar-SA"/>
        </w:rPr>
        <w:t xml:space="preserve">. </w:t>
      </w:r>
      <w:bookmarkStart w:id="65" w:name="pg1614_13550"/>
    </w:p>
    <w:p>
      <w:pPr>
        <w:pStyle w:val="Heading4"/>
        <w:numPr>
          <w:ilvl w:val="3"/>
          <w:numId w:val="1"/>
        </w:numPr>
        <w:rPr/>
      </w:pPr>
      <w:bookmarkStart w:id="66" w:name="__RefHeading___Toc928439_3650668749"/>
      <w:bookmarkStart w:id="67" w:name="_Toc23"/>
      <w:bookmarkEnd w:id="65"/>
      <w:bookmarkEnd w:id="66"/>
      <w:r>
        <w:rPr>
          <w:rtl w:val="true"/>
        </w:rPr>
        <w:t>القسم الثاني</w:t>
      </w:r>
      <w:r>
        <w:rPr>
          <w:rtl w:val="true"/>
        </w:rPr>
        <w:t xml:space="preserve">: </w:t>
      </w:r>
      <w:r>
        <w:rPr>
          <w:rtl w:val="true"/>
        </w:rPr>
        <w:t>التوثيقات الخاصّة لأفراد النواصب وآحادهم</w:t>
      </w:r>
      <w:bookmarkEnd w:id="67"/>
    </w:p>
    <w:p>
      <w:pPr>
        <w:pStyle w:val="Heading5"/>
        <w:numPr>
          <w:ilvl w:val="4"/>
          <w:numId w:val="1"/>
        </w:numPr>
        <w:rPr/>
      </w:pPr>
      <w:bookmarkStart w:id="68" w:name="__RefHeading___Toc928441_3650668749"/>
      <w:bookmarkStart w:id="69" w:name="_Toc24"/>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سننتقي في هذا القسم نماذج من أفراد النواصب الذين شاع نصبهم وبُغضهم لأميرالمؤمنين علي بن أبي طالب عليه السلام وعُرفوا به، ومع ذلك صرَّح أغلب الرجاليين بوثاقتهم، بل واعتمدوا أقوال بعضهم في الجرح والتعديل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اخترنا هنا نماذج؛ لأنَّ استيعاب جميع النواصب الذين وُثِّقوا يحتاج إلى مؤلَّف خاص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النماذج هي كما يلي</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928443_3650668749"/>
      <w:bookmarkStart w:id="71" w:name="_Toc25"/>
      <w:bookmarkEnd w:id="70"/>
      <w:r>
        <w:rPr/>
        <w:t>١</w:t>
      </w:r>
      <w:r>
        <w:rPr>
          <w:rtl w:val="true"/>
        </w:rPr>
        <w:t xml:space="preserve">- </w:t>
      </w:r>
      <w:r>
        <w:rPr>
          <w:rtl w:val="true"/>
        </w:rPr>
        <w:t>إبراهيم بن يعقوب الجوزجاني</w:t>
      </w:r>
      <w:bookmarkEnd w:id="71"/>
    </w:p>
    <w:p>
      <w:pPr>
        <w:pStyle w:val="BookText"/>
        <w:rPr/>
      </w:pPr>
      <w:r>
        <w:rPr>
          <w:rFonts w:ascii="Amiri" w:hAnsi="Amiri" w:eastAsia="Amiri" w:cs="Amiri"/>
          <w:color w:val="111111"/>
          <w:sz w:val="28"/>
          <w:sz w:val="28"/>
          <w:szCs w:val="28"/>
          <w:rtl w:val="true"/>
          <w:lang w:bidi="ar-SA"/>
        </w:rPr>
        <w:t>هو أبو إسحاق إبراهيم بن يعقوب الجوزجاني الجريري، من أهل العراق، وبه طلب العلم، ثُمَّ هاجر فاستقرَّ في دمشق، وصار شديد الميل إلى مذهب أهلها آنذاك، وهو بغض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أهل دمشق في ذلك الوقت بالنصب لعلي عليه السلام، وكان هذا الرجل لا يتردَّد بالتصريح ببغضه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سيتَّضح من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جهاراً، ومع كل ذلك عدُّوه من الثقات، بل اعتمدوا قوله في تعديل وجرح غيره من الرواة، وهذه نبذاً ممَّا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الجوزجاني، إبراهيم بن يعقوب السعدي الجوزجاني الحافظ، صاحب الجرح والتعديل، روى عنه أبو داود والترمذي والنسائي، كان يحدّث على المنبر بدمشق، وكان شديد الميل إلى أهل دمشق في التحامل على عليٍّ</w:t>
      </w:r>
      <w:r>
        <w:rPr>
          <w:rFonts w:eastAsia="Amiri" w:cs="Amiri" w:ascii="Amiri" w:hAnsi="Amiri"/>
          <w:color w:val="111111"/>
          <w:sz w:val="28"/>
          <w:szCs w:val="28"/>
          <w:rtl w:val="true"/>
          <w:lang w:bidi="ar-SA"/>
        </w:rPr>
        <w:t>. . .</w:t>
      </w:r>
      <w:r>
        <w:rPr>
          <w:rStyle w:val="FootnoteAnchor"/>
          <w:rtl w:val="true"/>
        </w:rPr>
        <w:footnoteReference w:id="9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قول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هذا الرجل ممَّن له رأي في تعديل وتجريح غيره، وقد يُعتمَد قوله في ذلك غالباً، وله في ذلك كتاب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وثَّقة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دمشق وكان يحدّث على المنبر، ويكاتبه أحمدبن حنبل فيتقوَّى بذلك، ويقرأ كتابه على المنبر، وكان شديد الميل إلى أهل دمشق في التحامل على عليٍّ</w:t>
      </w:r>
      <w:r>
        <w:rPr>
          <w:rFonts w:eastAsia="Amiri" w:cs="Amiri" w:ascii="Amiri" w:hAnsi="Amiri"/>
          <w:color w:val="111111"/>
          <w:sz w:val="28"/>
          <w:szCs w:val="28"/>
          <w:rtl w:val="true"/>
          <w:lang w:bidi="ar-SA"/>
        </w:rPr>
        <w:t>. .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وعنه أبو داود والترمذي والنسّائي والحسن بن سفيان وأبو زرعة الدمشقي، وأبو زرعة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رووا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أحمد بن حنبل يُكاتبه ويكرمه إكراماً شديداً،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حروري المذهب، ولم يكن بداعية، وكان صلباً في السنّة، حافظاً للحديث، إلاّ أنَّه من صلابته ربّما كان يتعدَّى 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الميل إلى مذهب أهل دمشق في الميل على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السَلَمي عن الدارقطني، بعد أن ذكر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انحراف عن عليّ</w:t>
      </w:r>
      <w:r>
        <w:rPr>
          <w:rFonts w:eastAsia="Amiri" w:cs="Amiri" w:ascii="Amiri" w:hAnsi="Amiri"/>
          <w:color w:val="111111"/>
          <w:sz w:val="28"/>
          <w:szCs w:val="28"/>
          <w:rtl w:val="true"/>
          <w:lang w:bidi="ar-SA"/>
        </w:rPr>
        <w:t>. . .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 الذهبي إلى القول بأنَّ الجوزجاني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يعقوب أبو إسحاق السعدي الجوزجاني، الثقة الحافظ، أحد أئمّة الجرح والتعديل</w:t>
      </w:r>
      <w:r>
        <w:rPr>
          <w:rFonts w:eastAsia="Amiri" w:cs="Amiri" w:ascii="Amiri" w:hAnsi="Amiri"/>
          <w:color w:val="111111"/>
          <w:sz w:val="28"/>
          <w:szCs w:val="28"/>
          <w:rtl w:val="true"/>
          <w:lang w:bidi="ar-SA"/>
        </w:rPr>
        <w:t>»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يكتفِ الجوزجاني بإظهار بُغضه وميله عن علي عليه السلام، بل راح يتحامل على الكثير من المحدّثين، بل وأئمّة الحديث من أهل الكوفة؛ بدعوى تشيّعهم وميلهم لعلي عليه السلام، لذا قال السخاوي ما نصّه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الحاذق إذا تأمّل ثلب أبي إسحاق لأهل الكوفة، رأى العجب، وذلك لشدَّة انحرافه في النصب، وشدَّة أهلها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 لا يتوقَّف في جرح مَن ذكره منهم </w:t>
      </w:r>
    </w:p>
    <w:p>
      <w:pPr>
        <w:pStyle w:val="BookText"/>
        <w:rPr/>
      </w:pPr>
      <w:r>
        <w:rPr>
          <w:rFonts w:ascii="Amiri" w:hAnsi="Amiri" w:eastAsia="Amiri" w:cs="Amiri"/>
          <w:color w:val="111111"/>
          <w:sz w:val="28"/>
          <w:sz w:val="28"/>
          <w:szCs w:val="28"/>
          <w:rtl w:val="true"/>
          <w:lang w:bidi="ar-SA"/>
        </w:rPr>
        <w:t>بلسان ذلق، وعبارة طلقة، حتى أنَّه أخذ يليّن مثل الأعمش، وأبي نعيم، وعبيد الله بن موسى، وأساطين الحديث وأركان الرواية</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وللتدليل على كلام السخاوي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تحامل الجوزجاني على كل مَن اتّهم بالتشيّع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سنعرض هنا نماذج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ترجمة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عبدالسلام بن صالح الهروي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وثَّقه يحيى‌بن معين، مع تشدّده في التوثيق والتضعيف</w:t>
      </w:r>
      <w:r>
        <w:rPr>
          <w:rStyle w:val="FootnoteAnchor"/>
          <w:rtl w:val="true"/>
        </w:rPr>
        <w:footnoteReference w:id="104"/>
      </w:r>
      <w:r>
        <w:rPr>
          <w:rFonts w:ascii="IRNazanin" w:hAnsi="IRNazanin" w:eastAsia="IRNazanin"/>
          <w:color w:val="111111"/>
          <w:sz w:val="28"/>
          <w:sz w:val="28"/>
          <w:szCs w:val="28"/>
          <w:rtl w:val="true"/>
          <w:lang w:bidi="fa-IR"/>
        </w:rPr>
        <w:t>، وروى له عبدالله بن أحمد بن حنبل</w:t>
      </w:r>
      <w:r>
        <w:rPr>
          <w:rStyle w:val="FootnoteAnchor"/>
          <w:rtl w:val="true"/>
        </w:rPr>
        <w:footnoteReference w:id="105"/>
      </w:r>
      <w:r>
        <w:rPr>
          <w:rFonts w:ascii="Amiri" w:hAnsi="Amiri" w:eastAsia="Amiri" w:cs="Amiri"/>
          <w:color w:val="111111"/>
          <w:sz w:val="28"/>
          <w:sz w:val="28"/>
          <w:szCs w:val="28"/>
          <w:rtl w:val="true"/>
          <w:lang w:bidi="ar-SA"/>
        </w:rPr>
        <w:t>، وهو توثيق له عنده، وهذا يدل على وثاقته عند أبيه؛ لأنَّ عبدالله بن أحمد لا يروي إلّا عمَّن يأمره أبوه بالرواية عنه، كما ذكر ذلك ابن حجر في غير موضع</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هنا بصدد توثيق أوتضعيف هذا الرجل، لكن حتى مَن ضعّفه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له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فعل العسقلاني،</w:t>
      </w:r>
      <w:r>
        <w:rPr>
          <w:rStyle w:val="FootnoteAnchor"/>
          <w:rtl w:val="true"/>
        </w:rPr>
        <w:footnoteReference w:id="10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الصالح، إلاّ أنَّه شيعي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كما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الجوزجاني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الصلت زائعاً عن الحق، مائلاً عن القصد، سمعت مَن حدَّثني عن بعض الأئمَّة أنَّه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أكذب من روث حمار الدّجال، وكان قديماً متلوّثاً في الأقذار</w:t>
      </w:r>
      <w:r>
        <w:rPr>
          <w:rFonts w:eastAsia="Amiri" w:cs="Amiri" w:ascii="Amiri" w:hAnsi="Amiri"/>
          <w:color w:val="111111"/>
          <w:sz w:val="28"/>
          <w:szCs w:val="28"/>
          <w:rtl w:val="true"/>
          <w:lang w:bidi="ar-SA"/>
        </w:rPr>
        <w:t>»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ولم يُعرَف مَن الذي حدَّث الجوزجاني بذلك، ومَن هو الإمام المحدَّث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فالجرح هنا مُرسَل، مع قساوته التى تنمّ عن تحاملٍ واضح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السخاوي وحيداً في التنبّه لتحامل الجوزجاني على أهل الكوفة، وإفراطه في القدح في كبار محدِّثيهم، بل تبعه على ذلك الحافظ ابن حجر، وزاد على السخاوي بأنَّه </w:t>
      </w:r>
      <w:bookmarkStart w:id="72" w:name="pg1614_13553"/>
    </w:p>
    <w:p>
      <w:pPr>
        <w:pStyle w:val="BookText"/>
        <w:rPr/>
      </w:pPr>
      <w:bookmarkEnd w:id="72"/>
      <w:r>
        <w:rPr>
          <w:rFonts w:ascii="Amiri" w:hAnsi="Amiri" w:eastAsia="Amiri" w:cs="Amiri"/>
          <w:color w:val="111111"/>
          <w:sz w:val="28"/>
          <w:sz w:val="28"/>
          <w:szCs w:val="28"/>
          <w:rtl w:val="true"/>
          <w:lang w:bidi="ar-SA"/>
        </w:rPr>
        <w:t>لم يقبل جرح الجوزجاني إذا عارضه غيره، إذ قال في ترجمة سعيد بن عمر بن أشوع الكوفي،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عمر ابن أشوع الكوفي، من الفقهاء، وثَّقه ابن معين، والنسائي والعجلي، وإسحاق بن راهويه، وأمّا أبو إسحاق الجوزجاني،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زائغاً غالياً، يعني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والجوزجاني غالٍ في النصب،</w:t>
      </w:r>
      <w:r>
        <w:rPr>
          <w:rStyle w:val="FootnoteAnchor"/>
          <w:rtl w:val="true"/>
        </w:rPr>
        <w:footnoteReference w:id="110"/>
      </w:r>
      <w:r>
        <w:rPr>
          <w:rFonts w:ascii="Amiri" w:hAnsi="Amiri" w:eastAsia="Amiri" w:cs="Amiri"/>
          <w:color w:val="111111"/>
          <w:sz w:val="28"/>
          <w:sz w:val="28"/>
          <w:szCs w:val="28"/>
          <w:rtl w:val="true"/>
          <w:lang w:bidi="ar-SA"/>
        </w:rPr>
        <w:t>فتعارضا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احتجَّ به الشيخان، والترمذي له عنده حديثان في أحدهما متابعة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الجوزجاني وُثِّق مع نصبه، بل جُعِلَ من أئمّة الجرح والتعديل، وكلُّ ذلك مخالف لما اشترطوه من عدم الابتداع، كما أنَّ نصب الجوزجاني أثَّر كثيراً في موقفه من كثير من المحدّثين، بل ومن أئمّة الحديث؛ حتى راح يضعّفهم بسبب نصبه وبغضه لعلي بن أبي‌طالب عليه السلام، ولعلَّ هذا واحد من تأثيرات النصب المتعدِّدة، والتي سنُشير لها تباعاً، كلاًّ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إجمالاً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النصب كما أنَّه يؤثِّر على موقف صاحبه من غيره من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مسألة توثيقهم وتضعيفهم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يؤثِّر حتى على الرواية، بل قد يصل الحدُّ بالناصبي إلى وضع واختلاق روايات في ذمِّ مَن أبغض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في ترجمة حريزبن عثمان الآتية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يتعدَّى الأمر ذلك إلى أن يصل إلى تضعيف الحديث الصحيح بل المتواتر، أو صرف دلالته، خصوصاً إذا كان فيه فضيلة للمُبغَض</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928445_3650668749"/>
      <w:bookmarkStart w:id="74" w:name="_Toc26"/>
      <w:bookmarkEnd w:id="73"/>
      <w:r>
        <w:rPr/>
        <w:t>٢</w:t>
      </w:r>
      <w:r>
        <w:rPr>
          <w:rtl w:val="true"/>
        </w:rPr>
        <w:t xml:space="preserve">- </w:t>
      </w:r>
      <w:r>
        <w:rPr>
          <w:rtl w:val="true"/>
        </w:rPr>
        <w:t>حريز بن عثمان</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حريز بن عثمان بن جبر بن أسعد الرحبي الحمصي، ورحبة بطن من بطون حمير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أهمّ الأقوال التي قيلت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بن عثمان الرحبي المشرفي الحمصي، ورحبة بطن من بطون حمير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ثقة له نحو مائتي حديث، وهو ناصبي، مات سنة </w:t>
      </w:r>
      <w:r>
        <w:rPr>
          <w:rFonts w:ascii="Amiri" w:hAnsi="Amiri" w:eastAsia="Amiri" w:cs="Amiri"/>
          <w:color w:val="111111"/>
          <w:sz w:val="28"/>
          <w:sz w:val="28"/>
          <w:szCs w:val="28"/>
          <w:lang w:bidi="ar-SA"/>
        </w:rPr>
        <w:t>١۶٣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أيضاً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كان مُتقناً ثبتاً، لكنَّه مبتدع</w:t>
      </w:r>
      <w:r>
        <w:rPr>
          <w:rFonts w:eastAsia="Amiri" w:cs="Amiri" w:ascii="Amiri" w:hAnsi="Amiri"/>
          <w:color w:val="111111"/>
          <w:sz w:val="28"/>
          <w:szCs w:val="28"/>
          <w:rtl w:val="true"/>
          <w:lang w:bidi="ar-SA"/>
        </w:rPr>
        <w:t xml:space="preserve">» . </w:t>
      </w:r>
      <w:r>
        <w:rPr>
          <w:rStyle w:val="FootnoteAnchor"/>
          <w:rtl w:val="true"/>
        </w:rPr>
        <w:footnoteReference w:id="113"/>
      </w:r>
      <w:r>
        <w:rPr>
          <w:rFonts w:ascii="Amiri" w:hAnsi="Amiri" w:eastAsia="Amiri" w:cs="Amiri"/>
          <w:color w:val="111111"/>
          <w:sz w:val="28"/>
          <w:sz w:val="28"/>
          <w:szCs w:val="28"/>
          <w:rtl w:val="true"/>
          <w:lang w:bidi="ar-SA"/>
        </w:rPr>
        <w:t>ولا يخفى أنَّ البدعة المذكورة هنا هي خصوص البدعة المحرَّمة المنهي عنها، لِما تقدَّم ذكره في الفصل الأوّل من أنَّ البدعة إذا أُطلقت مجرَّدة انصرفت إلى المصداق الأتم، وهي البدعة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 ابن أبي عصمة، ثنا أحمد بن أبي يحيى،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حريز نحو من ثلاثمائة، وهو صحيح الحديث، إلاّ أنّه يحمل على علي بن أبي طالب</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الرجل ناصبياً وحسب، بل كان داعية إلى مذهبه؛ قال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يلعن علياً بالغداة سبعين مرة، وبالعشي سبعين مرة،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القاطع رؤوس آبائي وأجدادي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داعية إلى مذهبه، يتنكّب حديثه،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أخرج له البخاري؛ لقول أبي اليمان إنَّه رجع عن النصب</w:t>
      </w:r>
      <w:r>
        <w:rPr>
          <w:rFonts w:eastAsia="Amiri" w:cs="Amiri" w:ascii="Amiri" w:hAnsi="Amiri"/>
          <w:color w:val="111111"/>
          <w:sz w:val="28"/>
          <w:szCs w:val="28"/>
          <w:rtl w:val="true"/>
          <w:lang w:bidi="ar-SA"/>
        </w:rPr>
        <w:t>. . .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ونقل عنه شتمه لعلي عليه السلام على المنابر، والتصريح ببغضه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العقيلي ما هذا نصّه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أيوب بن يحيى بن ضريس،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جرير أنَّ حريزاً كان يشتم علياً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البخاري</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حريز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أحبّه؛ قتل آبائي، قتل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وهذا يثبت كونه داعية إلى مذهبه؛ لأنَّ الشتم على المنابر من أعظم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كونه داعية إلى مذهبه أيضاً ابن الجوزي بقوله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وكان داعية إلى مذهبه</w:t>
      </w:r>
      <w:r>
        <w:rPr>
          <w:rFonts w:eastAsia="Amiri" w:cs="Amiri" w:ascii="Amiri" w:hAnsi="Amiri"/>
          <w:color w:val="111111"/>
          <w:sz w:val="28"/>
          <w:szCs w:val="28"/>
          <w:rtl w:val="true"/>
          <w:lang w:bidi="ar-SA"/>
        </w:rPr>
        <w:t>. . .»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ومع كل ما تقدَّم، فهو من شيوخ البخاري في الرواية، وخرّج له في صحيحه، وأمّا مسألة رجوعه عن النصب، فقد ذكر غير واحدٍ من الرجاليين خلاف ذلك، وهذه أهمّ الأقوال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الجزري عدم صحّة نسبة التوبة لحريز عن النصب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وأبو عثمان حريز بن عثمان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ناصبياً يبغض علياً، ويسبّه كل يوم سبعين مرّة بكرة، وسبعين مرّة عشاءً، وحكي عنه التوبة من ذلك، ولا يصحّ</w:t>
      </w:r>
      <w:r>
        <w:rPr>
          <w:rFonts w:eastAsia="Amiri" w:cs="Amiri" w:ascii="Amiri" w:hAnsi="Amiri"/>
          <w:color w:val="111111"/>
          <w:sz w:val="28"/>
          <w:szCs w:val="28"/>
          <w:rtl w:val="true"/>
          <w:lang w:bidi="ar-SA"/>
        </w:rPr>
        <w:t>. . .» .</w:t>
      </w:r>
      <w:r>
        <w:rPr>
          <w:rStyle w:val="FootnoteAnchor"/>
          <w:rtl w:val="true"/>
        </w:rPr>
        <w:footnoteReference w:id="119"/>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داعية إلى مذهبه، وكان علي بن عياش يحكي رجوعه عنه، وليس ذلك بمحفوظ عنه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وذكر مثل ذلك أيضاً ابن الجوزي</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فيما سبق في ترجمة الجوزجاني من أنَّ النصب قد يودِّي بصاحبه إلى وضع الحديث، وتوجد إشارات في كتب الرجال تومئ إلى أنَّ هذا الرجل قد ابتُليَ بذلك، فقد ذكر ابن الجوزي ذلك بقوله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وذكر أبو الفتح الأزدي أنَّ حريز بن عثمان روى أنَّ النبي لمَّا أراد أن يركب بغلته، جاء علي فحلَّ حزام البغلة؛ حتى يقع رسول الله، ومن هذه حالته، لا يروى عنه</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وذكر ذلك أيضاً ابن حجر، إذ قال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وحكى الأزدي أنَّ حريز بن عثمان روى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هذه حاله، لا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لابن حجر</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سمع هذه القصَّة أيضاً من الوليد</w:t>
      </w:r>
      <w:r>
        <w:rPr>
          <w:rFonts w:eastAsia="Amiri" w:cs="Amiri" w:ascii="Amiri" w:hAnsi="Amiri"/>
          <w:color w:val="111111"/>
          <w:sz w:val="28"/>
          <w:szCs w:val="28"/>
          <w:rtl w:val="true"/>
          <w:lang w:bidi="ar-SA"/>
        </w:rPr>
        <w:t>» .</w:t>
      </w:r>
      <w:r>
        <w:rPr>
          <w:rStyle w:val="FootnoteAnchor"/>
          <w:rtl w:val="true"/>
        </w:rPr>
        <w:footnoteReference w:id="12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يحيى بن صالح الوحاظي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 حريز عن عبد الرحمن بن ميسرة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عن الوحاظي هذا الحديث أيضاً، عن حريز عن سليم بن عامر عن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حدَّثنا في تنقص علي حديث لا يصلح ذكره في الكتاب، معضل منكر جداً، لا يروي مثله مَن يتَّقي الله، قال الوحاظي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حدَّثني بذلك، قمت عنه وتركت الكتابة عنه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والنقل عن حريز تام السند، ونقل قول الوحاظي هذا عن ابن عدي</w:t>
      </w:r>
      <w:r>
        <w:rPr>
          <w:rStyle w:val="FootnoteAnchor"/>
          <w:rtl w:val="true"/>
        </w:rPr>
        <w:footnoteReference w:id="127"/>
      </w:r>
      <w:r>
        <w:rPr>
          <w:rFonts w:ascii="Amiri" w:hAnsi="Amiri" w:eastAsia="Amiri" w:cs="Amiri"/>
          <w:color w:val="111111"/>
          <w:sz w:val="28"/>
          <w:sz w:val="28"/>
          <w:szCs w:val="28"/>
          <w:rtl w:val="true"/>
          <w:lang w:bidi="ar-SA"/>
        </w:rPr>
        <w:t>أيضاً، وقد ذكر نفس القصة، لكن بشيءٍ من التفصيل والذكر لنص الحديث المُنكَر، ابن أبي الحديد المعتزلي، وهذا هو نصّ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صالح الوحاظي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عن مشايخ من نظراء حريز، فما بالك لم تحمل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أتيته فناولني كتاباً، فإذا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فلان عن فلان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حضرته الوفاة أوصى أن تُقطَع يد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 الكتاب، ولم استحل أن أكتب عنه شيئاً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ورد عن يحيى بن صالح 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عن حريز؟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أكتب عن رجلٍ صلَّيت معه الفجر سبع سنين، فكان لا يخرج من المسجد حتى يلعن علياً سبعين مرة</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ممّا تقدّم أنّ حريز بن عثمان هذا رجل ناصب للعداء لعليّ بن أبي‌طالب عليه السلام، ويتّخذ النصب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مرّ أخيراً أنَّه لا يخرج من المسجد إلاّ بلعن علي عليه السلام، وهذا هو الابتداع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عدم صحّة رجوعه عن النصب غير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بشهادة </w:t>
      </w:r>
      <w:bookmarkStart w:id="75" w:name="pg1614_13557"/>
    </w:p>
    <w:p>
      <w:pPr>
        <w:pStyle w:val="BookText"/>
        <w:rPr/>
      </w:pPr>
      <w:bookmarkEnd w:id="75"/>
      <w:r>
        <w:rPr>
          <w:rFonts w:ascii="Amiri" w:hAnsi="Amiri" w:eastAsia="Amiri" w:cs="Amiri"/>
          <w:color w:val="111111"/>
          <w:sz w:val="28"/>
          <w:sz w:val="28"/>
          <w:szCs w:val="28"/>
          <w:rtl w:val="true"/>
          <w:lang w:bidi="ar-SA"/>
        </w:rPr>
        <w:t xml:space="preserve">اثنين من خبراء علم الرجال والتراجم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اتُّهم بوضع الحديث، وذكرنا نصّين من وضعه</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928447_3650668749"/>
      <w:bookmarkStart w:id="77" w:name="_Toc27"/>
      <w:bookmarkEnd w:id="76"/>
      <w:r>
        <w:rPr/>
        <w:t>٣</w:t>
      </w:r>
      <w:r>
        <w:rPr>
          <w:rtl w:val="true"/>
        </w:rPr>
        <w:t xml:space="preserve">- </w:t>
      </w:r>
      <w:r>
        <w:rPr>
          <w:rtl w:val="true"/>
        </w:rPr>
        <w:t>خالد بن سلمة بن العاص بن هشام بن المغيرة القرشي</w:t>
      </w:r>
      <w:bookmarkEnd w:id="77"/>
    </w:p>
    <w:p>
      <w:pPr>
        <w:pStyle w:val="BookText"/>
        <w:rPr/>
      </w:pPr>
      <w:r>
        <w:rPr>
          <w:rFonts w:ascii="Amiri" w:hAnsi="Amiri" w:eastAsia="Amiri" w:cs="Amiri"/>
          <w:color w:val="111111"/>
          <w:sz w:val="28"/>
          <w:sz w:val="28"/>
          <w:szCs w:val="28"/>
          <w:rtl w:val="true"/>
          <w:lang w:bidi="ar-SA"/>
        </w:rPr>
        <w:t>وهو أبو سلمة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كوفي، وذكره كلُّ مَن ذكره بالبغض لعلي عليه السلام، وقد قُتل هذا الرجل في أوائل ثورة بني العباس على حكم بني أُمية، لذا سيأتي في أحد التعابير عنهم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 المسودة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بنو العباس، إذ كان شعارهم لبس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أهم ما قيل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 عن سعيد بن المسيب وأبي بردة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هرب إلى واسط من بني العباس، فقُتل بها مع الأمير بن هبيرة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وثَّقه أحمد وابن معين، وكان مُرجئاً</w:t>
      </w:r>
      <w:r>
        <w:rPr>
          <w:rStyle w:val="FootnoteAnchor"/>
          <w:rtl w:val="true"/>
        </w:rPr>
        <w:footnoteReference w:id="130"/>
      </w:r>
      <w:r>
        <w:rPr>
          <w:rFonts w:ascii="Amiri" w:hAnsi="Amiri" w:eastAsia="Amiri" w:cs="Amiri"/>
          <w:color w:val="111111"/>
          <w:sz w:val="28"/>
          <w:sz w:val="28"/>
          <w:szCs w:val="28"/>
          <w:rtl w:val="true"/>
          <w:lang w:bidi="ar-SA"/>
        </w:rPr>
        <w:t>، ينال من علي، قتل أواخر سنة اثنين وثلاثين ومئة</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محمد بن حميد الرازي، عن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سلمة الفأفاء رأساً في المرجئة، وكان يبغض علياً</w:t>
      </w:r>
      <w:r>
        <w:rPr>
          <w:rFonts w:eastAsia="Amiri" w:cs="Amiri" w:ascii="Amiri" w:hAnsi="Amiri"/>
          <w:color w:val="111111"/>
          <w:sz w:val="28"/>
          <w:szCs w:val="28"/>
          <w:rtl w:val="true"/>
          <w:lang w:bidi="ar-SA"/>
        </w:rPr>
        <w:t>. . .»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المزي،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البخاري عن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عشرة أحاديث، قال عبدالله بن أحمد بن حنبل عن أبيه، وإسحاق بن منصور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وثَّقه الذهبي بقوله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سلمة بن العاص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ثقة قتلته المسودة</w:t>
      </w:r>
      <w:r>
        <w:rPr>
          <w:rFonts w:eastAsia="Amiri" w:cs="Amiri" w:ascii="Amiri" w:hAnsi="Amiri"/>
          <w:color w:val="111111"/>
          <w:sz w:val="28"/>
          <w:szCs w:val="28"/>
          <w:rtl w:val="true"/>
          <w:lang w:bidi="ar-SA"/>
        </w:rPr>
        <w:t>» .</w:t>
      </w:r>
      <w:r>
        <w:rPr>
          <w:rStyle w:val="FootnoteAnchor"/>
          <w:rtl w:val="true"/>
        </w:rPr>
        <w:footnoteReference w:id="134"/>
      </w: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الفقيه، أبو سلمة خالد بن سلمة بن العاص بن هشام بن المغيرة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وثَّقهُ أحمد وابن معين، وكان مرجئاً ينال من علي</w:t>
      </w:r>
      <w:r>
        <w:rPr>
          <w:rFonts w:eastAsia="Amiri" w:cs="Amiri" w:ascii="Amiri" w:hAnsi="Amiri"/>
          <w:color w:val="111111"/>
          <w:sz w:val="28"/>
          <w:szCs w:val="28"/>
          <w:rtl w:val="true"/>
          <w:lang w:bidi="ar-SA"/>
        </w:rPr>
        <w:t>. . .» .</w:t>
      </w:r>
      <w:r>
        <w:rPr>
          <w:rStyle w:val="FootnoteAnchor"/>
          <w:rtl w:val="true"/>
        </w:rPr>
        <w:footnoteReference w:id="135"/>
      </w:r>
      <w:bookmarkStart w:id="78" w:name="pg1614_13558"/>
    </w:p>
    <w:p>
      <w:pPr>
        <w:pStyle w:val="BookText"/>
        <w:rPr/>
      </w:pPr>
      <w:bookmarkEnd w:id="78"/>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العقيلي، فقد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سلمة الفأفاء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 أحمد بن علي الأبار،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سلمة الفأفاء رأساً في المرجئين، وكان يبغض علياً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فبملاحظة جميع ما تقدَّم يتضح أنَّ هذا الرجل من أهل البدع، إضافة لكونه من النواصب، فمع كل ذلك قيل بوثاقته، وهذا ما لا يتَّفق مطلقاً مع تعريفهم للعدالة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928449_3650668749"/>
      <w:bookmarkStart w:id="80" w:name="_Toc28"/>
      <w:bookmarkEnd w:id="79"/>
      <w:r>
        <w:rPr/>
        <w:t>4</w:t>
      </w:r>
      <w:r>
        <w:rPr>
          <w:rtl w:val="true"/>
        </w:rPr>
        <w:t xml:space="preserve">- </w:t>
      </w:r>
      <w:r>
        <w:rPr>
          <w:rtl w:val="true"/>
        </w:rPr>
        <w:t>داود بن الحصين بن عقيل الأموي</w:t>
      </w:r>
      <w:bookmarkEnd w:id="80"/>
    </w:p>
    <w:p>
      <w:pPr>
        <w:pStyle w:val="BookText"/>
        <w:rPr/>
      </w:pPr>
      <w:r>
        <w:rPr>
          <w:rFonts w:ascii="Amiri" w:hAnsi="Amiri" w:eastAsia="Amiri" w:cs="Amiri"/>
          <w:color w:val="111111"/>
          <w:sz w:val="28"/>
          <w:sz w:val="28"/>
          <w:szCs w:val="28"/>
          <w:rtl w:val="true"/>
          <w:lang w:bidi="ar-SA"/>
        </w:rPr>
        <w:t xml:space="preserve">هو أبو سليمان الأموي، كان يذهب مذهب الشراة </w:t>
      </w:r>
      <w:r>
        <w:rPr>
          <w:rStyle w:val="FootnoteAnchor"/>
          <w:rtl w:val="true"/>
        </w:rPr>
        <w:footnoteReference w:id="137"/>
      </w:r>
      <w:r>
        <w:rPr>
          <w:rFonts w:ascii="Amiri" w:hAnsi="Amiri" w:eastAsia="Amiri" w:cs="Amiri"/>
          <w:color w:val="111111"/>
          <w:sz w:val="28"/>
          <w:sz w:val="28"/>
          <w:szCs w:val="28"/>
          <w:rtl w:val="true"/>
          <w:lang w:bidi="ar-SA"/>
        </w:rPr>
        <w:t xml:space="preserve">من الخوارج، وهو من أهل المدينة، توفي سنة </w:t>
      </w:r>
      <w:r>
        <w:rPr>
          <w:rFonts w:ascii="Amiri" w:hAnsi="Amiri" w:eastAsia="Amiri" w:cs="Amiri"/>
          <w:color w:val="111111"/>
          <w:sz w:val="28"/>
          <w:sz w:val="28"/>
          <w:szCs w:val="28"/>
          <w:lang w:bidi="ar-SA"/>
        </w:rPr>
        <w:t>١٣۵</w:t>
      </w:r>
      <w:r>
        <w:rPr>
          <w:rFonts w:ascii="Amiri" w:hAnsi="Amiri" w:eastAsia="Amiri" w:cs="Amiri"/>
          <w:color w:val="111111"/>
          <w:sz w:val="28"/>
          <w:sz w:val="28"/>
          <w:szCs w:val="28"/>
          <w:rtl w:val="true"/>
          <w:lang w:bidi="ar-SA"/>
        </w:rPr>
        <w:t>ه، وهذه أهم الأقوال التي قيلت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العجمي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الحصين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مشهور تفرّد باشياء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الذهبي في ميزانه كلام مَن تكلَّم فيه، وقد صحَّح عليه، فالعمل على توثيقه، إذ كما شرط هو في حاشية الميزان، وكيف لا يكون ثقه وقد روى له الأئمّة الستة فضلاً عن الشيخين، ومَن روى له الشيخان فقد جاز القنطرة كما قاله علي بن الفضل المقدسي</w:t>
      </w:r>
      <w:r>
        <w:rPr>
          <w:rFonts w:eastAsia="Amiri" w:cs="Amiri" w:ascii="Amiri" w:hAnsi="Amiri"/>
          <w:color w:val="111111"/>
          <w:sz w:val="28"/>
          <w:szCs w:val="28"/>
          <w:rtl w:val="true"/>
          <w:lang w:bidi="ar-SA"/>
        </w:rPr>
        <w:t>. . .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يذهب مذهب الشراة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كعكرمة، لكن لم يكن داعية، والدعاة تجب مجانبة حديثهم</w:t>
      </w:r>
      <w:r>
        <w:rPr>
          <w:rFonts w:eastAsia="Amiri" w:cs="Amiri" w:ascii="Amiri" w:hAnsi="Amiri"/>
          <w:color w:val="111111"/>
          <w:sz w:val="28"/>
          <w:szCs w:val="28"/>
          <w:rtl w:val="true"/>
          <w:lang w:bidi="ar-SA"/>
        </w:rPr>
        <w:t xml:space="preserve">» . </w:t>
      </w:r>
      <w:r>
        <w:rPr>
          <w:rStyle w:val="FootnoteAnchor"/>
          <w:rtl w:val="true"/>
        </w:rPr>
        <w:footnoteReference w:id="139"/>
      </w:r>
      <w:r>
        <w:rPr>
          <w:rFonts w:ascii="Amiri" w:hAnsi="Amiri" w:eastAsia="Amiri" w:cs="Amiri"/>
          <w:color w:val="111111"/>
          <w:sz w:val="28"/>
          <w:sz w:val="28"/>
          <w:szCs w:val="28"/>
          <w:rtl w:val="true"/>
          <w:lang w:bidi="ar-SA"/>
        </w:rPr>
        <w:t xml:space="preserve">وقال أيضاً في موضع آخر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مولى ابن عباس</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يرى رأي الخوارج، فطلبه متولّي المدينة فتغيّب عند داود بين الحصين حتى مات عنده</w:t>
      </w:r>
      <w:r>
        <w:rPr>
          <w:rFonts w:eastAsia="Amiri" w:cs="Amiri" w:ascii="Amiri" w:hAnsi="Amiri"/>
          <w:color w:val="111111"/>
          <w:sz w:val="28"/>
          <w:szCs w:val="28"/>
          <w:rtl w:val="true"/>
          <w:lang w:bidi="ar-SA"/>
        </w:rPr>
        <w:t>. . .» .</w:t>
      </w:r>
      <w:r>
        <w:rPr>
          <w:rStyle w:val="FootnoteAnchor"/>
          <w:rtl w:val="true"/>
        </w:rPr>
        <w:footnoteReference w:id="14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والدعاة تجب مجانبة حديثهم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وسيأتي لاحقاً بسط الكلام في التفريق بين الداعية لمذهبه وغير الداعية، وما مدى جدوى ذلك</w:t>
      </w:r>
      <w:r>
        <w:rPr>
          <w:rFonts w:eastAsia="Amiri" w:cs="Amiri" w:ascii="Amiri" w:hAnsi="Amiri"/>
          <w:color w:val="111111"/>
          <w:sz w:val="28"/>
          <w:szCs w:val="28"/>
          <w:rtl w:val="true"/>
          <w:lang w:bidi="ar-SA"/>
        </w:rPr>
        <w:t xml:space="preserve">. </w:t>
      </w:r>
      <w:bookmarkStart w:id="81" w:name="pg1614_13559"/>
    </w:p>
    <w:p>
      <w:pPr>
        <w:pStyle w:val="BookText"/>
        <w:rPr/>
      </w:pPr>
      <w:bookmarkEnd w:id="8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الحصين الأموي، مولاهم أبو سليمان المدني، روى عن أبيه وعكرمة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عكرمة فمنكر،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نتَّقي حديث داود،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ولو لا أنَّ مالكاً روى عنه لترك حديثه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يذهب مذهب الشراة، وكل مَن ترك حديثه على الإطلاق وَهِمَ، لأنَّه لم يكن بداعية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يتَّهم برأي الخوارج</w:t>
      </w:r>
      <w:r>
        <w:rPr>
          <w:rFonts w:eastAsia="Amiri" w:cs="Amiri" w:ascii="Amiri" w:hAnsi="Amiri"/>
          <w:color w:val="111111"/>
          <w:sz w:val="28"/>
          <w:szCs w:val="28"/>
          <w:rtl w:val="true"/>
          <w:lang w:bidi="ar-SA"/>
        </w:rPr>
        <w:t>. . .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وثقه ابن معين وابن سعد والعجلي، وابن إسحاق وأحمد بن صالح المصري والنسائي</w:t>
      </w:r>
      <w:r>
        <w:rPr>
          <w:rFonts w:eastAsia="Amiri" w:cs="Amiri" w:ascii="Amiri" w:hAnsi="Amiri"/>
          <w:color w:val="111111"/>
          <w:sz w:val="28"/>
          <w:szCs w:val="28"/>
          <w:rtl w:val="true"/>
          <w:lang w:bidi="ar-SA"/>
        </w:rPr>
        <w:t>. . .»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فيتلخص ممَّا سبق بأنَّ هذا الرجل هو من رجال الصحيحين، وروى له الأئمّة الستة ووثَّقوه، ووثَّقه غيرهم أيضاً، مع كونه من الخوارج ومن الشراة منهم بالخصوص، ولا يخفى أنَّ الخوارج يذهبون إلى تكفير عليّ عليه السلام، فضلاً عن بغضه ونصب العداء له</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928451_3650668749"/>
      <w:bookmarkStart w:id="83" w:name="_Toc29"/>
      <w:bookmarkEnd w:id="82"/>
      <w:r>
        <w:rPr/>
        <w:t>5</w:t>
      </w:r>
      <w:r>
        <w:rPr>
          <w:rtl w:val="true"/>
        </w:rPr>
        <w:t xml:space="preserve">- </w:t>
      </w:r>
      <w:r>
        <w:rPr>
          <w:rtl w:val="true"/>
        </w:rPr>
        <w:t>ثور بن يزيد الحمصي</w:t>
      </w:r>
      <w:bookmarkEnd w:id="83"/>
    </w:p>
    <w:p>
      <w:pPr>
        <w:pStyle w:val="BookText"/>
        <w:rPr/>
      </w:pPr>
      <w:r>
        <w:rPr>
          <w:rFonts w:ascii="Amiri" w:hAnsi="Amiri" w:eastAsia="Amiri" w:cs="Amiri"/>
          <w:color w:val="111111"/>
          <w:sz w:val="28"/>
          <w:sz w:val="28"/>
          <w:szCs w:val="28"/>
          <w:rtl w:val="true"/>
          <w:lang w:bidi="ar-SA"/>
        </w:rPr>
        <w:t xml:space="preserve">أبو خالد الكلاعي الشامي، قُتل أحد أجداده في صفّين مع جيش معاوية، فأصابه النصب والبغض لعلي عليه السلام، وصرَّح بذلك كما سيأتي، وهو من رجال صحيح البخاري، مات ببيت المقدس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وهذه أهمّ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البخاري قائلاً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أبوخالد الكلاعي الشامي، نسبه محمد بن إسحاق، كنَّاه لنا أبو عصام، سمع خالد بن معدان، وراشد بن سعد، وقال لي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خمسين ومائة، وقال لي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يوشى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ثور من أثبتهم</w:t>
      </w:r>
      <w:r>
        <w:rPr>
          <w:rFonts w:eastAsia="Amiri" w:cs="Amiri" w:ascii="Amiri" w:hAnsi="Amiri"/>
          <w:color w:val="111111"/>
          <w:sz w:val="28"/>
          <w:szCs w:val="28"/>
          <w:rtl w:val="true"/>
          <w:lang w:bidi="ar-SA"/>
        </w:rPr>
        <w:t>. . .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 بن يزيد بن زياد أبو خالد الكلاعي، ويقال الرحبي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ثقة في الحديث، ويقال إنَّه كان قدرياً، وكان جد ثور بن يزيد قد شهد صفين مع معاوية وقتل يومئذٍ، فكان ثور إذا ذُكر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رجلاً قتل جدي</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وذكر مثل ذلك في تهذيب الكمال</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الدوري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أزهر الحرازي وأسد بن وداعة وجماعة، كانوا يجلسون يشتمون علي بن أبي طالب، وكان ثور بن يزيد في ناحية لا يسب علياً، فإذا لم يسب جروا برجله</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وذكر ذلك في تاريخ دمشق</w:t>
      </w:r>
      <w:r>
        <w:rPr>
          <w:rStyle w:val="FootnoteAnchor"/>
          <w:rtl w:val="true"/>
        </w:rPr>
        <w:footnoteReference w:id="14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ثور بن يزيد هذا من رجال البخاري، قال الكلاباذي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صحيح البخاري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بن يزيد أبو خالد الكلاعي الشامي، حمصي، سمع خالد بن معدان، روى عنه الثوري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مات ببيت المقدس سنة </w:t>
      </w:r>
      <w:r>
        <w:rPr>
          <w:rFonts w:ascii="Amiri" w:hAnsi="Amiri" w:eastAsia="Amiri" w:cs="Amiri"/>
          <w:color w:val="111111"/>
          <w:sz w:val="28"/>
          <w:sz w:val="28"/>
          <w:szCs w:val="28"/>
          <w:lang w:bidi="ar-SA"/>
        </w:rPr>
        <w:t>١۵٠</w:t>
      </w:r>
      <w:r>
        <w:rPr>
          <w:rFonts w:ascii="Amiri" w:hAnsi="Amiri" w:eastAsia="Amiri" w:cs="Amiri"/>
          <w:color w:val="111111"/>
          <w:sz w:val="28"/>
          <w:sz w:val="28"/>
          <w:szCs w:val="28"/>
          <w:rtl w:val="true"/>
          <w:lang w:bidi="ar-SA"/>
        </w:rPr>
        <w:t xml:space="preserve"> هجرية</w:t>
      </w:r>
      <w:r>
        <w:rPr>
          <w:rFonts w:eastAsia="Amiri" w:cs="Amiri" w:ascii="Amiri" w:hAnsi="Amiri"/>
          <w:color w:val="111111"/>
          <w:sz w:val="28"/>
          <w:szCs w:val="28"/>
          <w:rtl w:val="true"/>
          <w:lang w:bidi="ar-SA"/>
        </w:rPr>
        <w:t>. . .»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حجر العسقلاني، فقد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ثور بن يزيد الحمصي، أبو خالد، اتَّفقوا على تثبّته في الحديث، مع قوله بالقدر، 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يشك أنّه قدري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عنه واتّقوا لا ينطحكم بقرنيه، يحذّرهم من رأيه، وقدم المدينة فنهى مالك عن مجالسته، وكان يُرمَى بالنصب أيضاً، 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يجالس قوماً ينالون من علي، لكنّه هو كان لا يسب،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الجماعة</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فبالجمع بين الأقوال المتقدّمة يتضح أنَّ الرجل ناصبي، وإن شُك في نسبة السب إليه، كما أنَّه كان يجالس مَن يسب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يتلاءم ذلك مع العدالة؟ </w:t>
      </w:r>
      <w:r>
        <w:rPr>
          <w:rFonts w:eastAsia="Amiri" w:cs="Amiri" w:ascii="Amiri" w:hAnsi="Amiri"/>
          <w:color w:val="111111"/>
          <w:sz w:val="28"/>
          <w:szCs w:val="28"/>
          <w:rtl w:val="true"/>
          <w:lang w:bidi="ar-SA"/>
        </w:rPr>
        <w:t xml:space="preserve">! </w:t>
      </w:r>
      <w:bookmarkStart w:id="84" w:name="pg1614_13561"/>
    </w:p>
    <w:p>
      <w:pPr>
        <w:pStyle w:val="Heading5"/>
        <w:numPr>
          <w:ilvl w:val="4"/>
          <w:numId w:val="1"/>
        </w:numPr>
        <w:rPr/>
      </w:pPr>
      <w:bookmarkStart w:id="85" w:name="__RefHeading___Toc928453_3650668749"/>
      <w:bookmarkStart w:id="86" w:name="_Toc30"/>
      <w:bookmarkEnd w:id="84"/>
      <w:bookmarkEnd w:id="85"/>
      <w:r>
        <w:rPr/>
        <w:t>6</w:t>
      </w:r>
      <w:r>
        <w:rPr>
          <w:rtl w:val="true"/>
        </w:rPr>
        <w:t xml:space="preserve">- </w:t>
      </w:r>
      <w:r>
        <w:rPr>
          <w:rtl w:val="true"/>
        </w:rPr>
        <w:t>عمران بن حطان السدوسي</w:t>
      </w:r>
      <w:bookmarkEnd w:id="86"/>
    </w:p>
    <w:p>
      <w:pPr>
        <w:pStyle w:val="BookText"/>
        <w:rPr/>
      </w:pPr>
      <w:r>
        <w:rPr>
          <w:rFonts w:ascii="Amiri" w:hAnsi="Amiri" w:eastAsia="Amiri" w:cs="Amiri"/>
          <w:color w:val="111111"/>
          <w:sz w:val="28"/>
          <w:sz w:val="28"/>
          <w:szCs w:val="28"/>
          <w:rtl w:val="true"/>
          <w:lang w:bidi="ar-SA"/>
        </w:rPr>
        <w:t>وهو أشهر من أن يُعرَّف، إذ اقترن اسمه بأبياته المشهورة التي امتدح بها عبدالرحمن ابن ملجم المرادي، قاتل أمير المؤمنين علي بن أبي طالب عليه السلام؛ إذ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ضربةً من منيبٍ ما أراد بها</w:t>
      </w:r>
    </w:p>
    <w:p>
      <w:pPr>
        <w:pStyle w:val="BookText"/>
        <w:rPr/>
      </w:pP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إنّي لأذكره يوماً فأحسبه</w:t>
      </w:r>
    </w:p>
    <w:p>
      <w:pPr>
        <w:pStyle w:val="BookText"/>
        <w:rPr/>
      </w:pPr>
      <w:r>
        <w:rPr>
          <w:rFonts w:ascii="Amiri" w:hAnsi="Amiri" w:eastAsia="Amiri" w:cs="Amiri"/>
          <w:color w:val="111111"/>
          <w:sz w:val="28"/>
          <w:sz w:val="28"/>
          <w:szCs w:val="28"/>
          <w:rtl w:val="true"/>
          <w:lang w:bidi="ar-SA"/>
        </w:rPr>
        <w:t>أوفى البريّة عند الله ميزاناً</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فجمع مع نصبه الدعوة إلى مذهبه، ومع ذلك فقد خرّجوا له ووثَّقوه، وفيما يلي أهمّ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الكلاباذي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حطان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عائشة وابن عمر وابن عباس، روى عنه يحيى بن أبي كثير في اللباس</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حطان بن ظبيان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الحسين 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وثمانين، روى له البخاري وأبو داود والنسائي</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تابعي ثقة</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الذهبي بقوله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 بن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البصري من أعيان العلماء، لكنَّه من رؤوس الخوارج، حدَّث عن عائشة وأبي موسى الأشعري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وروى عنه ابن سيرين وقتادة ويحيى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أهل الأهواء أصح حديثاً من الخوارج، ثُمَّ ذكر عمران بن حطان وأبا حسّان الأعرج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 سلمة بن علقمة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عمران خارجية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فصرفته إلى مذهبها، فذكر المدائني أنَّها كانت ذات جمال وكان دميماً</w:t>
      </w:r>
      <w:r>
        <w:rPr>
          <w:rFonts w:eastAsia="Amiri" w:cs="Amiri" w:ascii="Amiri" w:hAnsi="Amiri"/>
          <w:color w:val="111111"/>
          <w:sz w:val="28"/>
          <w:szCs w:val="28"/>
          <w:rtl w:val="true"/>
          <w:lang w:bidi="ar-SA"/>
        </w:rPr>
        <w:t>. . . .</w:t>
      </w:r>
      <w:r>
        <w:rPr>
          <w:rStyle w:val="FootnoteAnchor"/>
          <w:rtl w:val="true"/>
        </w:rPr>
        <w:footnoteReference w:id="154"/>
      </w:r>
      <w:bookmarkStart w:id="87" w:name="pg1614_13562"/>
    </w:p>
    <w:p>
      <w:pPr>
        <w:pStyle w:val="BookText"/>
        <w:rPr/>
      </w:pPr>
      <w:bookmarkEnd w:id="87"/>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الحافظ ابن حجر العسقلاني قائلاً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حطان السدوسي الشاعر المشهور، كان يرى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عمران رأس القعدية من الصفرية وخطيبهم وشاعرهم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والقعدية قوم من الخوارج كانوا يقولون بقولهم ولا يرون الخروج، بل يزيّنونه، وكان عمران داعيةً إلى مذهبه، وهو الذي رثى عبد الرحمن بن ملجم قاتل علي عليه السلام بتلك الأبيات السائرة، وقد وثَّقه العجلي،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يُتَّهم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أهل الأهواء أصحّ حديثاً من الخوارج، ثُمَّ ذكر عمران هذا وغيره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عائشة، ولم يتبيَّن سماعه منها</w:t>
      </w:r>
      <w:r>
        <w:rPr>
          <w:rFonts w:eastAsia="Amiri" w:cs="Amiri" w:ascii="Amiri" w:hAnsi="Amiri"/>
          <w:color w:val="111111"/>
          <w:sz w:val="28"/>
          <w:szCs w:val="28"/>
          <w:rtl w:val="true"/>
          <w:lang w:bidi="ar-SA"/>
        </w:rPr>
        <w:t>. . .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نورد قول أبي الفرج الأصفهاني بحق عمران بن حطان، حيث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عمران بن حطان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 سدوس بن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شاعر فصيح من شعراء الشراة ودُعاتهم والمقدّمين في مذهبهم وكان من القَعَدَة، لأنَّ عمره طال فضعف عن الحرب وحضورها، فاقتصر على الدعوة والتحريض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أن يفتن بالشراة مشتهراً بطلب العلم والحديث، ثُمَّ بُلي بذلك المذهب، فضلَّ وهلك لعنه الله، وقد أدرك صدراً من الصحابة وروى عنهم، وروى عنه أصحاب الحديث</w:t>
      </w:r>
      <w:r>
        <w:rPr>
          <w:rFonts w:eastAsia="Amiri" w:cs="Amiri" w:ascii="Amiri" w:hAnsi="Amiri"/>
          <w:color w:val="111111"/>
          <w:sz w:val="28"/>
          <w:szCs w:val="28"/>
          <w:rtl w:val="true"/>
          <w:lang w:bidi="ar-SA"/>
        </w:rPr>
        <w:t xml:space="preserve">. . . .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فتلخص ممّا ذكر أنَّ هذا الرجل كان موغلاً في النصب، ومن دعاته وشعراءه ورؤوسه، ومع ذلك وُثِّق، بل جُعل من الزمرة التي ليس في أهل الأهواء أصحّ حديثاً منها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928455_3650668749"/>
      <w:bookmarkStart w:id="89" w:name="_Toc31"/>
      <w:bookmarkEnd w:id="88"/>
      <w:r>
        <w:rPr/>
        <w:t>7</w:t>
      </w:r>
      <w:r>
        <w:rPr>
          <w:rtl w:val="true"/>
        </w:rPr>
        <w:t xml:space="preserve">- </w:t>
      </w:r>
      <w:r>
        <w:rPr>
          <w:rtl w:val="true"/>
        </w:rPr>
        <w:t>أبو حسان الأعرج</w:t>
      </w:r>
      <w:bookmarkEnd w:id="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الأحرد،</w:t>
      </w:r>
      <w:r>
        <w:rPr>
          <w:rStyle w:val="FootnoteAnchor"/>
          <w:rtl w:val="true"/>
        </w:rPr>
        <w:footnoteReference w:id="157"/>
      </w:r>
      <w:r>
        <w:rPr>
          <w:rFonts w:ascii="Amiri" w:hAnsi="Amiri" w:eastAsia="Amiri" w:cs="Amiri"/>
          <w:color w:val="111111"/>
          <w:sz w:val="28"/>
          <w:sz w:val="28"/>
          <w:szCs w:val="28"/>
          <w:rtl w:val="true"/>
          <w:lang w:bidi="ar-SA"/>
        </w:rPr>
        <w:t xml:space="preserve">واسمه مسلم بن عبدالله، من أهل البصرة، قتل يوم الحرورية سنة </w:t>
      </w: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هجرية، وكان من الخوارج، وهذه أهم الأقوال التي قيلت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حسان الأعرج، ويقال الأجرد أيضاً، بصري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روى عن الأسود بن يزيد النخعي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روى عنه عاصم الأحول وقتادة بن دعامة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بكر بن الأثرم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 أو مقارب الحديث، وقال إسحاق بن منصور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وذكره ابن حبان في كتاب الثقات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خرج مع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به البخاري، وروى له الباقون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حسان الأعرج، واسمه مسلم، ثقة إن شاء الله</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w:t>
      </w:r>
    </w:p>
    <w:p>
      <w:pPr>
        <w:pStyle w:val="BookText"/>
        <w:rPr/>
      </w:pPr>
      <w:r>
        <w:rPr>
          <w:rFonts w:ascii="Amiri" w:hAnsi="Amiri" w:eastAsia="Amiri" w:cs="Amiri"/>
          <w:color w:val="111111"/>
          <w:sz w:val="28"/>
          <w:sz w:val="28"/>
          <w:szCs w:val="28"/>
          <w:rtl w:val="true"/>
          <w:lang w:bidi="ar-SA"/>
        </w:rPr>
        <w:t>أبو حسان الأعرج، ويقال هو الأحرد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عبدالله بن عباس وعبدالله بن عمر، وأبي هريرة وعائشة ومخارق ابن أحمر وعبدالله بن عتبة وناجية، روى عنه قتادة وعاصم الأحول، وزعموا أنَّ ابن سيرين كان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نا علي بن أبي طاهر فيما كتب إليّ، 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الأحرد، مستقيم الحديث أو مقارب الحديث</w:t>
      </w:r>
      <w:r>
        <w:rPr>
          <w:rFonts w:eastAsia="Amiri" w:cs="Amiri" w:ascii="Amiri" w:hAnsi="Amiri"/>
          <w:color w:val="111111"/>
          <w:sz w:val="28"/>
          <w:szCs w:val="28"/>
          <w:rtl w:val="true"/>
          <w:lang w:bidi="ar-SA"/>
        </w:rPr>
        <w:t>. . .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البستي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حسان الأعرج</w:t>
      </w:r>
      <w:r>
        <w:rPr>
          <w:rFonts w:eastAsia="IRNazanin" w:cs="IRNazanin"/>
          <w:color w:val="111111"/>
          <w:sz w:val="28"/>
          <w:szCs w:val="28"/>
          <w:rtl w:val="true"/>
          <w:lang w:bidi="fa-IR"/>
        </w:rPr>
        <w:t>. . .)</w:t>
      </w:r>
      <w:r>
        <w:rPr>
          <w:rStyle w:val="FootnoteAnchor"/>
          <w:rtl w:val="true"/>
        </w:rPr>
        <w:footnoteReference w:id="161"/>
      </w:r>
      <w:r>
        <w:rPr>
          <w:rFonts w:ascii="Amiri" w:hAnsi="Amiri" w:eastAsia="Amiri" w:cs="Amiri"/>
          <w:color w:val="111111"/>
          <w:sz w:val="28"/>
          <w:sz w:val="28"/>
          <w:szCs w:val="28"/>
          <w:rtl w:val="true"/>
          <w:lang w:bidi="ar-SA"/>
        </w:rPr>
        <w:t xml:space="preserve">، ومَن خرّجه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العسقلاني، فقال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 في التعاليق، ومسلم،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حسان الأعرج، ويقال إلأجرد أيضاً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تابعي ثقة، وهو عندهم ثقة في حديثه، إلاّ أنَّه رُوي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حسان الأعرج وكان حرورياً،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البخاري وابن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الحرورية سنة ثلاثين ومئة</w:t>
      </w:r>
      <w:r>
        <w:rPr>
          <w:rFonts w:eastAsia="Amiri" w:cs="Amiri" w:ascii="Amiri" w:hAnsi="Amiri"/>
          <w:color w:val="111111"/>
          <w:sz w:val="28"/>
          <w:szCs w:val="28"/>
          <w:rtl w:val="true"/>
          <w:lang w:bidi="ar-SA"/>
        </w:rPr>
        <w:t>.</w:t>
      </w:r>
      <w:r>
        <w:rPr>
          <w:rStyle w:val="FootnoteAnchor"/>
          <w:rtl w:val="true"/>
        </w:rPr>
        <w:footnoteReference w:id="162"/>
      </w:r>
      <w:bookmarkStart w:id="90" w:name="pg1614_13564"/>
    </w:p>
    <w:p>
      <w:pPr>
        <w:pStyle w:val="BookText"/>
        <w:rPr/>
      </w:pPr>
      <w:bookmarkEnd w:id="90"/>
      <w:r>
        <w:rPr>
          <w:rFonts w:ascii="Amiri" w:hAnsi="Amiri" w:eastAsia="Amiri" w:cs="Amiri"/>
          <w:color w:val="111111"/>
          <w:sz w:val="28"/>
          <w:sz w:val="28"/>
          <w:szCs w:val="28"/>
          <w:rtl w:val="true"/>
          <w:lang w:bidi="ar-SA"/>
        </w:rPr>
        <w:t>وممَّن ذكر أنّه قتل مع الخوارج يوم الحرورية ابن حبان البستي،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أبوحسان الأعرج، اسمه مسلم، من أهل البصرة، قتل يوم الحرورية، يروي عن ابن عباس، روى عنه قتادة</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إذن، فهو ناصبي خارجي وقُتل مع الخوارج، ومع ذلك فهو ثقة</w:t>
      </w:r>
      <w:r>
        <w:rPr>
          <w:rFonts w:eastAsia="Amiri" w:cs="Amiri" w:ascii="Amiri" w:hAnsi="Amiri"/>
          <w:color w:val="111111"/>
          <w:sz w:val="28"/>
          <w:szCs w:val="28"/>
          <w:rtl w:val="true"/>
          <w:lang w:bidi="ar-SA"/>
        </w:rPr>
        <w:t>! !</w:t>
      </w:r>
    </w:p>
    <w:p>
      <w:pPr>
        <w:pStyle w:val="Heading5"/>
        <w:numPr>
          <w:ilvl w:val="4"/>
          <w:numId w:val="1"/>
        </w:numPr>
        <w:rPr/>
      </w:pPr>
      <w:bookmarkStart w:id="91" w:name="__RefHeading___Toc928457_3650668749"/>
      <w:bookmarkStart w:id="92" w:name="_Toc32"/>
      <w:bookmarkEnd w:id="91"/>
      <w:r>
        <w:rPr/>
        <w:t>٨</w:t>
      </w:r>
      <w:r>
        <w:rPr>
          <w:rtl w:val="true"/>
        </w:rPr>
        <w:t xml:space="preserve">- </w:t>
      </w:r>
      <w:r>
        <w:rPr>
          <w:rtl w:val="true"/>
        </w:rPr>
        <w:t>عكرمة مولى إبن عباس</w:t>
      </w:r>
      <w:bookmarkEnd w:id="92"/>
    </w:p>
    <w:p>
      <w:pPr>
        <w:pStyle w:val="BookText"/>
        <w:rPr/>
      </w:pPr>
      <w:r>
        <w:rPr>
          <w:rFonts w:ascii="Amiri" w:hAnsi="Amiri" w:eastAsia="Amiri" w:cs="Amiri"/>
          <w:color w:val="111111"/>
          <w:sz w:val="28"/>
          <w:sz w:val="28"/>
          <w:szCs w:val="28"/>
          <w:rtl w:val="true"/>
          <w:lang w:bidi="ar-SA"/>
        </w:rPr>
        <w:t>وهو بربري الأصل،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في ما يلي أنَّه كان من الخوارج الصفرية، بل قيل إنَّ له اليد الطولى في نشر مذهب الخوارج في المغرب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أهمّ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ثنا أبو طالب أحمد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الحذاء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الناس، ولكنَّه كان يرى رأي الخوارج الصفرية</w:t>
      </w:r>
      <w:r>
        <w:rPr>
          <w:rStyle w:val="FootnoteAnchor"/>
          <w:rtl w:val="true"/>
        </w:rPr>
        <w:footnoteReference w:id="16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 أهل إفريقية رأي الصفرية من عكرمة لمّا قدم عليهم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مولى ابن عباس، مكي تابعي ثقة</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 مولى ابن عباس من أوعية العلم، تكلّموا فيه لرأيه لا لحفظه، اتُّهم برأي الخوارج، وثَّقه غير واحد، وكذّبه مجاهد وابن سيرين ومالك، فالله اعلم، واعتمده البخاري، وأمّا مسلم، فروى له مقروناً بآخر</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الناصري عند ذكره تأسيس مدينة سجلماسة سنة </w:t>
      </w:r>
      <w:r>
        <w:rPr>
          <w:rFonts w:ascii="Amiri" w:hAnsi="Amiri" w:eastAsia="Amiri" w:cs="Amiri"/>
          <w:color w:val="111111"/>
          <w:sz w:val="28"/>
          <w:sz w:val="28"/>
          <w:szCs w:val="28"/>
          <w:lang w:bidi="ar-SA"/>
        </w:rPr>
        <w:t>١۴٠</w:t>
      </w:r>
      <w:r>
        <w:rPr>
          <w:rFonts w:ascii="Amiri" w:hAnsi="Amiri" w:eastAsia="Amiri" w:cs="Amiri"/>
          <w:color w:val="111111"/>
          <w:sz w:val="28"/>
          <w:sz w:val="28"/>
          <w:szCs w:val="28"/>
          <w:rtl w:val="true"/>
          <w:lang w:bidi="ar-SA"/>
        </w:rPr>
        <w:t xml:space="preserve"> للهجرة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هذا الاجتماع نشأت دولة بني مدرار، ملوك سجلماسة، فإنَّ صفرية مكناسة لما بايعوا عيسى بن يزيد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واجتمعوا بعده على كبيرهم أبي القاسم بن سمكو بن </w:t>
      </w:r>
    </w:p>
    <w:p>
      <w:pPr>
        <w:pStyle w:val="BookText"/>
        <w:rPr/>
      </w:pPr>
      <w:r>
        <w:rPr>
          <w:rFonts w:ascii="Amiri" w:hAnsi="Amiri" w:eastAsia="Amiri" w:cs="Amiri"/>
          <w:color w:val="111111"/>
          <w:sz w:val="28"/>
          <w:sz w:val="28"/>
          <w:szCs w:val="28"/>
          <w:rtl w:val="true"/>
          <w:lang w:bidi="ar-SA"/>
        </w:rPr>
        <w:t>واسول المكناسي الصفري، وكان أبوه سمكو من حملة العلم، ارتحل إلى المدينة، فأدرك التابعين، وأخذ عن عكرمة مولى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عريب بن حميد القرطبي في تاريخه، وكان عكرمة بربري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عند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تكلّم الناس فيه لأنّه كان يرى رأي الخوارج</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ترجمته الطويلة لعكرمة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الحافظ</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يحدّث برأي نجدة الحروري، وأتاه فأقام عنده ستة أشهر، ثُمَّ أتى ابن عباس فسلّم،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مريم، عن ابن لهيعة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مَن سبّب لعكرمة الخروج إلى المغرب، وذلك أنَّي قدمت من مصر إلى المدينة، فلقيني عكرمة وسألني عن أهل المغرب، فأخبرته بغفلتهم،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وكان أوّل ما أحدث فيهم رأي الصفرية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عكرمة مصر، ونزل هذه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وأومأ إلى دارٍ إلى جانب دار ابن بكير</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فالخوارج الذين بالمغرب عنه أخذوا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يذكر مالك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لأنَّ عكرمة كان ينتحل رأي الصفرية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عن يعقوب الحضرمي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عكرمة على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يرى رأي الإباضية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خلّاد بن سليمان الحضرمي عن خالد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عكرمة مولى ابن عباس بإفريقية في وقت الموسم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اليوم بالموسم بيدي حربة أضرب بها يميناً وشمالاً،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بها من شهد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فمن يومئذٍ رفضه أهل أفريقية</w:t>
      </w:r>
      <w:r>
        <w:rPr>
          <w:rFonts w:eastAsia="Amiri" w:cs="Amiri" w:ascii="Amiri" w:hAnsi="Amiri"/>
          <w:color w:val="111111"/>
          <w:sz w:val="28"/>
          <w:szCs w:val="28"/>
          <w:rtl w:val="true"/>
          <w:lang w:bidi="ar-SA"/>
        </w:rPr>
        <w:t>. .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معن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لا يرى عكرمة ثقة، ويأمر أن لا يؤخَذ عنه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صحيح البخاري لقتادة عن عكرمة أربعة أحاديث، في تكبيرات الصلاة، والخنصر والإبهام سواء، والمتشبّهين بالنساء، وفي زوج بريرة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السنن أحاديث</w:t>
      </w:r>
      <w:r>
        <w:rPr>
          <w:rFonts w:eastAsia="Amiri" w:cs="Amiri" w:ascii="Amiri" w:hAnsi="Amiri"/>
          <w:color w:val="111111"/>
          <w:sz w:val="28"/>
          <w:szCs w:val="28"/>
          <w:rtl w:val="true"/>
          <w:lang w:bidi="ar-SA"/>
        </w:rPr>
        <w:t xml:space="preserve">. </w:t>
      </w:r>
      <w:bookmarkStart w:id="93" w:name="pg1614_13566"/>
    </w:p>
    <w:p>
      <w:pPr>
        <w:pStyle w:val="BookText"/>
        <w:rPr/>
      </w:pPr>
      <w:bookmarkEnd w:id="93"/>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أخذ أهل أفريقية رأي الصفرية عن عكرمة لمّا قدم عليهم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بكر المروزي، 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جعفر بن أبي عثمان الطيالسي،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إنساناً يقع في عكرمة، وفي حماد بن سلمة، فاتَّهمه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 بن عبدالله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يرى رأي الخوارج، فطلبه متولّي المدينة، فتغيّب عند داود بن الحصين حتى مات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لازال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ينفرد عنه داود بأشياء تُستغرَب، وكثير من الحفاظ عدّوا تلك الإفرادات مناكير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والذي يهمّنا هنا الوقوف على ابتداع هذا الرجل، وكونه من الخوارج الدعاة إلى مذهبهم أشدّ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هناك نقولات لأعلام كثيرين تتَّهمه بالكذب تارة، وبالوقوف على أبواب السلاطين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محل بحثنا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تنسجم العدالة مع الابتداع، وقد أُخذ في حدِّ العدالة عدم الابتداع؟ </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928459_3650668749"/>
      <w:bookmarkStart w:id="95" w:name="_Toc33"/>
      <w:bookmarkEnd w:id="94"/>
      <w:r>
        <w:rPr/>
        <w:t>٩</w:t>
      </w:r>
      <w:r>
        <w:rPr>
          <w:rtl w:val="true"/>
        </w:rPr>
        <w:t xml:space="preserve">- </w:t>
      </w:r>
      <w:r>
        <w:rPr>
          <w:rtl w:val="true"/>
        </w:rPr>
        <w:t>لمازة بن زبار الجهضمي</w:t>
      </w:r>
      <w:bookmarkEnd w:id="95"/>
    </w:p>
    <w:p>
      <w:pPr>
        <w:pStyle w:val="BookText"/>
        <w:rPr/>
      </w:pPr>
      <w:r>
        <w:rPr>
          <w:rFonts w:ascii="Amiri" w:hAnsi="Amiri" w:eastAsia="Amiri" w:cs="Amiri"/>
          <w:color w:val="111111"/>
          <w:sz w:val="28"/>
          <w:sz w:val="28"/>
          <w:szCs w:val="28"/>
          <w:rtl w:val="true"/>
          <w:lang w:bidi="ar-SA"/>
        </w:rPr>
        <w:t>أبولبيد البصري، كان ممَّن حضر وقعة الجمل وحارب ضد أمير المؤمنين علي‌بن أبي‌طالب عليه السلام، وكان ممَّن صرَّح ببغضه لعلي عليه السلام، بل كان شتّاماً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عُدَّ من الثقات، وهذا أهمّ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لمازة بن زبّار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توفي في عشر الثمانين، وقيل في عشر المئة، وكنيته أبو لبيد، وكان ثقة، قاتل علياً يوم الجمل،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أحبّ رجلاً قتل من قومي ألفين وخمسمائة 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نرى أنَّه كان يشتم علياً</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لمازة بن</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وعنه جرير بن حازم وجماعة، فيه نصب، وثّق</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لمازة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وكان ناصبياً ينال من علي ويمدح يزيد</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لمازة بن زبّار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روى عن عمر، وأبي موسى الأشعري، وعنه الزبير ابن خرّيت، ويعلى بن حكيم وجماعة، حضر وقعة الجمل مع عائشة، وقد وثَّقه ابن سعد، 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 . . . . </w:t>
      </w:r>
      <w:r>
        <w:rPr>
          <w:rFonts w:ascii="Amiri" w:hAnsi="Amiri" w:eastAsia="Amiri" w:cs="Amiri"/>
          <w:color w:val="111111"/>
          <w:sz w:val="28"/>
          <w:sz w:val="28"/>
          <w:szCs w:val="28"/>
          <w:rtl w:val="true"/>
          <w:lang w:bidi="ar-SA"/>
        </w:rPr>
        <w:t>وقال وهب بن جرير عن أبيه عن أبي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أنَّه كان يشتم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الزبير ابن الخرّيت عن أبي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وفدنا إلى يزيد،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يشرب الخمر، فهاجت ريح فألقت خيمته، فإذا هو قد نشر المصحف وهو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يُلام، وهو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على بغض هذا الناصبي اليزيدي الذي ينال من علي ويروي في مناقب يزيد</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فيلاحظ أنَّ الذهبي أحسّ بتأثير النصب على هذا الرجل، الذي قلب الموازين عنده، فأخذ يذمّ أمير المؤمنين علي عليه السلام ويشتمه، ويمدح يزيد بن معاوية، ومع ذلك فقد قيل في توثيقه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وذكره ابن حبان في 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أبو داود والترمذي وابن ماجة</w:t>
      </w:r>
      <w:r>
        <w:rPr>
          <w:rFonts w:eastAsia="Amiri" w:cs="Amiri" w:ascii="Amiri" w:hAnsi="Amiri"/>
          <w:color w:val="111111"/>
          <w:sz w:val="28"/>
          <w:szCs w:val="28"/>
          <w:rtl w:val="true"/>
          <w:lang w:bidi="ar-SA"/>
        </w:rPr>
        <w:t>. . .»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لمازة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يروي عن علي بن أبي طالب أن كان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وذكره في الثقات دليل على توثيقه له كما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حدّثنا عبد الرحمن، ثنا حرب بن إسماعيل الكرماني،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لبيد صالح الحديث، وأثنى عليه ثناءً حسناً</w:t>
      </w:r>
      <w:r>
        <w:rPr>
          <w:rFonts w:eastAsia="Amiri" w:cs="Amiri" w:ascii="Amiri" w:hAnsi="Amiri"/>
          <w:color w:val="111111"/>
          <w:sz w:val="28"/>
          <w:szCs w:val="28"/>
          <w:rtl w:val="true"/>
          <w:lang w:bidi="ar-SA"/>
        </w:rPr>
        <w:t>.</w:t>
      </w:r>
      <w:r>
        <w:rPr>
          <w:rStyle w:val="FootnoteAnchor"/>
          <w:rtl w:val="true"/>
        </w:rPr>
        <w:footnoteReference w:id="177"/>
      </w:r>
      <w:bookmarkStart w:id="96" w:name="pg1614_13568"/>
    </w:p>
    <w:p>
      <w:pPr>
        <w:pStyle w:val="Heading5"/>
        <w:numPr>
          <w:ilvl w:val="4"/>
          <w:numId w:val="1"/>
        </w:numPr>
        <w:rPr/>
      </w:pPr>
      <w:bookmarkStart w:id="97" w:name="__RefHeading___Toc928461_3650668749"/>
      <w:bookmarkStart w:id="98" w:name="_Toc34"/>
      <w:bookmarkEnd w:id="96"/>
      <w:bookmarkEnd w:id="97"/>
      <w:r>
        <w:rPr/>
        <w:t>١٠</w:t>
      </w:r>
      <w:r>
        <w:rPr>
          <w:rtl w:val="true"/>
        </w:rPr>
        <w:t xml:space="preserve">- </w:t>
      </w:r>
      <w:r>
        <w:rPr>
          <w:rtl w:val="true"/>
        </w:rPr>
        <w:t>عبدالله بن سالم الأشعري</w:t>
      </w:r>
      <w:bookmarkEnd w:id="98"/>
    </w:p>
    <w:p>
      <w:pPr>
        <w:pStyle w:val="BookText"/>
        <w:rPr/>
      </w:pPr>
      <w:r>
        <w:rPr>
          <w:rFonts w:ascii="Amiri" w:hAnsi="Amiri" w:eastAsia="Amiri" w:cs="Amiri"/>
          <w:color w:val="111111"/>
          <w:sz w:val="28"/>
          <w:sz w:val="28"/>
          <w:szCs w:val="28"/>
          <w:rtl w:val="true"/>
          <w:lang w:bidi="ar-SA"/>
        </w:rPr>
        <w:t>الوحاظي الحمصي، وهو أيضاً ممَّن رُمي بالنصب، لكن مع ذلك وثَّقوه، وأخذوا عنه، وهذا أهم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سالم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أعان على قتل أبي بكر وعمر،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توفي سنة تسع وسبعين ومائة، روى له البخاري وأبو داود والنسائي</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سالم الأشعري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وذمَّه أبو داود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أعان على قتل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نقله، أمّا في رأيه، فيه بأس شديد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سالم الأشعري، رُمي بالنصب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وقال في موضع آخر من نفس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وثَّقه النسائي والدارقطني، وذمّه أبو داود من جهة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البخاري حديثاً واحداً في المزارعة، وعلّق له غيره، وروى له أبو داود والنسائي</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الخزرجي ما نصّه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سالم الأشعري الوحاظي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نزيل حمص، عن محمد بن زياد وإبراهيم بن أبي عبلة، وعنه أبو المغيرة وأبو مسهر، قال يحيى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ورماه أبو داود بالنصب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وسبعين ومائة،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 . .</w:t>
      </w:r>
      <w:r>
        <w:rPr>
          <w:rStyle w:val="FootnoteAnchor"/>
          <w:rtl w:val="true"/>
        </w:rPr>
        <w:footnoteReference w:id="182"/>
      </w:r>
      <w:bookmarkStart w:id="99" w:name="pg1614_13569"/>
    </w:p>
    <w:p>
      <w:pPr>
        <w:pStyle w:val="BookText"/>
        <w:rPr/>
      </w:pPr>
      <w:bookmarkEnd w:id="99"/>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من المتأخرين محمد ناصر الدين الألباني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وكذا عبدالله بن سالم، وهو الأشعري الحمصي، ثقة</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فلنقف على ما ذكره ابن حجر العسقلاني من النقولات في حقّه، 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سالم الأشعري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يحيى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بالشام مثله، وقال عبدالله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أنبل من مروّته وعقله منه، 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 علي على قتل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أبو داود يذمّه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والكلام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الدارقطني</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فالملاحظ أنَّ هذا الرجل إضافة إلى كونه ناصبياً متجاهراً بنصبه، فهو مرتكب لكبيرة من الكبائر، بل من أعظم الكبائر، وهي البهتان بحق إمامٍ من أئمّة المسلمين، أعني نسبته الإعانة على القتل لعلي بن أبي طالب عليه السلام، فهل بعد عبادان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يُطمأن لنقل مثل هذا الشخص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يجتمع بهتانه العظيم هذا مع العدالة والصدق؟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هذه النماذج العشرة التي أوردناها، نماذج لا على التعيين، بل هي غيض من فيض، وتقدّم أنّ إحصاء النواصب المذكورين في كتب التراجم يحتاج إلى مؤلَّف خاص بذلك</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928463_3650668749"/>
      <w:bookmarkStart w:id="101" w:name="_Toc35"/>
      <w:bookmarkEnd w:id="100"/>
      <w:r>
        <w:rPr>
          <w:rtl w:val="true"/>
        </w:rPr>
        <w:t>المبحث الثالث</w:t>
      </w:r>
      <w:r>
        <w:rPr>
          <w:rtl w:val="true"/>
        </w:rPr>
        <w:t xml:space="preserve">: </w:t>
      </w:r>
      <w:r>
        <w:rPr>
          <w:rtl w:val="true"/>
        </w:rPr>
        <w:t>محاولات لدرء التناقض بين شرطية العدالة، وتوثيق النواصب</w:t>
      </w:r>
      <w:bookmarkEnd w:id="101"/>
    </w:p>
    <w:p>
      <w:pPr>
        <w:pStyle w:val="Heading5"/>
        <w:numPr>
          <w:ilvl w:val="4"/>
          <w:numId w:val="1"/>
        </w:numPr>
        <w:rPr/>
      </w:pPr>
      <w:bookmarkStart w:id="102" w:name="__RefHeading___Toc928465_3650668749"/>
      <w:bookmarkStart w:id="103" w:name="_Toc36"/>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وفيه نقاط عدّة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بالتناقض والتصريح به؛</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المحاولة الأُولى للحل، وتقييمها علمياً؛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المحاولة الثانية للحل، وتقييمها علمياً</w:t>
      </w:r>
      <w:r>
        <w:rPr>
          <w:rFonts w:eastAsia="Amiri" w:cs="Amiri" w:ascii="Amiri" w:hAnsi="Amiri"/>
          <w:color w:val="111111"/>
          <w:sz w:val="28"/>
          <w:szCs w:val="28"/>
          <w:rtl w:val="true"/>
          <w:lang w:bidi="ar-SA"/>
        </w:rPr>
        <w:t xml:space="preserve">. </w:t>
      </w:r>
      <w:bookmarkStart w:id="104" w:name="pg1614_13570"/>
    </w:p>
    <w:p>
      <w:pPr>
        <w:pStyle w:val="BookText"/>
        <w:rPr/>
      </w:pPr>
      <w:bookmarkEnd w:id="104"/>
      <w:r>
        <w:rPr>
          <w:rFonts w:ascii="Amiri" w:hAnsi="Amiri" w:eastAsia="Amiri" w:cs="Amiri"/>
          <w:color w:val="111111"/>
          <w:sz w:val="28"/>
          <w:sz w:val="28"/>
          <w:szCs w:val="28"/>
          <w:rtl w:val="true"/>
          <w:lang w:bidi="ar-SA"/>
        </w:rPr>
        <w:t>تقديم</w:t>
      </w:r>
    </w:p>
    <w:p>
      <w:pPr>
        <w:pStyle w:val="BookText"/>
        <w:rPr/>
      </w:pPr>
      <w:r>
        <w:rPr>
          <w:rFonts w:ascii="Amiri" w:hAnsi="Amiri" w:eastAsia="Amiri" w:cs="Amiri"/>
          <w:color w:val="111111"/>
          <w:sz w:val="28"/>
          <w:sz w:val="28"/>
          <w:szCs w:val="28"/>
          <w:rtl w:val="true"/>
          <w:lang w:bidi="ar-SA"/>
        </w:rPr>
        <w:t>بعد ما ثبت في البحوث السابقة أنَّ العدالة شرط اتّفاقي، بل إطباقي من شروط الراوي، وأنَّ من مقوّمات العدالة عدم الإصرار على أمرٍ محرّمٍ أوّلاً، وعدم الابتداع ثانياً، ثُمَّ أثبتنا فيما يليه من البحوث أنَّ النصب فيه مخالفة واضحة للشريعة أوّلاً، وهو من أجلى مصاديق البدعة ثانياً؛ توصّلنا إلى أنَّ توثيق الناصبي يناقض تماماً ما اتّفقوا عليه من شرطية العدالة، ثُمَّ عرضنا كيف تمَّ توثيق علماء الجمهور للنواصب عموماً، بالمباشرة والتصريح، أو بالملازمة والتلويح، ثُمَّ عرضنا نماذج من توثيقهم لآحاد النواصب المشهورين بالنصب، وكل ذلك يناقض شرطية العدالة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شعر غير واحد من علماء الجمهور بهذا التناقض الواضح، وفيما يلي إشارة إلى تصريحاتهم في ذلك، في ضمن النقطة الأُولى التي ذكرناها في بداية هذا المبحث</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928467_3650668749"/>
      <w:bookmarkStart w:id="106" w:name="_Toc37"/>
      <w:bookmarkEnd w:id="105"/>
      <w:r>
        <w:rPr>
          <w:rtl w:val="true"/>
        </w:rPr>
        <w:t>النقطة الأُولى</w:t>
      </w:r>
      <w:r>
        <w:rPr>
          <w:rtl w:val="true"/>
        </w:rPr>
        <w:t xml:space="preserve">: </w:t>
      </w:r>
      <w:r>
        <w:rPr>
          <w:rtl w:val="true"/>
        </w:rPr>
        <w:t>الإحساس بالتناقض والتصريح به</w:t>
      </w:r>
      <w:bookmarkEnd w:id="106"/>
    </w:p>
    <w:p>
      <w:pPr>
        <w:pStyle w:val="BookText"/>
        <w:rPr/>
      </w:pPr>
      <w:r>
        <w:rPr>
          <w:rFonts w:ascii="Amiri" w:hAnsi="Amiri" w:eastAsia="Amiri" w:cs="Amiri"/>
          <w:color w:val="111111"/>
          <w:sz w:val="28"/>
          <w:sz w:val="28"/>
          <w:szCs w:val="28"/>
          <w:rtl w:val="true"/>
          <w:lang w:bidi="ar-SA"/>
        </w:rPr>
        <w:t xml:space="preserve">لقد استشعر التناقض المذكور بين ما اُسِّس من شرطية العدالة، بمفهومها المشتمل على عدم ارتكاب الكبائر، وعدم الإصرار على الصغائر، بل وعدم ارتكاب ما ينافي المروءة، مضافاً له عدم البدعة؛ وبين توثيقهم المُبتدِع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استشعر هذا التناقض غير واحدٍ من محقِّقي الجمهور، سنذكرهم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ابن حجر العسقلاني، في ترجمته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لمازة بن زبّار الأزدي الجهضمي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أوردنا ترجمته ضمن نماذج من النواصب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ابن حجر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كنت أستشكل توثيقهم الناصبي غالباً، وتوهينهم الشيعي مطلقاً، ولاسيما أنَّ علياً ورد في حقِّه لا يُحبّه إلاّ مؤمن، ولا يبغضه إلاّ منافق، ثُمَّ ظهر لي في الجواب</w:t>
      </w:r>
      <w:r>
        <w:rPr>
          <w:rFonts w:eastAsia="Amiri" w:cs="Amiri" w:ascii="Amiri" w:hAnsi="Amiri"/>
          <w:color w:val="111111"/>
          <w:sz w:val="28"/>
          <w:szCs w:val="28"/>
          <w:rtl w:val="true"/>
          <w:lang w:bidi="ar-SA"/>
        </w:rPr>
        <w:t xml:space="preserve">. . .» </w:t>
      </w:r>
      <w:r>
        <w:rPr>
          <w:rStyle w:val="FootnoteAnchor"/>
          <w:rtl w:val="true"/>
        </w:rPr>
        <w:footnoteReference w:id="185"/>
      </w:r>
      <w:r>
        <w:rPr>
          <w:rFonts w:ascii="Amiri" w:hAnsi="Amiri" w:eastAsia="Amiri" w:cs="Amiri"/>
          <w:color w:val="111111"/>
          <w:sz w:val="28"/>
          <w:sz w:val="28"/>
          <w:szCs w:val="28"/>
          <w:rtl w:val="true"/>
          <w:lang w:bidi="ar-SA"/>
        </w:rPr>
        <w:t>، إلى آخر كلامه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يهمّنا كيفية الجواب ومدى صحته ودقته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طعن من عدّة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المهم في المقام استشعاره بالمناقضة في ذلك</w:t>
      </w:r>
      <w:r>
        <w:rPr>
          <w:rFonts w:eastAsia="Amiri" w:cs="Amiri" w:ascii="Amiri" w:hAnsi="Amiri"/>
          <w:color w:val="111111"/>
          <w:sz w:val="28"/>
          <w:szCs w:val="28"/>
          <w:rtl w:val="true"/>
          <w:lang w:bidi="ar-SA"/>
        </w:rPr>
        <w:t xml:space="preserve">. </w:t>
      </w:r>
      <w:bookmarkStart w:id="107" w:name="pg1614_13571"/>
    </w:p>
    <w:p>
      <w:pPr>
        <w:pStyle w:val="BookText"/>
        <w:rPr/>
      </w:pPr>
      <w:bookmarkEnd w:id="10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الأمير الصنعاني،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أخذوا في رسم الصحيح والحسن عدالة الراوي، كما سبق للحافظ في النخبة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الحافظ ابن حجر العسقلاني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في كتب صاحب العواصم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أبا بكر 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جميع كتب 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الحافظ العدالة بأنَّها مَلَكَة تحمل على ملازمة التقوى والمروءة، وفسَّر التقوى بأنَّها اجتناب الأعمال السيئة، من شرك أو فسق أو بدعةٍ، فأفاد أنَّ العدالة شرط للراوي، وقد عرفت أنَّ ترك البدعة من ماهية العدالة، فالعدل لا يكون عدلاً إلاّ باجتناب البدعة بأنواعها، ولا يخفى أنَّ هذا يناقض ما قرَّره الحافظ من القول بقبول المبتدع، مناقضةً ظاهرة</w:t>
      </w:r>
      <w:r>
        <w:rPr>
          <w:rFonts w:eastAsia="Amiri" w:cs="Amiri" w:ascii="Amiri" w:hAnsi="Amiri"/>
          <w:color w:val="111111"/>
          <w:sz w:val="28"/>
          <w:szCs w:val="28"/>
          <w:rtl w:val="true"/>
          <w:lang w:bidi="ar-SA"/>
        </w:rPr>
        <w:t>. . .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إنَّ كلام الصنعاني في النص المتقدم عن مطلق المبتدع، وما نحن فيه يدور حول الناصبي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فجوابه واضح ممّا تقدم، وهو أنَّ الناصبي 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وينطبق عليه تعريف المبتدع تماماً، فيكون الناصبي من أوضح مصاديق المبتدع، فيندرج في كلام الصنعاني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ما ينطبق على المبتدع ينسحب على الناصبي، فالمبتدع كُلّي، والناصبي مصداق له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928469_3650668749"/>
      <w:bookmarkStart w:id="109" w:name="_Toc38"/>
      <w:bookmarkEnd w:id="108"/>
      <w:r>
        <w:rPr>
          <w:rtl w:val="true"/>
        </w:rPr>
        <w:t>النقطة الثانية</w:t>
      </w:r>
      <w:r>
        <w:rPr>
          <w:rtl w:val="true"/>
        </w:rPr>
        <w:t xml:space="preserve">: </w:t>
      </w:r>
      <w:r>
        <w:rPr>
          <w:rtl w:val="true"/>
        </w:rPr>
        <w:t>عرض المحاولة الأُولى لحلّ التناقض، وتقييمها علمياً</w:t>
      </w:r>
      <w:bookmarkEnd w:id="109"/>
    </w:p>
    <w:p>
      <w:pPr>
        <w:pStyle w:val="Heading6"/>
        <w:numPr>
          <w:ilvl w:val="5"/>
          <w:numId w:val="1"/>
        </w:numPr>
        <w:rPr/>
      </w:pPr>
      <w:bookmarkStart w:id="110" w:name="__RefHeading___Toc928471_3650668749"/>
      <w:bookmarkStart w:id="111" w:name="_Toc39"/>
      <w:bookmarkEnd w:id="110"/>
      <w:r>
        <w:rPr>
          <w:rtl w:val="true"/>
        </w:rPr>
        <w:t>اشاره</w:t>
      </w:r>
      <w:bookmarkEnd w:id="11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عرض هذه المحاولة، لابد من التنوية إلى أنَّ هذه المحاولة لرفع التناقض لم تنصب أساساً لحل مشكلة التناقض بين النصب والعدالة، بل محورها أعمّ من ذلك؛ إذ ذهب إليها كثير من علماء الجمهور لرفع التناقض بين اشتراط العدالة وتوثيق المبتدع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 ناصبياً أو مرجئاً أو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فيمكن حينئذٍ لمَن يريد أن يرفع التناقض المذكور بين النصب والعدالة أن يدَّعيها إذا تمَّت علمياً، وسنرى هل هي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bookmarkStart w:id="112" w:name="pg1614_13572"/>
    </w:p>
    <w:p>
      <w:pPr>
        <w:pStyle w:val="BookText"/>
        <w:rPr/>
      </w:pPr>
      <w:bookmarkEnd w:id="112"/>
      <w:r>
        <w:rPr>
          <w:rFonts w:ascii="Amiri" w:hAnsi="Amiri" w:eastAsia="Amiri" w:cs="Amiri"/>
          <w:color w:val="111111"/>
          <w:sz w:val="28"/>
          <w:sz w:val="28"/>
          <w:szCs w:val="28"/>
          <w:rtl w:val="true"/>
          <w:lang w:bidi="ar-SA"/>
        </w:rPr>
        <w:t>وسنبحث هنا عن أمور أربعةٍ تتعلّق بهذه المحاولة، وهي على التوالي</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928473_3650668749"/>
      <w:bookmarkStart w:id="114" w:name="_Toc40"/>
      <w:bookmarkEnd w:id="113"/>
      <w:r>
        <w:rPr>
          <w:rtl w:val="true"/>
        </w:rPr>
        <w:t>أ</w:t>
      </w:r>
      <w:r>
        <w:rPr>
          <w:rtl w:val="true"/>
        </w:rPr>
        <w:t xml:space="preserve">- </w:t>
      </w:r>
      <w:r>
        <w:rPr>
          <w:rtl w:val="true"/>
        </w:rPr>
        <w:t>توثيق هذه المحاولة؛</w:t>
      </w:r>
      <w:bookmarkEnd w:id="11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هذه المحاولة؛</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القول بها؛</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تقييمها تقييماً موضوعياً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وسنتعرض لهذه الأمور الأربع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هذه المحاولة</w:t>
      </w:r>
    </w:p>
    <w:p>
      <w:pPr>
        <w:pStyle w:val="BookText"/>
        <w:rPr/>
      </w:pPr>
      <w:r>
        <w:rPr>
          <w:rFonts w:ascii="Amiri" w:hAnsi="Amiri" w:eastAsia="Amiri" w:cs="Amiri"/>
          <w:color w:val="111111"/>
          <w:sz w:val="28"/>
          <w:sz w:val="28"/>
          <w:szCs w:val="28"/>
          <w:rtl w:val="true"/>
          <w:lang w:bidi="ar-SA"/>
        </w:rPr>
        <w:t>لقد وردت هذه القاعدة على لسان الكثير من رجاليّي ومحدّثي الجمهور، وهذه نبذاً في أقوالهم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ابن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اختلفوا في قبول رواية المبتدع الذي لا يكفّر في بدعته، فمنهم مَن ردَّ روايته مطلقاً؛ لأنَّه فاسق ببدعته، وكما استوى في الكفر المتأوّل وغير المتأوّل، يستوي في الفسق المتأوّل وغير المتأوّل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قبل رواية المبتدع إذا لم يكن ممَّن يستحلّ الكذب في نصرة مذهبه، أو لأهل مذهبه، سواء كان داعية إلى بدعته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 بعضهم هذا إلى الشافعي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شهادة أهل الأهواء إلاّ الخطابية من الرافضة؛ لأنَّهم يرون الشهادة بالزور لموافقيهم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رواياته إذا لم يكن داعية إلى بدعته، ولا تُقبل إذا كان 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الكثير أو الأكثر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بعض أصحاب الشافعي خلافاً بين أصحابه في قبول رواية المبتدع إذا لم يدع إلى بدعته،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داعية، فلا خلاف بينهم في عدم قبول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 البستي، أحد المصنفين 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الداعية إلى البدع لا يجوز الاحتجاج به عند أئمتنا قاطبة، لا أعلم بينهم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المذهب الثالث أعدلها وأولاها، والأوَّل بعيد مباعد للشائع عن أئمّة الحديث؛ فإنَّ كتبهم طافحة بالرواية عن المبتدعة غير الدعاة، وفي الصحيحين كثير من أحاديثهم في الشواهد والأصول، والله أعلم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يحيى بن شرف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 لا يكفَّر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فاختلفوا في روايته، فمنهم مَن ردَّها مطلقاً لفسقه، ولا ينفعه التأويل، ومنهم مَن قبلها مطلقاً إذا لم يكن ممَّن يستحلّ الكذب في نصرة مذهبه أو لأهل مذهبه، سواء كان داعية أو غير 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محكي عن إمامنا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شهادة أهل الأهواء إلاّ الخطابية من الرافضة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إذا لم يكن داعية إلى بدعته، ولا تُقبل إذا كان 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كثيرين أو الأكثر من العلماء، وهو الأعدل الصحيح</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كثير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المبتدع إن كفر ببدعته فلا إشكال في ردّ روايته، وإذا لم يكفر، فإن استحلَّ الكذب رُدَّت أيضاً، وإن لم يستحل الكذب فهل يقبل أم لا؟ أو يفرَّق بين كونه داعية أو غير داعية؟</w:t>
      </w:r>
    </w:p>
    <w:p>
      <w:pPr>
        <w:pStyle w:val="BookText"/>
        <w:rPr/>
      </w:pPr>
      <w:r>
        <w:rPr>
          <w:rFonts w:ascii="Amiri" w:hAnsi="Amiri" w:eastAsia="Amiri" w:cs="Amiri"/>
          <w:color w:val="111111"/>
          <w:sz w:val="28"/>
          <w:sz w:val="28"/>
          <w:szCs w:val="28"/>
          <w:rtl w:val="true"/>
          <w:lang w:bidi="ar-SA"/>
        </w:rPr>
        <w:t>في ذلك نزاع قديم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الأكثرون التفصيل بين الداعية وغيره، وقد حُكي عن نص الشافعي، وقد حكى ابن حبان عليه الاتفاق،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الاحتجاج به عند أئمّتنا قاطبة، لا أعلم بينهم فيه خلافاً، 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أعدل الأقوال وأولاها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إذن، فملخّص هذه المحاولة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تدّعوه من أنَّ المبتدع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العدالة وحدّها، غير متوفّر على شروطها؛ صحيح، فحينئذٍ لا تُقبل روايته، لكن نفرّق بين المبتدع،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الناصبي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الداعي إلى بدعته، فلا تُقبل روايته، وبين المبتدع غير الداعي إلى بدعته، فتُقبل، وبذلك ينحلّ إشكال التناقض بين شرطية العدالة وتوثيق المبتدع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الناصبي</w:t>
      </w:r>
      <w:r>
        <w:rPr>
          <w:rFonts w:eastAsia="Amiri" w:cs="Amiri" w:ascii="Amiri" w:hAnsi="Amiri"/>
          <w:color w:val="111111"/>
          <w:sz w:val="28"/>
          <w:szCs w:val="28"/>
          <w:rtl w:val="true"/>
          <w:lang w:bidi="ar-SA"/>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نوَّهنا في بداية عرض المحاولة، أنَّها لم يقصد منها حل مشكلة الناصبي بالخصوص، بل هي تشمل عموم المبتدع، فيدخل الناصبي في ذلك العموم حينئذٍ؛ لأنَّه مصداق للمبتدع، بل هو من أوضح المصاديق لذلك</w:t>
      </w:r>
      <w:r>
        <w:rPr>
          <w:rFonts w:eastAsia="Amiri" w:cs="Amiri" w:ascii="Amiri" w:hAnsi="Amiri"/>
          <w:color w:val="111111"/>
          <w:sz w:val="28"/>
          <w:szCs w:val="28"/>
          <w:rtl w:val="true"/>
          <w:lang w:bidi="ar-SA"/>
        </w:rPr>
        <w:t xml:space="preserve">. </w:t>
      </w:r>
      <w:bookmarkStart w:id="115" w:name="pg1614_13574"/>
    </w:p>
    <w:p>
      <w:pPr>
        <w:pStyle w:val="Heading6"/>
        <w:numPr>
          <w:ilvl w:val="5"/>
          <w:numId w:val="1"/>
        </w:numPr>
        <w:rPr/>
      </w:pPr>
      <w:bookmarkStart w:id="116" w:name="__RefHeading___Toc928475_3650668749"/>
      <w:bookmarkStart w:id="117" w:name="_Toc41"/>
      <w:bookmarkEnd w:id="115"/>
      <w:bookmarkEnd w:id="116"/>
      <w:r>
        <w:rPr>
          <w:rtl w:val="true"/>
        </w:rPr>
        <w:t>ب</w:t>
      </w:r>
      <w:r>
        <w:rPr>
          <w:rtl w:val="true"/>
        </w:rPr>
        <w:t xml:space="preserve">- </w:t>
      </w:r>
      <w:r>
        <w:rPr>
          <w:rtl w:val="true"/>
        </w:rPr>
        <w:t>تاريخ هذه المحاولة، وأوَّل مَن نُسبت إليه</w:t>
      </w:r>
      <w:bookmarkEnd w:id="117"/>
    </w:p>
    <w:p>
      <w:pPr>
        <w:pStyle w:val="BookText"/>
        <w:rPr/>
      </w:pPr>
      <w:r>
        <w:rPr>
          <w:rFonts w:ascii="Amiri" w:hAnsi="Amiri" w:eastAsia="Amiri" w:cs="Amiri"/>
          <w:color w:val="111111"/>
          <w:sz w:val="28"/>
          <w:sz w:val="28"/>
          <w:szCs w:val="28"/>
          <w:rtl w:val="true"/>
          <w:lang w:bidi="ar-SA"/>
        </w:rPr>
        <w:t>هناك بعض الأقوال تُشعر بنسبة هذه المحاولة إلى الشافعي، فنسبها ابن كثير مثلاً إلى المَحكي عن نصِّ الشافعي، وفيما يلي تحقيق الحال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سابقاً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أقوال بعض الأعلام في توثيق هذه المحاولة، واتضح من جميع الأقوال المتقدمة أنَّ نسبة القول للشافعي لم يجزم أحد به، ففي عبارة أبي عمرو ابن الصلاح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وحكى بعض أصحاب الشافعي خلافاً بين أصحابه في قبول رواية المبتدع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وكذا عبارة ابن كثير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وقد حكي عن نص الشافعي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والحكاية مُشعرة بالتضعيف في نسبة هذا الرأي للشافعي من جهة، ومن جهةٍ أُخرى أنَّ هذا الرأي ليس نصاً عن الشافعي، بل هو فهم لعبارته وقوله المشهور بينهم، ألا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شهادة أهل الأهواء إلاّ الخطابية من الرافضة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أنَّ القائل بهذا الرأي قد فهم من هذا النص التفريق بين الداعية لبدعته، وغير الداعية لها، فقد فهم آخرون عكس ذلك؛ فهذا ابن كثير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هذا القول من التفريق بين الداعية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شهادة أهل الأهواء إلاّ الخطابية من الرافضة؛ لأنَّهم يرون الشهادة بالزور لموافقيهم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يفرق الشافعي في هذا النص بين الداعية وغيره</w:t>
      </w:r>
      <w:r>
        <w:rPr>
          <w:rFonts w:eastAsia="Amiri" w:cs="Amiri" w:ascii="Amiri" w:hAnsi="Amiri"/>
          <w:color w:val="111111"/>
          <w:sz w:val="28"/>
          <w:szCs w:val="28"/>
          <w:rtl w:val="true"/>
          <w:lang w:bidi="ar-SA"/>
        </w:rPr>
        <w:t xml:space="preserve">» .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بل شارك النووي ابن كثير في فهمه لعبارة الشافعي، لذا نسب عكس النسبة المتقدمة لقول الشافعي، فقال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لا يكفَّر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يكفر ببدعته، أي كان مبتدعاً لبدعةٍ تؤدّي إلى الفسق لا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فاختلفوا في روايته، فمنهم مَن ردَّها مطلقاً لفسقه، لا ينفعه التأويل، ومنهم مَن قبلها مطلقاً، إذا لم يكن ممَّن يستحل الكذب في نصرة مذهبه أو لأهل مذهبه، سواء كان داعية إلى بدعته أم غير داعية، وهذا محكي عن إمامنا الشافعي،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شهادة</w:t>
      </w:r>
      <w:r>
        <w:rPr>
          <w:rFonts w:eastAsia="Amiri" w:cs="Amiri" w:ascii="Amiri" w:hAnsi="Amiri"/>
          <w:color w:val="111111"/>
          <w:sz w:val="28"/>
          <w:szCs w:val="28"/>
          <w:rtl w:val="true"/>
          <w:lang w:bidi="ar-SA"/>
        </w:rPr>
        <w:t>. . .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أضف لكل ما تقدَّم أنَّنا لو وقفنا على ظاهر عبارة الشافعي، فإنَّ المتبادر منها، والمفهوم الواضح عنها، أنَّه لا يقبل شهادة الخطابية لكذبهم وشهادتهم بالزور لموافقيهم، وليس في العبارة تصريح بالداعية أو غير الداعية، بل ولا فيها تلويح بذلك، فعلى مَن فهم منها هذا التقسيم أن يقيم على ذلك الدليل، فالتقسيم إلى الداعية وغيره خلاف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سابقاً هو عين ما فهمه ابن حجر من عبارة الشافعي، بل ونقل فيه قول غيره من العلماء، إذ قال في ذلك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والقبول مطلقاً إلاّ فيمَن يكفّر ببدعته، وإلاّ فيمَن يستحلّ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أبو حنيفة وأبو يوسف وطائفة، وروي عن الشافعي أيضاً</w:t>
      </w:r>
      <w:r>
        <w:rPr>
          <w:rFonts w:eastAsia="Amiri" w:cs="Amiri" w:ascii="Amiri" w:hAnsi="Amiri"/>
          <w:color w:val="111111"/>
          <w:sz w:val="28"/>
          <w:szCs w:val="28"/>
          <w:rtl w:val="true"/>
          <w:lang w:bidi="ar-SA"/>
        </w:rPr>
        <w:t>» .</w:t>
      </w:r>
      <w:r>
        <w:rPr>
          <w:rStyle w:val="FootnoteAnchor"/>
          <w:rtl w:val="true"/>
        </w:rPr>
        <w:footnoteReference w:id="192"/>
      </w:r>
      <w:r>
        <w:rPr>
          <w:rFonts w:ascii="Amiri" w:hAnsi="Amiri" w:eastAsia="Amiri" w:cs="Amiri"/>
          <w:color w:val="111111"/>
          <w:sz w:val="28"/>
          <w:sz w:val="28"/>
          <w:szCs w:val="28"/>
          <w:rtl w:val="true"/>
          <w:lang w:bidi="ar-SA"/>
        </w:rPr>
        <w:t>فعلّة عدم قبول شهادة الخطابية هي الكذب، أو الشهادة بالزور لموافقيهم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نقل ابن بهادر في كتابه، حكاية أُخرى لمذهب الشافعي، تناقض الحكاية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عزاه أولاً للشافعي، قال فخر الدين في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الحق، وحكاه الحاكم في المدخل عن أكثر أئمّة الحديث، ورجَّحه الشيخ أبو الفتح القشيري،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تقرر عندنا أنَّه لا يُعتبَر المذهب في الرواية؛ إذ لا يكفَّر أحد من أهل القبلة إلاّ بإنكار قطعي من الشريعة، فإذا اعتبرنا ذلك، وانضمَّ إليها التقوى والورع، فقد حصل معتمد الرواية، وهذا مذهب الشافعي، حيث يقبل شهادة أهل الأهواء،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 المسلمين حفرة من حفر النار وقف على شفيرها طائفتان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المُحدّثون والحكّام</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فمن كل ما تقدَّم يتقرَّر عدم وضوح نسبة هذه المحاولة إلى الشافعي، إن لم نقل بنسبة خلافها إليه، بل هي فهم لا دليل عليه لعبارته ليس إلاَّ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الأمر الآخر المهم الذي لابد من الوقوف عليه، في تاريخ هذه المحاولة </w:t>
      </w:r>
    </w:p>
    <w:p>
      <w:pPr>
        <w:pStyle w:val="BookText"/>
        <w:rPr/>
      </w:pPr>
      <w:r>
        <w:rPr>
          <w:rFonts w:ascii="Amiri" w:hAnsi="Amiri" w:eastAsia="Amiri" w:cs="Amiri"/>
          <w:color w:val="111111"/>
          <w:sz w:val="28"/>
          <w:sz w:val="28"/>
          <w:szCs w:val="28"/>
          <w:rtl w:val="true"/>
          <w:lang w:bidi="ar-SA"/>
        </w:rPr>
        <w:t xml:space="preserve">وتعيين نسبتها، هو ما قام به ابن حبّان البستي؛ إذ نسبها إلى الإجماع، فادَّعى أنَّ هناك إجماعاً على التفصيل في قبول رواية المبتدع،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الناصبي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فتُقبل رواية المبتدع غير الداعية إلى مذهبه، وتُردّ رواية الداعية لمذهبه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دعوى ابن حبان تلك كثير من المحقّقين، وهذه طائفة من الأقوال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ابن الصلاح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أبو حاتم ابن حبان البستي، أحد المصنفين من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الداعية إلى البدع لا يجوز الاحتجاج به عند أئمّتنا قاطبة، لا أعلم بينهم فيه خلافاً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أيضاً ابن حجر العسقلاني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أن يكون داعية أو غير داعية، فيُقبل غير الداعية، ويُردّ حديث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المذهب هو الأعدل، وصارت إليه طوائف من الأئمَّة، وادَّعى ابن حبان إجماع أهل النقل عليه</w:t>
      </w:r>
      <w:r>
        <w:rPr>
          <w:rFonts w:eastAsia="Amiri" w:cs="Amiri" w:ascii="Amiri" w:hAnsi="Amiri"/>
          <w:color w:val="111111"/>
          <w:sz w:val="28"/>
          <w:szCs w:val="28"/>
          <w:rtl w:val="true"/>
          <w:lang w:bidi="ar-SA"/>
        </w:rPr>
        <w:t xml:space="preserve">. . . . </w:t>
      </w:r>
      <w:r>
        <w:rPr>
          <w:rStyle w:val="FootnoteAnchor"/>
          <w:rtl w:val="true"/>
        </w:rPr>
        <w:footnoteReference w:id="195"/>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وأغرب ابن حبان فادَّعى الاتفاق على قبول غير الداعية</w:t>
      </w:r>
      <w:r>
        <w:rPr>
          <w:rFonts w:eastAsia="Amiri" w:cs="Amiri" w:ascii="Amiri" w:hAnsi="Amiri"/>
          <w:color w:val="111111"/>
          <w:sz w:val="28"/>
          <w:szCs w:val="28"/>
          <w:rtl w:val="true"/>
          <w:lang w:bidi="ar-SA"/>
        </w:rPr>
        <w:t>. . .»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فواضح من هذه النقولات صريح دعوى الإجماع على التفصيل بين قبول رواية المبتدع غير الداعية لمذهبه، ورفض رواية المبتدع الداعية، خصوصاً في القول الثاني،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أيضاً جمعاً بين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نقل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دعوى الإجماع عن ابن حبّان على رفض رواية الداعية،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دعوى الإجماع عن ابن حبان على قبول غير الداعية، فبالجمع يحصل التفصيل في الإجماع المذكور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ابن حبان ذهب بعيداًَ في دعواه؛ إذ لم يقبلها أكابر أهل الفن، إضافة لِما مرَّ سابقاً من قول الشافعي ومَن لفَّ لفَّه من قبول رواية أهل الأهواء مطلقاً</w:t>
      </w:r>
      <w:r>
        <w:rPr>
          <w:rFonts w:eastAsia="Amiri" w:cs="Amiri" w:ascii="Amiri" w:hAnsi="Amiri"/>
          <w:color w:val="111111"/>
          <w:sz w:val="28"/>
          <w:szCs w:val="28"/>
          <w:rtl w:val="true"/>
          <w:lang w:bidi="ar-SA"/>
        </w:rPr>
        <w:t xml:space="preserve">. </w:t>
      </w:r>
      <w:bookmarkStart w:id="118" w:name="pg1614_13577"/>
    </w:p>
    <w:p>
      <w:pPr>
        <w:pStyle w:val="BookText"/>
        <w:rPr/>
      </w:pPr>
      <w:bookmarkEnd w:id="118"/>
      <w:r>
        <w:rPr>
          <w:rFonts w:ascii="Amiri" w:hAnsi="Amiri" w:eastAsia="Amiri" w:cs="Amiri"/>
          <w:color w:val="111111"/>
          <w:sz w:val="28"/>
          <w:sz w:val="28"/>
          <w:szCs w:val="28"/>
          <w:rtl w:val="true"/>
          <w:lang w:bidi="ar-SA"/>
        </w:rPr>
        <w:t>فقد ردَّ الإجماع أو توقّف في قبوله ابن حجر في مقدمته، بعد أن نقل قول ابن حبان السابق،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وادّعى ابن حبان إجماع أهل النقل عليه، لكن في دعوى ذلك نظر</w:t>
      </w:r>
      <w:r>
        <w:rPr>
          <w:rFonts w:eastAsia="Amiri" w:cs="Amiri" w:ascii="Amiri" w:hAnsi="Amiri"/>
          <w:color w:val="111111"/>
          <w:sz w:val="28"/>
          <w:szCs w:val="28"/>
          <w:rtl w:val="true"/>
          <w:lang w:bidi="ar-SA"/>
        </w:rPr>
        <w:t>» .</w:t>
      </w:r>
      <w:r>
        <w:rPr>
          <w:rStyle w:val="FootnoteAnchor"/>
          <w:rtl w:val="true"/>
        </w:rPr>
        <w:footnoteReference w:id="197"/>
      </w:r>
      <w:r>
        <w:rPr>
          <w:rFonts w:ascii="Amiri" w:hAnsi="Amiri" w:eastAsia="Amiri" w:cs="Amiri"/>
          <w:color w:val="111111"/>
          <w:sz w:val="28"/>
          <w:sz w:val="28"/>
          <w:szCs w:val="28"/>
          <w:rtl w:val="true"/>
          <w:lang w:bidi="ar-SA"/>
        </w:rPr>
        <w:t>كما ردَّها صريحاً صاحب اليواقيت والدرر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ابن حبان فادَّعى الاتفاق على قبول غير الداعية، وليس كما زعم، بل الخلاف محقّق بغير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الأكثر على قبول غير الداعية، إلاّ أن يروي ما يقوّي بدعته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إذن، فلا إجماع محقَّق يعوَّل عليه كدليل على هذه المحاولة، بل الخلاف بينهم فيها أبين من الشمس في رابعة النهار، وقد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التعرّض لتوثيق هذه المحاولة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عمرو ابن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قبول رواية المبتدع الذي لا يكفّر ببدعته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وقول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 لا يكفّر بها، فاختلفوا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ابن كثير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في ذلك نزاع قديم وحديث</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فكيف تثبت بعد ذلك دعوى الاتّفاق أو الإجماع ياترى؟ </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928477_3650668749"/>
      <w:bookmarkStart w:id="120" w:name="_Toc42"/>
      <w:bookmarkEnd w:id="119"/>
      <w:r>
        <w:rPr>
          <w:rtl w:val="true"/>
        </w:rPr>
        <w:t>ج</w:t>
      </w:r>
      <w:r>
        <w:rPr>
          <w:rtl w:val="true"/>
        </w:rPr>
        <w:t xml:space="preserve">- </w:t>
      </w:r>
      <w:r>
        <w:rPr>
          <w:rtl w:val="true"/>
        </w:rPr>
        <w:t>الوقفة الأُخرى التي تستحق الوقوف عندها في هذه المحاولة، هي علّة القول بها</w:t>
      </w:r>
      <w:bookmarkEnd w:id="120"/>
    </w:p>
    <w:p>
      <w:pPr>
        <w:pStyle w:val="BookText"/>
        <w:rPr/>
      </w:pPr>
      <w:r>
        <w:rPr>
          <w:rFonts w:ascii="Amiri" w:hAnsi="Amiri" w:eastAsia="Amiri" w:cs="Amiri"/>
          <w:color w:val="111111"/>
          <w:sz w:val="28"/>
          <w:sz w:val="28"/>
          <w:szCs w:val="28"/>
          <w:rtl w:val="true"/>
          <w:lang w:bidi="ar-SA"/>
        </w:rPr>
        <w:t>فقد ذكر ابن حجر العسقلاني علّةً دفعتهم للقول بها، إضافة لرفع التناقض المذكور؛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ذلك أنَّ المبتدع إذا كان داعية، كان عنده باعث على رواية ما يشيد به بدعته</w:t>
      </w:r>
      <w:r>
        <w:rPr>
          <w:rFonts w:eastAsia="Amiri" w:cs="Amiri" w:ascii="Amiri" w:hAnsi="Amiri"/>
          <w:color w:val="111111"/>
          <w:sz w:val="28"/>
          <w:szCs w:val="28"/>
          <w:rtl w:val="true"/>
          <w:lang w:bidi="ar-SA"/>
        </w:rPr>
        <w:t>. . .» .</w:t>
      </w:r>
      <w:r>
        <w:rPr>
          <w:rStyle w:val="FootnoteAnchor"/>
          <w:rtl w:val="true"/>
        </w:rPr>
        <w:footnoteReference w:id="199"/>
      </w:r>
      <w:r>
        <w:rPr>
          <w:rFonts w:ascii="Amiri" w:hAnsi="Amiri" w:eastAsia="Amiri" w:cs="Amiri"/>
          <w:color w:val="111111"/>
          <w:sz w:val="28"/>
          <w:sz w:val="28"/>
          <w:szCs w:val="28"/>
          <w:rtl w:val="true"/>
          <w:lang w:bidi="ar-SA"/>
        </w:rPr>
        <w:t>ولم يذكر ابن حجر دليلاً بيّناً على دعواه، تطمئن النفس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وسنورد بعد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إشكالاً لنفس ابن حجر، يستشكل فيه على ما ذكره من العلّة السابقة لهذه المحاولة، حيث 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وعلى هذا، إذا اشتملت رواية المبتدع، سواء كان داعيةً أم لم يكن، على ما لا تعلّق له ببدعته أصلاً، هل ترد مطلقاً، أم تقبل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يُجب هو على استشكاله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هذا يتَّضح أنَّ العلّة التي ذكرها غير مطَّردة في جميع الموارد؛ إذ قد يروي المبتدع ما لا تعلّق له ببدعته، بل وقد يروي ما هو خلاف بدعته، فكيف سيتعامل مع روايته حينئذٍ؟ </w:t>
      </w:r>
      <w:r>
        <w:rPr>
          <w:rFonts w:eastAsia="Amiri" w:cs="Amiri" w:ascii="Amiri" w:hAnsi="Amiri"/>
          <w:color w:val="111111"/>
          <w:sz w:val="28"/>
          <w:szCs w:val="28"/>
          <w:rtl w:val="true"/>
          <w:lang w:bidi="ar-SA"/>
        </w:rPr>
        <w:t xml:space="preserve">! </w:t>
      </w:r>
      <w:bookmarkStart w:id="121" w:name="pg1614_13578"/>
    </w:p>
    <w:p>
      <w:pPr>
        <w:pStyle w:val="Heading6"/>
        <w:numPr>
          <w:ilvl w:val="5"/>
          <w:numId w:val="1"/>
        </w:numPr>
        <w:rPr/>
      </w:pPr>
      <w:bookmarkStart w:id="122" w:name="__RefHeading___Toc928479_3650668749"/>
      <w:bookmarkStart w:id="123" w:name="_Toc43"/>
      <w:bookmarkEnd w:id="121"/>
      <w:bookmarkEnd w:id="122"/>
      <w:r>
        <w:rPr>
          <w:rtl w:val="true"/>
        </w:rPr>
        <w:t>د</w:t>
      </w:r>
      <w:r>
        <w:rPr>
          <w:rtl w:val="true"/>
        </w:rPr>
        <w:t xml:space="preserve">- </w:t>
      </w:r>
      <w:r>
        <w:rPr>
          <w:rtl w:val="true"/>
        </w:rPr>
        <w:t>تقييم المحاولة الأُولى تقييماً موضوعياً</w:t>
      </w:r>
      <w:bookmarkEnd w:id="123"/>
    </w:p>
    <w:p>
      <w:pPr>
        <w:pStyle w:val="BookText"/>
        <w:rPr/>
      </w:pPr>
      <w:r>
        <w:rPr>
          <w:rFonts w:ascii="Amiri" w:hAnsi="Amiri" w:eastAsia="Amiri" w:cs="Amiri"/>
          <w:color w:val="111111"/>
          <w:sz w:val="28"/>
          <w:sz w:val="28"/>
          <w:szCs w:val="28"/>
          <w:rtl w:val="true"/>
          <w:lang w:bidi="ar-SA"/>
        </w:rPr>
        <w:t>بعدما وثّقنا هذه المحاولة، وأرَّخنا لها، وذكرنا علّة قولهم بها، نأتي هنا إلى تقييم هذه المحاولة تقييماً علمياً بحسب القواعد، وسيكون ذلك عبر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ثبت عدم صحة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هذه المحاولة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الشافعي، ولم يجزم بذلك أحد، بل هو فهم لعبارة أطلقها الشافعي، قابله فهم مضادّ له، وأن لا إجماع يعول عليه لقبولها، فلم يبقَ حينئذ دليل للقول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أيضاً أنَّ التعليل الذي ذكروه للقول بها، لم يقم عليه دليل من آية أو رواية أو إجماع أو</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التفريق الذي ذكروه لم يتوقَّف على ذلك الحد، كما نوَّهنا سابقاً، بل تعدّاه إلى ما هو أكثر من ذلك بوجوه متعدّدة وكثيرة، ولم يقيموا أدلّة لذلك، وذكر ذلك ابن حجر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أن يكون داعية أو غير داعية، فيُقبل غير الداعية ويُردّ حديث الداعية، وهذا المذهب هو الأعدل، وصارت إليه طوائف من الأئمّة، وادَّعى ابن حبان إجماع أهل النقل عليه، لكن في دعوى ذلك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القائلون بهذا التفصيل، فبعضهم أطلق ذلك، وبعضهم زاده تفصيلاً،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اشتملت رواية غير الداعية على ما يشيد بِدعته ويزيّنه ويحسنه ظاهراً، فلا تُقبل، وإن لم تشتمل فتُقبل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وطرّد بعضهم هذا التفصيل بعينه في عكسه في حقّ الداعية،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اشتملت روايته على ما يردّ بدعته قبل،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إذا اشتملت رواية المبتدع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داعية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لا تعلّق له ببدعته أصلاً، هل تردّ مطلقاً أو تقبل مطلقاً؟ مال أبو الفتح القشيري إلى تفصيلٍ آخر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وافقه غيره فلا يلتفت إليه هو، إخماداً لبدعته وإطفاءً لناره، وإن لم يوافقه أحد، ولم يوجد ذلك الحديث إلاّ عنده، مع ما وصفنا من صدقه وتحرّزه عن الكذب، واشتهاره بالدين وعدم تعلّق ذلك الحديث ببدعته، فينبغي أن تقدَّم مصلحة تحصيل ذلك الحديث ونشر تلك السنّة، على مصلحة إهانته وإطفاء بدعته، والله أعلم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وكل هذه التفريعات بحاجةٍ إلى دليل يدعمها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جدوى التفريق بين الداعية وغيره، وهؤلاء هم أئمّة أهل الحديث قد خرّجوا لمبتدعة دُعاة إلى بدعتهم، باعتراف أكابر أهل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الفرق في المعنى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الداعية وغير الداعية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البخاري قد خرّج لعمران بن حطان الخارجي، مادح عبد الرحمن بن ملجم، قاتل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أكبر الدعوة إلى البدعة والله أعلم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وقد ذكرنا في تراجم النواصب المتقدّمة الكثير ممَّن خرَّج لهم البخاري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بهادر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الصحيحين الرواية عن المبتدعة غير الدُعاة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الماتن وهو ابن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عمران بن حطان الخارجي، مادح عبد الرحمن بن ملجم، قاتل علي‌بن أبي طالب، وهذا من أكبر الدُعاة إلى البدعة، خرّج عنه البخاري، وزعم جماعة أنَّه من دُعاة 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عبد الحميد بن عبد الرحمن، أخرج له الشيخان، وقال فيه 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داعية إلى الإرجاء،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فرق، ولذلك أطلق الشافعي النص المشهور عنه،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شهادة أهل الأهواء</w:t>
      </w:r>
      <w:r>
        <w:rPr>
          <w:rFonts w:eastAsia="Amiri" w:cs="Amiri" w:ascii="Amiri" w:hAnsi="Amiri"/>
          <w:color w:val="111111"/>
          <w:sz w:val="28"/>
          <w:szCs w:val="28"/>
          <w:rtl w:val="true"/>
          <w:lang w:bidi="ar-SA"/>
        </w:rPr>
        <w:t>. . .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أعترض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التفريق بين الداعية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الشيخين احتجّا في الصحيحين بالدعاة، فاحتج البخاري بعمران بن حطان، وهو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أهل الأهواء أصحّ حديثاً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الحميد الحماني، وكان داعية إلى الإرجاء</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نأخذ اعتراف العراقي بأنَّ البخاري أحتجّ بمبتدعٍ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عمران بن </w:t>
      </w:r>
      <w:bookmarkStart w:id="124" w:name="pg1614_13580"/>
    </w:p>
    <w:p>
      <w:pPr>
        <w:pStyle w:val="BookText"/>
        <w:rPr/>
      </w:pPr>
      <w:bookmarkEnd w:id="124"/>
      <w:r>
        <w:rPr>
          <w:rFonts w:ascii="Amiri" w:hAnsi="Amiri" w:eastAsia="Amiri" w:cs="Amiri"/>
          <w:color w:val="111111"/>
          <w:sz w:val="28"/>
          <w:sz w:val="28"/>
          <w:szCs w:val="28"/>
          <w:rtl w:val="true"/>
          <w:lang w:bidi="ar-SA"/>
        </w:rPr>
        <w:t>حطان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جوابه عن ذلك، فلا يلزمنا الأخذ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نأخذ بالواقعة، أمّا تبريرها وتوجيهها، فغير ملزم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إلى هنا أنَّ البخاري ومسلم لم يعتبرا هذا التفريق بين الداعية وغيره، ويلحق بهم الشافعي الذي مرّ رأيه، ومَن قال بقوله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ننهي الكلام عن المحاوله الأُولى</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928481_3650668749"/>
      <w:bookmarkStart w:id="126" w:name="_Toc44"/>
      <w:bookmarkEnd w:id="125"/>
      <w:r>
        <w:rPr>
          <w:rtl w:val="true"/>
        </w:rPr>
        <w:t>النقطة الثالثة</w:t>
      </w:r>
      <w:r>
        <w:rPr>
          <w:rtl w:val="true"/>
        </w:rPr>
        <w:t xml:space="preserve">: </w:t>
      </w:r>
      <w:r>
        <w:rPr>
          <w:rtl w:val="true"/>
        </w:rPr>
        <w:t>عرض المحاولة الثانية للحل، وتقييمها علمياً</w:t>
      </w:r>
      <w:bookmarkEnd w:id="126"/>
    </w:p>
    <w:p>
      <w:pPr>
        <w:pStyle w:val="BookText"/>
        <w:rPr/>
      </w:pPr>
      <w:r>
        <w:rPr>
          <w:rFonts w:ascii="Amiri" w:hAnsi="Amiri" w:eastAsia="Amiri" w:cs="Amiri"/>
          <w:color w:val="111111"/>
          <w:sz w:val="28"/>
          <w:sz w:val="28"/>
          <w:szCs w:val="28"/>
          <w:rtl w:val="true"/>
          <w:lang w:bidi="ar-SA"/>
        </w:rPr>
        <w:t>إنَّ هذه المحاولة قد لا تحتاج إلى أن نؤَرِّخ لها، أو نذكر أوّل مَن اخترعها؛ لأنَّها لم تُذكر قبل الذهبي</w:t>
      </w:r>
      <w:r>
        <w:rPr>
          <w:rStyle w:val="FootnoteAnchor"/>
          <w:rtl w:val="true"/>
        </w:rPr>
        <w:footnoteReference w:id="204"/>
      </w:r>
      <w:r>
        <w:rPr>
          <w:rFonts w:ascii="Amiri" w:hAnsi="Amiri" w:eastAsia="Amiri" w:cs="Amiri"/>
          <w:color w:val="111111"/>
          <w:sz w:val="28"/>
          <w:sz w:val="28"/>
          <w:szCs w:val="28"/>
          <w:rtl w:val="true"/>
          <w:lang w:bidi="ar-SA"/>
        </w:rPr>
        <w:t>، فهو أول مَن صرَّح بها، وجاءت محاولته هذه أيضاً نتيجة لاستشعاره التناقض بين ما اشتُرط من عدالة الراوي، المتضمّنة ضمناً الخلو من المفسقات والبدع، وبين ما صرَّح به عملاً من قبل الكثير من الرجاليين، من توثيق أهل النصب؛ لذا نرى أنَّ محاولته هذه جاءت جواباً عن سؤال، يتضمَّن كيفية أن يكون صاحب البدعة عدلاً؟</w:t>
      </w:r>
    </w:p>
    <w:p>
      <w:pPr>
        <w:pStyle w:val="BookText"/>
        <w:rPr/>
      </w:pPr>
      <w:r>
        <w:rPr>
          <w:rFonts w:ascii="Amiri" w:hAnsi="Amiri" w:eastAsia="Amiri" w:cs="Amiri"/>
          <w:color w:val="111111"/>
          <w:sz w:val="28"/>
          <w:sz w:val="28"/>
          <w:szCs w:val="28"/>
          <w:rtl w:val="true"/>
          <w:lang w:bidi="ar-SA"/>
        </w:rPr>
        <w:t>ونؤكّد هنا ثانيةً أنَّ هذه المحاولة لم تأتِ بالخصوص لحل إشكالية التناقض بين توثيق النواصب وشرطية العدالة، بل هي شاملة لحلّ التناقض بين شرطية العدالة وتوثيق مطلق المبتدع، أعمّ من كونه ناصبياً أو غيره، فهي حينئذٍ تنفع كدعوى لمَن أراد الإجابة عن التناقض المذكور؛ لأنَّ الناصبي مصداق جليّ للمبتدع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نورد سؤال الذهبي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هذا نصّه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ساغ توثيق مبتدع، وحدّ الثقة العدالة والإتقان، فكيف يكون عدلاً وهو صاحب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البدعة على ضربين، فبدعة صغرى كغلوّ التشيّع، أو كالتشيع بلا غلو ولا تحرّق، فهذا كثير في التابعين وأتباعهم، مع الدين والورع والصدق، فلو رُدَّ حديث هؤلاء لذهب جملة من الآثار النبوية، وهذه مفسدة بيّنة، ثُمَّ </w:t>
      </w:r>
    </w:p>
    <w:p>
      <w:pPr>
        <w:pStyle w:val="BookText"/>
        <w:rPr/>
      </w:pPr>
      <w:r>
        <w:rPr>
          <w:rFonts w:ascii="Amiri" w:hAnsi="Amiri" w:eastAsia="Amiri" w:cs="Amiri"/>
          <w:color w:val="111111"/>
          <w:sz w:val="28"/>
          <w:sz w:val="28"/>
          <w:szCs w:val="28"/>
          <w:rtl w:val="true"/>
          <w:lang w:bidi="ar-SA"/>
        </w:rPr>
        <w:t>بدعة كبرى، كالرفض الكامل والغلو فيه، والحط على أبي بكرٍ وعمر، والدعاء إلى ذلك، فهؤلاء لا يُقبل حديثهم ولا كرامة</w:t>
      </w:r>
      <w:r>
        <w:rPr>
          <w:rFonts w:eastAsia="Amiri" w:cs="Amiri" w:ascii="Amiri" w:hAnsi="Amiri"/>
          <w:color w:val="111111"/>
          <w:sz w:val="28"/>
          <w:szCs w:val="28"/>
          <w:rtl w:val="true"/>
          <w:lang w:bidi="ar-SA"/>
        </w:rPr>
        <w:t>. . .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تقييم المحاولة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نقف على كلام الذهبي لتتبين حقيقة الأمر، ويمكن لمَن تأمّل كلامه أن يستنتج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المراد من المبتدع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ساغ توثيق مبتدع، هو المبتدع بالبدعة المذمومة المحرَّمة، وهذا مقتضى ما ذكرناه في الفصل الأول، إذ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البدعة إذا أُطلقت دون قيد، فتنصرف مباشرةً إلى المذمومة المحرمة في الشرع، وذكرنا سبب ذلك؛ حيث قلنا هناك إنَّ عدم البدعة مأخوذ في العدالة، فإذا رُمي الراوي بالابتداع، أريد منه ما يخالف العدالة، وهي خصوص المحرمة، لا الأعم، ثُمَّ ذكرنا قول السخاوي في أنَّها،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خُصَّت شرعاً بالمذموم، ممَّا هو خلاف المعروف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بديهي في علم الرجال، فعندما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مبتدع، أو صاحب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يريدون البدعة المحرَّمة المخالفة للعدالة، ولا يختلف في ذلك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اتّضح أنّ كلام الذهبي عن البدعة المفسقة المذمومة، فهل أنَّ تقسيمها إلى صغرى وكبرى يحل المشكلة؟ وبكلام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التقسيم للبدعة لم يغيّر من حقيقة الأمر شيئاً، إذ بقيت كلا البدعتين الصغرى والكبرى من البدع المحرَّمة؛ لأنَّ المَقسَم داخل في جميع أقسامه، فإذا اتَّصف الراوي بالبدعة، صغرىً أو كبرىً، فهو حينئذٍ خارج عن حدود العدالة، فكيف تمَّ توثيقه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يهمنا في ما نحن فيه، هو الكلام حول الناصب، فإنَّ التقسيم المذكور لم يغيّر في حقيقة الأمر شيئاً البتة، ويبقى النصب من البدع المحرّمة غير المعروفة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وممّا لم تأمر به الشريعة المقدسة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 نسأل عن دليل هذا التقسيم، علماً أنَّ الذهبي يُعدّ من المتأخرين من الرجاليين؛ إذ توفي عام </w:t>
      </w:r>
      <w:r>
        <w:rPr>
          <w:rFonts w:ascii="Amiri" w:hAnsi="Amiri" w:eastAsia="Amiri" w:cs="Amiri"/>
          <w:color w:val="111111"/>
          <w:sz w:val="28"/>
          <w:sz w:val="28"/>
          <w:szCs w:val="28"/>
          <w:lang w:bidi="ar-SA"/>
        </w:rPr>
        <w:t>٧۴٨</w:t>
      </w:r>
      <w:r>
        <w:rPr>
          <w:rFonts w:ascii="Amiri" w:hAnsi="Amiri" w:eastAsia="Amiri" w:cs="Amiri"/>
          <w:color w:val="111111"/>
          <w:sz w:val="28"/>
          <w:sz w:val="28"/>
          <w:szCs w:val="28"/>
          <w:rtl w:val="true"/>
          <w:lang w:bidi="ar-SA"/>
        </w:rPr>
        <w:t xml:space="preserve">ق، ولا يوجد إجماع قبله على تقسيمه أيضاً، حتى يُؤخَذ </w:t>
      </w:r>
      <w:bookmarkStart w:id="127" w:name="pg1614_13582"/>
    </w:p>
    <w:p>
      <w:pPr>
        <w:pStyle w:val="BookText"/>
        <w:rPr/>
      </w:pPr>
      <w:bookmarkEnd w:id="127"/>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هذه المحاولة تكون غير ذات قيمةٍ علميّة، ما لم يقم عليها دليل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أهم ما يتعلّق بالتقييم الموضوعي لهذه المحاولة، وبذلك نُنهي الكلام عن المحاولتين وتقييمهما موضوعياً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ينتهي الكلام في هذا الفصل</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928483_3650668749"/>
      <w:bookmarkStart w:id="129" w:name="_Toc45"/>
      <w:bookmarkEnd w:id="128"/>
      <w:r>
        <w:rPr>
          <w:rtl w:val="true"/>
        </w:rPr>
        <w:t>خلاصة الفصل الثاني</w:t>
      </w:r>
      <w:bookmarkEnd w:id="129"/>
    </w:p>
    <w:p>
      <w:pPr>
        <w:pStyle w:val="BookText"/>
        <w:rPr/>
      </w:pPr>
      <w:r>
        <w:rPr>
          <w:rFonts w:ascii="Amiri" w:hAnsi="Amiri" w:eastAsia="Amiri" w:cs="Amiri"/>
          <w:color w:val="111111"/>
          <w:sz w:val="28"/>
          <w:sz w:val="28"/>
          <w:szCs w:val="28"/>
          <w:rtl w:val="true"/>
          <w:lang w:bidi="ar-SA"/>
        </w:rPr>
        <w:t>تألّف هذا الفصل من مقدّمةٍ ومباحثٍ ثلاثة، هي على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 توثيق النواصب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 لدرء التناقض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المقدمة، فقد تناولنا فيها تعريف النصب، فعرَّفناه لغةً واصطلاحاً، أمّا لغةً، فهو مطلق الإقامة، فإذا نصب شيئاً أقامه، واستُخدمت للعداوة مجازاً،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وبمرور الزمان سقطت القرينة بكثرة الاستعمال، فتحوَّل المعنى المجازي إلى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الاصطلاح، فقد اختصَّ هذا اللفظ بمَن عادى أمير المؤمنين علي وأهل بيته عليهم السلام، ثُمَّ تناولنا مظاهر النصب،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النصب مقابل المودَّة والحبّ، فكما أنَّ للأخير مظاهر، فكذا للنصب مظاهر، فهو يتحقَّق بحمل السيف أو السبِّ والشتم، أو التصريح بالبغض أو كتمان فضائل المبغوض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ذكرنا دلالات النصب التي نصَّت عليها الشريعة، بحسب روايات صحيحة عالية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يخصّ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تناولنا فيه علاقة النصب بالعدالة، وذكرنا بأنَّ الناصب المُعلِن بعدائه لأمير المؤمنين علي عليه السلام قد فعل محرم قطعي الثبوت في الشريعة، سواء بالعموم؛ لأنَّ علي بن أبي طالب من أهل الإيمان الذين أُمر المسلمون بحبُّهم، أم بالخصوص؛ لورود روايات كثيرة تأمر بحبّه وتنهى عن بغضه وسبّه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الناصبي، من جهةٍ أُخرى، مبتدع ببدعةٍ محرمة في الشريعة؛ لأنَّه أدخل فيها ما </w:t>
      </w:r>
    </w:p>
    <w:p>
      <w:pPr>
        <w:pStyle w:val="BookText"/>
        <w:rPr/>
      </w:pPr>
      <w:r>
        <w:rPr>
          <w:rFonts w:ascii="Amiri" w:hAnsi="Amiri" w:eastAsia="Amiri" w:cs="Amiri"/>
          <w:color w:val="111111"/>
          <w:sz w:val="28"/>
          <w:sz w:val="28"/>
          <w:szCs w:val="28"/>
          <w:rtl w:val="true"/>
          <w:lang w:bidi="ar-SA"/>
        </w:rPr>
        <w:t xml:space="preserve">ليس منها، وما لم يفعله أو يأمر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أمر بضدّه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فالنصب والعدالة التي اشترطوها في الراوي نقيضان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فتناولنا فيه كيفية توثيقهم للنواصب، وذكرنا أنَّهم تارة يوثِّقون النواصب بالتوثيقات العامّة، وتارة بالتوثيقات الخاصة لآحاد وأفراد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وانقسمت التوثيقات العامة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توثيقات عامّة بالمباشرة والتصريح، وإلى توثيقات عامة بالملازمة والتلويح، كتوثيق أهل الأهواء جميعاً، إلاّ فرقة معيّنة غير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ونقلنا عبائر دلّت على توثيق النواصب، كجماعة لهم منهج معيَّن، سواء كان التوثيق للنواصب بالعموم أم للمصداق الأتمّ منهم، كما فعل أبو داود صاحب السنن حين وثَّق الخوارج أمَّا ما فعله ابن حجر، فهو توثيق للنواصب عموماً، حين وصفهم بصدق اللهجة والتدين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تعرَّضنا في هذا المبحث إلى توثيق آحاد النواصب وأفرادهم، وعرضنا عشرة نماذج من ذلك، وذكرنا أثر النصب على الرواية، وقلنا إنَّ له آثاراً متعدّدة، منها تضعيف الناصبي لكل من اتّهم بالتشيّع أو شمّ رائحته، بل قد يصل الأمر بالناصبي إلى وضع الحديث، كما فعل حريز بن عثمان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 حزام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فراش الموت بقطع يد علي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تعرّضنا فيه إلى 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فيها عبارات تنمّ عن إحساس بعض محقّقي الجمهور بالتناقض، وتصريحهم به، كما فعل ابن حجر حين عرض استشكاله من توثيق الناصبي، ثُمَّ ظهر له في الجواب عنه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التراخي، وبغضّ النظر عن الجواب ومدى صحته وانطباقه مع الواقع، فالإشكال بيّن، والتناقض واضح، وقد صرّح به الصنعاني أيضاً في أحد كتبه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المحاولة الأُولى لحل التناقض من خلال الاستفادة من كلام مشهورٍ للشافعي، صرّح فيه أنَّه يقبل من أهل الأهواء كلّهم إلاّ الخطابية من الرافضة، وأنَّ </w:t>
      </w:r>
    </w:p>
    <w:p>
      <w:pPr>
        <w:pStyle w:val="BookText"/>
        <w:rPr/>
      </w:pPr>
      <w:r>
        <w:rPr>
          <w:rFonts w:ascii="Amiri" w:hAnsi="Amiri" w:eastAsia="Amiri" w:cs="Amiri"/>
          <w:color w:val="111111"/>
          <w:sz w:val="28"/>
          <w:sz w:val="28"/>
          <w:szCs w:val="28"/>
          <w:rtl w:val="true"/>
          <w:lang w:bidi="ar-SA"/>
        </w:rPr>
        <w:t>هناك خلافاً بين أصحابه في التفريق بين الداعية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فأساس المحاولة الأُولى ينصبّ على التفريق بين المبتدع،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الداعية وغير الداعية، فتُرفض رواية الأوّل، وتُقبل رواية الثاني، وبذا يرتفع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نص الشافعي لا يحتمل ذلك أبداً، بل يحتمل الخلاف جداً، وهو عدم التفريق بين الداعية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ابن حبان الإجماع على التفريق بين الداعية وغيره، وهو مخدوش من أكثر من واحد من محقّقي الجمهور، و حينئذٍ تبقى هذه المحاوله عارية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حجر علّةً وسبباً دعتهم للقول بها، إضافة للسبب الأصل، وهو حل التناقض، وهو أنَّ الداعية لديه الدافع على رواية ما يشيد ببدعته، وهذا الدليل بينه وبين المحاوله عموم وخصوص من وجه، فلا يطّرد في جميع المواضع، وقد استشكل هو عليه في كتاب آخر ولم يُجب على استشكاله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في تقييمنا لها إنَّها لم يُعمل بها على المستوى العملي، فقد ذكر غير واحد منهم أنَّ أصحاب الكتب الستة احتجّوا في كتبهم برواةٍ نواصب دعاةٍ إلى النصب، معلنين به، كاحتجاجهم بعمران بن حطان وحريز و</w:t>
      </w:r>
      <w:r>
        <w:rPr>
          <w:rFonts w:eastAsia="Amiri" w:cs="Amiri" w:ascii="Amiri" w:hAnsi="Amiri"/>
          <w:color w:val="111111"/>
          <w:sz w:val="28"/>
          <w:szCs w:val="28"/>
          <w:rtl w:val="true"/>
          <w:lang w:bidi="ar-SA"/>
        </w:rPr>
        <w:t>. .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عرض المحاولة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قام به الذهبي من تقسيم البدعة،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صغرى وكبرى، وقلنا في تقييم المحاولة إنَّ هذا التقسيم لم يرفع المشكل، ولم يقلب المبتدع الفاسق ببدعته إلى عادلٍ، ثُمَّ ما هو الدليل على هذا التقسيم، علماً أنَّ الذهبي من المتأخرين، فقد توفي سنة </w:t>
      </w:r>
      <w:r>
        <w:rPr>
          <w:rFonts w:ascii="Amiri" w:hAnsi="Amiri" w:eastAsia="Amiri" w:cs="Amiri"/>
          <w:color w:val="111111"/>
          <w:sz w:val="28"/>
          <w:sz w:val="28"/>
          <w:szCs w:val="28"/>
          <w:lang w:bidi="ar-SA"/>
        </w:rPr>
        <w:t>٨۴٧</w:t>
      </w:r>
      <w:r>
        <w:rPr>
          <w:rFonts w:ascii="Amiri" w:hAnsi="Amiri" w:eastAsia="Amiri" w:cs="Amiri"/>
          <w:color w:val="111111"/>
          <w:sz w:val="28"/>
          <w:sz w:val="28"/>
          <w:szCs w:val="28"/>
          <w:rtl w:val="true"/>
          <w:lang w:bidi="ar-SA"/>
        </w:rPr>
        <w:t>ق، ولم يسبقه أحد إلى ذكر ذلك، ولا دليل على هذا التقسيم من آية أو رواية أو إجماع</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614_13586"/>
      <w:bookmarkStart w:id="131" w:name="pg1614_13586"/>
      <w:bookmarkEnd w:id="131"/>
    </w:p>
    <w:p>
      <w:pPr>
        <w:pStyle w:val="Heading2"/>
        <w:numPr>
          <w:ilvl w:val="1"/>
          <w:numId w:val="1"/>
        </w:numPr>
        <w:rPr/>
      </w:pPr>
      <w:bookmarkStart w:id="132" w:name="pg1614_13586"/>
      <w:bookmarkStart w:id="133" w:name="__RefHeading___Toc928485_3650668749"/>
      <w:bookmarkStart w:id="134" w:name="_Toc46"/>
      <w:bookmarkEnd w:id="132"/>
      <w:bookmarkEnd w:id="133"/>
      <w:r>
        <w:rPr>
          <w:rtl w:val="true"/>
        </w:rPr>
        <w:t>الفصل الثالث</w:t>
      </w:r>
      <w:r>
        <w:rPr>
          <w:rtl w:val="true"/>
        </w:rPr>
        <w:t xml:space="preserve">: </w:t>
      </w:r>
      <w:r>
        <w:rPr>
          <w:rtl w:val="true"/>
        </w:rPr>
        <w:t>تضعيف الشيعي</w:t>
      </w:r>
      <w:bookmarkEnd w:id="134"/>
    </w:p>
    <w:p>
      <w:pPr>
        <w:pStyle w:val="Heading3"/>
        <w:numPr>
          <w:ilvl w:val="2"/>
          <w:numId w:val="1"/>
        </w:numPr>
        <w:rPr/>
      </w:pPr>
      <w:bookmarkStart w:id="135" w:name="__RefHeading___Toc928487_3650668749"/>
      <w:bookmarkStart w:id="136" w:name="_Toc47"/>
      <w:bookmarkEnd w:id="135"/>
      <w:r>
        <w:rPr>
          <w:rtl w:val="true"/>
        </w:rPr>
        <w:t>النقطة الأُولى</w:t>
      </w:r>
      <w:r>
        <w:rPr>
          <w:rtl w:val="true"/>
        </w:rPr>
        <w:t xml:space="preserve">: </w:t>
      </w:r>
      <w:r>
        <w:rPr>
          <w:rtl w:val="true"/>
        </w:rPr>
        <w:t>التمهيد</w:t>
      </w:r>
      <w:bookmarkEnd w:id="136"/>
    </w:p>
    <w:p>
      <w:pPr>
        <w:pStyle w:val="BookText"/>
        <w:rPr/>
      </w:pPr>
      <w:r>
        <w:rPr>
          <w:rFonts w:ascii="Amiri" w:hAnsi="Amiri" w:eastAsia="Amiri" w:cs="Amiri"/>
          <w:color w:val="111111"/>
          <w:sz w:val="28"/>
          <w:sz w:val="28"/>
          <w:szCs w:val="28"/>
          <w:rtl w:val="true"/>
          <w:lang w:bidi="ar-SA"/>
        </w:rPr>
        <w:t>ليس من المجازفة القول بأنَّ تاريخ الدين الإسلامي الحنيف شهد صراعات وانقسامات، سياسية تارة وعقيدية تارةً أُخرى، أو سياسية لبست ثوب العقيدة لأغراض كثيرة، ولسنا هنا بصدد دراسة تاريخ تلك الانقسامات، لكن من البديهي في التاريخ الإسلامي وجود مفاهيم ضاربة في القدم، مرتبط وجودها ونشوؤها بعمق التاريخ الإسلامي، ولذا فقد تركت بصماتها على علم التأريخ، وعلم الكلام وعلم العقائد، وعلم الحديث والسير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من العلوم الإسلامية، ومن هذه المفاهيم مفهوم التشيُّع والارتباط بأمير المؤمنين علي بن أبي طالب عليه السلام، تلك الشخصية التي لها ما لها من تاريخ الإسلام ووجوده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عُدَّ التشيّع لعلي عليه السلام والالتفاف حوله، والتأثّر بشخصيته الكريمة، من التيّارات التي يعتبر التغافل عنها تغافلاً عن مساحة كبيرة مشرقة من الفكر والتراث الإسلامي، لهذا الغرض فقد اهتمَّ جلُّ الباحثين عن تاريخ الفكر والتراث الإسلامي بتوثيق هذا المفهوم، والتأريخ 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دراستنا هذه ليست دراسة تاريخية، بل هي دراسة رجالية، فلنا أن نأخذ ممّا </w:t>
      </w:r>
      <w:bookmarkStart w:id="137" w:name="pg1614_13587"/>
    </w:p>
    <w:p>
      <w:pPr>
        <w:pStyle w:val="BookText"/>
        <w:rPr/>
      </w:pPr>
      <w:bookmarkEnd w:id="137"/>
      <w:r>
        <w:rPr>
          <w:rFonts w:ascii="Amiri" w:hAnsi="Amiri" w:eastAsia="Amiri" w:cs="Amiri"/>
          <w:color w:val="111111"/>
          <w:sz w:val="28"/>
          <w:sz w:val="28"/>
          <w:szCs w:val="28"/>
          <w:rtl w:val="true"/>
          <w:lang w:bidi="ar-SA"/>
        </w:rPr>
        <w:t>تقدّم ما يهمّنا، ويُترك الباقي للدراسات المختصّة بذلك، لذا فسنحاول الوقوف هنا على تعريف هذا المفهوم عند أهل اللغة والحديث</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928489_3650668749"/>
      <w:bookmarkStart w:id="139" w:name="_Toc48"/>
      <w:bookmarkEnd w:id="138"/>
      <w:r>
        <w:rPr>
          <w:rtl w:val="true"/>
        </w:rPr>
        <w:t>النقطة الثانية</w:t>
      </w:r>
      <w:r>
        <w:rPr>
          <w:rtl w:val="true"/>
        </w:rPr>
        <w:t xml:space="preserve">: </w:t>
      </w:r>
      <w:r>
        <w:rPr>
          <w:rtl w:val="true"/>
        </w:rPr>
        <w:t>تعريف التشيُّع وبيان ماهيّته</w:t>
      </w:r>
      <w:bookmarkEnd w:id="139"/>
    </w:p>
    <w:p>
      <w:pPr>
        <w:pStyle w:val="Heading4"/>
        <w:numPr>
          <w:ilvl w:val="3"/>
          <w:numId w:val="1"/>
        </w:numPr>
        <w:rPr/>
      </w:pPr>
      <w:bookmarkStart w:id="140" w:name="__RefHeading___Toc928491_3650668749"/>
      <w:bookmarkStart w:id="141" w:name="_Toc49"/>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كان التشيُّع، كغيره من المفاهيم، له معان اصطلاحية ولغوية، وسيأتي الكلام عن المعنى الاصطلاحي للتشيّع، لكن لنقف أوّلاً على تعاريف أهل اللغة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أو التشيُّع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أهمّ التعريفات اللغوية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الشياع، وهو الحطب الصغار الذي تُشعل به النار ويُعين الحطب الكبار على اتِّقاد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الأتباع،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شاعك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اتَّبعك،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شاعكم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نخلةً من ذات عرقٍ</w:t>
      </w:r>
    </w:p>
    <w:p>
      <w:pPr>
        <w:pStyle w:val="BookText"/>
        <w:rPr/>
      </w:pPr>
      <w:r>
        <w:rPr>
          <w:rFonts w:ascii="Amiri" w:hAnsi="Amiri" w:eastAsia="Amiri" w:cs="Amiri"/>
          <w:color w:val="111111"/>
          <w:sz w:val="28"/>
          <w:sz w:val="28"/>
          <w:szCs w:val="28"/>
          <w:rtl w:val="true"/>
          <w:lang w:bidi="ar-SA"/>
        </w:rPr>
        <w:t>بَرودَ الظلّ شاعكم السلام</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 الرجل وأتباعه، وكل قوم اجتمعوا على أمرهم شيعة</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وفلان من شيعة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يرى رأيه</w:t>
      </w:r>
      <w:r>
        <w:rPr>
          <w:rFonts w:eastAsia="Amiri" w:cs="Amiri" w:ascii="Amiri" w:hAnsi="Amiri"/>
          <w:color w:val="111111"/>
          <w:sz w:val="28"/>
          <w:szCs w:val="28"/>
          <w:rtl w:val="true"/>
          <w:lang w:bidi="ar-SA"/>
        </w:rPr>
        <w:t>» .</w:t>
      </w:r>
      <w:r>
        <w:rPr>
          <w:rStyle w:val="FootnoteAnchor"/>
          <w:rtl w:val="true"/>
        </w:rPr>
        <w:footnoteReference w:id="208"/>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الأتباع والأنصار، وكل قوم اجتمعوا على أمر فهم شيعة</w:t>
      </w:r>
      <w:r>
        <w:rPr>
          <w:rFonts w:eastAsia="Amiri" w:cs="Amiri" w:ascii="Amiri" w:hAnsi="Amiri"/>
          <w:color w:val="111111"/>
          <w:sz w:val="28"/>
          <w:szCs w:val="28"/>
          <w:rtl w:val="true"/>
          <w:lang w:bidi="ar-SA"/>
        </w:rPr>
        <w:t>» .</w:t>
      </w:r>
      <w:r>
        <w:rPr>
          <w:rStyle w:val="FootnoteAnchor"/>
          <w:rtl w:val="true"/>
        </w:rPr>
        <w:footnoteReference w:id="209"/>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ننقل قول ابن منظور، حيث يقول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الرجل وأنصاره، وجمعها شِيَع، وأشياع جمع الجمع،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شايعه كما يقال والاه، من الولي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قوم يهوون هوى عترة النبي ويوالونهم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فالمتحصّل ممّا تقدَّم من التعاريف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جميع الاشتقاقات اللغوية نابعة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بمعنى الحطب الصغير، الذي يُشايع الحطب الكبير ويعينه على اتّقاد النار ويتابعه، ومنه اُخذ معنى المتابعة والمطاوعة والمناصرة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المعنى المتقدّم واستعمل في وحدة الرأي والمتابعة عليه، وهذا ما نصّت عليه بعض التعاريف المتقدمة؛ إذ نصَّت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قوم اجتمعوا على أمرٍ فهم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الاستعمال نجده واضحاً في القرآن الكريم،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تابع نوحاً وسار على منهجه، وأيضاً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فَاسْتَغَاثَهُ الَّذِي مِن شِيعَتِهِ عَلَى الَّذِي مِنْ عَدُوِّهِ فَوَكَزَهُ مُوسَى فَقَضَى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 واحد من اللغويين أنَّ هذا الاسم قد غلب على كل مَن يتولّى علياً وأهل بيته الكرام، حتى صار اسماً لهم خاصة، فإذا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من الشيعة، عرف أنَّه منهم</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هذا ما عند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أو التشيُّع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ا يخفى أنَّ لكل مصطلح علمي تعريفه الخاص به عند أرباب ذلك العلم، فهم المعنيّون به، لذا فإنَّ لفظ التشيُّع حاله كغيره من المصطلحات على المستوى العلمي، فلفظ التشيّع عند علماء العقيدة ليس هو نفسه عند علماء الحديث والجرح والتعديل، وما يهمنا هنا هو الثاني، أعني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التشيع عند علماء الحديث والجرح والتعديل، فلابد لنا أن نحرّر محل النزاع أوّلاً، كي نستطيع أن نفهم ما مرادهم من الشيعي إذا أُطلق هذا اللفظ، ثُمَّ ليتبيّن بعد ذلك هل أنَّ صفة التشيع ممّا يقدح بالراوي ويضعّفه أم لا؟ وعلى هذا فنحن معنيون هنا أن نحقّق القول في تعريف الشيعي عندهم، ولكن قبل ذلك نمهّد بذكر أقوال بعضٍ ممَّن أرَّخوا واهتمّوا بالتشيّع؛ ليُعيننا على فهم هذا المفهوم الضارب فى القدم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النوبختي، وهو من أقدم من أرَّخ للفرق، توفي سنة </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فرقة علي بن أبي طالب عليه السلام، المُسمّون بشيعة علي عليه السلام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معروفون بانقطاعهم إليه، والقول بإمامته، منهم المقداد بن الأسود، وسلمان الفارسي، وأبوذر جندب بن جنادة الغفاري، وعمّار بن ياسر، ومَن وافق مودّته مودّة علي عليه السلام، وهم أول مَن سمّي باسم التشيّع من هذه الأمّة؛ لأنَّ اسم التشيّع قديم، شيعة إبراهيم وموسى وعيسى، والأنبياء صلوات الله عليهم أجمعين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سلمان وأبي ذر والمقداد وخباب وجابر وأبي سعيد الخدري وزيد بن الأرقم أنَّ علي بن أبي طالب أول مَن أسلم، وفضَّله هؤلاء على غيره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ويرى أبو الحسن الأشعري رؤية مشابهة لما تقدم،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قيل لهم الشيعة؛ لأنَّهم شايعوا علياً رضوان الله عليه، وقدّموه على سائر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أمّا ابن حزم، الذي أرَّخ للملل،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وافق الشيعة في أنَّ علياً أفضل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وأحقّهم بالإمامة، وولده من بعده، فهو شيعي، وإن خالفهم فيما عدا ذلك ممّا اختلف فيه المسلمون، فإن خالفهم فيما ذكرنا، فليس شيعياً</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وقال ابن خلدون في ذلك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قصّة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الصحابة يتشيّعون لعلي، ويرون استحقاقه على غيره، ولمّا عدل به إلى سواه تأفّفوا من ذلك وأسفوا له، إلاّ أنَّ القوم لرسوخ قدمهم في الدين، وحرصهم على الأُلفة، لم يزيدوا في ذلك على النجوى بالتأفّف والأسف</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ويلاحظ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منها أنَّ تقديم علي عليه السلام آنذاك كان أمراً معروفاً غير مُستنكَر ولا مُستغرَب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البر، في ترجمته لآخر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الطفيل، قال ابن عبد البر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واثلة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الطفيل، غلبت عليه كنيته، أدرك من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سنين، وكان مولده عام أحد، ومات سنة مائة أو نحوها، ويقال إنَّه آخر مَن مات ممَّن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روى نحو أربعة أحاديث، وكان محبّاً لعلي، وكان من أصحابه في مشاهده، وكان ثقة مأموناً، يعترف بفضل الشيخين، إلاّ أنّه كان يقدّم علياً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وواضح من هذا الكلام أنَّ تقديم أمير المؤمنين علي عليه السلام لم يكن أمراً مستغرباً ولا مستهجناً، ولم يستنكره ابن عبد البرّ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نختتم هذه النقول الكثيرة التي حوتها بطون كتب التراجم والسير، بقول ابن خلكان، في ترجمته ليحيى بن يعمر النحوي، قال في ذلك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وكان شيعياً، من الشيعة الأُولى القائلين بتفضيل أهل البيت من غير تنقيصٍ لذي فضل من غيرهم</w:t>
      </w:r>
      <w:r>
        <w:rPr>
          <w:rFonts w:eastAsia="Amiri" w:cs="Amiri" w:ascii="Amiri" w:hAnsi="Amiri"/>
          <w:color w:val="111111"/>
          <w:sz w:val="28"/>
          <w:szCs w:val="28"/>
          <w:rtl w:val="true"/>
          <w:lang w:bidi="ar-SA"/>
        </w:rPr>
        <w:t>»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وكل ما تقدَّم يكشف لنا عن حقيقةٍ مفادها أنَّ التشيّع لعلي وآل‌علي عليهم السلام، مع عدم التنقيص لفضل ذوي الفضل غيرهم، كان أمراً شائعاً غير مُستنكَر وغير مؤاخَذ القائل به، وسنقف على حقيقة ذلك بشيء من التوسّع، من خلال التعرّض لأقوال أهل الجرح والتعديل في تعريفهم للتشيّع، وسنقف عنده أكثر عند التعرض لعلاقة التشيّع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التشيّع عند أهل الاصطلاح، من أهل الجرح والتعديل أو الحديث، فلم يبتعد عندهم ذلك عمّا تقدم من أقوال، ونوجز آراءهم في التشيع بالنقاط التالية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فيما تقدم قول ابن عبد البر، عند ترجمته لأبي الطفيل، وقوله في ذلك</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إلاّ أنَّه كان يقدّم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هذا الرجل من الصحابة، فلو كان بتقديم علي عليه السلام مغمز، لكان حريٌ به أن يجتنّبه، مع وثاقته وإيمانه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 أيضاً قول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علماء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ليحيى ابن يعمر النحوي، وقوله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وكان شيعياً من الشيعة الأُولى، القائلين بتفضيل أهل البيت، من غير تنقيص لذي فضل من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وواضح من هذا القول أنَّ ماهية التشيّع وحقيقته عند هؤلاء العلماء تستلزم القول بتفضيل علي وأهل بيته عليهم السلام على غيرهم، من دون إنكارٍ لفضل ذوي الفضل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شيء لا ينفي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تقدم قول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علماء الحديث والرجال عند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لأبي عروبة، الحسين بن محمد بن مودود،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عروبة ابن أبي معشر الحراني السلمي الحافظ، أحد أئمّة هذا الشأن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روى عنه أبو حاتم ابن حبّان، وعبدالله بن عدي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وذكره ابن عساكر في ترجمة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عروبة غالياً في التشيّع، شديد الميل على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أحبّ الشيخين فليس بغالٍ في التشيّع، ومَن تكلَّم فيهما فهو غالٍ رافضي</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فالذي يظهر من عبارة الذهبي الأخيرة، ظهوراً لا مرية فيه، أنَّ مَن قال بتقديم أميرالمؤمنين علي عليه السلام على غيره، مع عدم إنكارٍ لفضل ذوي الفضل غيره، فهو خارج عن حدِّ الغلو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قول الذهبي المتقدم، قوله في ترجمته للشافعي، حيث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ومعنى هذا التشيّع حبّ علي وبغض النواصب، وأن يتَّخذه مولى، عملاً بما تواتر 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مَن تعرَّض إلى أحد من الصحابة بسبٍّ، فهو شيعي غال نبرأ منه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الخطيب البغدادي وهو من أشهر الرجاليين وأهل الحديث، في ترجمته لأبي بكر القطان،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عبدالله بن محمد بن أحمد بن أيوب، أبو بكر القطان، سمع من محمد بن جرير الطبري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وسمعت الأزهري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سماعه صحيحاً من أبي جعفر الطبري، إلاّ أنَّه كان رافضياً خبيث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القاضي أبا بكر محمد بن عمر الداودي عن ابن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أبو بكر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صحيح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كان سيِّيء المذهب في الرفض،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منه في هذا المعنى شيئاً أنكره، لكنّي أحسبه كان يذهب إلى تفضيل علي</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فيثبت من جميع ما تقدم أنَّ التشيع في عُرف كثير من رجاليي الجمهور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موالاة علي عليه السلام واتّباعه وتقديمه على غيره، من غير حطٍّ من ذوي الفضل من غيره، وليس في هذا المعنى غلو كما مرَّ في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كل ما تقدَّم تصريح الذهبي في تعريفه للشيعي، حيث قال، في ترجمته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فالشيعي الغالي في زمان السلف وعرفهم، هو مَن تكلَّم في عثمان والزبير وطلحة ومعاوية، وطائفة ممَّن حارب علياً، وتعرَّض لسبِّهم</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نعم، ذكر الحافظ ابن حجر العسقلاني، رأياً خالف به ما تقدم من أقوال، إذ قال هناك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فالتشيّع في عرف المتقدمين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تفضيل علي على عثمان، وأنَّ علياً كان مصيباً في حروبه، وأنَّ مخالفه مُخطئ، مع تقديم الشيخين وتفضيلهما، وربّما اعتقد بعضهم أنَّ علياً أفضل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مُعتقِد ذلك ورعاً ديّناً مجتهداً، فلا تُردّ روايته بهذا، ولاسيما إن كان غير داعية</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من هذا القول أنَّ التشيع هو تقديم علي على عثمان، وأمّا مَن قدَّمه على </w:t>
      </w:r>
      <w:bookmarkStart w:id="142" w:name="pg1614_13593"/>
    </w:p>
    <w:p>
      <w:pPr>
        <w:pStyle w:val="BookText"/>
        <w:rPr/>
      </w:pPr>
      <w:bookmarkEnd w:id="142"/>
      <w:r>
        <w:rPr>
          <w:rFonts w:ascii="Amiri" w:hAnsi="Amiri" w:eastAsia="Amiri" w:cs="Amiri"/>
          <w:color w:val="111111"/>
          <w:sz w:val="28"/>
          <w:sz w:val="28"/>
          <w:szCs w:val="28"/>
          <w:rtl w:val="true"/>
          <w:lang w:bidi="ar-SA"/>
        </w:rPr>
        <w:t xml:space="preserve">الشيخين، فهو غالٍ في التشيّع، إلاّ أنَّ روايته تُقبل مع التقوى والورع، وعدم الدعوة إلى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 على مبنى قبول رواية المبتدع غير الداعية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هذا الرأي لا يتَّفق مع ما تقدّم من تصريحات، بكون مُقدِّم علي عليه السلام ليس بغالٍ أصلاً، ومرَّت تراجم أكثر من راوٍ ممَّن يقدّمون علي عليه السلام، فلو كان تقديمهم لعلي عليه السلام على غيره ممّا يعدُّ من البدع، لأُشير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أيضاً تصريح الذهبي، وهو نص في المطلوب لا يحتمل التأويل، بأنَّ مَن قدَّم علياً على الجميع فهو ليس بغالٍ، بل الغالي مَن تعرَّض لأحدٍ من الصحابة، كما تقدَّم من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ترجمته لأبي الطفيل، ووصفه إيّاه بالوثاقة والمأمونية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تقديمه لعليٍّ بدعة، لأشار إليها، وهو الخبير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إلى هنا أنَّ التشيع هو متابعة علي عليه السلام وتقديمه على غيره، وأنَّ هذا المفهوم عُرف منذ الصدر الأوّل للإسلام، وليس فيه شيء من الغلو والخروج عن حد الاعتدال، وإن كانت كلمات أعلام قد اضطربت في بيان تعريف التشيع وبيان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وسنتعرض إلى توسعة البحث في المباحث التالية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928493_3650668749"/>
      <w:bookmarkStart w:id="144" w:name="_Toc50"/>
      <w:bookmarkEnd w:id="143"/>
      <w:r>
        <w:rPr>
          <w:rtl w:val="true"/>
        </w:rPr>
        <w:t>المبحث الأول</w:t>
      </w:r>
      <w:r>
        <w:rPr>
          <w:rtl w:val="true"/>
        </w:rPr>
        <w:t xml:space="preserve">: </w:t>
      </w:r>
      <w:r>
        <w:rPr>
          <w:rtl w:val="true"/>
        </w:rPr>
        <w:t>التشيُّع والعدالة</w:t>
      </w:r>
      <w:bookmarkEnd w:id="144"/>
    </w:p>
    <w:p>
      <w:pPr>
        <w:pStyle w:val="Heading5"/>
        <w:numPr>
          <w:ilvl w:val="4"/>
          <w:numId w:val="1"/>
        </w:numPr>
        <w:rPr/>
      </w:pPr>
      <w:bookmarkStart w:id="145" w:name="__RefHeading___Toc928495_3650668749"/>
      <w:bookmarkStart w:id="146" w:name="_Toc51"/>
      <w:bookmarkEnd w:id="145"/>
      <w:r>
        <w:rPr>
          <w:rtl w:val="true"/>
        </w:rPr>
        <w:t>اشاره</w:t>
      </w:r>
      <w:bookmarkEnd w:id="14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فيما سبق في الفصل الأوّل تعريفنا للعدالة في الراوي، والتي جعلها الجمهور من أهمِّ شروط الراوي المقبول الرواية، وقلنا هنالك إنَّ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قيل إنَّها ملكة تحجب حاملها عن المعاصي، أو إنَّها اجتناب المعاصي فقط، وإن لم تتحوّل إلى 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متقوِّمة باجتناب كل مفسقٍ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ارتكاب الكبائر أو الإصرار على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عنصرها الأوّل، أمّا عنصرها الثاني، فهو اجتناب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أيضاً أنَّ البدعة عند إطلاقها يُراد بها البدعة المحرّمة في الدين، التي ليس لها أصل من جنسها فيه، وقلنا إنَّها إدخال ما ليس في الدين فيه، ممَّا هو خارج عمّا رسمه الشارع المقدس، وتقدَّم أيضاً أنَّ إطلاق علماء الرجال للبدعة على راوٍ معيَّن، ووصمهم له بالابتداع، يُراد به البدعة المحرَّمة المنافية للعدالة، لا مطلق البدعة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بنا الكلام عن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يناقض أمراً من الأمرين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هل يستلزم الفسق أو البدعة كما استلزمه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 xml:space="preserve">فالبحث هنا ينصبّ عن علاقة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اتباع علي عليه السلام وموالاته وتقديمه على غيره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بالفسق، على طبق موازين علماء الرجال عند الجمهور، ثُمَّ علاقة التشيع بالبدعة عندهم أيضاً، فهاهنا أمران لابد من التعرض لهما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التشيُّع من الأمور المفسقة التي يطعن بها على الراوي؟</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التشيُّع من البدع المحرّمة التي يطعن بها على الراوي؟</w:t>
      </w:r>
    </w:p>
    <w:p>
      <w:pPr>
        <w:pStyle w:val="BookText"/>
        <w:rPr/>
      </w:pPr>
      <w:r>
        <w:rPr>
          <w:rFonts w:ascii="Amiri" w:hAnsi="Amiri" w:eastAsia="Amiri" w:cs="Amiri"/>
          <w:color w:val="111111"/>
          <w:sz w:val="28"/>
          <w:sz w:val="28"/>
          <w:szCs w:val="28"/>
          <w:rtl w:val="true"/>
          <w:lang w:bidi="ar-SA"/>
        </w:rPr>
        <w:t xml:space="preserve">وقبل الشروع في الاجابة عن هذين التساؤلين، نُقدِّم بين يدي القارئ الكريم طائفة من الأقوال التي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يقبل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التشيع أو الغلوّ فيه عُدَّ مغمزاً ومطعناً في الراوي بغضِّ النظر عن الآراء التي اخترعوها كحلٍ جزئي لهذه المشكلة التي أوقعوا أنفسهم بها، وهذه طائفة من تلك النقول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الحافظ 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تمييز أسباب الطعن في المذكورين، ومنه يتّضح مَن يصلح منهم للاحتجاج ومَن لا يصلح، وهو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ضعفه بسبب الاعتقاد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بيان ما رموا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فالإرجاء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علي وتقديمه على الصحابة، فمَن قدَّمه على أبي‌بكر وعمر، فهو غالٍ في تشيّعه، ويُطلَق عليه رافضي</w:t>
      </w:r>
      <w:r>
        <w:rPr>
          <w:rFonts w:eastAsia="Amiri" w:cs="Amiri" w:ascii="Amiri" w:hAnsi="Amiri"/>
          <w:color w:val="111111"/>
          <w:sz w:val="28"/>
          <w:szCs w:val="28"/>
          <w:rtl w:val="true"/>
          <w:lang w:bidi="ar-SA"/>
        </w:rPr>
        <w:t xml:space="preserve">. . . .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فتلاحظ أنَّ ابن حجر جعل التشيع كالإرجاء والنصب والقدر، فيُرمى الراوي به، كما يُرمى بالنصب والإرجاء و</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أيضاً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استشكل توثيقهم الناصبي غالباً، وتوهينهم الشيعي مطلقاً</w:t>
      </w:r>
      <w:r>
        <w:rPr>
          <w:rFonts w:eastAsia="Amiri" w:cs="Amiri" w:ascii="Amiri" w:hAnsi="Amiri"/>
          <w:color w:val="111111"/>
          <w:sz w:val="28"/>
          <w:szCs w:val="28"/>
          <w:rtl w:val="true"/>
          <w:lang w:bidi="ar-SA"/>
        </w:rPr>
        <w:t>. . .» .</w:t>
      </w:r>
      <w:r>
        <w:rPr>
          <w:rStyle w:val="FootnoteAnchor"/>
          <w:rtl w:val="true"/>
        </w:rPr>
        <w:footnoteReference w:id="225"/>
      </w:r>
      <w:r>
        <w:rPr>
          <w:rFonts w:ascii="Amiri" w:hAnsi="Amiri" w:eastAsia="Amiri" w:cs="Amiri"/>
          <w:color w:val="111111"/>
          <w:sz w:val="28"/>
          <w:sz w:val="28"/>
          <w:szCs w:val="28"/>
          <w:rtl w:val="true"/>
          <w:lang w:bidi="ar-SA"/>
        </w:rPr>
        <w:t>فالملاحظ هنا استشكال ابن حجر لتوهين الراوي وتضعيفه بسبب التشيع لا غير</w:t>
      </w:r>
      <w:r>
        <w:rPr>
          <w:rFonts w:eastAsia="Amiri" w:cs="Amiri" w:ascii="Amiri" w:hAnsi="Amiri"/>
          <w:color w:val="111111"/>
          <w:sz w:val="28"/>
          <w:szCs w:val="28"/>
          <w:rtl w:val="true"/>
          <w:lang w:bidi="ar-SA"/>
        </w:rPr>
        <w:t xml:space="preserve">. </w:t>
      </w:r>
      <w:bookmarkStart w:id="147" w:name="pg1614_13595"/>
    </w:p>
    <w:p>
      <w:pPr>
        <w:pStyle w:val="BookText"/>
        <w:rPr/>
      </w:pPr>
      <w:bookmarkEnd w:id="14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الفصل السابق نقل كلام الذهبي، وننقله ثانية للفائدة، إذ قال في ترجمته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 الكوفي</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ساغ توثيق مبتدعٍ وحدّ الثقة العدالة، فكيف يكون عدلاً مَن هو صاحب بدعة</w:t>
      </w:r>
      <w:r>
        <w:rPr>
          <w:rFonts w:eastAsia="Amiri" w:cs="Amiri" w:ascii="Amiri" w:hAnsi="Amiri"/>
          <w:color w:val="111111"/>
          <w:sz w:val="28"/>
          <w:szCs w:val="28"/>
          <w:rtl w:val="true"/>
          <w:lang w:bidi="ar-SA"/>
        </w:rPr>
        <w:t>. . .» .</w:t>
      </w:r>
      <w:r>
        <w:rPr>
          <w:rStyle w:val="FootnoteAnchor"/>
          <w:rtl w:val="true"/>
        </w:rPr>
        <w:footnoteReference w:id="226"/>
      </w:r>
      <w:r>
        <w:rPr>
          <w:rFonts w:ascii="Amiri" w:hAnsi="Amiri" w:eastAsia="Amiri" w:cs="Amiri"/>
          <w:color w:val="111111"/>
          <w:sz w:val="28"/>
          <w:sz w:val="28"/>
          <w:szCs w:val="28"/>
          <w:rtl w:val="true"/>
          <w:lang w:bidi="ar-SA"/>
        </w:rPr>
        <w:t>ثُمَّ يجيب هو على ذلك بما قدَّمنا بسط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الدهلوي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وبالجملة، الأئمّة مختلفون في أخذ الحديث من أهل البدع والأهواء، وأرباب المذاهب الزائغة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جماعة من أئمّة الحديث من فرقة الخوارج، والمنتسبين إلى القدر والتشيّع والرفض، وسائر أصحاب البدع والأهواء، وقد احتاط جماعة آخرون وتورَّعوا من أخذ الحديث من هذه الفرق، ولكلٍ منهم 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أخذ الحديث يكون بعد التحرّي والاستصواب، ومع ذلك الاحتياط في عدم الأخذ</w:t>
      </w:r>
      <w:r>
        <w:rPr>
          <w:rFonts w:eastAsia="Amiri" w:cs="Amiri" w:ascii="Amiri" w:hAnsi="Amiri"/>
          <w:color w:val="111111"/>
          <w:sz w:val="28"/>
          <w:szCs w:val="28"/>
          <w:rtl w:val="true"/>
          <w:lang w:bidi="ar-SA"/>
        </w:rPr>
        <w:t>. . .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فلكل ما تقدم من نقول،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يقبل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محدّثي الجمهور ورجالييهم يرون أنَّ مجرَّد التشيُّع هو بدعة من البدع، فضلاً عمّا سمّوه واصطلحوا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التشيّع و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أنَّ التشيّع هو هكذا حقيقة؟</w:t>
      </w:r>
    </w:p>
    <w:p>
      <w:pPr>
        <w:pStyle w:val="BookText"/>
        <w:rPr/>
      </w:pPr>
      <w:r>
        <w:rPr>
          <w:rFonts w:ascii="Amiri" w:hAnsi="Amiri" w:eastAsia="Amiri" w:cs="Amiri"/>
          <w:color w:val="111111"/>
          <w:sz w:val="28"/>
          <w:sz w:val="28"/>
          <w:szCs w:val="28"/>
          <w:rtl w:val="true"/>
          <w:lang w:bidi="ar-SA"/>
        </w:rPr>
        <w:t>للجواب على ذلك نرجع إلى الأمرين اللذين طرحناهما في أوّل البحث حول التشيع والعدالة</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928497_3650668749"/>
      <w:bookmarkStart w:id="149" w:name="_Toc52"/>
      <w:bookmarkEnd w:id="148"/>
      <w:r>
        <w:rPr>
          <w:rtl w:val="true"/>
        </w:rPr>
        <w:t>الأمر الأوّل</w:t>
      </w:r>
      <w:r>
        <w:rPr>
          <w:rtl w:val="true"/>
        </w:rPr>
        <w:t xml:space="preserve">: </w:t>
      </w:r>
      <w:r>
        <w:rPr>
          <w:rtl w:val="true"/>
        </w:rPr>
        <w:t>هل التشيُّع من الأمور المفسقة التي يطعن بها على الراوي؟</w:t>
      </w:r>
      <w:bookmarkEnd w:id="14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هل في التشيع ما يُخالف أمراً من أوامر الشريعة، أو نهياً من نواهيها؟ </w:t>
      </w:r>
    </w:p>
    <w:p>
      <w:pPr>
        <w:pStyle w:val="BookText"/>
        <w:rPr/>
      </w:pPr>
      <w:r>
        <w:rPr>
          <w:rFonts w:ascii="Amiri" w:hAnsi="Amiri" w:eastAsia="Amiri" w:cs="Amiri"/>
          <w:color w:val="111111"/>
          <w:sz w:val="28"/>
          <w:sz w:val="28"/>
          <w:szCs w:val="28"/>
          <w:rtl w:val="true"/>
          <w:lang w:bidi="ar-SA"/>
        </w:rPr>
        <w:t xml:space="preserve">للجواب على ذلك نرجع إلى تعريف التشيّع الذي تطرَّقنا له آنفاً، واتَّضح منه أنَّ التشيّع ليس كالنصب؛ لأنَّ النصب فيه بغضٌ لأحد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علي‌بن أبي‌طالب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ومن أقدم المسلمين إسلاماً، من جهةٍ، ومن جهة أُخرى وردت نصوص صحيحة تأمر بحبِّه، وأنَّ حبَّه من الإيمان، وتحذِّر من بغضه، لأنَّ بغضه علامة النفاق؛ لذا كان النصب مخالفة سافرة للشريعة، ومخالفة واضحة لكثير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التشيُّع، فليس كذلك؛ إذ ليس في حبِّ علي عليه السلام أو تقديمه على مَن سواه مخالفة لنصّ شرعي عن صاحب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النصوص متظافرة على مدحه وبيان قربه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وعظم منزلته وشأنه، لا مجال للخوض فيها؛ لأنَّها قد تخرج عن حدود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في تقديمه على غيره محذورٌ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قيل إنَّ هناك إجماع عندهم على تفضيل الشيخين على مَن سواهما من الصحابة، فالقول بتفضيل علي عليه السلام تعدّ مخالفة صريحة لهذا الإجماع، وهي مخالفة لأمرٍ شرعي، فالقائل بذلك قد ارتكب مخالفة شرعية حينئذٍ</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لو كان الإجماع إجماعاً قطعياً، ليس فيه مخالف أبداً، حتى النادر؛ لأنَّ الإجماع عند الجمهور ينقسم إلى إجماع قطعي وإجماع ظني، أمّا القطعي، فهو الذي يحرم مخالفته، ولا جدوى في البحث عن موضوعه بعد أن أجمعوا على ذلك الموضوع، وأمّا الإجماع الظنّي، الذي لم يصل إلى رتبة القطع، فمعناه أنَّ هناك مخالف لهذا الإجماع، لكن هذا المخالف لا يعتدّ بخلافه، إلاّ أنَّ ذلك الخلاف يقلب الإجماع من القطعي إلى الظنّي؛ فحينئذٍ لا حرمة في المخالفة، لأنَّ حرمة المخالفة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إجماع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انتفى أحد ركني الموضوع، انتفت الحرمة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كلّه إن قبلنا دعوى الإجماع، </w:t>
      </w:r>
      <w:r>
        <w:rPr>
          <w:rStyle w:val="FootnoteAnchor"/>
          <w:rtl w:val="true"/>
        </w:rPr>
        <w:footnoteReference w:id="228"/>
      </w:r>
      <w:r>
        <w:rPr>
          <w:rFonts w:ascii="Amiri" w:hAnsi="Amiri" w:eastAsia="Amiri" w:cs="Amiri"/>
          <w:color w:val="111111"/>
          <w:sz w:val="28"/>
          <w:sz w:val="28"/>
          <w:szCs w:val="28"/>
          <w:rtl w:val="true"/>
          <w:lang w:bidi="ar-SA"/>
        </w:rPr>
        <w:t xml:space="preserve">وأنَّ هناك إجماع حتى لو كان ظنياً، لكن هناك </w:t>
      </w:r>
    </w:p>
    <w:p>
      <w:pPr>
        <w:pStyle w:val="BookText"/>
        <w:rPr/>
      </w:pPr>
      <w:r>
        <w:rPr>
          <w:rFonts w:ascii="Amiri" w:hAnsi="Amiri" w:eastAsia="Amiri" w:cs="Amiri"/>
          <w:color w:val="111111"/>
          <w:sz w:val="28"/>
          <w:sz w:val="28"/>
          <w:szCs w:val="28"/>
          <w:rtl w:val="true"/>
          <w:lang w:bidi="ar-SA"/>
        </w:rPr>
        <w:t xml:space="preserve">مجال واسع للمناقشة في أصل دعوى الإجماع، فكيف ينعقد الإجماع مع وجود مخالفين من كبار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واختلف السلف أيضاً في تفضيل علي وأبي بكر، وفي إجماع الجميع الذي وصفنا دليل على أنَّ حديث ابن عمر </w:t>
      </w:r>
      <w:r>
        <w:rPr>
          <w:rStyle w:val="FootnoteAnchor"/>
          <w:rtl w:val="true"/>
        </w:rPr>
        <w:footnoteReference w:id="229"/>
      </w:r>
      <w:r>
        <w:rPr>
          <w:rFonts w:ascii="Amiri" w:hAnsi="Amiri" w:eastAsia="Amiri" w:cs="Amiri"/>
          <w:color w:val="111111"/>
          <w:sz w:val="28"/>
          <w:sz w:val="28"/>
          <w:szCs w:val="28"/>
          <w:rtl w:val="true"/>
          <w:lang w:bidi="ar-SA"/>
        </w:rPr>
        <w:t>وَهْم وغلط، وأنّه لا يصح معناه وإن كان إسناده صحيحاً، ويلزم مَن قال به أن يقول بحديث جابر وحديث أبي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نبيع أمّهات الأولاد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لا يقولون بذلك</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فقد ناقضوا وبالله التوفيق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وأمّا اختلاف السلف في تفضيل علي، فقد ذكر ابن أبي خيثمة في كتابه من ذلك ما فيه كفاية</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يظهر من هذا النص جلياً أنَّ هناك من السلف مَن يذهب إلى تفضيل علي عليه السلام على جميع الأصحاب، منهم سلمان وأبو ذر وعمار والمقداد، وقد تقدم في تراجم متأخّري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ممَّن يذهب إلى هذا المذهب، فكيف ينعقد بعد هذا إجماع؟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وتقدم في تعريفنا للتشيع اصطلاحاً، نقل أقوال أبي الحسن الأشعري في مقالات الإسلاميين،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قيل لهم الشيعة؛ لأنَّهم شايعوا علياً، وقدَّموه على سائر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ابن عبد البر في الاستيعاب، في ذكر أنَّ علياً كان أوّل مَن أسلم،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سلمان وأبي ذر والمقداد وخباب وجابر وأبي سعيد الخدري وزيد بن الأرقم أنَّ علي‌بن أبي طالب أوّل مَن أسلم، وفضَّله هؤلاء على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قطعية الإجماع، فإنَّ مخالفة الإجماع تعدّ معصية وأمراً محرماً فيما لو كان الإجماع قطعياً، وليس الحال هنا كذلك، لذا قال ابن حجر الهيثمي 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الذي مال إليه أبو الحسن الأشعري، إمام أهل السنة، أنَّ تفضيل أبي بكر على مَن بعده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القاضي أبو بكر الباقلاني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ظنّي، واختاره إمام الحرمين في الإرشاد، وبه جزم صاحب المفهم في شرح مسلم، ويؤيّده قول ابن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قال عمر أفضل من أبي بكر ما عنّفته، وكذلك لو قال عليّ عندي أفضل من أبي بكر وعمر لم أعنّفه، إذا ذكر فضل الشيخين، وأحبّهما، وأثنى عليهما بما هما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لوكيع فأعجبه واشتهاه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ملحظ عدم تعنيف قائل ذلك، إلاّ أنَّ التفضيل المذكور ظني لا قطعي، ويؤيّده أيضاً ما حكاه الخطابي عن بعض مشايخه،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خير وعلي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يكن التفضيل بينهم على هذا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ثُمَّ عمر ثُمَّ عثمان ثُمَّ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قطعياً، حتى عند غير الأشعري، للإجماع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 عثمان وعلي، فواضح، للخلاف فيه كما تقدَّم، وأمّا بين أبي بكر ثُمَّ عمر ثُمَّ غيرهما، فهو وإن أجمعوا عليه، إلاّ أنَّ في كون الإجماع حجّة قطعية خلاف، فالذي عليه الأكثرون أنَّه حجّة قطعية مطلقاً، فيقدَّم على الأدّلة كلّها، ولا يعارضه دليل أصلاً، ويُكفَّر أو يُبدَّع ويُضلَّل مخالفه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الرازي والآمدي إنَّه ظني مطلقاً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ذلك التفصيل، فما اتَّفق عليه المعتبرون حجة قطعية، وما اختلفوا، كالإجماع السكوتي والإجماع الذي ندر مخالفه، فهو 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ممّا قرَّرته لك </w:t>
      </w:r>
      <w:bookmarkStart w:id="150" w:name="pg1614_13599"/>
    </w:p>
    <w:p>
      <w:pPr>
        <w:pStyle w:val="BookText"/>
        <w:rPr/>
      </w:pPr>
      <w:bookmarkEnd w:id="150"/>
      <w:r>
        <w:rPr>
          <w:rFonts w:ascii="Amiri" w:hAnsi="Amiri" w:eastAsia="Amiri" w:cs="Amiri"/>
          <w:color w:val="111111"/>
          <w:sz w:val="28"/>
          <w:sz w:val="28"/>
          <w:szCs w:val="28"/>
          <w:rtl w:val="true"/>
          <w:lang w:bidi="ar-SA"/>
        </w:rPr>
        <w:t xml:space="preserve">أنَّ هذا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تقديم الشيخين على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مخالف نادر، فهو وإن لم يعتدّ به في الإجماع، على ما فيه من الخلاف في محلّه، لكنَّه يورث انحطاطه عن الإجماع الذي لا مخالف له، فالأول ظني، وهذا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يترجّح ما قاله غير الأشعري من أنَّ الإجماع هنا ظني؛ لأنَّه اللائق بما قرَّرناه من أنَّ الحق عند الأصوليين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الأشعري من الأكثر القائلين بأنَّه قطعي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يؤكّده أنَّه هنا ظني؛ أنَّ المُجمعين أنفسهم لم يقطعوا بالأفضلية المذكورة، وإنَّما ظنوها فقط، كما هو المفهوم من عبارات الأئمّة وإشاراتهم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 المسألة 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مستنده أنّ هؤلاء الأربعة اختارهم الله لخلافة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دينه، فكان الظاهر أنَّ منزلتهم عنده بحسب ترتيبهم في الخلافة، وأيضاً ورد في أبي بكر وغيره، كعليٍّ، نصوص متعارضة، يأتي بسطها في الفضائل، وهي لا تفيد القطع؛ لأنَّها بأسرها آحاد وظنية الدلالة، مع كونها متعارضة أيضاً، وليس الاختصاص بكثرة أسباب الثواب موجباً لزيادته المستلزمة للأفضلية قطعاً بل ظناً</w:t>
      </w:r>
      <w:r>
        <w:rPr>
          <w:rFonts w:eastAsia="Amiri" w:cs="Amiri" w:ascii="Amiri" w:hAnsi="Amiri"/>
          <w:color w:val="111111"/>
          <w:sz w:val="28"/>
          <w:szCs w:val="28"/>
          <w:rtl w:val="true"/>
          <w:lang w:bidi="ar-SA"/>
        </w:rPr>
        <w:t xml:space="preserve">. . . .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فيتَّضح من جميع ما تقدَّم أنَّ الإجماع المذكور مناقش فيه، فضلاً عن أنَّه ليس بقطعي، وحينئذ فدعوى أنَّ مخالفته تعدّ من الأمور المفسقة؛ دعوى تحتاج إلى دليل</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928499_3650668749"/>
      <w:bookmarkStart w:id="152" w:name="_Toc53"/>
      <w:bookmarkEnd w:id="151"/>
      <w:r>
        <w:rPr>
          <w:rtl w:val="true"/>
        </w:rPr>
        <w:t>الأمر الثاني</w:t>
      </w:r>
      <w:r>
        <w:rPr>
          <w:rtl w:val="true"/>
        </w:rPr>
        <w:t xml:space="preserve">: </w:t>
      </w:r>
      <w:r>
        <w:rPr>
          <w:rtl w:val="true"/>
        </w:rPr>
        <w:t>هل التشيُّع من البدع المحرمة التي يطعن بها على الراوي؟</w:t>
      </w:r>
      <w:bookmarkEnd w:id="152"/>
    </w:p>
    <w:p>
      <w:pPr>
        <w:pStyle w:val="BookText"/>
        <w:rPr/>
      </w:pPr>
      <w:r>
        <w:rPr>
          <w:rFonts w:ascii="Amiri" w:hAnsi="Amiri" w:eastAsia="Amiri" w:cs="Amiri"/>
          <w:color w:val="111111"/>
          <w:sz w:val="28"/>
          <w:sz w:val="28"/>
          <w:szCs w:val="28"/>
          <w:rtl w:val="true"/>
          <w:lang w:bidi="ar-SA"/>
        </w:rPr>
        <w:t>للإجابة عن هذا السؤال لابد من الرجوع إلى معنى البدعة، وتطبيقه على التشيع، فإن انطبق، فالتشيّع بدعة، وإلاّ فلا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وقلنا فيما تقدم إنَّ البدعة المحرمة التي يُطعَن بها على الراوي، وتعدّ من الموانع عن قبول روايته؛ لأنَّها خادشة بعدالته؛ هي البدعة المحرّمة، وهي إحداث أمر ديني ليس له أصل من جنسه، ولم يكن معهوداً من قِبل الشارع المقدس، فهل التشيّع ينطبق على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المتتِّبع لسيرة أمير المؤمنين علي بن أبي طالب عليه السلام وصفاته، وعلاقته مع صاحب الشريعة،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يجد روايات ليس من اليُسر حصرها، تشير إلى فضائله وسابقته وسبقه لغيره؛ لذا فقد نقل ابن عبد البر وابن حجر قول أحمد بن حنبل، وإسماعيل بن إسحاق القاضي، وأحمد بن شعيب النسائي،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 في فضائل أحد من الصحابة بالأسانيد الحسان ما رُوي في فضائل علي بن أبي طالب</w:t>
      </w:r>
      <w:r>
        <w:rPr>
          <w:rFonts w:eastAsia="Amiri" w:cs="Amiri" w:ascii="Amiri" w:hAnsi="Amiri"/>
          <w:color w:val="111111"/>
          <w:sz w:val="28"/>
          <w:szCs w:val="28"/>
          <w:rtl w:val="true"/>
          <w:lang w:bidi="ar-SA"/>
        </w:rPr>
        <w:t>»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وقد ألّف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السنن ومن أكثر رجاليِّي الجمهور تشدّداً في التصحيح والتضعيف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 خاصّاً بتلك الفضائل،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علي‌بن أبي‌طالب، ذكر فيه ما يناهز المائة رواية، بأسانيدٍ صحاح، تذكر فضائل أميرالمؤمنين علي‌بن أبي‌طالب، لم يشركه فيها غيره، وقال ابن حجر،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بن عبد المطلب بن هاشم بن عبد مناف القرشي الهاشمي، أبو الحسن، أوّل الناس إسلاماً في قول الكثير من أهل العلم، وُلد قبل البعثة بعشر سنين على الصحيح، فرُبيَ في حجر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يفارقه، وشَهِدَ معه المشاهد إلاّ غزوة تبوك،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بسبب تأخيرهِ 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موسى، وزوَّجه بنته فاطمة، وكان اللواء بيده في أكثر المشاهد، ولمّا آخى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كثيرة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وتتبَّع النسائي ما خُصَّ به من دون الصحابة، فجمع من ذلك شيئاً كثيراً، بأسانيد أكثرها جياد</w:t>
      </w:r>
      <w:r>
        <w:rPr>
          <w:rFonts w:eastAsia="Amiri" w:cs="Amiri" w:ascii="Amiri" w:hAnsi="Amiri"/>
          <w:color w:val="111111"/>
          <w:sz w:val="28"/>
          <w:szCs w:val="28"/>
          <w:rtl w:val="true"/>
          <w:lang w:bidi="ar-SA"/>
        </w:rPr>
        <w:t>»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فاختصاص عليٍّ عليه السلام بتلك الفضائل يعني وجودها فيه دون غيره، وهذا هو معنى الأفضلية والتقديم على الغير، فهو مقدَّم في تلك الفضائل على غيره؛ لأنَّها موجودة فيه وغير موجودة في غيره، وإلاّ لم يختصّ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بقية الفضائل، فقد شارك فيها غيره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فيتَّضح ممّا تقدَّم أنَّ تقديم أمير المؤمنين علي عليه السلام أمرٌ ليس بالغريب أو المُحدَث، فلا أقلّ أنّ له ما بإزاءه في الشريعة، ولم يحدث عن هوى أو نزوةٍ، لذا نرى أنَّ الكثير من </w:t>
      </w:r>
    </w:p>
    <w:p>
      <w:pPr>
        <w:pStyle w:val="BookText"/>
        <w:rPr/>
      </w:pPr>
      <w:r>
        <w:rPr>
          <w:rFonts w:ascii="Amiri" w:hAnsi="Amiri" w:eastAsia="Amiri" w:cs="Amiri"/>
          <w:color w:val="111111"/>
          <w:sz w:val="28"/>
          <w:sz w:val="28"/>
          <w:szCs w:val="28"/>
          <w:rtl w:val="true"/>
          <w:lang w:bidi="ar-SA"/>
        </w:rPr>
        <w:t xml:space="preserve">أوائل الصحابة قد نحوا هذا المنحى، فكانوا يرون تقديم علي عليه السلام على غيره، وكذا نحا كثير من التابعين ذلك المنحى، وتابعيهم، والكثير من العلماء الأعلام، فهل يصحّ رمي كل أُولئك بالابتداع أو الغلو؟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 هذان الأمران،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التشيُّع ممّا يخالف الشريعة، بل هو أمر حثَّت عليه الشريعة، كما أنَّه ليس بأمر مبتدع مخترع في الأزمنة التي تلت زمن صاحب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يتَّضح أنَّ التشيُّع يوافق العدالة ويتطابق معها، ولا يخالفها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 الراوي حينئذ بالتشيُّع، وتضعيفه لذلك، أمر ليس له أساس علمي 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دعوى الغلو التي تُطلق في حق كثير ممّن وصفوهم بالتشيُّع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عند التعرض لتراجم رواة رموهم وضعّفوهم بسبب التشيّع أو الغلو في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منه البدعة والابتداع، فقد تقدَّم الجواب عنه، وثبت أنَّ التشيُّع ليس من الابتداع في شيء، وإن كان المراد من الغلوِّ شيئاً آخر غير محبّة علي‌بن أبي‌طالب عليه السلام وتولِّيه، وتقديمه على غيره، والقول فيه بما ورد فيه عن صاحب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خارج عن حدود التشيُّع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أنَّ مَن تعرَّض للغلوّ وتعريفه، ذكر فيه أنَّه نسبة ما للخالق من أفعال ومختصّات، نسبتها للمخلوق استقلالاً، 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غلوا في حقِّ أئمَّتهم، حتى أخرجوهم من حدود الخليقية، وحكموا فيهم بأحكام الإلهية، فربّما شبّهوا واحداً من الأئمّة بالإله</w:t>
      </w:r>
      <w:r>
        <w:rPr>
          <w:rFonts w:eastAsia="Amiri" w:cs="Amiri" w:ascii="Amiri" w:hAnsi="Amiri"/>
          <w:color w:val="111111"/>
          <w:sz w:val="28"/>
          <w:szCs w:val="28"/>
          <w:rtl w:val="true"/>
          <w:lang w:bidi="ar-SA"/>
        </w:rPr>
        <w:t>. . .»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وقال في ذلك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الغلوّ في النبي والأئّمة عليهم السلام إنّما يكون بالقول بألوهيَّتهم، أو بكونهم شركاء لله تعالى في المعبودية، أو الخلق، أو الرزق، أو أنَّ الله تعالى حلّ فيهم، أو اتَّحد بهم، أو </w:t>
      </w:r>
    </w:p>
    <w:p>
      <w:pPr>
        <w:pStyle w:val="BookText"/>
        <w:rPr/>
      </w:pPr>
      <w:r>
        <w:rPr>
          <w:rFonts w:ascii="Amiri" w:hAnsi="Amiri" w:eastAsia="Amiri" w:cs="Amiri"/>
          <w:color w:val="111111"/>
          <w:sz w:val="28"/>
          <w:sz w:val="28"/>
          <w:szCs w:val="28"/>
          <w:rtl w:val="true"/>
          <w:lang w:bidi="ar-SA"/>
        </w:rPr>
        <w:t>أنَّهم يعلمون الغيب بغير وحي أو إلهام من الله تعالى، أو بالقول في الأئمَّة عليهم السلام إنَّهم كانوا أنبياء، أو القول بتناسخ أرواح بعضهم إلى بعض، أو القول بأنَّ معرفتهم تغني عن جميع الطاعات، ولا تكليف معها بترك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بكلّ منها إلحاد وكفر، وخروج عن الدين، كما دلّت عليه الأدلّة العقلية والآيات والأخبار السالفة وغيرها، وقد عرفت أنَّ الأئمَّة عليهم السلام تبرَّؤوا منهم، وحكموا بكفرهم، وأمروا بقتلهم، وإن قرع سمعك شيء من الأخبار الموهمة لشيء من ذلك، فهي إمّا مؤوَّلة، أو هي من مفتريات الغلاة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فإن كان الغلوّ بهذا المعنى، فهذا خارج عن التشيّع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المراد بغلوّ التشيّع عند أهل الحديث من علماء الجمهور تفصيلاً ليس هذا، بل معنى آخر، تقدَّمت الإشارة إليه، وهو إمّا سبّ مَن عادى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عرَّفه الذهبي في أكثر من موضع، وقد ذكرناه آنفاً</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تقديم علي عليه السلام على الشيخين، على ما عرَّفه ابن حجر العسقلاني، الذي 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تمييز أسباب الطعن في المذكورين، ومنه يتَّضح مَن يصلح منهم للاحتجاج به، ومَن لا يصلح،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ضعفه بسبب الاعتقاد، وقد قدَّمنا حكمه، وبيّنا في ترجمة كلّ منهم أنَّه ما لم يكن داعيةً، أو كان وتاب، أو اعتضدت روايته بمتابع، وهذا بيان ما رموا به، فالإرجاء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عليّ وتقديمه على الصحابة، فمَن قدَّمه على أبي‌بكر وعمر فهو غالٍ في التشيُّع، ويُطلق عليه رافضي، وإلاّ فشيعي</w:t>
      </w:r>
      <w:r>
        <w:rPr>
          <w:rFonts w:eastAsia="Amiri" w:cs="Amiri" w:ascii="Amiri" w:hAnsi="Amiri"/>
          <w:color w:val="111111"/>
          <w:sz w:val="28"/>
          <w:szCs w:val="28"/>
          <w:rtl w:val="true"/>
          <w:lang w:bidi="ar-SA"/>
        </w:rPr>
        <w:t>. . . .</w:t>
      </w:r>
      <w:r>
        <w:rPr>
          <w:rStyle w:val="FootnoteAnchor"/>
          <w:rtl w:val="true"/>
        </w:rPr>
        <w:footnoteReference w:id="23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كلام ابن حجر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علياً عليه السلام على أدنى 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شيعياً، فهل يقول بذلك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وتقدَّم أيضاً سرد رأي العسقلاني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خالف فيه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لتعريف الشيعي،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فالتشيُّع في عُرف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اعتقاد تفضيل عليٍّ على عثمان، وأنَّ علياً كان مصيباً، وأنَّ مخالفه مُخطئ، مع تقديم الشيخين وتفضيلهما، وربّما اعتقد بعضهم أنَّ علياً أفضل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معتقد ذلك ورعاً ديّناً مجتهداً، فلا تُردّ روايته بهذا، ولاسيّما إن كان غير داعية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إذن، فعلى هذا الكلام الأخير، يكون مَن قدّم علياً على الشيخين مبتدع، لكن لا تُردّ روايته إذا لم يكن 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فيتلخص من كلامي ابن حجر هذين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التشيُّع وهو محبّة علي عليه السلام وتقديمه على الصحابة، عدا الشيخين يعدّ من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الغلو، فهو تقديم علي عليه السلام على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الغلو عنده يخالف ما تقدَّم من قول الذهبي ومَن سبقه، من أنَّ الغلو في التشيُّع يكون بالحط والانتقاص ممَّن حارب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يقف الاختلاف في التعريف وبيان المفاهيم عند هذا الحد، بل تعدَّى إلى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في 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اختلفوا فيه نظريّاً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ما تقدَّم كان من الناحية النظرية، أمّا من الناحية العملية، فإنَّنا وبمراجعةٍ سريعة لأيّ كتاب من كتب تراجم الرواق، سنجد بوضوح أنَّ كثيراً ممَّن اتُّهموا بالغلو في التشيّع، بأن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شيعي غالٍ، أو من غلاة الشيعة، أو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أمثال تلك العبائر؛ كان اتّهامهم لا لشيء، إلاّ لإظهارهم محبّة علي وأهل بيته عليهم السلام، أو لمجرّد رواية فضائلهم، أو أنَّهم ينالون من ظلمةِ بني أُميَّة، كما سيتضح بعد قليل، وفيما يلي نماذج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ابن عساكر سهام اتّهامه لأبي عروبة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مودود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بأنَّه شيعيّ غالٍ، كما نقل ذلك الذهبي،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عروبة، الحافظ الإمام، محدّث حران، الحسين بن محمد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ذكره ابن عساكر في ترجمة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عروبة غالياً في التشيّع، شديد الميل على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أحبَّ الشيخين فليس بغالٍ، بلى مَن تكلَّم فيهما فهو غالٍ مفترٍ، فإن كفّرهما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عليه التكفير واللعنة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عروبة فمن أين جاءه التشيّع المفرط؟ نعم قد يكون ينال من ظلَمَة بني أُمية، كالوليد وغيره</w:t>
      </w:r>
      <w:r>
        <w:rPr>
          <w:rFonts w:eastAsia="Amiri" w:cs="Amiri" w:ascii="Amiri" w:hAnsi="Amiri"/>
          <w:color w:val="111111"/>
          <w:sz w:val="28"/>
          <w:szCs w:val="28"/>
          <w:rtl w:val="true"/>
          <w:lang w:bidi="ar-SA"/>
        </w:rPr>
        <w:t>. . .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وحصل مثل ذلك لداود بن أبي عوف، أبوجحاف، فقد ذكره ابن عدي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بن أبي عوف، أبو جحاف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وهو من جملة متشيّعي أهل الكوفة، وعامّة ما يرويه في فضائل أهل البيت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ولأبي الجحاف أحاديث غير ما ذكرته، وهو من غالية أهل التشيُّع، وعامة حديثة في أهل البيت، ولم أرَ مَن تكلَّم في الرجال فيه كلاماً، وهو عندي ليس بالقوي، ولا ممَّن يُحتجّ به من الحديث</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فيلاحظ هنا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هذا الراوي بمجرَّد روايته لفضائل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مثل ذلك أيضاً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بن زياد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الذهبي في ترجمته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بن زياد الأسدي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غالٍ، وقال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حديثة،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وقال موسى بن إسحاق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وقال محمد بن محمد بن عمرو النيسابوري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زياد مُجمَع على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مردود، وعبادة لا بأس به غير التشيّع</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فترى هنا أنَّ هذا الراوي اتُّهم بالغلو في التشيّع، ثُمّ اتُّهم بالكذب، وادُّعي الإجماع على كذبه، وحقيقة الحال أنّه شيعي ليس إلاّ، كما صرّح الذهبي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مثل ذلك في كتب التراجم والسير، وإنّما جئنا بهذه النقول كنماذج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 كل ما تقدَّم أنَّ رجاليي الجمهور اضطربوا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عند تعرضهم لترجمة كثير من الرواة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يطلقونه تارة على مَن يروي فضائل أهل‌البيت عليهم السلام، وأخرى يطلقونه على مَن أحبَّ علياً عليه السلام وقدَّمه على غيره، وتارة يقرنونه بالرفض، ويطلقونه على مَن قدَّم علياً عليه السلام على أبي بكر وعمر، كما فعل ابن حجر، وهكذا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وبقي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اضطربوا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تحديده، فبين مَن أطلقه على مَن قدَّم علياً عليه السلام على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ابن حجر وقد تقدَّم نقل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مَن أطلقه على مَن أبغض أبي بكر وعمر، كما ادَّعاه الذهبي، في ترجمته للدارقطني،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عمر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هناك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ومَن أبغض الشيخين واعتقد صحّة إمامتهما فهو رافضي مقيت</w:t>
      </w:r>
      <w:r>
        <w:rPr>
          <w:rFonts w:eastAsia="Amiri" w:cs="Amiri" w:ascii="Amiri" w:hAnsi="Amiri"/>
          <w:color w:val="111111"/>
          <w:sz w:val="28"/>
          <w:szCs w:val="28"/>
          <w:rtl w:val="true"/>
          <w:lang w:bidi="ar-SA"/>
        </w:rPr>
        <w:t xml:space="preserve">. . .» .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وقد عرضنا كلامه مسبقاً في تقسيمه للبدعة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السابق في المبحث الثالث في النقطة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البدعة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فبدعة صغرى، كغلوّ التشيُّع، أو كالتشيع بلا غلو ولا تحرق، فهذا كثير من التابعين وتابعيهم، مع الدين والورع والصدق، فلو رُدَّ حديث هؤلاء لذهب جملة من الآثار النبوية، وهذه مفسدة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بدعة كبرى، كالرفض الكامل والغلوّ فيه، والحط على أبي بكر وعمر</w:t>
      </w:r>
      <w:r>
        <w:rPr>
          <w:rFonts w:eastAsia="Amiri" w:cs="Amiri" w:ascii="Amiri" w:hAnsi="Amiri"/>
          <w:color w:val="111111"/>
          <w:sz w:val="28"/>
          <w:szCs w:val="28"/>
          <w:rtl w:val="true"/>
          <w:lang w:bidi="ar-SA"/>
        </w:rPr>
        <w:t xml:space="preserve">. . .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هذا على المستوى النظري بالنسبة لمصطلح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عملاً، فقد كان الخلاف أشدّ وأشدّ، وسنورد نماذج كذلك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ترجمتهم للحاكم النيسابوري، صاحب المستدرك، رموه بالرفض والخبث، مع أنَّ التاج السبكي عدّه من الائمّة الذين حُفظ بهم الدين، إذ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ورُحِلَ إليه من البلاد لسِعة علمه وروايته، واتِّفاق العلماء على أنَّه من أعلم الائمّة الذين حفظ الله بهم هذا الدين</w:t>
      </w:r>
      <w:r>
        <w:rPr>
          <w:rFonts w:eastAsia="Amiri" w:cs="Amiri" w:ascii="Amiri" w:hAnsi="Amiri"/>
          <w:color w:val="111111"/>
          <w:sz w:val="28"/>
          <w:szCs w:val="28"/>
          <w:rtl w:val="true"/>
          <w:lang w:bidi="ar-SA"/>
        </w:rPr>
        <w:t xml:space="preserve">. . .» . </w:t>
      </w:r>
      <w:r>
        <w:rPr>
          <w:rStyle w:val="FootnoteAnchor"/>
          <w:rtl w:val="true"/>
        </w:rPr>
        <w:footnoteReference w:id="245"/>
      </w:r>
      <w:r>
        <w:rPr>
          <w:rFonts w:ascii="Amiri" w:hAnsi="Amiri" w:eastAsia="Amiri" w:cs="Amiri"/>
          <w:color w:val="111111"/>
          <w:sz w:val="28"/>
          <w:sz w:val="28"/>
          <w:szCs w:val="28"/>
          <w:rtl w:val="true"/>
          <w:lang w:bidi="ar-SA"/>
        </w:rPr>
        <w:t>ومع ذلك، فقد أورد العسقلاني في ترجمته للحاكم، اتِّهامهم له بالرفض والخبث؛ لانحرافه عن معاوية، قال العسقلاني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إسماعيل عبدالله الأنصاري عن الحاكم أبي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في الحديث، رافضي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الإنصاف، ما الرجل برافضي، بل شيعي فقط</w:t>
      </w:r>
      <w:r>
        <w:rPr>
          <w:rFonts w:eastAsia="Amiri" w:cs="Amiri" w:ascii="Amiri" w:hAnsi="Amiri"/>
          <w:color w:val="111111"/>
          <w:sz w:val="28"/>
          <w:szCs w:val="28"/>
          <w:rtl w:val="true"/>
          <w:lang w:bidi="ar-SA"/>
        </w:rPr>
        <w:t>. . .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فالملاحظ هنا إطلاق الرافضي على مَن انحرف عن معاوية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محدِّثٍ سأل مريديه، بعد أن أملى عليهم فضائل أبي‌بكر وعمر، سألهم بمَن نبدأ، بعثمان أو علي عليه السلام؟ وقد ذكر العسقلاني ذلك، في ترجمته لإبراهيم بن عبد العزيز بن الضحاك، أبو اسحاق المديني،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عبد العزيز بن الضحاك بن عمر بن قيس بن الزبير، أبو إسحاق المديني الإصبهاني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ذكره أبو الشيخ ثُمَّ أبو نعيم أنَّه قعد للتحديث، فأخرج الفضائل، فأملى فضائل أبي بكر ثُمَّ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نبدأ بعثمان أو بعلي؟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رافضي، فتركوا حديثه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ظلم بيِّن، فإنَّ هذا مذهب جماعة من أهل السنّة؛ أعني التوقُّف في تفضيل أحدهما على الآخر، وإن كان الأكثر على تقديم عثمان، فإنَّ هذا مذهب جماعة من أهل السنّة يقدِّمون علياً على عثمان، منهم سفيان الثوري، وابن خزيمة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فهنا أُطلق الرافضي على مَن تردَّد في تقديم عثمان على علي عليه السلام؛ بل تُرِكَ حديثه لذلك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وأيضاً أُطلق الرافضي على مَن أحبَّ أهل البيت عليهم السلام؛ ففي ترجمة عبدالرحمن بن صالح الأزدي، قال الخطيب البغدادي ما نصّه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صالح، أبو محمد الأزدي، كوفي سكن بغداد في جوار علي بن الجعد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علي الحسين 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يحيى بن معين، وحبيش بن مبشر وابن الرومي بين يدي عبد الرحمن بن صالح، جلوساً، أخبرنا أبو حازم العبدوي، </w:t>
      </w:r>
    </w:p>
    <w:p>
      <w:pPr>
        <w:pStyle w:val="BookText"/>
        <w:rPr/>
      </w:pPr>
      <w:r>
        <w:rPr>
          <w:rFonts w:ascii="Amiri" w:hAnsi="Amiri" w:eastAsia="Amiri" w:cs="Amiri"/>
          <w:color w:val="111111"/>
          <w:sz w:val="28"/>
          <w:sz w:val="28"/>
          <w:szCs w:val="28"/>
          <w:rtl w:val="true"/>
          <w:lang w:bidi="ar-SA"/>
        </w:rPr>
        <w:t>أخبرنا محمد بن أحمد بن القاسم الغطريفي،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سهل الدقاق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علي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عليكم رجل من أهل الكوفة يُقال له عبد الرحمن بن صالح، ثقة صدوق شيعي، لأن يخرُّ من السماء أحبُّ إليه من أن يكذب في نصف حرف</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أخبرنا العتيقي، حدَّثني يوسف بن عمر القواس، حدَّثنا محمد بن موسى الخلال، أخبرنا يعقوب بن يوسف المطوعي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صالح الأزدي رافضياً، وكان يغشى أحمد بن حنبل فيقرّبه ويدنيه،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عبد الرحمن رافضي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رجل أحبّ قوماً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له لا تحبّهم، وهو ثقة</w:t>
      </w:r>
      <w:r>
        <w:rPr>
          <w:rFonts w:eastAsia="Amiri" w:cs="Amiri" w:ascii="Amiri" w:hAnsi="Amiri"/>
          <w:color w:val="111111"/>
          <w:sz w:val="28"/>
          <w:szCs w:val="28"/>
          <w:rtl w:val="true"/>
          <w:lang w:bidi="ar-SA"/>
        </w:rPr>
        <w:t>. . .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فبعد كل هذا وذاك ليس من المتسغرب أن يطلق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عُرف بالتشيُّع فقط، وهذا كثير جداً في الكتب الرجالية للجمهور، نذكر منه مصداقاً واحداً، مخافة الإطالة،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ذكرته كثير من كتب الرجال بأنّه شيعي، فمثلاً قال عنه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أعين، أخو حمران بن أعين، من أهل الكوفة، يروي عن العراقيّين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يتشيَّع</w:t>
      </w:r>
      <w:r>
        <w:rPr>
          <w:rFonts w:eastAsia="Amiri" w:cs="Amiri" w:ascii="Amiri" w:hAnsi="Amiri"/>
          <w:color w:val="111111"/>
          <w:sz w:val="28"/>
          <w:szCs w:val="28"/>
          <w:rtl w:val="true"/>
          <w:lang w:bidi="ar-SA"/>
        </w:rPr>
        <w:t>» .</w:t>
      </w:r>
      <w:r>
        <w:rPr>
          <w:rStyle w:val="FootnoteAnchor"/>
          <w:rtl w:val="true"/>
        </w:rPr>
        <w:footnoteReference w:id="249"/>
      </w:r>
      <w:r>
        <w:rPr>
          <w:rFonts w:ascii="Amiri" w:hAnsi="Amiri" w:eastAsia="Amiri" w:cs="Amiri"/>
          <w:color w:val="111111"/>
          <w:sz w:val="28"/>
          <w:sz w:val="28"/>
          <w:szCs w:val="28"/>
          <w:rtl w:val="true"/>
          <w:lang w:bidi="ar-SA"/>
        </w:rPr>
        <w:t>وذكره العجلي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أعين، مولى بني شيبان، كوفي تابعي ثقة</w:t>
      </w:r>
      <w:r>
        <w:rPr>
          <w:rFonts w:eastAsia="Amiri" w:cs="Amiri" w:ascii="Amiri" w:hAnsi="Amiri"/>
          <w:color w:val="111111"/>
          <w:sz w:val="28"/>
          <w:szCs w:val="28"/>
          <w:rtl w:val="true"/>
          <w:lang w:bidi="ar-SA"/>
        </w:rPr>
        <w:t xml:space="preserve">» . </w:t>
      </w:r>
      <w:r>
        <w:rPr>
          <w:rStyle w:val="FootnoteAnchor"/>
          <w:rtl w:val="true"/>
        </w:rPr>
        <w:footnoteReference w:id="250"/>
      </w:r>
      <w:r>
        <w:rPr>
          <w:rFonts w:ascii="Amiri" w:hAnsi="Amiri" w:eastAsia="Amiri" w:cs="Amiri"/>
          <w:color w:val="111111"/>
          <w:sz w:val="28"/>
          <w:sz w:val="28"/>
          <w:szCs w:val="28"/>
          <w:rtl w:val="true"/>
          <w:lang w:bidi="ar-SA"/>
        </w:rPr>
        <w:t>كما ذكره البخاري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الملك بن أعين، وكان شيعياً، روى عنه ابن عيينة وإسماعيل بن سميع، يحتمل في الحديث</w:t>
      </w:r>
      <w:r>
        <w:rPr>
          <w:rFonts w:eastAsia="Amiri" w:cs="Amiri" w:ascii="Amiri" w:hAnsi="Amiri"/>
          <w:color w:val="111111"/>
          <w:sz w:val="28"/>
          <w:szCs w:val="28"/>
          <w:rtl w:val="true"/>
          <w:lang w:bidi="ar-SA"/>
        </w:rPr>
        <w:t>»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ومع ذلك فقد رماه سفيان بن عينية بالرفض، كما نقل لنا ذلك العقيلي في ضعفائه، قائلاً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أعين، وكان رافضياً</w:t>
      </w:r>
      <w:r>
        <w:rPr>
          <w:rFonts w:eastAsia="Amiri" w:cs="Amiri" w:ascii="Amiri" w:hAnsi="Amiri"/>
          <w:color w:val="111111"/>
          <w:sz w:val="28"/>
          <w:szCs w:val="28"/>
          <w:rtl w:val="true"/>
          <w:lang w:bidi="ar-SA"/>
        </w:rPr>
        <w:t>. . .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وقد نقل لنا ابن حجر العسقلاني آثار اتّهامهم لعبد الملك بالرفض، حتى وصل الأمر بهم إلى ترك حديثه،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أعين الكوفي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ابن مهدي يحدِّث عن سفيان عن عبد الملك بن أعين، وكان يحدّث عنه فيما أُخبرت، ثُمَّ 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من هذه العبارة أنَّ ابن مهدي توقَّف عن التحديث بسبب عبد الملك واتّهامهم له بالرفض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حامد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إخوة، عبد الملك و زرارة وحمران، روافض كلّهم، أخبثهم قولاً عبد الملك، 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أعتى الشيعة، محلّه الصدق صالح الحديث</w:t>
      </w:r>
      <w:r>
        <w:rPr>
          <w:rFonts w:eastAsia="Amiri" w:cs="Amiri" w:ascii="Amiri" w:hAnsi="Amiri"/>
          <w:color w:val="111111"/>
          <w:sz w:val="28"/>
          <w:szCs w:val="28"/>
          <w:rtl w:val="true"/>
          <w:lang w:bidi="ar-SA"/>
        </w:rPr>
        <w:t xml:space="preserve">. . . .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ونحن إنَّما ذكرنا كل هذه المصاديق، من تراجم الرواة، لنثبت أنَّ كثيراً ممَّن رُموا واتّهموا بالغلو في التشيع والرفض، إنَّما هم شيعة فقط على موازين علماء الجمهور أعني علماء أهل السنّة وليس أكثر من ذلك، وقد ثبت بما تقدَّم أنَّ التشيع ليس فيه ما ينافي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هناك ألفاظ إذا أُطلقت فإنَّه لا يراد منها إلاّ التشيّع في الغالب،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شيعي جلد، شيعي محترق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تراجم بعض الرواة وردت مثل هكذا تعابير، فمثلاً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عقيصا أبو سعيد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شيعي جلد، تركه الدارقطني</w:t>
      </w:r>
      <w:r>
        <w:rPr>
          <w:rFonts w:eastAsia="Amiri" w:cs="Amiri" w:ascii="Amiri" w:hAnsi="Amiri"/>
          <w:color w:val="111111"/>
          <w:sz w:val="28"/>
          <w:szCs w:val="28"/>
          <w:rtl w:val="true"/>
          <w:lang w:bidi="ar-SA"/>
        </w:rPr>
        <w:t xml:space="preserve">» . </w:t>
      </w:r>
      <w:r>
        <w:rPr>
          <w:rStyle w:val="FootnoteAnchor"/>
          <w:rtl w:val="true"/>
        </w:rPr>
        <w:footnoteReference w:id="254"/>
      </w:r>
      <w:r>
        <w:rPr>
          <w:rFonts w:ascii="Amiri" w:hAnsi="Amiri" w:eastAsia="Amiri" w:cs="Amiri"/>
          <w:color w:val="111111"/>
          <w:sz w:val="28"/>
          <w:sz w:val="28"/>
          <w:szCs w:val="28"/>
          <w:rtl w:val="true"/>
          <w:lang w:bidi="ar-SA"/>
        </w:rPr>
        <w:t>وفي ترجمة إبراهيم بن الحكم ابن ظهير الكوفي قال ابن حجر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شيعي جلد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روى في مثالب معاوية، فمزّقنا ما كتبنا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له عن أبيه عن السدي عن أبي مالك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 الأُمة علي‌بن أبي طالب</w:t>
      </w:r>
      <w:r>
        <w:rPr>
          <w:rFonts w:eastAsia="Amiri" w:cs="Amiri" w:ascii="Amiri" w:hAnsi="Amiri"/>
          <w:color w:val="111111"/>
          <w:sz w:val="28"/>
          <w:szCs w:val="28"/>
          <w:rtl w:val="true"/>
          <w:lang w:bidi="ar-SA"/>
        </w:rPr>
        <w:t>. . .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وقد شرح هذه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أكثر من استعماله، بقوله في ترجمة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تفضيل علي برفض، ولا هو ببدعة، بل قد ذهب إليه خلق من الصحابة والتابعين، فكلٌّ من عثمان وعلي ذو فضل وسابقةٍ وجهاد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ولكن جمهور الأُمة على ترجيح عثمان على الإمام علي، وإليه نذهب، والخطب في ذلك يسير، والأفضل منهما، بلا شك، أبو بكر وعمر، مَن خالف في ذا فهو شيعي جلد</w:t>
      </w:r>
      <w:r>
        <w:rPr>
          <w:rFonts w:eastAsia="Amiri" w:cs="Amiri" w:ascii="Amiri" w:hAnsi="Amiri"/>
          <w:color w:val="111111"/>
          <w:sz w:val="28"/>
          <w:szCs w:val="28"/>
          <w:rtl w:val="true"/>
          <w:lang w:bidi="ar-SA"/>
        </w:rPr>
        <w:t>. . .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صالح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صالح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سمعت إبراهيم بن محمد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هارون الحمال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صالح شيعي محترق، حرقت عامّة ما سمعت منه، يروي أحاديث سوء في مثالب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ثنا ابن أبي عصمة، ثنا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عائشة بماءٍ يقال له الحوأب، لبني عامر، فنبحتها الكلاب،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ردّوني؛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بإحداكنّ إذا نبحت عليها كلاب حوأب</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صالح معروف ومشهور في الكوفيين، لم يُذكر بالضعف في الحديث، ولا أتُّهِم فيه، إِلاّ أنَّه كان محترقاً فيما كان فيه من التشيع</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تلخّص الى هنا أنَّ علماء ورجاليي الجمهور اختلفوا في تعريف التشيع وماهيته، كما اختلفوا في معنى الغلو في التشيع وحقيقته، وكذا اختلفت كلماتهم في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والغلو في الرفض، ورأينا كيف أنَّ الاضطراب في المفاهيم أدَّى إلى هذا الاضطراب في المصاديق</w:t>
      </w:r>
      <w:r>
        <w:rPr>
          <w:rFonts w:eastAsia="Amiri" w:cs="Amiri" w:ascii="Amiri" w:hAnsi="Amiri"/>
          <w:color w:val="111111"/>
          <w:sz w:val="28"/>
          <w:szCs w:val="28"/>
          <w:rtl w:val="true"/>
          <w:lang w:bidi="ar-SA"/>
        </w:rPr>
        <w:t xml:space="preserve">. </w:t>
      </w:r>
      <w:bookmarkStart w:id="153" w:name="pg1614_13610"/>
    </w:p>
    <w:p>
      <w:pPr>
        <w:pStyle w:val="BookText"/>
        <w:rPr/>
      </w:pPr>
      <w:bookmarkEnd w:id="153"/>
      <w:r>
        <w:rPr>
          <w:rFonts w:ascii="Amiri" w:hAnsi="Amiri" w:eastAsia="Amiri" w:cs="Amiri"/>
          <w:color w:val="111111"/>
          <w:sz w:val="28"/>
          <w:sz w:val="28"/>
          <w:szCs w:val="28"/>
          <w:rtl w:val="true"/>
          <w:lang w:bidi="ar-SA"/>
        </w:rPr>
        <w:t>ومن المناسب هنا نقل كلام الأمير الصنعاني</w:t>
      </w:r>
      <w:r>
        <w:rPr>
          <w:rStyle w:val="FootnoteAnchor"/>
          <w:rtl w:val="true"/>
        </w:rPr>
        <w:footnoteReference w:id="259"/>
      </w:r>
      <w:r>
        <w:rPr>
          <w:rFonts w:ascii="Amiri" w:hAnsi="Amiri" w:eastAsia="Amiri" w:cs="Amiri"/>
          <w:color w:val="111111"/>
          <w:sz w:val="28"/>
          <w:sz w:val="28"/>
          <w:szCs w:val="28"/>
          <w:rtl w:val="true"/>
          <w:lang w:bidi="ar-SA"/>
        </w:rPr>
        <w:t>، إذ قال فيما يخصّ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تحريم الغلو في كل أمر من أمور الدين فثابت كتاباً وسنةً،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تغلو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والغلوّ في الدين، فإنَّما أهلك مَن كان قبلكم الغلوّ في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أحمد والنسائي وابن ماجة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يتحقق الغلو إلاّ بإطلاق ما لا يحل إطلاقه في المحبوب المغلوّ في حبِّه، أو فعل ما لا يحل فعله، أو ذكر الغير بما لا يحل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زيادة محبة الشخص لبعض أهل الإيمان، مع محبته لهم جميعاً، فهذا لا إثم فيه، ولا قدح به، وإن سمّي 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بعض المؤمنين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 من بعض، واشتهر أنَّ أسامة بن زيد حبّ رسول الله، وكانت عائشة أحبّ نسائه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فالشيعي المطلق قد أتى بالواجب من محبَّة هذا البعض من المؤمنين، فإن كان غالياً، فقد ابتدع بالغلو، وأثم إن أفضى به إلى ما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مجرّد زيادة المحبة والميل، فهو إذا صحّ أنّه غلو، فلا إثم فيه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Heading4"/>
        <w:numPr>
          <w:ilvl w:val="3"/>
          <w:numId w:val="1"/>
        </w:numPr>
        <w:rPr/>
      </w:pPr>
      <w:bookmarkStart w:id="154" w:name="__RefHeading___Toc928501_3650668749"/>
      <w:bookmarkStart w:id="155" w:name="_Toc54"/>
      <w:bookmarkEnd w:id="154"/>
      <w:r>
        <w:rPr>
          <w:rtl w:val="true"/>
        </w:rPr>
        <w:t>المبحث الثانى</w:t>
      </w:r>
      <w:r>
        <w:rPr>
          <w:rtl w:val="true"/>
        </w:rPr>
        <w:t xml:space="preserve">: </w:t>
      </w:r>
      <w:r>
        <w:rPr>
          <w:rtl w:val="true"/>
        </w:rPr>
        <w:t xml:space="preserve">كيف ضعَّفوا الشيعى؟ </w:t>
      </w:r>
      <w:r>
        <w:rPr>
          <w:rtl w:val="true"/>
        </w:rPr>
        <w:t>!</w:t>
      </w:r>
      <w:bookmarkEnd w:id="155"/>
    </w:p>
    <w:p>
      <w:pPr>
        <w:pStyle w:val="Heading5"/>
        <w:numPr>
          <w:ilvl w:val="4"/>
          <w:numId w:val="1"/>
        </w:numPr>
        <w:rPr/>
      </w:pPr>
      <w:bookmarkStart w:id="156" w:name="__RefHeading___Toc928503_3650668749"/>
      <w:bookmarkStart w:id="157" w:name="_Toc55"/>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لقد انتهج أغلب علماء الحديث عند الجمهور منهجين لتضعيفهم لمَن رموه بالتشيع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تضعيفهم للشيعي إجمالاً عن طريق إطلاق قواعد وعبارات جُعلت ركائز للتضعيف، تنطبق نتيجتها على التشيع ككل، لتجعله مصداقاً مميِّزاً لتلك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تضعيفهم لآحاد الشيعة عملياً عند المرور بتراجمهم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وسنعرض كلا الأُسلوبين</w:t>
      </w:r>
      <w:r>
        <w:rPr>
          <w:rFonts w:eastAsia="Amiri" w:cs="Amiri" w:ascii="Amiri" w:hAnsi="Amiri"/>
          <w:color w:val="111111"/>
          <w:sz w:val="28"/>
          <w:szCs w:val="28"/>
          <w:rtl w:val="true"/>
          <w:lang w:bidi="ar-SA"/>
        </w:rPr>
        <w:t xml:space="preserve">: </w:t>
      </w:r>
      <w:bookmarkStart w:id="158" w:name="pg1614_13611"/>
    </w:p>
    <w:p>
      <w:pPr>
        <w:pStyle w:val="Heading5"/>
        <w:numPr>
          <w:ilvl w:val="4"/>
          <w:numId w:val="1"/>
        </w:numPr>
        <w:rPr/>
      </w:pPr>
      <w:bookmarkStart w:id="159" w:name="__RefHeading___Toc928505_3650668749"/>
      <w:bookmarkStart w:id="160" w:name="_Toc56"/>
      <w:bookmarkEnd w:id="158"/>
      <w:bookmarkEnd w:id="159"/>
      <w:r>
        <w:rPr>
          <w:rtl w:val="true"/>
        </w:rPr>
        <w:t>المنهج الأوَّل</w:t>
      </w:r>
      <w:r>
        <w:rPr>
          <w:rtl w:val="true"/>
        </w:rPr>
        <w:t xml:space="preserve">: </w:t>
      </w:r>
      <w:r>
        <w:rPr>
          <w:rtl w:val="true"/>
        </w:rPr>
        <w:t>تضعيفهم لمَن رموه بالتشيُّع إجمالاً</w:t>
      </w:r>
      <w:bookmarkEnd w:id="160"/>
    </w:p>
    <w:p>
      <w:pPr>
        <w:pStyle w:val="Heading6"/>
        <w:numPr>
          <w:ilvl w:val="5"/>
          <w:numId w:val="1"/>
        </w:numPr>
        <w:rPr/>
      </w:pPr>
      <w:bookmarkStart w:id="161" w:name="__RefHeading___Toc928507_3650668749"/>
      <w:bookmarkStart w:id="162" w:name="_Toc57"/>
      <w:bookmarkEnd w:id="161"/>
      <w:r>
        <w:rPr>
          <w:rtl w:val="true"/>
        </w:rPr>
        <w:t>اشاره</w:t>
      </w:r>
      <w:bookmarkEnd w:id="162"/>
    </w:p>
    <w:p>
      <w:pPr>
        <w:pStyle w:val="BookText"/>
        <w:rPr/>
      </w:pPr>
      <w:r>
        <w:rPr>
          <w:rFonts w:ascii="Amiri" w:hAnsi="Amiri" w:eastAsia="Amiri" w:cs="Amiri"/>
          <w:color w:val="111111"/>
          <w:sz w:val="28"/>
          <w:sz w:val="28"/>
          <w:szCs w:val="28"/>
          <w:rtl w:val="true"/>
          <w:lang w:bidi="ar-SA"/>
        </w:rPr>
        <w:t>وذلك من خلال تأسيس قواعد في الجرح والتعديل تجعل من التشيع مصداقاً جلياً لها، وأكثر ما تنطبق تلك القواعد على التشيع بعدما جعلوه من البدع، وسنعرض نماذج لتلك القواعد التي حكّموها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نصوص لكبار علماء الحديث من الجمهور، والتي جعلت قواعد لذلك</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928509_3650668749"/>
      <w:bookmarkStart w:id="164" w:name="_Toc58"/>
      <w:bookmarkEnd w:id="163"/>
      <w:r>
        <w:rPr/>
        <w:t>١</w:t>
      </w:r>
      <w:r>
        <w:rPr>
          <w:rtl w:val="true"/>
        </w:rPr>
        <w:t xml:space="preserve">- </w:t>
      </w:r>
      <w:r>
        <w:rPr>
          <w:rtl w:val="true"/>
        </w:rPr>
        <w:t>التضعيف بسبب الاعتقاد</w:t>
      </w:r>
      <w:bookmarkEnd w:id="164"/>
    </w:p>
    <w:p>
      <w:pPr>
        <w:pStyle w:val="BookText"/>
        <w:rPr/>
      </w:pPr>
      <w:r>
        <w:rPr>
          <w:rFonts w:ascii="Amiri" w:hAnsi="Amiri" w:eastAsia="Amiri" w:cs="Amiri"/>
          <w:color w:val="111111"/>
          <w:sz w:val="28"/>
          <w:sz w:val="28"/>
          <w:szCs w:val="28"/>
          <w:rtl w:val="true"/>
          <w:lang w:bidi="ar-SA"/>
        </w:rPr>
        <w:t>خصوصاً إذا كان الراوي المعتقد داعيةً لبدعته، فقد طُبِّقت هذه القاعدة على كثير من المبتدعة، كفرق الخوارج والنواصب، وطبّقوها أيضاً على التشيع، قال 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تمييز أسباب الطعن في المذكورين، ومنه يتَّضح مَن يصلح منهم للاحتجاج به ومَن لا يصلح،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ضعفه بسبب الاعتقاد، وقد قدمنا حكمه، وبيَّنَّا في ترجمة كل منهم أنَّه ما لم يكن داعية، أو كان وتاب، أو اعتضدت روايته بمتابع،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بيان ما رُموا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عليّ وتقديمه على الصحابة، فمَن قدَّمه على أبي‌بكر وعمر فهو غالٍ في التشيع، ويطلق عليه رافضي، وإلاّ فشيعي</w:t>
      </w:r>
      <w:r>
        <w:rPr>
          <w:rFonts w:eastAsia="Amiri" w:cs="Amiri" w:ascii="Amiri" w:hAnsi="Amiri"/>
          <w:color w:val="111111"/>
          <w:sz w:val="28"/>
          <w:szCs w:val="28"/>
          <w:rtl w:val="true"/>
          <w:lang w:bidi="ar-SA"/>
        </w:rPr>
        <w:t>. . .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وتقدم منّا أنَّ ما ذهب إليه العسقلاني يخالف ما ذهب إليه غيره من أنَّ معنى التشيع هو محبة علي عليه السلام وموالاته، وتقديمه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اعتباره الغلو في التشيع هو تقديم علي عليه السلام على الشيخين، أيضاً مخالف لمَن اعتبر المغالاة في التشيع هو الحطّ من غير علي عليه السلام، لا مجرَّد التقديم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قد جُعل الشيعي من مصاديقها، فيضعّف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أنَّهم تداركوا الأمر بقاعدة قبول قول المبتدع إذا لم يكن داعية، فإذا ناقش أحد في هذه القاعدة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حينئذٍ على مبانيهم أن تُرفض رواية الشيعي، وهذا هو مذهب كثير ممَّن ردَّ رواية المبتدع، واعتبره فاسقاً لا ينفعه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كل ذلك في الفصل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قبول رواية المبتدع مع عدم دعوته هو قول الأكثر؛ ويقابله قول الكثير؛ لذا قال الدهلوي ما هذا نصّه</w:t>
      </w:r>
      <w:r>
        <w:rPr>
          <w:rFonts w:eastAsia="Amiri" w:cs="Amiri" w:ascii="Amiri" w:hAnsi="Amiri"/>
          <w:color w:val="111111"/>
          <w:sz w:val="28"/>
          <w:szCs w:val="28"/>
          <w:rtl w:val="true"/>
          <w:lang w:bidi="ar-SA"/>
        </w:rPr>
        <w:t xml:space="preserve">: </w:t>
      </w:r>
      <w:bookmarkStart w:id="165" w:name="pg1614_13612"/>
    </w:p>
    <w:p>
      <w:pPr>
        <w:pStyle w:val="BookText"/>
        <w:rPr/>
      </w:pPr>
      <w:bookmarkEnd w:id="165"/>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وبالجملة، الأئمَّة مختلفون في أخذ الحديث من أهل البدع والأهواء، وأرباب المذاهب الزائغة، وقال صاحب 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جماعة من أئمَّة الحديث من فرقة الخوارج، والمنتسبين إلى القدر والتشيع والرفض، وسائر أصحاب البدع والأهواء، وقد احتاط جماعة آخرون وتورَّعوا من أخذ الحديث من هذه الفرق</w:t>
      </w:r>
      <w:r>
        <w:rPr>
          <w:rFonts w:eastAsia="Amiri" w:cs="Amiri" w:ascii="Amiri" w:hAnsi="Amiri"/>
          <w:color w:val="111111"/>
          <w:sz w:val="28"/>
          <w:szCs w:val="28"/>
          <w:rtl w:val="true"/>
          <w:lang w:bidi="ar-SA"/>
        </w:rPr>
        <w:t>. . . .</w:t>
      </w:r>
      <w:r>
        <w:rPr>
          <w:rStyle w:val="FootnoteAnchor"/>
          <w:rtl w:val="true"/>
        </w:rPr>
        <w:footnoteReference w:id="262"/>
      </w:r>
    </w:p>
    <w:p>
      <w:pPr>
        <w:pStyle w:val="Heading6"/>
        <w:numPr>
          <w:ilvl w:val="5"/>
          <w:numId w:val="1"/>
        </w:numPr>
        <w:rPr/>
      </w:pPr>
      <w:bookmarkStart w:id="166" w:name="__RefHeading___Toc928511_3650668749"/>
      <w:bookmarkStart w:id="167" w:name="_Toc59"/>
      <w:bookmarkEnd w:id="166"/>
      <w:r>
        <w:rPr/>
        <w:t>٢</w:t>
      </w:r>
      <w:r>
        <w:rPr>
          <w:rtl w:val="true"/>
        </w:rPr>
        <w:t xml:space="preserve">- </w:t>
      </w:r>
      <w:r>
        <w:rPr>
          <w:rtl w:val="true"/>
        </w:rPr>
        <w:t>قاعدة عدم قبول قول مبتدع في مبتدع</w:t>
      </w:r>
      <w:bookmarkEnd w:id="167"/>
    </w:p>
    <w:p>
      <w:pPr>
        <w:pStyle w:val="BookText"/>
        <w:rPr/>
      </w:pPr>
      <w:r>
        <w:rPr>
          <w:rFonts w:ascii="Amiri" w:hAnsi="Amiri" w:eastAsia="Amiri" w:cs="Amiri"/>
          <w:color w:val="111111"/>
          <w:sz w:val="28"/>
          <w:sz w:val="28"/>
          <w:szCs w:val="28"/>
          <w:rtl w:val="true"/>
          <w:lang w:bidi="ar-SA"/>
        </w:rPr>
        <w:t>وهذه أيضاً من القواعد التي أسَّسوها، وجعلوا من مصاديق المبتدع فيها الشيعي أو غير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قدح الشيعي بغيره، لم يُقبل قوله، مثلما لم يقبل العكس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الكلام في أصل القاعدة، بل الكلام فى مصاديقها، فقد ثبت بما تقدّم من تعاريف وأقوال في التشيّع، عدم دخول البدعة فيه، وعدم علاقة التشيع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 في ترجمة إسماعيل بن أبان الورّاق الكوفي، الذي ضعّفه بعضهم لتشيّعه،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مائلاً عن الحق، ولم يكن يكذب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عليه الكوفيون من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الجوزجاني كان ناصبياً منحرفاً عن علي، فهو ضدّ الشيعي المنحرف عن عثمان، والصواب موالاتهما جميعاً، ولا ينبغي أن يُسمَع قول مبتدع في مبتدع</w:t>
      </w:r>
      <w:r>
        <w:rPr>
          <w:rFonts w:eastAsia="Amiri" w:cs="Amiri" w:ascii="Amiri" w:hAnsi="Amiri"/>
          <w:color w:val="111111"/>
          <w:sz w:val="28"/>
          <w:szCs w:val="28"/>
          <w:rtl w:val="true"/>
          <w:lang w:bidi="ar-SA"/>
        </w:rPr>
        <w:t xml:space="preserve">. . . .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وعلى هذا، فلو انعكس الأمر، وطعن إسماعيل بن أبان المذكور بالجوزجاني، وقال إنَّه ناصبي مائل عن الحق، لَما قُبل قوله حينئذٍ، طبقاً لهذه القاعدة</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928513_3650668749"/>
      <w:bookmarkStart w:id="169" w:name="_Toc60"/>
      <w:bookmarkEnd w:id="168"/>
      <w:r>
        <w:rPr/>
        <w:t>٣</w:t>
      </w:r>
      <w:r>
        <w:rPr>
          <w:rtl w:val="true"/>
        </w:rPr>
        <w:t xml:space="preserve">- </w:t>
      </w:r>
      <w:r>
        <w:rPr>
          <w:rtl w:val="true"/>
        </w:rPr>
        <w:t>التضعيف بسبب الرمي بالتشيُّع الناتج من رواية الفضائل</w:t>
      </w:r>
      <w:bookmarkEnd w:id="1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النوع من التضعيف شائع ومُستَشرٍ في كتب الحديث والتراجم عند الجمهور، ومن السهولة وضع اليد على مصاديق كثيرة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أحمد بن محمد بن الصديق الغماري الحسني</w:t>
      </w:r>
      <w:r>
        <w:rPr>
          <w:rStyle w:val="FootnoteAnchor"/>
          <w:rtl w:val="true"/>
        </w:rPr>
        <w:footnoteReference w:id="264"/>
      </w:r>
      <w:r>
        <w:rPr>
          <w:rFonts w:ascii="Amiri" w:hAnsi="Amiri" w:eastAsia="Amiri" w:cs="Amiri"/>
          <w:color w:val="111111"/>
          <w:sz w:val="28"/>
          <w:sz w:val="28"/>
          <w:szCs w:val="28"/>
          <w:rtl w:val="true"/>
          <w:lang w:bidi="ar-SA"/>
        </w:rPr>
        <w:t>نصّه</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الحديث في فضل علي وراويه مُتَّهم بالتشيُّع، بل مجرّد كون الحديث في الفضائل؛ من أكبر أسباب الطعن عندهم في الرواة، ولو لم يتّهموا بالتشيّع، فإنَّ مَن روى ذلك لا يتوقَّفون في طعنه، ولا يتورَّعون عن جرحه، ولو كان أوثق الثقات وأعدل العدول وقد تقدم عن أبي زرعة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قومٍ افتضحوا بهذا الحديث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حديث 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كل مَن حدّث به يحكمون عليه بالضعف، ولو كان معروفاً عندهم 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الضعف هو التحديث بفضل علي، حتى أنَّهم ضعَّفوا به جماعة من الحفاظ المشاهير، ورموهم بالرفض والتشيُّع، كمحمد بن جرير الطبري </w:t>
      </w:r>
      <w:r>
        <w:rPr>
          <w:rStyle w:val="FootnoteAnchor"/>
          <w:rtl w:val="true"/>
        </w:rPr>
        <w:footnoteReference w:id="266"/>
      </w:r>
      <w:r>
        <w:rPr>
          <w:rFonts w:ascii="Amiri" w:hAnsi="Amiri" w:eastAsia="Amiri" w:cs="Amiri"/>
          <w:color w:val="111111"/>
          <w:sz w:val="28"/>
          <w:sz w:val="28"/>
          <w:szCs w:val="28"/>
          <w:rtl w:val="true"/>
          <w:lang w:bidi="ar-SA"/>
        </w:rPr>
        <w:t>، وتكلّموا فيه لتصحيحه حديث الموالاة</w:t>
      </w:r>
      <w:r>
        <w:rPr>
          <w:rStyle w:val="FootnoteAnchor"/>
          <w:rtl w:val="true"/>
        </w:rPr>
        <w:footnoteReference w:id="267"/>
      </w:r>
      <w:r>
        <w:rPr>
          <w:rFonts w:ascii="Amiri" w:hAnsi="Amiri" w:eastAsia="Amiri" w:cs="Amiri"/>
          <w:color w:val="111111"/>
          <w:sz w:val="28"/>
          <w:sz w:val="28"/>
          <w:szCs w:val="28"/>
          <w:rtl w:val="true"/>
          <w:lang w:bidi="ar-SA"/>
        </w:rPr>
        <w:t xml:space="preserve">، والحاكم </w:t>
      </w:r>
      <w:r>
        <w:rPr>
          <w:rStyle w:val="FootnoteAnchor"/>
          <w:rtl w:val="true"/>
        </w:rPr>
        <w:footnoteReference w:id="268"/>
      </w:r>
      <w:r>
        <w:rPr>
          <w:rFonts w:ascii="Amiri" w:hAnsi="Amiri" w:eastAsia="Amiri" w:cs="Amiri"/>
          <w:color w:val="111111"/>
          <w:sz w:val="28"/>
          <w:sz w:val="28"/>
          <w:szCs w:val="28"/>
          <w:rtl w:val="true"/>
          <w:lang w:bidi="ar-SA"/>
        </w:rPr>
        <w:t xml:space="preserve">صاحب المستدرك </w:t>
      </w:r>
      <w:r>
        <w:rPr>
          <w:rStyle w:val="FootnoteAnchor"/>
          <w:rtl w:val="true"/>
        </w:rPr>
        <w:footnoteReference w:id="269"/>
      </w:r>
      <w:r>
        <w:rPr>
          <w:rFonts w:ascii="Amiri" w:hAnsi="Amiri" w:eastAsia="Amiri" w:cs="Amiri"/>
          <w:color w:val="111111"/>
          <w:sz w:val="28"/>
          <w:sz w:val="28"/>
          <w:szCs w:val="28"/>
          <w:rtl w:val="true"/>
          <w:lang w:bidi="ar-SA"/>
        </w:rPr>
        <w:t xml:space="preserve">لتصحيحه حديث الطير وحديث الموالاة </w:t>
      </w:r>
      <w:r>
        <w:rPr>
          <w:rStyle w:val="FootnoteAnchor"/>
          <w:rtl w:val="true"/>
        </w:rPr>
        <w:footnoteReference w:id="270"/>
      </w:r>
      <w:r>
        <w:rPr>
          <w:rFonts w:ascii="IRNazanin" w:hAnsi="IRNazanin" w:eastAsia="IRNazanin"/>
          <w:color w:val="111111"/>
          <w:sz w:val="28"/>
          <w:sz w:val="28"/>
          <w:szCs w:val="28"/>
          <w:rtl w:val="true"/>
          <w:lang w:bidi="fa-IR"/>
        </w:rPr>
        <w:t xml:space="preserve">، والحافظ ابن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السقا </w:t>
      </w:r>
      <w:r>
        <w:rPr>
          <w:rStyle w:val="FootnoteAnchor"/>
          <w:rtl w:val="true"/>
        </w:rPr>
        <w:footnoteReference w:id="271"/>
      </w:r>
      <w:r>
        <w:rPr>
          <w:rFonts w:ascii="Amiri" w:hAnsi="Amiri" w:eastAsia="Amiri" w:cs="Amiri"/>
          <w:color w:val="111111"/>
          <w:sz w:val="28"/>
          <w:sz w:val="28"/>
          <w:szCs w:val="28"/>
          <w:rtl w:val="true"/>
          <w:lang w:bidi="ar-SA"/>
        </w:rPr>
        <w:t xml:space="preserve">لإملائه حديث الطير </w:t>
      </w:r>
      <w:r>
        <w:rPr>
          <w:rStyle w:val="FootnoteAnchor"/>
          <w:rtl w:val="true"/>
        </w:rPr>
        <w:footnoteReference w:id="272"/>
      </w:r>
      <w:r>
        <w:rPr>
          <w:rFonts w:ascii="Amiri" w:hAnsi="Amiri" w:eastAsia="Amiri" w:cs="Amiri"/>
          <w:color w:val="111111"/>
          <w:sz w:val="28"/>
          <w:sz w:val="28"/>
          <w:szCs w:val="28"/>
          <w:rtl w:val="true"/>
          <w:lang w:bidi="ar-SA"/>
        </w:rPr>
        <w:t xml:space="preserve">، ووثبوا إليه ساعة الإملاء وأقاموه وغسلوا موضعه </w:t>
      </w:r>
      <w:r>
        <w:rPr>
          <w:rStyle w:val="FootnoteAnchor"/>
          <w:rtl w:val="true"/>
        </w:rPr>
        <w:footnoteReference w:id="273"/>
      </w:r>
      <w:r>
        <w:rPr>
          <w:rFonts w:ascii="Amiri" w:hAnsi="Amiri" w:eastAsia="Amiri" w:cs="Amiri"/>
          <w:color w:val="111111"/>
          <w:sz w:val="28"/>
          <w:sz w:val="28"/>
          <w:szCs w:val="28"/>
          <w:rtl w:val="true"/>
          <w:lang w:bidi="ar-SA"/>
        </w:rPr>
        <w:t xml:space="preserve">، والحافظ الحسكاني </w:t>
      </w:r>
      <w:r>
        <w:rPr>
          <w:rStyle w:val="FootnoteAnchor"/>
          <w:rtl w:val="true"/>
        </w:rPr>
        <w:footnoteReference w:id="274"/>
      </w:r>
      <w:r>
        <w:rPr>
          <w:rFonts w:ascii="Amiri" w:hAnsi="Amiri" w:eastAsia="Amiri" w:cs="Amiri"/>
          <w:color w:val="111111"/>
          <w:sz w:val="28"/>
          <w:sz w:val="28"/>
          <w:szCs w:val="28"/>
          <w:rtl w:val="true"/>
          <w:lang w:bidi="ar-SA"/>
        </w:rPr>
        <w:t xml:space="preserve">لتصحيحه حديث ردّ الشمس </w:t>
      </w:r>
      <w:r>
        <w:rPr>
          <w:rStyle w:val="FootnoteAnchor"/>
          <w:rtl w:val="true"/>
        </w:rPr>
        <w:footnoteReference w:id="27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وإبراهيم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العزيز بن الضحاك </w:t>
      </w:r>
      <w:r>
        <w:rPr>
          <w:rStyle w:val="FootnoteAnchor"/>
          <w:rtl w:val="true"/>
        </w:rPr>
        <w:footnoteReference w:id="276"/>
      </w:r>
      <w:r>
        <w:rPr>
          <w:rFonts w:ascii="Amiri" w:hAnsi="Amiri" w:eastAsia="Amiri" w:cs="Amiri"/>
          <w:color w:val="111111"/>
          <w:sz w:val="28"/>
          <w:sz w:val="28"/>
          <w:szCs w:val="28"/>
          <w:rtl w:val="true"/>
          <w:lang w:bidi="ar-SA"/>
        </w:rPr>
        <w:t>لكونه أملى مجالس في فضائل أبي بكر وعمر،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نبدأ بعلي أو بعثمان </w:t>
      </w:r>
      <w:r>
        <w:rPr>
          <w:rStyle w:val="FootnoteAnchor"/>
          <w:rtl w:val="true"/>
        </w:rPr>
        <w:footnoteReference w:id="277"/>
      </w:r>
      <w:r>
        <w:rPr>
          <w:rFonts w:ascii="Amiri" w:hAnsi="Amiri" w:eastAsia="Amiri" w:cs="Amiri"/>
          <w:color w:val="111111"/>
          <w:sz w:val="28"/>
          <w:sz w:val="28"/>
          <w:szCs w:val="28"/>
          <w:rtl w:val="true"/>
          <w:lang w:bidi="ar-SA"/>
        </w:rPr>
        <w:t>، فتفرقوا عنه وضعّفوه، مع أنَّ المسألة خلافية لا تستوجب ذلك كما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نسبوا الدارقطني إلى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لحفظه ديوان السيد لحميري </w:t>
      </w:r>
      <w:r>
        <w:rPr>
          <w:rStyle w:val="FootnoteAnchor"/>
          <w:rtl w:val="true"/>
        </w:rPr>
        <w:footnoteReference w:id="27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وضعَّفوا المسعودي </w:t>
      </w:r>
      <w:r>
        <w:rPr>
          <w:rStyle w:val="FootnoteAnchor"/>
          <w:rtl w:val="true"/>
        </w:rPr>
        <w:footnoteReference w:id="279"/>
      </w:r>
      <w:r>
        <w:rPr>
          <w:rFonts w:ascii="Amiri" w:hAnsi="Amiri" w:eastAsia="Amiri" w:cs="Amiri"/>
          <w:color w:val="111111"/>
          <w:sz w:val="28"/>
          <w:sz w:val="28"/>
          <w:szCs w:val="28"/>
          <w:rtl w:val="true"/>
          <w:lang w:bidi="ar-SA"/>
        </w:rPr>
        <w:t>، وحكموا بتشيُّعه؛ لقوله في مروج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والأشياء التي استحق بها أصحاب رسول الله الفضل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إلى الإيمان، والهجرة، والنصرة للرسول، والقربى منه، والقناعة، وبذل النفس له، والعلم بالكتاب والتنزيل، والجهاد في سبيل الله، والورع والزهد، والقضاء والحكم، والعفّة، والعلم، وكل ذلك لعلي منه النصيب الأوفر والحظ الأكبر </w:t>
      </w:r>
      <w:r>
        <w:rPr>
          <w:rStyle w:val="FootnoteAnchor"/>
          <w:rtl w:val="true"/>
        </w:rPr>
        <w:footnoteReference w:id="280"/>
      </w:r>
      <w:r>
        <w:rPr>
          <w:rFonts w:ascii="Amiri" w:hAnsi="Amiri" w:eastAsia="Amiri" w:cs="Amiri"/>
          <w:color w:val="111111"/>
          <w:sz w:val="28"/>
          <w:sz w:val="28"/>
          <w:szCs w:val="28"/>
          <w:rtl w:val="true"/>
          <w:lang w:bidi="ar-SA"/>
        </w:rPr>
        <w:t>، إلى ما ينفرد به من المؤاخاة والموالاة والمنزلة، إلخ</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مع أنَّ كل ما قاله حقّ لا شك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وضعفوا برواية حديث الطير خلائق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باب البصري </w:t>
      </w:r>
      <w:r>
        <w:rPr>
          <w:rStyle w:val="FootnoteAnchor"/>
          <w:rtl w:val="true"/>
        </w:rPr>
        <w:footnoteReference w:id="281"/>
      </w:r>
      <w:r>
        <w:rPr>
          <w:rFonts w:ascii="Amiri" w:hAnsi="Amiri" w:eastAsia="Amiri" w:cs="Amiri"/>
          <w:color w:val="111111"/>
          <w:sz w:val="28"/>
          <w:sz w:val="28"/>
          <w:szCs w:val="28"/>
          <w:rtl w:val="true"/>
          <w:lang w:bidi="ar-SA"/>
        </w:rPr>
        <w:t xml:space="preserve">وأحمد بن سعيد بن فرقد الجدي </w:t>
      </w:r>
      <w:r>
        <w:rPr>
          <w:rStyle w:val="FootnoteAnchor"/>
          <w:rtl w:val="true"/>
        </w:rPr>
        <w:footnoteReference w:id="282"/>
      </w:r>
      <w:r>
        <w:rPr>
          <w:rFonts w:ascii="Amiri" w:hAnsi="Amiri" w:eastAsia="Amiri" w:cs="Amiri"/>
          <w:color w:val="111111"/>
          <w:sz w:val="28"/>
          <w:sz w:val="28"/>
          <w:szCs w:val="28"/>
          <w:rtl w:val="true"/>
          <w:lang w:bidi="ar-SA"/>
        </w:rPr>
        <w:t xml:space="preserve">، وحماد بن يحيى بن المختار </w:t>
      </w:r>
      <w:r>
        <w:rPr>
          <w:rStyle w:val="FootnoteAnchor"/>
          <w:rtl w:val="true"/>
        </w:rPr>
        <w:footnoteReference w:id="283"/>
      </w:r>
      <w:r>
        <w:rPr>
          <w:rFonts w:ascii="Amiri" w:hAnsi="Amiri" w:eastAsia="Amiri" w:cs="Amiri"/>
          <w:color w:val="111111"/>
          <w:sz w:val="28"/>
          <w:sz w:val="28"/>
          <w:szCs w:val="28"/>
          <w:rtl w:val="true"/>
          <w:lang w:bidi="ar-SA"/>
        </w:rPr>
        <w:t>، وغيرهم، وقد أورد هؤلاء الذهبي وضعَّفهم تبعاً، واستقلالاً بحديث الطير، مع اعترافه بثبوته في التذكرة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وضعَّفوا بحديث الباب </w:t>
      </w:r>
      <w:r>
        <w:rPr>
          <w:rStyle w:val="FootnoteAnchor"/>
          <w:rtl w:val="true"/>
        </w:rPr>
        <w:footnoteReference w:id="284"/>
      </w:r>
      <w:r>
        <w:rPr>
          <w:rFonts w:ascii="Amiri" w:hAnsi="Amiri" w:eastAsia="Amiri" w:cs="Amiri"/>
          <w:color w:val="111111"/>
          <w:sz w:val="28"/>
          <w:sz w:val="28"/>
          <w:szCs w:val="28"/>
          <w:rtl w:val="true"/>
          <w:lang w:bidi="ar-SA"/>
        </w:rPr>
        <w:t>جماعة أيضاً،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عمران بن سلمة </w:t>
      </w:r>
      <w:r>
        <w:rPr>
          <w:rStyle w:val="FootnoteAnchor"/>
          <w:rtl w:val="true"/>
        </w:rPr>
        <w:footnoteReference w:id="285"/>
      </w:r>
      <w:r>
        <w:rPr>
          <w:rFonts w:ascii="Amiri" w:hAnsi="Amiri" w:eastAsia="Amiri" w:cs="Amiri"/>
          <w:color w:val="111111"/>
          <w:sz w:val="28"/>
          <w:sz w:val="28"/>
          <w:szCs w:val="28"/>
          <w:rtl w:val="true"/>
          <w:lang w:bidi="ar-SA"/>
        </w:rPr>
        <w:t xml:space="preserve">، وأحمد بن سلمة الكوفي </w:t>
      </w:r>
      <w:r>
        <w:rPr>
          <w:rStyle w:val="FootnoteAnchor"/>
          <w:rtl w:val="true"/>
        </w:rPr>
        <w:footnoteReference w:id="286"/>
      </w:r>
      <w:r>
        <w:rPr>
          <w:rFonts w:ascii="Amiri" w:hAnsi="Amiri" w:eastAsia="Amiri" w:cs="Amiri"/>
          <w:color w:val="111111"/>
          <w:sz w:val="28"/>
          <w:sz w:val="28"/>
          <w:szCs w:val="28"/>
          <w:rtl w:val="true"/>
          <w:lang w:bidi="ar-SA"/>
        </w:rPr>
        <w:t>، وأحمد بن عبدالله بن يزيد</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وضعّفوا بحديث الشمس </w:t>
      </w:r>
      <w:r>
        <w:rPr>
          <w:rStyle w:val="FootnoteAnchor"/>
          <w:rtl w:val="true"/>
        </w:rPr>
        <w:footnoteReference w:id="288"/>
      </w:r>
      <w:r>
        <w:rPr>
          <w:rFonts w:ascii="Amiri" w:hAnsi="Amiri" w:eastAsia="Amiri" w:cs="Amiri"/>
          <w:color w:val="111111"/>
          <w:sz w:val="28"/>
          <w:sz w:val="28"/>
          <w:szCs w:val="28"/>
          <w:rtl w:val="true"/>
          <w:lang w:bidi="ar-SA"/>
        </w:rPr>
        <w:t>وغيره اُمماً لا تحصى</w:t>
      </w:r>
      <w:r>
        <w:rPr>
          <w:rFonts w:eastAsia="Amiri" w:cs="Amiri" w:ascii="Amiri" w:hAnsi="Amiri"/>
          <w:color w:val="111111"/>
          <w:sz w:val="28"/>
          <w:szCs w:val="28"/>
          <w:rtl w:val="true"/>
          <w:lang w:bidi="ar-SA"/>
        </w:rPr>
        <w:t xml:space="preserve">. . . .» . </w:t>
      </w:r>
      <w:r>
        <w:rPr>
          <w:rStyle w:val="FootnoteAnchor"/>
          <w:rtl w:val="true"/>
        </w:rPr>
        <w:footnoteReference w:id="289"/>
      </w:r>
      <w:bookmarkStart w:id="170" w:name="pg1614_13617"/>
    </w:p>
    <w:p>
      <w:pPr>
        <w:pStyle w:val="BookText"/>
        <w:rPr/>
      </w:pPr>
      <w:bookmarkEnd w:id="170"/>
      <w:r>
        <w:rPr>
          <w:rFonts w:ascii="Amiri" w:hAnsi="Amiri" w:eastAsia="Amiri" w:cs="Amiri"/>
          <w:color w:val="111111"/>
          <w:sz w:val="28"/>
          <w:sz w:val="28"/>
          <w:szCs w:val="28"/>
          <w:rtl w:val="true"/>
          <w:lang w:bidi="ar-SA"/>
        </w:rPr>
        <w:t>إلى آخر كلام الحافظ الغماري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إنَّما ذكرنا تراجم بعض مَن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كنماذج؛ لأنَّ تراجم جميعهم تحتاج إلى موضع أوسع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التراجم التي ذكرناها كفاية في إثبات أصل ما ذكرناه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يدلّ على أنَّ مجرّد رواية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علي أو أهل بيته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رمي الراوي بالتشيُّع أو الرفض، ومن ثمَّ تضعيفه وترك حديثه</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928515_3650668749"/>
      <w:bookmarkStart w:id="172" w:name="_Toc61"/>
      <w:bookmarkEnd w:id="171"/>
      <w:r>
        <w:rPr/>
        <w:t>4</w:t>
      </w:r>
      <w:r>
        <w:rPr>
          <w:rtl w:val="true"/>
        </w:rPr>
        <w:t xml:space="preserve">- </w:t>
      </w:r>
      <w:r>
        <w:rPr>
          <w:rtl w:val="true"/>
        </w:rPr>
        <w:t>قاعدة اشتراط قبول رواية المبتدع فيما لا يقوي بدعته</w:t>
      </w:r>
      <w:bookmarkEnd w:id="172"/>
    </w:p>
    <w:p>
      <w:pPr>
        <w:pStyle w:val="BookText"/>
        <w:rPr/>
      </w:pPr>
      <w:r>
        <w:rPr>
          <w:rFonts w:ascii="Amiri" w:hAnsi="Amiri" w:eastAsia="Amiri" w:cs="Amiri"/>
          <w:color w:val="111111"/>
          <w:sz w:val="28"/>
          <w:sz w:val="28"/>
          <w:szCs w:val="28"/>
          <w:rtl w:val="true"/>
          <w:lang w:bidi="ar-SA"/>
        </w:rPr>
        <w:t>وهذه القاعدة أيضاً جعلوا من مصاديقها التشيُّع، أو الشيعي إذا روى في فضائل أمير المؤمنين علي عليه السلام، إذ إنّهم جعلوا علامة الشيعي كونه يروي في الفضائل، أي جعلت رواية الفضائل دليلاً على التشيُّع، ثُمَّ لم يقبل من الشيعي تلك الروايات؛ لأنّها ممّا يشيد بها بدعته، وبهذا تمَّ تضعيف الكثير من الرواة والروايات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الحافظ الغماري في كتابه فتح الملك العلي بصحّة حديث باب مدينة العلم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نسب إلى الجوزجاني أنّه أول مَن قال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 ما نصّه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يقيّد قولنا بقبول رواية المبتدع إذا كان صدوقاً، ولم يكن داعية، بشرط أن لا يكون الحديث الذي يحدِّث به ممّا يعضد بدعته ويشيدها، فإنّا لا نأمن حينئذٍ عليه غلبة الهوى، والله الموفّق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 على هذا القيد في هذه المسألة الحافظ أبو إسحاق إبراهيم بن يعقوب الجوزجاني، شيخ النسائي، فقال في مقدّمة كتابه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زائغ عن الحق، صدوق اللهجة، قد جرى في الناس حديثه، لكنَّه مخذول في بدعته، مأمون في روايته، فهؤلاء ليس فيهم حيلة إلاّ أن يؤخَذ من حديثهم ما يعرف، إلاّ ما يقوي به بدعتهم، فيتَّهم بذلك</w:t>
      </w:r>
      <w:r>
        <w:rPr>
          <w:rFonts w:eastAsia="Amiri" w:cs="Amiri" w:ascii="Amiri" w:hAnsi="Amiri"/>
          <w:color w:val="111111"/>
          <w:sz w:val="28"/>
          <w:szCs w:val="28"/>
          <w:rtl w:val="true"/>
          <w:lang w:bidi="ar-SA"/>
        </w:rPr>
        <w:t>. . .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فعلى هذا لو روى الشيعي ما فيه فضيلة لأمير المؤمنين علي عليه السلام، فحتى مع كونه ثقة مأمون صدوق اللهجة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مع ذلك يجب أن يتَّهم في ذلك، وهذا ما حدث مع أبي الصلت الهروي، عبد السلام بن صالح، لروايته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الذهبي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صالح، أبو الصلت الهروي، خادم علي بن موسى الرضا، عن مالك وحماد بن زيد، وعنه أحمد ابن أبي خيثمة، وعبدالله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 شيعي متَّهم، مع صلاحه، توفي </w:t>
      </w:r>
      <w:r>
        <w:rPr>
          <w:rFonts w:ascii="Amiri" w:hAnsi="Amiri" w:eastAsia="Amiri" w:cs="Amiri"/>
          <w:color w:val="111111"/>
          <w:sz w:val="28"/>
          <w:sz w:val="28"/>
          <w:szCs w:val="28"/>
          <w:lang w:bidi="ar-SA"/>
        </w:rPr>
        <w:t>٢٣۶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وكلّ ما جرى على هذا الرجل بسبب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المزي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وقال عمر بن الحسن بن علي بن مالك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إلاّ أنّه يتشيّع</w:t>
      </w:r>
      <w:r>
        <w:rPr>
          <w:rFonts w:eastAsia="Amiri" w:cs="Amiri" w:ascii="Amiri" w:hAnsi="Amiri"/>
          <w:color w:val="111111"/>
          <w:sz w:val="28"/>
          <w:szCs w:val="28"/>
          <w:rtl w:val="true"/>
          <w:lang w:bidi="ar-SA"/>
        </w:rPr>
        <w:t>»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ويشبه ما حدث لأبي الصلت ما حدث للمحدِّث والمصنّف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عبدالله الضبي، أبو عبدالله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رُمي بالتشيّع لتصحيحه روايات في فضائل أميرالمؤمنين علي عليه السلام، لذلك اتَّهمه بعضهم بالكذب وبالرفض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 في ترجمته للحاكم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عبدالله الضبي النيسابوري، الحاكم أبو عبدالله الحافظ، صاحب التصانيف، إمام صدوق، لكنَّه يصحِّح في مستدركه أحاديث ساقطة، فيكثر من ذلك، فما أدري هل خفيت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ممَّن يجهل ذلك، وإن علم فهو خيانة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شيعي مشهور بذلك، من غير تعرّضٍ للشيخين، وقد قال أبو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إسماعيل عبدالله الأنصاري عن الحاكم أبي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في الحديث، رافضي خبيث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الإنصاف، ما الرجل برافضي، بل شيعي فقط، ومن شقاشقه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الأمّة على أنّ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وقوله في أنَّ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p>
    <w:p>
      <w:pPr>
        <w:pStyle w:val="BookText"/>
        <w:rPr/>
      </w:pPr>
      <w:r>
        <w:rPr>
          <w:rFonts w:ascii="Amiri" w:hAnsi="Amiri" w:eastAsia="Amiri" w:cs="Amiri"/>
          <w:color w:val="111111"/>
          <w:sz w:val="28"/>
          <w:sz w:val="28"/>
          <w:szCs w:val="28"/>
          <w:rtl w:val="true"/>
          <w:lang w:bidi="ar-SA"/>
        </w:rPr>
        <w:t>مسروراً مختوناً قد تواتر هذا، وقوله إنَّ علياً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صدقه في نفسه، ومعرفته بهذا الشأن، فأمرٌ مُجمَع عليه، مات سنة خمس وأربعمائة</w:t>
      </w:r>
      <w:r>
        <w:rPr>
          <w:rFonts w:eastAsia="Amiri" w:cs="Amiri" w:ascii="Amiri" w:hAnsi="Amiri"/>
          <w:color w:val="111111"/>
          <w:sz w:val="28"/>
          <w:szCs w:val="28"/>
          <w:rtl w:val="true"/>
          <w:lang w:bidi="ar-SA"/>
        </w:rPr>
        <w:t xml:space="preserve">. . . .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وقال الحافظ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الخطيب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الحاكم كان ثقة، كان يميل إلى التشيُّع، فحدَّثني إبراهيم بن محمد الأرموي، وكان صالحاً عالماً،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الحاكم أحاديث وزعم أنَّها صحاح على شرط البخاري ومسلم، منها حديث الطير، ومَن كنت مولاه فعلي مولاه، فأنكرها عليه أصحاب الحديث، فلم يلتفتوا إلى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التعصّب للشيعة في الباطن، وكان يظهر التسنّن في التقديم والخلافة، وكان منحرفاً عن معاوية وآله، متظاهراً بذلك، ولا يعتذر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انحرافه عن خصوم علي فظاهر، وأمَّا أمر الشيخين، فمعظّم لهما بكل حال، فهو شيعي لا رافضي، وليته لم يصنِّف المستدرك، فإنَّه غض من فضائله بسوء تصرّفه</w:t>
      </w:r>
      <w:r>
        <w:rPr>
          <w:rFonts w:eastAsia="Amiri" w:cs="Amiri" w:ascii="Amiri" w:hAnsi="Amiri"/>
          <w:color w:val="111111"/>
          <w:sz w:val="28"/>
          <w:szCs w:val="28"/>
          <w:rtl w:val="true"/>
          <w:lang w:bidi="ar-SA"/>
        </w:rPr>
        <w:t>. . .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وما يشبه ذلك تكرر للمفسّر والمحدِّث الكبير محمد بن جرير الطبري، حين اتَّهمه الحافظ أحمد بن علي السليماني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للروافض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نَقل ذلك إبراهيم بن محمد بن سبط ابن العجمي، إذ قال ما نصّه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جرير الطبري، الإمام المفسّر، أبو جعفر شيخ الإسلام، وصاحب التصانيف الباهرة، توفي سنة عشرة وثلاثمائة، ثقة صادق، فيه تشيُّع وموالاة لا 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أنَّ سبب رميه بالتشيُّ‌ْع هو تصحيحه حديث غدير خم كما ذكر العسقلاني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أقذع أحمد بن علي السليماني الحافظ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للروافض، كذا قال 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رجم بالظن الكاذب، بل ابن جرير من كبار أئمّة الإسلام المعتمَدين، وما ندَّعي عصمته من الخطأ، ولا يحل لنا أن نؤذيه بالباطل والهوى، فإنَّ كلام العلماء بعضهم في بعض لا ينبغي أن يتأتّى فيه، ولاسيما في مثل إمام كبير</w:t>
      </w:r>
      <w:r>
        <w:rPr>
          <w:rFonts w:eastAsia="Amiri" w:cs="Amiri" w:ascii="Amiri" w:hAnsi="Amiri"/>
          <w:color w:val="111111"/>
          <w:sz w:val="28"/>
          <w:szCs w:val="28"/>
          <w:rtl w:val="true"/>
          <w:lang w:bidi="ar-SA"/>
        </w:rPr>
        <w:t xml:space="preserve">. </w:t>
      </w:r>
      <w:r>
        <w:rPr>
          <w:rStyle w:val="FootnoteAnchor"/>
          <w:rtl w:val="true"/>
        </w:rPr>
        <w:footnoteReference w:id="296"/>
      </w:r>
      <w:bookmarkStart w:id="173" w:name="pg1614_13620"/>
    </w:p>
    <w:p>
      <w:pPr>
        <w:pStyle w:val="BookText"/>
        <w:rPr/>
      </w:pPr>
      <w:bookmarkEnd w:id="173"/>
      <w:r>
        <w:rPr>
          <w:rFonts w:ascii="Amiri" w:hAnsi="Amiri" w:eastAsia="Amiri" w:cs="Amiri"/>
          <w:color w:val="111111"/>
          <w:sz w:val="28"/>
          <w:sz w:val="28"/>
          <w:szCs w:val="28"/>
          <w:rtl w:val="true"/>
          <w:lang w:bidi="ar-SA"/>
        </w:rPr>
        <w:t xml:space="preserve">هذه هي أهمُّ القواعد التي جُعلت أُسس يُنطلق منها لتضعيف الراوي الشيعي، فالملاحظ أنَّها كلها تصب في ذلك المجرى الواحد، بل الملاحظ من بعضها أنَّ الجرح بالتشيع ناتج عن حدس محض، وهو رواية الفضائل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بداية الفصل عدم ثبوت كون التشيُّع بدعة من البدع حتى يُرمى القائل بها، بل ولا غلو التشيّع على أكثر الآراء، فكيف بمَن يروي الفضائل فقط؟ </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928517_3650668749"/>
      <w:bookmarkStart w:id="175" w:name="_Toc62"/>
      <w:bookmarkEnd w:id="174"/>
      <w:r>
        <w:rPr>
          <w:rtl w:val="true"/>
        </w:rPr>
        <w:t>المنهج الثاني</w:t>
      </w:r>
      <w:r>
        <w:rPr>
          <w:rtl w:val="true"/>
        </w:rPr>
        <w:t xml:space="preserve">: </w:t>
      </w:r>
      <w:r>
        <w:rPr>
          <w:rtl w:val="true"/>
        </w:rPr>
        <w:t>تضعيفهم لأغلب الرواة الشيعة عملياً عند ذكر تراجمهم</w:t>
      </w:r>
      <w:bookmarkEnd w:id="175"/>
    </w:p>
    <w:p>
      <w:pPr>
        <w:pStyle w:val="Heading6"/>
        <w:numPr>
          <w:ilvl w:val="5"/>
          <w:numId w:val="1"/>
        </w:numPr>
        <w:rPr/>
      </w:pPr>
      <w:bookmarkStart w:id="176" w:name="__RefHeading___Toc928519_3650668749"/>
      <w:bookmarkStart w:id="177" w:name="_Toc63"/>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وسنتعرَّض في هذا المنهج الثاني إلى نماذج، كما فعلنا عند ذكرنا للنواصب، وسنختار أيضاً عشرة نماذج للتدليل على المُدَّعى؛ إذ حصر جميع الرواة الذين ضُّعِّفوا بسبب التشيّع أمرٌ ليس بالميسور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قبل ذلك لا بأس بالتعرض لألفاظ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بصورةٍ اجمالية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يُعلم أنَّ هذه الألفاظ حينما تطلق بحقّ راوٍ مُعيّن ماذا يراد منها، وهذه الألفاظ إنَّما تفيد الجرح عموماً، وهناك ألفاظ خاصة تُطلق بحق فئة أو جماعةٍ معيّنة، وهي أيضاً تفيد الجرح، كما رأينا في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غال في التشيع، رافضي، شيعي جلد، شيعي محترق</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أمَّا الفاظ الجرح العامّة، فقد ذكر الذهبي تلك الألفاظ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وأردى عبارات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 كذاب، أو وضّاع يضع الحديث،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بالكذب، ومتَّفق على تركه،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ليس بثقة، وسكتوا عنه، وذاهب الحديث، وفيه نظر، وهالك، وساقط، ثُمَّ واهٍ بمرة، وليس بشيء، وضعيف جداً، وضعّفوه، ضعيف وواهٍ ومُنكَر الحديث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 وفيه ضَعف، وقد ضُعّف، ليس بالقوي، ليس بحجّةٍ، ليس بذاك، تُعرف وتنكَر، فيه مقال، تكلِّم فيه، لين، سيّئي الحفظ، لا يُحتجّ به، اختلف فيه، صدوق لكنّه مبتدع، ونحو ذلك من العبارات التي تدل بوضعها على اطّراح الراوي بالأصالة، أو على ضعفه، أو على التوقّف فيه، أو على جواز أن يحتجّ به مع لينٍ ما فيه</w:t>
      </w:r>
      <w:r>
        <w:rPr>
          <w:rFonts w:eastAsia="Amiri" w:cs="Amiri" w:ascii="Amiri" w:hAnsi="Amiri"/>
          <w:color w:val="111111"/>
          <w:sz w:val="28"/>
          <w:szCs w:val="28"/>
          <w:rtl w:val="true"/>
          <w:lang w:bidi="ar-SA"/>
        </w:rPr>
        <w:t>. . . .</w:t>
      </w:r>
      <w:r>
        <w:rPr>
          <w:rStyle w:val="FootnoteAnchor"/>
          <w:rtl w:val="true"/>
        </w:rPr>
        <w:footnoteReference w:id="29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النماذج التي نستدلّ بها على المدَّعى فهي</w:t>
      </w:r>
      <w:r>
        <w:rPr>
          <w:rFonts w:eastAsia="Amiri" w:cs="Amiri" w:ascii="Amiri" w:hAnsi="Amiri"/>
          <w:color w:val="111111"/>
          <w:sz w:val="28"/>
          <w:szCs w:val="28"/>
          <w:rtl w:val="true"/>
          <w:lang w:bidi="ar-SA"/>
        </w:rPr>
        <w:t xml:space="preserve">: </w:t>
      </w:r>
      <w:bookmarkStart w:id="178" w:name="pg1614_13621"/>
    </w:p>
    <w:p>
      <w:pPr>
        <w:pStyle w:val="Heading6"/>
        <w:numPr>
          <w:ilvl w:val="5"/>
          <w:numId w:val="1"/>
        </w:numPr>
        <w:rPr/>
      </w:pPr>
      <w:bookmarkStart w:id="179" w:name="__RefHeading___Toc928521_3650668749"/>
      <w:bookmarkStart w:id="180" w:name="_Toc64"/>
      <w:bookmarkEnd w:id="178"/>
      <w:bookmarkEnd w:id="179"/>
      <w:r>
        <w:rPr/>
        <w:t>١</w:t>
      </w:r>
      <w:r>
        <w:rPr>
          <w:rtl w:val="true"/>
        </w:rPr>
        <w:t xml:space="preserve">- </w:t>
      </w:r>
      <w:r>
        <w:rPr>
          <w:rtl w:val="true"/>
        </w:rPr>
        <w:t>الأصبغ بن نباتة الحنظلي المجاشعي</w:t>
      </w:r>
      <w:bookmarkEnd w:id="180"/>
    </w:p>
    <w:p>
      <w:pPr>
        <w:pStyle w:val="BookText"/>
        <w:rPr/>
      </w:pPr>
      <w:r>
        <w:rPr>
          <w:rFonts w:ascii="Amiri" w:hAnsi="Amiri" w:eastAsia="Amiri" w:cs="Amiri"/>
          <w:color w:val="111111"/>
          <w:sz w:val="28"/>
          <w:sz w:val="28"/>
          <w:szCs w:val="28"/>
          <w:rtl w:val="true"/>
          <w:lang w:bidi="ar-SA"/>
        </w:rPr>
        <w:t>هو أبو القاسم الدارمي الكوفي، كان على شرطة الخميس</w:t>
      </w:r>
      <w:r>
        <w:rPr>
          <w:rStyle w:val="FootnoteAnchor"/>
          <w:rtl w:val="true"/>
        </w:rPr>
        <w:footnoteReference w:id="298"/>
      </w:r>
      <w:r>
        <w:rPr>
          <w:rFonts w:ascii="Amiri" w:hAnsi="Amiri" w:eastAsia="Amiri" w:cs="Amiri"/>
          <w:color w:val="111111"/>
          <w:sz w:val="28"/>
          <w:sz w:val="28"/>
          <w:szCs w:val="28"/>
          <w:rtl w:val="true"/>
          <w:lang w:bidi="ar-SA"/>
        </w:rPr>
        <w:t>في جيش أمير المؤمنين علي بن أبي طالب عليه السلام، قال خليفة بن خياط العصفري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وعلى شرطة الخميس الأصبغ بن نباتة المجاشعي</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وكان الأصبغ من التابعين، وكان من المحبِّين لعلي عليه السلام، الموالين له أشدّ الولاء، وهذه أحد أهم النقاط التي بسببها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أهم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الكوفي،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 كوفي تابعي ثقة</w:t>
      </w:r>
      <w:r>
        <w:rPr>
          <w:rFonts w:eastAsia="Amiri" w:cs="Amiri" w:ascii="Amiri" w:hAnsi="Amiri"/>
          <w:color w:val="111111"/>
          <w:sz w:val="28"/>
          <w:szCs w:val="28"/>
          <w:rtl w:val="true"/>
          <w:lang w:bidi="ar-SA"/>
        </w:rPr>
        <w:t>»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والملاحظ أنَّ الذهبي مع تليينه للأصبغ بن نباتة هنا في موضع ترجمته، والتليين هو أدنى درجات الجرح، وهو قريب من التعديل، لكنّه عملياً عندما مرَّ بحديث فيه الأصبغ، قال عنه هناك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للحاكم النيسابوري، فعندما مرَّ بحديث رسول الله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اطلبوا المعروف من رحماء أمّتي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الحاكم معلّقاً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الأسناد ولم يخرجاه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وردَّ الذهبي هذا التصحيح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الأصبغ بن نباتة واهٍ جدّاً</w:t>
      </w:r>
      <w:r>
        <w:rPr>
          <w:rFonts w:eastAsia="Amiri" w:cs="Amiri" w:ascii="Amiri" w:hAnsi="Amiri"/>
          <w:color w:val="111111"/>
          <w:sz w:val="28"/>
          <w:szCs w:val="28"/>
          <w:rtl w:val="true"/>
          <w:lang w:bidi="ar-SA"/>
        </w:rPr>
        <w:t>»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أصبغ بن نباتة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يروي عن علي،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لا يساوي شيئاً،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بحبّ علي بن أبي طالب فأتى بالطامّات في الروايات، فاستحقّ من أجلها الترك</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ولم يذكر ابن حبان ما هي تلك الطامات التي أتى بها الأصبغ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 الجرجاني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حدَّثني يحيى بن زكريا اللؤلؤي، حدّثني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منزلة هذا الرجل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يقولون، إلاّ أنَّ سيوفنا كانت على عواتقنا، فمَن أومأ إليه ضربناه</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ورماه بالكذب، ولم يُبَيِّن مورد الكذب، فقال ابن‌العجمي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كذاب متروك، ذكر الذهبي في الميزان كلام الناس فيه، ولم يذكر أنَّه اتُّهم</w:t>
      </w:r>
      <w:r>
        <w:rPr>
          <w:rFonts w:eastAsia="Amiri" w:cs="Amiri" w:ascii="Amiri" w:hAnsi="Amiri"/>
          <w:color w:val="111111"/>
          <w:sz w:val="28"/>
          <w:szCs w:val="28"/>
          <w:rtl w:val="true"/>
          <w:lang w:bidi="ar-SA"/>
        </w:rPr>
        <w:t>. . .»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الشعبي رشيد الهجري، وحبة العرني، والأصبغ بن نباتة، ليس يساوي هؤلاء كلّهم شيئاً</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وهؤلاء الثلاثة هم من خلّص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الشعبي كان من المائلين والمقرَّبين كثيراً إلى بني اُمية، وهو الذي بعثه عبدالملك بن مروان إلى مصر لأخذ البيعة لولده الوليد، كما ذكر صاحب النجوم الزاهرة </w:t>
      </w:r>
      <w:r>
        <w:rPr>
          <w:rStyle w:val="FootnoteAnchor"/>
          <w:rtl w:val="true"/>
        </w:rPr>
        <w:footnoteReference w:id="307"/>
      </w:r>
      <w:r>
        <w:rPr>
          <w:rFonts w:ascii="Amiri" w:hAnsi="Amiri" w:eastAsia="Amiri" w:cs="Amiri"/>
          <w:color w:val="111111"/>
          <w:sz w:val="28"/>
          <w:sz w:val="28"/>
          <w:szCs w:val="28"/>
          <w:rtl w:val="true"/>
          <w:lang w:bidi="ar-SA"/>
        </w:rPr>
        <w:t>، فمن الطبيعي جداً أن يكون هؤلاء الثلاثة المذكورون لا يساوون شيئاً عنده، بل إنَّ الشعبي كان من المستهزئين بشرطة الخميس، وله يُنسب بيت الشعر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شرطة الله قفي وطيري</w:t>
      </w:r>
    </w:p>
    <w:p>
      <w:pPr>
        <w:pStyle w:val="BookText"/>
        <w:rPr/>
      </w:pPr>
      <w:r>
        <w:rPr>
          <w:rFonts w:ascii="Amiri" w:hAnsi="Amiri" w:eastAsia="Amiri" w:cs="Amiri"/>
          <w:color w:val="111111"/>
          <w:sz w:val="28"/>
          <w:sz w:val="28"/>
          <w:szCs w:val="28"/>
          <w:rtl w:val="true"/>
          <w:lang w:bidi="ar-SA"/>
        </w:rPr>
        <w:t>كما تطير حبَّة الشعير</w:t>
      </w:r>
    </w:p>
    <w:p>
      <w:pPr>
        <w:pStyle w:val="BookText"/>
        <w:rPr/>
      </w:pPr>
      <w:r>
        <w:rPr>
          <w:rFonts w:ascii="Amiri" w:hAnsi="Amiri" w:eastAsia="Amiri" w:cs="Amiri"/>
          <w:color w:val="111111"/>
          <w:sz w:val="28"/>
          <w:sz w:val="28"/>
          <w:szCs w:val="28"/>
          <w:rtl w:val="true"/>
          <w:lang w:bidi="ar-SA"/>
        </w:rPr>
        <w:t>قاله مستهزءاً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سالم‌بن أبي حفصة العجلي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شرطة الخميس </w:t>
      </w:r>
      <w:r>
        <w:rPr>
          <w:rStyle w:val="FootnoteAnchor"/>
          <w:rtl w:val="true"/>
        </w:rPr>
        <w:footnoteReference w:id="30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الطبيعي أن يكون موقفه سلبياً من قائد شرطة الخميس، أعني الأصبغ بن نباتة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العسقلاني قول ابن سعد فيه،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شيعياً، وكان يضعّف في روايته، وكان على شرطة علي</w:t>
      </w:r>
      <w:r>
        <w:rPr>
          <w:rFonts w:eastAsia="Amiri" w:cs="Amiri" w:ascii="Amiri" w:hAnsi="Amiri"/>
          <w:color w:val="111111"/>
          <w:sz w:val="28"/>
          <w:szCs w:val="28"/>
          <w:rtl w:val="true"/>
          <w:lang w:bidi="ar-SA"/>
        </w:rPr>
        <w:t>»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أصبغ بن نباتة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متروك رُمي بالرفض</w:t>
      </w:r>
      <w:r>
        <w:rPr>
          <w:rFonts w:eastAsia="Amiri" w:cs="Amiri" w:ascii="Amiri" w:hAnsi="Amiri"/>
          <w:color w:val="111111"/>
          <w:sz w:val="28"/>
          <w:szCs w:val="28"/>
          <w:rtl w:val="true"/>
          <w:lang w:bidi="ar-SA"/>
        </w:rPr>
        <w:t>»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أمّا عملاً، فقد ضعَّفه الكثير من الفقهاء في مجامعهم الحديثية والفقهية، فهذا الهيثمي في حديث تقويم السعر،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البزار، وفيه الأصبغ ابن نباتة، وثَّقه العجلي، وضعَّفه الائمّة، وقال بعضهم متروك</w:t>
      </w:r>
      <w:r>
        <w:rPr>
          <w:rFonts w:eastAsia="Amiri" w:cs="Amiri" w:ascii="Amiri" w:hAnsi="Amiri"/>
          <w:color w:val="111111"/>
          <w:sz w:val="28"/>
          <w:szCs w:val="28"/>
          <w:rtl w:val="true"/>
          <w:lang w:bidi="ar-SA"/>
        </w:rPr>
        <w:t>. . .»</w:t>
      </w:r>
      <w:r>
        <w:rPr>
          <w:rStyle w:val="FootnoteAnchor"/>
          <w:rtl w:val="true"/>
        </w:rPr>
        <w:footnoteReference w:id="311"/>
      </w:r>
      <w:r>
        <w:rPr>
          <w:rFonts w:ascii="Amiri" w:hAnsi="Amiri" w:eastAsia="Amiri" w:cs="Amiri"/>
          <w:color w:val="111111"/>
          <w:sz w:val="28"/>
          <w:sz w:val="28"/>
          <w:szCs w:val="28"/>
          <w:rtl w:val="true"/>
          <w:lang w:bidi="ar-SA"/>
        </w:rPr>
        <w:t>، وضعّفه المتقي الهندي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مردوية، وعمرو، وسعد، والأصبغ، الثلاثة متروكون</w:t>
      </w:r>
      <w:r>
        <w:rPr>
          <w:rFonts w:eastAsia="Amiri" w:cs="Amiri" w:ascii="Amiri" w:hAnsi="Amiri"/>
          <w:color w:val="111111"/>
          <w:sz w:val="28"/>
          <w:szCs w:val="28"/>
          <w:rtl w:val="true"/>
          <w:lang w:bidi="ar-SA"/>
        </w:rPr>
        <w:t>. . .»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وبالغ ناصر الدين الألباني في تضعيفه للأصبغ، بعد أن نقل تضعيف السخاوي، وبعد أن رماه بالرفض في حديث تحريم الشطرنج،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ما في الشطرنج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أخرجه ابن أبي الدنيا، وعنه السخاوي من طريق سعد بن طريف عن الأصبغ بن نباتة عن علي به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يمسّنَّ أحدكم جمراً حتى يُطفى، خير له من أن يمسّها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المسند ضعيف لضعف الأصبغ والراوي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للالباني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ضعيف جداً، فأنَّ سعداً وشيخهُ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متروكان رافضيان، والأوّل رماه ابن حبان بالوضع</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فالمتحصّل من كل ما مرّ، أنَّ هذا الرجل تابعي، ومن أصحاب أمير المؤمنين علي عليه السلام الخُلَّص، وكان قائداً على شرطة الخميس، وروى روايات في الفضائل، وكان يرى أفضلية علي عليه السلام على غيره، فاجتمعت كل تلك الأسباب وأدَّت إلى رميه بالضعف، بل بالكذب والرفض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بعض التضعيفات التي مرَّت تضعيفات مُبهمة، والبقية بسبب التشيّع وحبّ علي عليه السلام، ورواية الفضائل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وكمثال على ذلك ما ذكره الحاكم النيسابوري، بسنده إلى الأصبغ بن نباتة، عن أبي أيوب الأنصاري، قال</w:t>
      </w:r>
      <w:r>
        <w:rPr>
          <w:rFonts w:eastAsia="Amiri" w:cs="Amiri" w:ascii="Amiri" w:hAnsi="Amiri"/>
          <w:color w:val="111111"/>
          <w:sz w:val="28"/>
          <w:szCs w:val="28"/>
          <w:rtl w:val="true"/>
          <w:lang w:bidi="ar-SA"/>
        </w:rPr>
        <w:t xml:space="preserve">: </w:t>
      </w:r>
      <w:bookmarkStart w:id="181" w:name="pg1614_13624"/>
    </w:p>
    <w:p>
      <w:pPr>
        <w:pStyle w:val="BookText"/>
        <w:rPr/>
      </w:pPr>
      <w:bookmarkEnd w:id="181"/>
      <w:r>
        <w:rPr>
          <w:rFonts w:ascii="Amiri" w:hAnsi="Amiri" w:eastAsia="Amiri" w:cs="Amiri"/>
          <w:color w:val="111111"/>
          <w:sz w:val="28"/>
          <w:sz w:val="28"/>
          <w:szCs w:val="28"/>
          <w:rtl w:val="true"/>
          <w:lang w:bidi="ar-SA"/>
        </w:rPr>
        <w:t>سمعت النبي صلّى الله عليه وسلَّم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الناكثين والقاسطين والمارقين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أضف لكل ما تقدَّم وصف العجلي له بأنَّه تابعي ثقة</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928523_3650668749"/>
      <w:bookmarkStart w:id="183" w:name="_Toc65"/>
      <w:bookmarkEnd w:id="182"/>
      <w:r>
        <w:rPr/>
        <w:t>٢</w:t>
      </w:r>
      <w:r>
        <w:rPr>
          <w:rtl w:val="true"/>
        </w:rPr>
        <w:t xml:space="preserve">- </w:t>
      </w:r>
      <w:r>
        <w:rPr>
          <w:rtl w:val="true"/>
        </w:rPr>
        <w:t>الحارث بن عبدالله الهَمْداني</w:t>
      </w:r>
      <w:bookmarkEnd w:id="183"/>
    </w:p>
    <w:p>
      <w:pPr>
        <w:pStyle w:val="BookText"/>
        <w:rPr/>
      </w:pPr>
      <w:r>
        <w:rPr>
          <w:rFonts w:ascii="Amiri" w:hAnsi="Amiri" w:eastAsia="Amiri" w:cs="Amiri"/>
          <w:color w:val="111111"/>
          <w:sz w:val="28"/>
          <w:sz w:val="28"/>
          <w:szCs w:val="28"/>
          <w:rtl w:val="true"/>
          <w:lang w:bidi="ar-SA"/>
        </w:rPr>
        <w:t xml:space="preserve">أبو زهير الخارفي الكوفي، وخارفة بطن من بطون هَمْدان، سكنوا الكوفة، وكان الحارث من المحبّين الموالين لعلي بن أبي طالب عليه السلام، ونقم عليه تشيُّعه لعلي عليه السلام، مع كونه من التابعين المبرَّزين، وهو أحد الخمسة المقدّمين في الرواية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أهم الأقوال التي قيلت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عياش بن الوليد، حدَّثنا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ابن مسعود خمسة، الذين يؤخذ عنهم، أدركت منهم أربعة، وفاتني الحارث ولم أره، وكان يفضَّل عليهم</w:t>
      </w:r>
      <w:r>
        <w:rPr>
          <w:rFonts w:eastAsia="Amiri" w:cs="Amiri" w:ascii="Amiri" w:hAnsi="Amiri"/>
          <w:color w:val="111111"/>
          <w:sz w:val="28"/>
          <w:szCs w:val="28"/>
          <w:rtl w:val="true"/>
          <w:lang w:bidi="ar-SA"/>
        </w:rPr>
        <w:t>. . .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الأعور ابن عبدالله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وكان له قول سوء، وهو ضعيف في روايته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أخبرنا الفضل ابن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عن أبي إسحاق</w:t>
      </w:r>
      <w:r>
        <w:rPr>
          <w:rStyle w:val="FootnoteAnchor"/>
          <w:rtl w:val="true"/>
        </w:rPr>
        <w:footnoteReference w:id="316"/>
      </w:r>
      <w:r>
        <w:rPr>
          <w:rFonts w:ascii="Amiri" w:hAnsi="Amiri" w:eastAsia="Amiri" w:cs="Amiri"/>
          <w:color w:val="111111"/>
          <w:sz w:val="28"/>
          <w:sz w:val="28"/>
          <w:szCs w:val="28"/>
          <w:rtl w:val="true"/>
          <w:lang w:bidi="ar-SA"/>
        </w:rPr>
        <w:t>أنَّه كان يصلّي خلف الحارث الأعور، وكان إمام قومه، وكان يصلّي على جنائزهم</w:t>
      </w:r>
      <w:r>
        <w:rPr>
          <w:rFonts w:eastAsia="Amiri" w:cs="Amiri" w:ascii="Amiri" w:hAnsi="Amiri"/>
          <w:color w:val="111111"/>
          <w:sz w:val="28"/>
          <w:szCs w:val="28"/>
          <w:rtl w:val="true"/>
          <w:lang w:bidi="ar-SA"/>
        </w:rPr>
        <w:t>. . .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الذهبي في كتابه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شيعي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أفقه الناس، وأفرض الناس، وأحسب الناس</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البستي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غالياً في التشيّع واهياً في الحديث،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وأشهد أنَّه أحد الكذّابين</w:t>
      </w:r>
      <w:r>
        <w:rPr>
          <w:rFonts w:eastAsia="Amiri" w:cs="Amiri" w:ascii="Amiri" w:hAnsi="Amiri"/>
          <w:color w:val="111111"/>
          <w:sz w:val="28"/>
          <w:szCs w:val="28"/>
          <w:rtl w:val="true"/>
          <w:lang w:bidi="ar-SA"/>
        </w:rPr>
        <w:t>»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ولم يفسّر الشعبي كيف شهد على الحارث بالكذب، وسيأتي لاحقاً بطلان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لنا ابن سعد هذه المفارقة العجيبة عن الشعبي، في الحارث الهمداني،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جابر عن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الحسن والحسين يسألان الحارث الأعور عن حديث علي وقد روى جرير عن مغيرة عن الشعبي، قال حدَّثني الحارث الأعور، وكان كذوباً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فهل يعقل أنَّ سيدي شباب أهل الجنة، ومَن أعلم الناس بالناس، يسألان كذوباً في أمرٍ خطيرٍ، ألا وهو حديث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أبان لنا الحافظ ابن حجر بعض الخيوط الغامضة التي لابد للمحقِّق من الوقوف عليها، ليعرف سر اتّهامهم لهذا الرجل تارة بالكذب، وتارة بالضعف،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أشعث بن سوار عن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الكوفة وهم يقدِّمون خمسة، مَن بدأ بالحارث ثنَّى بعبيدة، ومَن بدأ بعبيدة ثنَّى بالحارث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حكى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كذّبَ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الشعبي عُوقب بقوله في الحارث كذَّاب، ولم يَبِن من الحارث كذبه، وإنَّما نقم عليه إفراطه في حبّ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قول سوء، وهو ضعيف في رأيه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 ثقة، ما أحفظه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ما روى عن علي</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وقرأت بخط الذهبي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والنسائي مع تعنّته في الرجال، قد احتجّ به، والجمهور على توهينه، مع روايتهم لحديثه في الأبواب، وهذا الشعبي يكذّبه ثُمَّ يروي عنه</w:t>
      </w:r>
      <w:r>
        <w:rPr>
          <w:rFonts w:eastAsia="Amiri" w:cs="Amiri" w:ascii="Amiri" w:hAnsi="Amiri"/>
          <w:color w:val="111111"/>
          <w:sz w:val="28"/>
          <w:szCs w:val="28"/>
          <w:rtl w:val="true"/>
          <w:lang w:bidi="ar-SA"/>
        </w:rPr>
        <w:t>. . .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أمَّا عملاً، فقد ضعّفه الكثير من الفقهاء وأصحاب السنن في مجامعهم الفقهية والحديثية، ولم يحتجّوا به إذا انفرد في نقل الحديث؛ قال البيقهي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سعيد ابن أبي عمرو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 إسحاق عن الحارث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بالدين قبل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أهل الحديث عن إثبات هذا لتفرّد الحارث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الهمداني، ولُقّبَ بالأعور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عن علي، والحارث لا يُحتجّ بخبره لطعن الحفاظ فيه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كما ضعّفه مسلم، صاحب الصحيح، في مقدّمته على الصحيح</w:t>
      </w:r>
      <w:r>
        <w:rPr>
          <w:rStyle w:val="FootnoteAnchor"/>
          <w:rtl w:val="true"/>
        </w:rPr>
        <w:footnoteReference w:id="323"/>
      </w:r>
      <w:r>
        <w:rPr>
          <w:rFonts w:ascii="Amiri" w:hAnsi="Amiri" w:eastAsia="Amiri" w:cs="Amiri"/>
          <w:color w:val="111111"/>
          <w:sz w:val="28"/>
          <w:sz w:val="28"/>
          <w:szCs w:val="28"/>
          <w:rtl w:val="true"/>
          <w:lang w:bidi="ar-SA"/>
        </w:rPr>
        <w:t>، وضعّفه الهيثمي في حديث المصوّر،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الحارث، وهو ضعيف</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كما ضعفه النووي قائلاً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وأمّا الحارث بن عبدالله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متَّفق على ضعفه</w:t>
      </w:r>
      <w:r>
        <w:rPr>
          <w:rFonts w:eastAsia="Amiri" w:cs="Amiri" w:ascii="Amiri" w:hAnsi="Amiri"/>
          <w:color w:val="111111"/>
          <w:sz w:val="28"/>
          <w:szCs w:val="28"/>
          <w:rtl w:val="true"/>
          <w:lang w:bidi="ar-SA"/>
        </w:rPr>
        <w:t xml:space="preserve">» . </w:t>
      </w:r>
      <w:r>
        <w:rPr>
          <w:rStyle w:val="FootnoteAnchor"/>
          <w:rtl w:val="true"/>
        </w:rPr>
        <w:footnoteReference w:id="325"/>
      </w:r>
      <w:r>
        <w:rPr>
          <w:rFonts w:ascii="Amiri" w:hAnsi="Amiri" w:eastAsia="Amiri" w:cs="Amiri"/>
          <w:color w:val="111111"/>
          <w:sz w:val="28"/>
          <w:sz w:val="28"/>
          <w:szCs w:val="28"/>
          <w:rtl w:val="true"/>
          <w:lang w:bidi="ar-SA"/>
        </w:rPr>
        <w:t>وغيرهم كثيرون ممَّن ضعَّفوا الرجل، بل واتَّهموه بالكذب؛ استناداً لقول الشعبي فيه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مضى أنَّ الحارث الهمداني كان تابعياً عالماً فقيهاً، وقد أدرك ابن سيرين أهل الكوفة وهم يقدِّمونه، أو يثنُّون به بعد عبيدة، وتأسَّف ابن سيرين لعدم اللقاء به، وكان من أفقه الناس وأعلمهم بالفرائض والحساب، وأنَّ الشعبي رماه بالكذب بلا دليل، بل اتَّهمه بذلك لمجرَّد حبّه لعلي عليه السلام، كما وثَّقه غير واحد من أهل الجرح والتعديل، بل إنَّ الشعبي لم يجد بُدّاً من الرواية عنه، مع أنَّه رماه بالكذب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كثيراً من الفقهاء والمحدّثين تركوا حديثه، أو تركوا الاحتجاج بحديثه إذا تفرَّد به</w:t>
      </w:r>
      <w:r>
        <w:rPr>
          <w:rFonts w:eastAsia="Amiri" w:cs="Amiri" w:ascii="Amiri" w:hAnsi="Amiri"/>
          <w:color w:val="111111"/>
          <w:sz w:val="28"/>
          <w:szCs w:val="28"/>
          <w:rtl w:val="true"/>
          <w:lang w:bidi="ar-SA"/>
        </w:rPr>
        <w:t xml:space="preserve">. </w:t>
      </w:r>
      <w:bookmarkStart w:id="184" w:name="pg1614_13627"/>
    </w:p>
    <w:p>
      <w:pPr>
        <w:pStyle w:val="Heading6"/>
        <w:numPr>
          <w:ilvl w:val="5"/>
          <w:numId w:val="1"/>
        </w:numPr>
        <w:rPr/>
      </w:pPr>
      <w:bookmarkStart w:id="185" w:name="__RefHeading___Toc928525_3650668749"/>
      <w:bookmarkStart w:id="186" w:name="_Toc66"/>
      <w:bookmarkEnd w:id="184"/>
      <w:bookmarkEnd w:id="185"/>
      <w:r>
        <w:rPr/>
        <w:t>٣</w:t>
      </w:r>
      <w:r>
        <w:rPr>
          <w:rtl w:val="true"/>
        </w:rPr>
        <w:t xml:space="preserve">- </w:t>
      </w:r>
      <w:r>
        <w:rPr>
          <w:rtl w:val="true"/>
        </w:rPr>
        <w:t>ثعلبة بن يزيد الحمّاني</w:t>
      </w:r>
      <w:bookmarkEnd w:id="186"/>
    </w:p>
    <w:p>
      <w:pPr>
        <w:pStyle w:val="BookText"/>
        <w:rPr/>
      </w:pPr>
      <w:r>
        <w:rPr>
          <w:rFonts w:ascii="Amiri" w:hAnsi="Amiri" w:eastAsia="Amiri" w:cs="Amiri"/>
          <w:color w:val="111111"/>
          <w:sz w:val="28"/>
          <w:sz w:val="28"/>
          <w:szCs w:val="28"/>
          <w:rtl w:val="true"/>
          <w:lang w:bidi="ar-SA"/>
        </w:rPr>
        <w:t>وهو كوفي من بني تميم، وكان أيضاً على شرطة أمير المؤمنين علي عليه السلام، وهو الذي روى أنَّه سمع علي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أنَّه كان يُسِرُّ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 أشقاها</w:t>
      </w:r>
      <w:r>
        <w:rPr>
          <w:rFonts w:eastAsia="Amiri" w:cs="Amiri" w:ascii="Amiri" w:hAnsi="Amiri"/>
          <w:color w:val="111111"/>
          <w:sz w:val="28"/>
          <w:szCs w:val="28"/>
          <w:rtl w:val="true"/>
          <w:lang w:bidi="ar-SA"/>
        </w:rPr>
        <w:t>»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وهذا الخبر مشهور، تابعه عليه غيره، 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شريك عن عثمان بن أبي زرعة،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علي قوم من البصرة من الخوارج، فقال منهم الجعد بن نعجة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علي، فإنَّك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مقتول؛ ضربة على هذه تخضب هذه، عهدٌ معهود وقضاء مقضي، وقد خاب مَن افترى</w:t>
      </w:r>
      <w:r>
        <w:rPr>
          <w:rFonts w:eastAsia="Amiri" w:cs="Amiri" w:ascii="Amiri" w:hAnsi="Amiri"/>
          <w:color w:val="111111"/>
          <w:sz w:val="28"/>
          <w:szCs w:val="28"/>
          <w:rtl w:val="true"/>
          <w:lang w:bidi="ar-SA"/>
        </w:rPr>
        <w:t xml:space="preserve">. . . .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ويكفي بالحديث صدقاً وقوعه إذا كان من الإخبارات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نبذاً ممّا قيل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ثعلبة بن يزيد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يعدّ في الكوفييّن، فيه نظر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الاُمّة ستغدر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يُتابَع عليه</w:t>
      </w:r>
      <w:r>
        <w:rPr>
          <w:rFonts w:eastAsia="Amiri" w:cs="Amiri" w:ascii="Amiri" w:hAnsi="Amiri"/>
          <w:color w:val="111111"/>
          <w:sz w:val="28"/>
          <w:szCs w:val="28"/>
          <w:rtl w:val="true"/>
          <w:lang w:bidi="ar-SA"/>
        </w:rPr>
        <w:t>»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حبان أبو حاتم البستي؛ إذ ترجم 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يزيد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الكوفي، يروي عن علي، روى عنه حبيب ابن أبي ثابت</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وقد قال 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أذكر في هذا الكتاب الأوّل إلاّ الثقات، الذين يجوز الاحتجاج بخبرهم</w:t>
      </w:r>
      <w:r>
        <w:rPr>
          <w:rFonts w:eastAsia="Amiri" w:cs="Amiri" w:ascii="Amiri" w:hAnsi="Amiri"/>
          <w:color w:val="111111"/>
          <w:sz w:val="28"/>
          <w:szCs w:val="28"/>
          <w:rtl w:val="true"/>
          <w:lang w:bidi="ar-SA"/>
        </w:rPr>
        <w:t>. . .»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ايضاً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يزيد الحماني، من أهل الكوفة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غالياً في التشيّع، لا يحتجّ بأخباره التي يتفرّد بها عن علي</w:t>
      </w:r>
      <w:r>
        <w:rPr>
          <w:rFonts w:eastAsia="Amiri" w:cs="Amiri" w:ascii="Amiri" w:hAnsi="Amiri"/>
          <w:color w:val="111111"/>
          <w:sz w:val="28"/>
          <w:szCs w:val="28"/>
          <w:rtl w:val="true"/>
          <w:lang w:bidi="ar-SA"/>
        </w:rPr>
        <w:t xml:space="preserve">» .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فالذي يبدو أنَّ لابن حبان رأيين في ثعلبة، في موضعين من 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الجوزي، فقد ضعّفه،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يزيد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سمع من علي عليه السلام، وكان من شرطته،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 في التشيّع</w:t>
      </w:r>
      <w:r>
        <w:rPr>
          <w:rFonts w:eastAsia="Amiri" w:cs="Amiri" w:ascii="Amiri" w:hAnsi="Amiri"/>
          <w:color w:val="111111"/>
          <w:sz w:val="28"/>
          <w:szCs w:val="28"/>
          <w:rtl w:val="true"/>
          <w:lang w:bidi="ar-SA"/>
        </w:rPr>
        <w:t>. . .»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ثعلبة بن يزيد الحمّاني، صاحب شرطة علي، شيعي غالٍ،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نظر،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الاُمّة ستغدر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حبيب‌بن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يتابع عليه،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 حديثاً منكراً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والغريب أنَّ هذا الحديث الذي قيل إنَّ ثعلبة لا يُتابع عليه، له طرق كثيرة، أخرج منها الحاكم النيسابوري طريقين، وصف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بالصحة، قال الحاكم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حفص عمر بن أحمد الجمحي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إدريس الأودي،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عهد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الاُمّة ستغدر 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ووافقه الذهبي في ذلك</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ويبدو أنَّ الرجل قليل الحديث</w:t>
      </w:r>
      <w:r>
        <w:rPr>
          <w:rStyle w:val="FootnoteAnchor"/>
        </w:rPr>
        <w:footnoteReference w:id="335"/>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وذكره الهيثمي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ضعف عند مروره بحديث رواه ثعلبة عن أمير المؤمنين علي عليه السلام،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صفر ولا هامة ولا يُعدي سقيم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وفيه ثعلبة بن يزيد الحماني، وثقَّه النسائي، وفيه ضعف وبقية رجاله ثقات</w:t>
      </w:r>
      <w:r>
        <w:rPr>
          <w:rFonts w:eastAsia="Amiri" w:cs="Amiri" w:ascii="Amiri" w:hAnsi="Amiri"/>
          <w:color w:val="111111"/>
          <w:sz w:val="28"/>
          <w:szCs w:val="28"/>
          <w:rtl w:val="true"/>
          <w:lang w:bidi="ar-SA"/>
        </w:rPr>
        <w:t>. . . .</w:t>
      </w:r>
      <w:r>
        <w:rPr>
          <w:rStyle w:val="FootnoteAnchor"/>
          <w:rtl w:val="true"/>
        </w:rPr>
        <w:footnoteReference w:id="33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فيُعرف ممّا مرَّ أنَّ الرجل رُمي بالتشيع، بل بغلوّ التشيّع؛ لأنَّه كان من الموالين </w:t>
      </w:r>
      <w:bookmarkStart w:id="187" w:name="pg1614_13629"/>
    </w:p>
    <w:p>
      <w:pPr>
        <w:pStyle w:val="BookText"/>
        <w:rPr/>
      </w:pPr>
      <w:bookmarkEnd w:id="187"/>
      <w:r>
        <w:rPr>
          <w:rFonts w:ascii="Amiri" w:hAnsi="Amiri" w:eastAsia="Amiri" w:cs="Amiri"/>
          <w:color w:val="111111"/>
          <w:sz w:val="28"/>
          <w:sz w:val="28"/>
          <w:szCs w:val="28"/>
          <w:rtl w:val="true"/>
          <w:lang w:bidi="ar-SA"/>
        </w:rPr>
        <w:t xml:space="preserve">لأميرالمؤمنين علي عليه السلام، ومن المخلصين من أصحابه، وليس له أحاديث منكرة كما قال ابن عدي، وهو ثقة على رأي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المتشدّد في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أحد قولي البستي</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928527_3650668749"/>
      <w:bookmarkStart w:id="189" w:name="_Toc67"/>
      <w:bookmarkEnd w:id="188"/>
      <w:r>
        <w:rPr/>
        <w:t>4</w:t>
      </w:r>
      <w:r>
        <w:rPr>
          <w:rtl w:val="true"/>
        </w:rPr>
        <w:t xml:space="preserve">- </w:t>
      </w:r>
      <w:r>
        <w:rPr>
          <w:rtl w:val="true"/>
        </w:rPr>
        <w:t>أحمد بن الأزهر ابن منيع</w:t>
      </w:r>
      <w:bookmarkEnd w:id="189"/>
    </w:p>
    <w:p>
      <w:pPr>
        <w:pStyle w:val="BookText"/>
        <w:rPr/>
      </w:pPr>
      <w:r>
        <w:rPr>
          <w:rFonts w:ascii="Amiri" w:hAnsi="Amiri" w:eastAsia="Amiri" w:cs="Amiri"/>
          <w:color w:val="111111"/>
          <w:sz w:val="28"/>
          <w:sz w:val="28"/>
          <w:szCs w:val="28"/>
          <w:rtl w:val="true"/>
          <w:lang w:bidi="ar-SA"/>
        </w:rPr>
        <w:t xml:space="preserve">أبو الأزهر العبدي النيسابوري، وكان من أعمدة الحديث في 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في بعض الأقوال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ضعِّف لحديث رواه في فضائل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أهم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صفي الدين الخزرجي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أحمدبن الأزهر بن منيع العبدي، أبو الأزهر النيسابوري الحافظ، عن عبدالله بن نمير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حاتم وصالح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ونقم عليه حديثه عن عبد الرزاق في فضائل علي، لكنّه توبع عليه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وسيأتي في تراجمه اللاحقة ذكر نص الحديث الذي رواه 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ابن سيار المروزي في ذكر مشايخ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الأزهر من مواليهم، كتب عن الناس، حسن الحديث</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شمس الدين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فقد ضعَّفه ابن معين، كما نقل ابن مندة،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وأبو الأزهر أحمد ابن الأزهر العبدي، كنّاه مسلم،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w:t>
      </w:r>
      <w:r>
        <w:rPr>
          <w:rFonts w:eastAsia="Amiri" w:cs="Amiri" w:ascii="Amiri" w:hAnsi="Amiri"/>
          <w:color w:val="111111"/>
          <w:sz w:val="28"/>
          <w:szCs w:val="28"/>
          <w:rtl w:val="true"/>
          <w:lang w:bidi="ar-SA"/>
        </w:rPr>
        <w:t>»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لنا الحافظ ابن حجر العسقلاني علّة تضعيف يحيى بن معن لأبي الأزهر، والموقف الذي حدث بينهما بمحضر جماعة من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 في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الأزهر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أحمد بن يحيى بن زهير التستري؛ لمَّا حدث أبو الأزهر بحديث عبد الرزاق </w:t>
      </w:r>
      <w:r>
        <w:rPr>
          <w:rStyle w:val="FootnoteAnchor"/>
          <w:rtl w:val="true"/>
        </w:rPr>
        <w:footnoteReference w:id="341"/>
      </w:r>
      <w:r>
        <w:rPr>
          <w:rFonts w:ascii="Amiri" w:hAnsi="Amiri" w:eastAsia="Amiri" w:cs="Amiri"/>
          <w:color w:val="111111"/>
          <w:sz w:val="28"/>
          <w:sz w:val="28"/>
          <w:szCs w:val="28"/>
          <w:rtl w:val="true"/>
          <w:lang w:bidi="ar-SA"/>
        </w:rPr>
        <w:t xml:space="preserve">في الفضائل؛ يعني عن معمر عن الزهري عن عبيدالله عن ابن </w:t>
      </w:r>
    </w:p>
    <w:p>
      <w:pPr>
        <w:pStyle w:val="BookText"/>
        <w:rPr/>
      </w:pP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وسلّم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سيد في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هي تكملة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أحبّك فقد أحبَّني، وحبيبي حبيب الله، وعدوّك عدوّي، وعدوّي عدوّ الله، والويل لمَن أبغضك من بعدي</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بذلك يحيى بن معين، فبينما هو عنده في جماعة من أهل الحديث، إذ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الكذاب النيسابوري الذي يحدِّث عن عبد الرزاق بهذا الحديث؟ فقام أبو الأزهر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لست بكذاب، وتعجّب من سلامته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سلامة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لغيرك في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الأزهر بصورة أهل الصدق عند الناس، وأمّا هذا الحديث، فعبدالرزاق من أهل الصدق، وهو ينسب إلى التشيّع، فلعلَّه شبّه عليه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وقد حاول بعض المحدِّثين بذل جهدهم لإبطال هذا الحديث، فكانت محاولة تضعيف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الأزهر وتكذيبه من قبل يحيى بن معين هي المحاولة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محاولة ثانية نقلها الخطيب البغدادي في تاريخ بغداد، وهي أنَّ بعضهم ادَّعى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نقل الحديث عن الزهري؛ إذ إنَّ سند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الأزهر، عن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الصنعاني شيخ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عروة معمر بن راشد الأزدي، أحد الأعلام وعالم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أشهر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عبيد الله عن عبدالله،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فادَّعوا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ابن أخٍ رافضي يدسُّ الأحاديث في كتب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الخطيب</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أحمد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الشرقي وسئل عن حديث أبي الأزهر عن عبد الرزاق عن معمر في فضائل عليٍ، فقال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باطل، والسبب فيه أنَّ معمراً كان له ابن أخٍ رافضي</w:t>
      </w:r>
      <w:r>
        <w:rPr>
          <w:rFonts w:eastAsia="Amiri" w:cs="Amiri" w:ascii="Amiri" w:hAnsi="Amiri"/>
          <w:color w:val="111111"/>
          <w:sz w:val="28"/>
          <w:szCs w:val="28"/>
          <w:rtl w:val="true"/>
          <w:lang w:bidi="ar-SA"/>
        </w:rPr>
        <w:t>. . . .</w:t>
      </w:r>
      <w:r>
        <w:rPr>
          <w:rStyle w:val="FootnoteAnchor"/>
          <w:rtl w:val="true"/>
        </w:rPr>
        <w:footnoteReference w:id="344"/>
      </w:r>
      <w:bookmarkStart w:id="190" w:name="pg1614_13631"/>
    </w:p>
    <w:p>
      <w:pPr>
        <w:pStyle w:val="BookText"/>
        <w:rPr/>
      </w:pPr>
      <w:bookmarkEnd w:id="190"/>
      <w:r>
        <w:rPr>
          <w:rFonts w:ascii="Amiri" w:hAnsi="Amiri" w:eastAsia="Amiri" w:cs="Amiri"/>
          <w:color w:val="111111"/>
          <w:sz w:val="28"/>
          <w:sz w:val="28"/>
          <w:szCs w:val="28"/>
          <w:rtl w:val="true"/>
          <w:lang w:bidi="ar-SA"/>
        </w:rPr>
        <w:t>وساق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لأنَّ في الحديث فضيلة لأمير المؤمنين علي 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حادثة أبي الأزهر مع يحيى بن معين، حادثة ذات دلالات عميقة، ومغازٍ لمَن 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ولسائلٍ أن يسأل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كذّبت الحديث واتَّهمت راويه بالكذب؟ فماذا يا ترى سيكون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فالواضح أنْ ليس هناك من مغمز على أبي الأزهر سوى تشيعه، وروايته لهذا الحديث، فالرجل كان من بنادرة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وصفه أبو حامد بن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السيوطي،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الأزهر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حامد ابن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ترحل إلى العراق؟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في العراق وعندنا من بنادرة </w:t>
      </w:r>
      <w:r>
        <w:rPr>
          <w:rStyle w:val="FootnoteAnchor"/>
          <w:rtl w:val="true"/>
        </w:rPr>
        <w:footnoteReference w:id="345"/>
      </w:r>
      <w:r>
        <w:rPr>
          <w:rStyle w:val="FootnoteAnchor"/>
          <w:rtl w:val="true"/>
        </w:rPr>
        <w:footnoteReference w:id="346"/>
      </w:r>
      <w:r>
        <w:rPr>
          <w:rFonts w:ascii="Amiri" w:hAnsi="Amiri" w:eastAsia="Amiri" w:cs="Amiri"/>
          <w:color w:val="111111"/>
          <w:sz w:val="28"/>
          <w:sz w:val="28"/>
          <w:szCs w:val="28"/>
          <w:rtl w:val="true"/>
          <w:lang w:bidi="ar-SA"/>
        </w:rPr>
        <w:t>الحديث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الذهلي، وأبو الأزهر، وأحمد بن يوسف السلمي</w:t>
      </w:r>
      <w:r>
        <w:rPr>
          <w:rFonts w:eastAsia="Amiri" w:cs="Amiri" w:ascii="Amiri" w:hAnsi="Amiri"/>
          <w:color w:val="111111"/>
          <w:sz w:val="28"/>
          <w:szCs w:val="28"/>
          <w:rtl w:val="true"/>
          <w:lang w:bidi="ar-SA"/>
        </w:rPr>
        <w:t>.</w:t>
      </w:r>
      <w:r>
        <w:rPr>
          <w:rStyle w:val="FootnoteAnchor"/>
          <w:rtl w:val="true"/>
        </w:rPr>
        <w:footnoteReference w:id="347"/>
      </w:r>
    </w:p>
    <w:p>
      <w:pPr>
        <w:pStyle w:val="Heading6"/>
        <w:numPr>
          <w:ilvl w:val="5"/>
          <w:numId w:val="1"/>
        </w:numPr>
        <w:rPr/>
      </w:pPr>
      <w:bookmarkStart w:id="191" w:name="__RefHeading___Toc928529_3650668749"/>
      <w:bookmarkStart w:id="192" w:name="_Toc68"/>
      <w:bookmarkEnd w:id="191"/>
      <w:r>
        <w:rPr/>
        <w:t>5</w:t>
      </w:r>
      <w:r>
        <w:rPr>
          <w:rtl w:val="true"/>
        </w:rPr>
        <w:t xml:space="preserve">- </w:t>
      </w:r>
      <w:r>
        <w:rPr>
          <w:rtl w:val="true"/>
        </w:rPr>
        <w:t>الحسن بن صالح بن حي</w:t>
      </w:r>
      <w:bookmarkEnd w:id="19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عبدالله الهمداني الكوفي، فقيه الكوفة وعابدها</w:t>
      </w:r>
      <w:r>
        <w:rPr>
          <w:rStyle w:val="FootnoteAnchor"/>
          <w:rtl w:val="true"/>
        </w:rPr>
        <w:footnoteReference w:id="348"/>
      </w:r>
      <w:r>
        <w:rPr>
          <w:rFonts w:ascii="Amiri" w:hAnsi="Amiri" w:eastAsia="Amiri" w:cs="Amiri"/>
          <w:color w:val="111111"/>
          <w:sz w:val="28"/>
          <w:sz w:val="28"/>
          <w:szCs w:val="28"/>
          <w:rtl w:val="true"/>
          <w:lang w:bidi="ar-SA"/>
        </w:rPr>
        <w:t>، ولد سنة مائة للهجرة، وهو توأم أخيه علي بن صالح، فكانا واُمّهما يقومون الليل كلّه على الثلث، ويقرأ كل منهم ثُلث القرآن، فلمّا ماتت اُمّهما جعلاه بينهما مناصفة، ثُمَّ مات علي، فكان الحسن يقوم الليل كلّه</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زوَّج الحسن ابنته إلى عيسى بن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واستخفيا معاً في مكان واحد هرباً من المهدي العباسي، وكان يطلبهما، فلم يقدر عليهما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ونحن إنمَّا قدَّمنا هذهِ المقدمة؛ لعلاقتها بالأقوال التي سنوردها في حق هذا الرجل؛ إذ إنَّ واحدة من الأمور التي عيبت عليه هو عدم حضوره الجمعة، فمَن كان هذا حاله، هل يستطيع أن يحضر جمعةً أو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تصريح بجواب ما عيب عليه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صالح بن حي، الفقيه، وثَّقه ابن معين وغيره، وتكلَّم فيه لتشيّعه،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 حديثاً منكراً يتجاوز المقدار، وكان يترك الجمعة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فيه بدعة تشيّع قليل، وكان يترك الجمعة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عبدالله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أثبت من شريك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يحيى ولا ابن مهدي يُحدِّثان عن ابن حي بشيء قط</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وهذه أحد نتائج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الحافظ ابن حجر، فقد قال في ترجمته للحسن بن صالح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روى عن أبيه وأبي إسحاق وعمرو بن دينار وعاصم الأحول وعبدالله بن محمد بن عقيل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يحيى بن 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الثوري سيّئ فيه،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الثوري يوم الجمعة فإذا الحسن بن صالح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خشوع النفاق، وأخذ نعليه فتحوّل،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يرى السيف على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خلاد بن زيد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الثوري إلى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مع ما سمع من العلم وفقه يترك الجمعة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معمر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وكيع، فكان إذا حدَّث عن الحسن بن صالح لم نكتب،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أخي بيده هكذا؛ يعني أنَّه كان يرى السيف فسكت</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ثقة، وأخوه ثقة، وقال علي بن صالح الهسنجاني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صحيح الرواية، متفقّه صائن لنفسه، 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وما كان دون الثوري في الورع والفقه، وقال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إلاّ وقد غلط في شيء، غير الحسن بن صالح،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ثمامأئة محدِّث، فما رأيت أفضل من الحسن بن صالح،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 يرى الخروج بالسيف على أئمّة الجور، وهذا مذهب للسلف قديم، لكن استقرَّ الأمر على ترك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وبمثل هذا الرأي لا يُقدح في رجل قد ثبتت عدالته، واشتهر بالحفظ والإتقان والورع التام، والحسن مع ذلك لم يخرج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ترك الجمعة، ففي جملة رأيه ذلك أن لا يصلِّي خلف فاسق، ولا يصحِّح ولاية الإمام الفاسق؛ فهذا ما يُعتذَر به عن الحسن، وإن كان الصواب خلافه، فهو إمام مجتهد</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الفقه من أسنان الثوري، ثقة ثبتاً متعبّداً، وكان يتشيّع، إلاّ أنَّ ابن المبارك كان يحمل عليه بعض الحمل لمحال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صالح فقيهاً ورعاً، من المتقشّفة الخشن، وممَّن تجرَّد للعبادة ورفض الرياسة، على تشيُّع فيه، مات وهو مختفٍّ من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أبو زرعة الدمشقي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صالح لا يشهد الجمعة، وأنا رأيته شهد الجمعة في أثر جمعة اختفى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 ما ذكرناه في أوّل كلامنا عن الرجل، حيث نقلنا إنَّه كان مطلوب للسلطة الحاكمة آنذاك، ومات وهو مختفٍ من القوم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صدوق، وكان يتشيَّع</w:t>
      </w:r>
      <w:r>
        <w:rPr>
          <w:rFonts w:eastAsia="Amiri" w:cs="Amiri" w:ascii="Amiri" w:hAnsi="Amiri"/>
          <w:color w:val="111111"/>
          <w:sz w:val="28"/>
          <w:szCs w:val="28"/>
          <w:rtl w:val="true"/>
          <w:lang w:bidi="ar-SA"/>
        </w:rPr>
        <w:t>.</w:t>
      </w:r>
      <w:r>
        <w:rPr>
          <w:rStyle w:val="FootnoteAnchor"/>
          <w:rtl w:val="true"/>
        </w:rPr>
        <w:footnoteReference w:id="353"/>
      </w:r>
      <w:bookmarkStart w:id="193" w:name="pg1614_13634"/>
    </w:p>
    <w:p>
      <w:pPr>
        <w:pStyle w:val="BookText"/>
        <w:rPr/>
      </w:pPr>
      <w:bookmarkEnd w:id="193"/>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في الحسن بن صالح إتقان وفقه وعبادة وزهد، وكان وكيع يعظّمه ويشبّهه بسعيد بن جبير</w:t>
      </w:r>
      <w:r>
        <w:rPr>
          <w:rFonts w:eastAsia="Amiri" w:cs="Amiri" w:ascii="Amiri" w:hAnsi="Amiri"/>
          <w:color w:val="111111"/>
          <w:sz w:val="28"/>
          <w:szCs w:val="28"/>
          <w:rtl w:val="true"/>
          <w:lang w:bidi="ar-SA"/>
        </w:rPr>
        <w:t>. . .»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فواضح ممّا تقدَّم أنَّ الرجل كان من أوعية العلم والعبادة، والزهد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حاول البعض أن يرميه بالتشيُّع تارة، وبترك الجمعة اُخرى، وبرأيه في جواز الخروج على الحُكّام الظَلَمَة ثالثة، وقد ردَّ الحافظ ابن حجر العسقلاني على ترك الجمع، وهناك سببٌ آخر لذلك، وهو الخوف من الوقوع بيد السلطة الحاكمة آنذاك، وكذا ردَّ الحافظ مسألة الخروج على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التشيُّع، فقد تقدَّم الكلام فيه، ولا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عدي، عن الحسن بن صالح، عن أبي ربيعة عن الحسن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 الجنّة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وعمار وبلال</w:t>
      </w:r>
      <w:r>
        <w:rPr>
          <w:rFonts w:eastAsia="Amiri" w:cs="Amiri" w:ascii="Amiri" w:hAnsi="Amiri"/>
          <w:color w:val="111111"/>
          <w:sz w:val="28"/>
          <w:szCs w:val="28"/>
          <w:rtl w:val="true"/>
          <w:lang w:bidi="ar-SA"/>
        </w:rPr>
        <w:t>»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ومن نتائج تضعيف هذا الرجل ما ذكره ابن حجر،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 تُكلِّم فيه للتشيّع، وماله في البخاري سوى حكاية معلّقة</w:t>
      </w:r>
      <w:r>
        <w:rPr>
          <w:rFonts w:eastAsia="Amiri" w:cs="Amiri" w:ascii="Amiri" w:hAnsi="Amiri"/>
          <w:color w:val="111111"/>
          <w:sz w:val="28"/>
          <w:szCs w:val="28"/>
          <w:rtl w:val="true"/>
          <w:lang w:bidi="ar-SA"/>
        </w:rPr>
        <w:t>» .</w:t>
      </w:r>
      <w:r>
        <w:rPr>
          <w:rStyle w:val="FootnoteAnchor"/>
          <w:rtl w:val="true"/>
        </w:rPr>
        <w:footnoteReference w:id="356"/>
      </w:r>
    </w:p>
    <w:p>
      <w:pPr>
        <w:pStyle w:val="Heading6"/>
        <w:numPr>
          <w:ilvl w:val="5"/>
          <w:numId w:val="1"/>
        </w:numPr>
        <w:rPr/>
      </w:pPr>
      <w:bookmarkStart w:id="194" w:name="__RefHeading___Toc928531_3650668749"/>
      <w:bookmarkStart w:id="195" w:name="_Toc69"/>
      <w:bookmarkEnd w:id="194"/>
      <w:r>
        <w:rPr/>
        <w:t>6</w:t>
      </w:r>
      <w:r>
        <w:rPr>
          <w:rtl w:val="true"/>
        </w:rPr>
        <w:t xml:space="preserve">- </w:t>
      </w:r>
      <w:r>
        <w:rPr>
          <w:rtl w:val="true"/>
        </w:rPr>
        <w:t>حمران بن أعين</w:t>
      </w:r>
      <w:bookmarkEnd w:id="195"/>
    </w:p>
    <w:p>
      <w:pPr>
        <w:pStyle w:val="BookText"/>
        <w:rPr/>
      </w:pPr>
      <w:r>
        <w:rPr>
          <w:rFonts w:ascii="Amiri" w:hAnsi="Amiri" w:eastAsia="Amiri" w:cs="Amiri"/>
          <w:color w:val="111111"/>
          <w:sz w:val="28"/>
          <w:sz w:val="28"/>
          <w:szCs w:val="28"/>
          <w:rtl w:val="true"/>
          <w:lang w:bidi="ar-SA"/>
        </w:rPr>
        <w:t xml:space="preserve">الكوفي، مولى بني شيبان، وآل أعين من الاُسر المعروفة في الكوفة، المشهورة بطلب العلم والحديث، ومنهم حمران هذا، وزرارة، وعبد الملك، وحمزة بن حمران، وعبيد بن زرارة، كلّهم من الرواة، ذكرهم أبو غالب الزراري </w:t>
      </w:r>
      <w:r>
        <w:rPr>
          <w:rStyle w:val="FootnoteAnchor"/>
          <w:rtl w:val="true"/>
        </w:rPr>
        <w:footnoteReference w:id="357"/>
      </w:r>
      <w:r>
        <w:rPr>
          <w:rFonts w:ascii="Amiri" w:hAnsi="Amiri" w:eastAsia="Amiri" w:cs="Amiri"/>
          <w:color w:val="111111"/>
          <w:sz w:val="28"/>
          <w:sz w:val="28"/>
          <w:szCs w:val="28"/>
          <w:rtl w:val="true"/>
          <w:lang w:bidi="ar-SA"/>
        </w:rPr>
        <w:t>وهو من آل أعين أيضاً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فإنّا أهل بيت أكرمنا الله عزَّوجل بمنّه علينا بدينه، واختصّنا بصحبة أوليائه وحُججه على خلقه، من أوّل نشأتنا إلى وقت الفتنة التي امتحنت بها الشيعة، فلقي عمّنا حمران، سيّدنا وسيد العابدين علي بن الحسين عليه السلام، وكان حمران من أكبر مشايخ الشيعة </w:t>
      </w:r>
    </w:p>
    <w:p>
      <w:pPr>
        <w:pStyle w:val="BookText"/>
        <w:rPr/>
      </w:pPr>
      <w:r>
        <w:rPr>
          <w:rFonts w:ascii="Amiri" w:hAnsi="Amiri" w:eastAsia="Amiri" w:cs="Amiri"/>
          <w:color w:val="111111"/>
          <w:sz w:val="28"/>
          <w:sz w:val="28"/>
          <w:szCs w:val="28"/>
          <w:rtl w:val="true"/>
          <w:lang w:bidi="ar-SA"/>
        </w:rPr>
        <w:t>المفضّلين، الذين لا يشكّ فيهم، فكان أحد حملة القرآن، ومن يعد ويذكر اسمه في كتب القرآن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ولقي حمران عمّنا، وجدّنا زرارة، وبكير، أباجعفر محمد بن علي عليه السلام، ولقي بعض إخوتهم، وجماعة من أولادهم، مثل حمزة بن حمران، وعبيد بن زرارة، ومحمد بن حمران، وغيرهم؛ أباعبدالله جعفر بن محمد عليه السلام، وروَوا عنه</w:t>
      </w:r>
      <w:r>
        <w:rPr>
          <w:rFonts w:eastAsia="Amiri" w:cs="Amiri" w:ascii="Amiri" w:hAnsi="Amiri"/>
          <w:color w:val="111111"/>
          <w:sz w:val="28"/>
          <w:szCs w:val="28"/>
          <w:rtl w:val="true"/>
          <w:lang w:bidi="ar-SA"/>
        </w:rPr>
        <w:t>. . .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وسيأتي في ترجمته أنَّه شيخ حمزة الزيات، الذي تنسب إليه أحد القراءات السبع المشهورة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لم يسلم من الطعن والرمي بالتشيّع والرفض، والتضعيف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أهم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البستي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أخو عبد الملك بن أعين، يروي عن أبي الطفيل</w:t>
      </w:r>
      <w:r>
        <w:rPr>
          <w:rFonts w:eastAsia="Amiri" w:cs="Amiri" w:ascii="Amiri" w:hAnsi="Amiri"/>
          <w:color w:val="111111"/>
          <w:sz w:val="28"/>
          <w:szCs w:val="28"/>
          <w:rtl w:val="true"/>
          <w:lang w:bidi="ar-SA"/>
        </w:rPr>
        <w:t xml:space="preserve">. . . &gt;.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يروي عن أبي الطفيل،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الذهبي،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وقرأ عليه حمزة، وكان يُتقن القرآن،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w:t>
      </w:r>
      <w:r>
        <w:rPr>
          <w:rFonts w:eastAsia="Amiri" w:cs="Amiri" w:ascii="Amiri" w:hAnsi="Amiri"/>
          <w:color w:val="111111"/>
          <w:sz w:val="28"/>
          <w:szCs w:val="28"/>
          <w:rtl w:val="true"/>
          <w:lang w:bidi="ar-SA"/>
        </w:rPr>
        <w:t>. . .»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ضعيف رُمي بالرفض</w:t>
      </w:r>
      <w:r>
        <w:rPr>
          <w:rFonts w:eastAsia="Amiri" w:cs="Amiri" w:ascii="Amiri" w:hAnsi="Amiri"/>
          <w:color w:val="111111"/>
          <w:sz w:val="28"/>
          <w:szCs w:val="28"/>
          <w:rtl w:val="true"/>
          <w:lang w:bidi="ar-SA"/>
        </w:rPr>
        <w:t>. . .»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عبيد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 حمران بن أعين،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هارون بن حاتم عن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قرأت؟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أبي ليلى وحمران بن أعين،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فحمران على مَن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عبيد بن نضيلة الخزاعي، وقرأ عبيد على علقمة، وقرأ علقمة على عبدالله، وقرأ عبدالله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363"/>
      </w:r>
      <w:bookmarkStart w:id="196" w:name="pg1614_13636"/>
    </w:p>
    <w:p>
      <w:pPr>
        <w:pStyle w:val="BookText"/>
        <w:rPr/>
      </w:pPr>
      <w:bookmarkEnd w:id="196"/>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ابن معين، هو وأخوه عبد الملك،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 وعبد الملك بن أعين، ليسا بشيء</w:t>
      </w:r>
      <w:r>
        <w:rPr>
          <w:rFonts w:eastAsia="Amiri" w:cs="Amiri" w:ascii="Amiri" w:hAnsi="Amiri"/>
          <w:color w:val="111111"/>
          <w:sz w:val="28"/>
          <w:szCs w:val="28"/>
          <w:rtl w:val="true"/>
          <w:lang w:bidi="ar-SA"/>
        </w:rPr>
        <w:t>. .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العقيلي في ضعفائه،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 إخوة، عبد الملك بن أعين، وحمران بن أعين، وزرارة بن أعين، وكانوا شيعة، وكان أشدّهم في هذا الأمر حمران بن أعين</w:t>
      </w:r>
      <w:r>
        <w:rPr>
          <w:rFonts w:eastAsia="Amiri" w:cs="Amiri" w:ascii="Amiri" w:hAnsi="Amiri"/>
          <w:color w:val="111111"/>
          <w:sz w:val="28"/>
          <w:szCs w:val="28"/>
          <w:rtl w:val="true"/>
          <w:lang w:bidi="ar-SA"/>
        </w:rPr>
        <w:t>. . .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حمران بن أعين الكوفي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القرآن على الكبار، أبي الأسود ظالم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الأسود 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بل قرأه على ولده أبي حرب بن أبي الأسود، وعلى عبيد بن نضيلة، وأبي جعفر الباقر، وحدَّث عن أبي الطفيل وغير واحد، وعنه أبو خالد القماط، وحمزة بن حبيب الزيات، وقرأ عليه، وسفيان الثوري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داود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 . .</w:t>
      </w:r>
      <w:r>
        <w:rPr>
          <w:rStyle w:val="FootnoteAnchor"/>
          <w:rtl w:val="true"/>
        </w:rPr>
        <w:footnoteReference w:id="366"/>
      </w:r>
    </w:p>
    <w:p>
      <w:pPr>
        <w:pStyle w:val="Heading6"/>
        <w:numPr>
          <w:ilvl w:val="5"/>
          <w:numId w:val="1"/>
        </w:numPr>
        <w:rPr/>
      </w:pPr>
      <w:bookmarkStart w:id="197" w:name="__RefHeading___Toc928533_3650668749"/>
      <w:bookmarkStart w:id="198" w:name="_Toc70"/>
      <w:bookmarkEnd w:id="197"/>
      <w:r>
        <w:rPr/>
        <w:t>٧</w:t>
      </w:r>
      <w:r>
        <w:rPr>
          <w:rtl w:val="true"/>
        </w:rPr>
        <w:t xml:space="preserve">- </w:t>
      </w:r>
      <w:r>
        <w:rPr>
          <w:rtl w:val="true"/>
        </w:rPr>
        <w:t>سعّاد بن سليمان الجعفي</w:t>
      </w:r>
      <w:bookmarkEnd w:id="198"/>
    </w:p>
    <w:p>
      <w:pPr>
        <w:pStyle w:val="BookText"/>
        <w:rPr/>
      </w:pPr>
      <w:r>
        <w:rPr>
          <w:rFonts w:ascii="Amiri" w:hAnsi="Amiri" w:eastAsia="Amiri" w:cs="Amiri"/>
          <w:color w:val="111111"/>
          <w:sz w:val="28"/>
          <w:sz w:val="28"/>
          <w:szCs w:val="28"/>
          <w:rtl w:val="true"/>
          <w:lang w:bidi="ar-SA"/>
        </w:rPr>
        <w:t>وقيل التميمي، وقيل الكاهلي الكوفي، روى عن أبي إسحاق السبيعي، وعون بن أبي جحيفة، وزياد بن علاقة، وجابر الجعفي وغيرهم، وروى عنه كثير، منهم علي بن ثابت الدهان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وقيل إنَّ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وتشديد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أهمّ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عبد الرحمن، وقيل ابن سليمان، عن عون بن أبي جحيفة، 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ليس بقوي</w:t>
      </w:r>
      <w:r>
        <w:rPr>
          <w:rFonts w:eastAsia="Amiri" w:cs="Amiri" w:ascii="Amiri" w:hAnsi="Amiri"/>
          <w:color w:val="111111"/>
          <w:sz w:val="28"/>
          <w:szCs w:val="28"/>
          <w:rtl w:val="true"/>
          <w:lang w:bidi="ar-SA"/>
        </w:rPr>
        <w:t xml:space="preserve">» .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البستي أبو حاتم، وهذا يعني توثيقاً له،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سليمان التميمي، يروي عن زياد بن علاقة</w:t>
      </w:r>
      <w:r>
        <w:rPr>
          <w:rFonts w:eastAsia="Amiri" w:cs="Amiri" w:ascii="Amiri" w:hAnsi="Amiri"/>
          <w:color w:val="111111"/>
          <w:sz w:val="28"/>
          <w:szCs w:val="28"/>
          <w:rtl w:val="true"/>
          <w:lang w:bidi="ar-SA"/>
        </w:rPr>
        <w:t>. . .» .</w:t>
      </w:r>
      <w:r>
        <w:rPr>
          <w:rStyle w:val="FootnoteAnchor"/>
          <w:rtl w:val="true"/>
        </w:rPr>
        <w:footnoteReference w:id="368"/>
      </w:r>
      <w:bookmarkStart w:id="199" w:name="pg1614_13637"/>
    </w:p>
    <w:p>
      <w:pPr>
        <w:pStyle w:val="BookText"/>
        <w:rPr/>
      </w:pPr>
      <w:bookmarkEnd w:id="199"/>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روى عن ثابت بن أبي صفية، أبي حمزة الثمالي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عُتَّق الشيعة، وليس بقوي الحديث، وذكره ابن حبان في كتاب الثقات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 بن سليمان الجعفي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عتق الشيعة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روى له ابن ماجة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الدواء القرآن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وهذا الرجل روى أحاديث في فضل علي وأهل البيت عليهم السلام، منها حديث الثقلين المستفيض، أخرجه البزار،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سَعّاد بن سليمان،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مقبوض وإنِّي قد تركت فيكم الثقلين، كتاب الله وأهل بيتي، وإنَّكم لن تضلّوا بعدهما، وأنّه لن تقوم الساعة حتى يبتغي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تبتغي الضالة فلا توجد</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وروى أيضاً حديث إرسال علي عليه السلام وخالد بن الوليد إلى اليمن، وتأمير علي عليه السلام على الناس، وإصابته جارية من السبي، واعتراض خالد ومَن معه، وبريدة الأسلمي، ودخول بريدة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وشكايته من علي،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مغضباً أشدّ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أحب علياً، فإنّما يفعل ما يؤمَر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وما من الناس أحد أحبُّ إلي منه</w:t>
      </w:r>
      <w:r>
        <w:rPr>
          <w:rFonts w:eastAsia="Amiri" w:cs="Amiri" w:ascii="Amiri" w:hAnsi="Amiri"/>
          <w:color w:val="111111"/>
          <w:sz w:val="28"/>
          <w:szCs w:val="28"/>
          <w:rtl w:val="true"/>
          <w:lang w:bidi="ar-SA"/>
        </w:rPr>
        <w:t>» .</w:t>
      </w:r>
      <w:r>
        <w:rPr>
          <w:rStyle w:val="FootnoteAnchor"/>
          <w:rtl w:val="true"/>
        </w:rPr>
        <w:footnoteReference w:id="372"/>
      </w:r>
      <w:r>
        <w:rPr>
          <w:rFonts w:ascii="Amiri" w:hAnsi="Amiri" w:eastAsia="Amiri" w:cs="Amiri"/>
          <w:color w:val="111111"/>
          <w:sz w:val="28"/>
          <w:sz w:val="28"/>
          <w:szCs w:val="28"/>
          <w:rtl w:val="true"/>
          <w:lang w:bidi="ar-SA"/>
        </w:rPr>
        <w:t>وللحديث طرق كثيرة، روى بعضها علي بن أبي بكر الهيثمي</w:t>
      </w:r>
      <w:r>
        <w:rPr>
          <w:rFonts w:eastAsia="Amiri" w:cs="Amiri" w:ascii="Amiri" w:hAnsi="Amiri"/>
          <w:color w:val="111111"/>
          <w:sz w:val="28"/>
          <w:szCs w:val="28"/>
          <w:rtl w:val="true"/>
          <w:lang w:bidi="ar-SA"/>
        </w:rPr>
        <w:t>.</w:t>
      </w:r>
      <w:r>
        <w:rPr>
          <w:rStyle w:val="FootnoteAnchor"/>
          <w:rtl w:val="true"/>
        </w:rPr>
        <w:footnoteReference w:id="373"/>
      </w:r>
    </w:p>
    <w:p>
      <w:pPr>
        <w:pStyle w:val="Heading6"/>
        <w:numPr>
          <w:ilvl w:val="5"/>
          <w:numId w:val="1"/>
        </w:numPr>
        <w:rPr/>
      </w:pPr>
      <w:bookmarkStart w:id="200" w:name="__RefHeading___Toc928535_3650668749"/>
      <w:bookmarkStart w:id="201" w:name="_Toc71"/>
      <w:bookmarkEnd w:id="200"/>
      <w:r>
        <w:rPr/>
        <w:t>٨</w:t>
      </w:r>
      <w:r>
        <w:rPr>
          <w:rtl w:val="true"/>
        </w:rPr>
        <w:t xml:space="preserve">- </w:t>
      </w:r>
      <w:r>
        <w:rPr>
          <w:rtl w:val="true"/>
        </w:rPr>
        <w:t>عبد السلام بن صالح الهروي</w:t>
      </w:r>
      <w:bookmarkEnd w:id="20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الصلت، سكن نيسابور بعد أن قدم مَرْو غازياً في زمن المأمون العباسي، ورحل في طلب العلم والحديث، وخدم الإمام علي بن موسى الرضا عليه السلام، طاف الكوفة والبصرة والحجاز واليمن في طلب الحديث، وسمع المحدّث الشهير حماد بن زيد، وسمع من مالك بن أنس، وأبي معاوية، وسفيان بن عيينة، وقدم بغداد وحدَّث بها، </w:t>
      </w:r>
    </w:p>
    <w:p>
      <w:pPr>
        <w:pStyle w:val="BookText"/>
        <w:rPr/>
      </w:pPr>
      <w:r>
        <w:rPr>
          <w:rFonts w:ascii="Amiri" w:hAnsi="Amiri" w:eastAsia="Amiri" w:cs="Amiri"/>
          <w:color w:val="111111"/>
          <w:sz w:val="28"/>
          <w:sz w:val="28"/>
          <w:szCs w:val="28"/>
          <w:rtl w:val="true"/>
          <w:lang w:bidi="ar-SA"/>
        </w:rPr>
        <w:t>وروى عنه بها عباس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على المأمون، عندما قدم مرو غازياً، فلمّا سمع كلامه جعله من خاصته، فلم يزل مكرّماً عنده، ثُمَّ أراد المأمون أن يتبنّى رأي جَهم والجهميّة، ويقول بمقالتهم بأنَّ القرآن مخلوق، فجمع المأمون بين أبي الصلت وبين بشر المريسي، وبقية أهل الفرق والأهواء، وكان الظفر لأبي الصلت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فضائل علي عليه السلام، ولأجل ذلك رُمي بالتشيّع والرفض، بل الخبث والوضع؛ وهذا بعض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ولعبد السلام هذا عن عبد الرزاق أحاديث مناكير، في فضائل علي وفاطمة والحسن والحسين، وهو متَّهم في هذه الأحاديث</w:t>
      </w:r>
      <w:r>
        <w:rPr>
          <w:rFonts w:eastAsia="Amiri" w:cs="Amiri" w:ascii="Amiri" w:hAnsi="Amiri"/>
          <w:color w:val="111111"/>
          <w:sz w:val="28"/>
          <w:szCs w:val="28"/>
          <w:rtl w:val="true"/>
          <w:lang w:bidi="ar-SA"/>
        </w:rPr>
        <w:t>. . .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الواعظ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وأبو الصلت الهروي ثقة صدوق، إلاّ أنَّه يتشيَّع</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صالح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يروي عن علي بن موسى الرضا، وحماد بن زيد، قال أبوحاتم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بصدوق، وضرب أبو زرعة على حديثه،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خبيث،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الاحتجاج به إذا انفرد</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أن نقلنا قول إبراهيم بن يعقوب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في ترجمة نماذج من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الصلت الهروي، وقلنا إنَّ أحد تأثيرات النصب أنَّه يجعل صاحبه يتحامل على كل مَن يظهر المحبّة لأمير المؤمنين علي عليه السلام، أو لأحد أهل‌بيته عليهم السلام، وسنذكِّر القارئ الكريم بتلك العبارة مرّة ثانية؛ لمناسبتها للمحل هنا أيضاً، فقد ورد في ترجمة أبي الصلت الهروي، ما 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زائغاً عن الحق، مائلاً عن القصد، سمعت مَن حدَّث</w:t>
      </w:r>
      <w:r>
        <w:rPr>
          <w:rStyle w:val="FootnoteAnchor"/>
        </w:rPr>
        <w:footnoteReference w:id="377"/>
      </w:r>
      <w:r>
        <w:rPr>
          <w:rFonts w:ascii="IRNazanin" w:hAnsi="IRNazanin" w:eastAsia="IRNazanin"/>
          <w:color w:val="111111"/>
          <w:sz w:val="28"/>
          <w:sz w:val="28"/>
          <w:szCs w:val="28"/>
          <w:lang w:bidi="fa-IR"/>
        </w:rPr>
        <w:t>١</w:t>
      </w:r>
    </w:p>
    <w:p>
      <w:pPr>
        <w:pStyle w:val="BookText"/>
        <w:rPr/>
      </w:pPr>
      <w:r>
        <w:rPr>
          <w:rFonts w:ascii="Amiri" w:hAnsi="Amiri" w:eastAsia="Amiri" w:cs="Amiri"/>
          <w:color w:val="111111"/>
          <w:sz w:val="28"/>
          <w:sz w:val="28"/>
          <w:szCs w:val="28"/>
          <w:rtl w:val="true"/>
          <w:lang w:bidi="ar-SA"/>
        </w:rPr>
        <w:t>نعوذ بك اللّهم من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أن بيَّنّا أنّ هذا الجرح مُرسَل؛ إذ لا يُعلم مَن الناقل للجوزجاني، ومَن هو الإمام الذي قال ذلك في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صالح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يروي عن حماد بن زيد وأهل العراق العجائب في فضائل علي وأهل بيته، لا يجوز الاحتجاج به إذا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روى عن أبي 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مدينة العلم وعلي بابها، فمَن أراد المدينة فليأتِ من قِبل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شيء لا أصل له، ليس من حديث ابن عباس، ولا مجاهد، ولا الأعمش، ولا أبو معاوية حدَّث به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وسيأتي لاحقاً طريق آخر لهذا الحديث، عن الأعمش، رواه محمد بن جعفر الفيدي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الذهبي، فقد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السلام بن صالح، أبو الصلت الهروي، الرجل الصالح، إلاّ أنَّه شيعي جلد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بصدوق، وضرب أبو زرعة على حديثه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ونُقل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للعلوية خير من بني 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ويلاحظ أنَّ هذا القول المنسوب إليه مُرسَل؛ لأنَّه لا يُعلَم ناقله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يُوثِّق أبا الصلت، وقال ابن محرز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يكذب، وقد ذكره أحمد بن سيّار في تاريخ 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مرو غازياً، فلمّا رآه المأمون وسمع كلامه جعله من خاصّته، ولم يزل عنده مكرّماً، إلى أن أظهر المأمون </w:t>
      </w:r>
    </w:p>
    <w:p>
      <w:pPr>
        <w:pStyle w:val="BookText"/>
        <w:rPr/>
      </w:pPr>
      <w:r>
        <w:rPr>
          <w:rFonts w:ascii="Amiri" w:hAnsi="Amiri" w:eastAsia="Amiri" w:cs="Amiri"/>
          <w:color w:val="111111"/>
          <w:sz w:val="28"/>
          <w:sz w:val="28"/>
          <w:szCs w:val="28"/>
          <w:rtl w:val="true"/>
          <w:lang w:bidi="ar-SA"/>
        </w:rPr>
        <w:t>كلام جهم، فجمع بينه وبين المريسي، وسأله أن يكلّمه، وكان أبو الصلت يردُّ على المرجئة والجهمية والقدرية، فكلّم بشراً غير مرة بحضرة المأمون، مع غيره من أهل الكلام، فكل ذلك كان الظفر له، وكان يُعرَف بالتشيّع، فناظرته لاستخرج ما عنده، فلم أره يفرط، رأيته يقدّم أبا بكر وعمر، ولا يذكر الصحابة إلاّ بالجميل،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مذهبي اُدين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ثمَّ أحاديث يرويها في المثالب</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حجر العسقلاني، فقد ذكره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صالح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سكن نيسابور، ورحل في الحديث الى الأمصار، وخدم علي بن موسى الرضا، وروى عن عبد السلام بن حرب وعبدالله بن إدريس، وعباد بن العوام، وحماد بن زيد، ومالك بن أنس، وعلي بن هشام بن البريد، وفضيل بن عياض، وعبدالله ابن المبارك، وخلف بن خليفة، وجرير بن عبد الحميد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وعنه ابنه محمد، ومحمد بن إسماعيل الأحمسي، وسهل بن زنجلة، ومحمد بن أبي رافع النيسابوري، والدوري وابن أبي داود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أحمد بن سيار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وقد لقي وجالس الناس، ورحل في الحديث، وكان صاحب قشافة وزهد، ولم أره يُفرط في التشيّع</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وقال القاسم بن عبد الرحمن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حديث حدَّثنا به أبو الصلت، عن معاوية عن الأعمش عن مجاهد عن ابن عباس،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صحيح عن أبي معاوية، إذ قد رواه غير واحد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الحسن بن علي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معين عن أبي الصلت،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إلاّ أنَّه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ما أعرفه بالكذب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يوثِّق أبا الصلت، وقال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قد حدَّث به محمدبن جعفر الفيدي عن أبي معاوية قديماً، ثُمَّ كفَّ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زكريا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مناكير، وهو عندهم ضعيف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مائلاً </w:t>
      </w:r>
    </w:p>
    <w:p>
      <w:pPr>
        <w:pStyle w:val="BookText"/>
        <w:rPr/>
      </w:pPr>
      <w:r>
        <w:rPr>
          <w:rFonts w:ascii="IRNazanin" w:hAnsi="IRNazanin" w:eastAsia="IRNazanin"/>
          <w:color w:val="111111"/>
          <w:sz w:val="28"/>
          <w:sz w:val="28"/>
          <w:szCs w:val="28"/>
          <w:rtl w:val="true"/>
          <w:lang w:bidi="fa-IR"/>
        </w:rPr>
        <w:t>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أبا سعيد الهروي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 الهضيم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سألتك عن عبد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ثقة، ولم يزد على هذا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إمام أهل الحديث يحيى بن معين، وقال الآجري عن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ضابطاً، ورأيت ابن معين عنده، وقال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أحمد بن محمد بن الصديق الغماري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ووثَّقه عبدالله بن أحمد بن حنبل، بروايته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على أنَّه ثقة عند أبيه أيضاً، فإنَّ عبدالله كان لا يروي إلاّ عمَّن يأمره أبوه بالرواية عنه، ممَّن هو عنده ثقة، كما ذكره الحافظ في غير موضع من كتابه تعجيل المنفعة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 . .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فتحصَّل إلى هنا أنَّ مَن اتَّهمه بالكذب فقد أفرط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من قول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عيب عليه تشيّعه وروايته للفضائل، وقد تقدَّم أنَّ التشيُّع لا ينافي العدالة، أمّا رواية الفضائل، فهي كذلك، وخصوصاً إذا روُيت عن طُرق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الحافظ ابن حجر العسقلاني، أبان إفراط العقيلي حين وصف أبا الصلت بالكذب، فقال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السلام بن صالح</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وأفرط العقيلي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وأمَّا في المجاميع الحديثية والفقهية، فيكاد يكون العمل على 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جهر رسول الله، ببسم الله الرحمن الرحيم في الفرائض، قال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الدارقطني عن أبي الصلت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أضعف من الأوّل؛ فإنَّ أباالصلت متروك،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بصدوق،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 . . .</w:t>
      </w:r>
      <w:r>
        <w:rPr>
          <w:rStyle w:val="FootnoteAnchor"/>
          <w:rtl w:val="true"/>
        </w:rPr>
        <w:footnoteReference w:id="38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بوضع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عقد بالقلب وإقرار باللسان وعمل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bookmarkStart w:id="202" w:name="pg1614_13642"/>
    </w:p>
    <w:p>
      <w:pPr>
        <w:pStyle w:val="BookText"/>
        <w:rPr/>
      </w:pPr>
      <w:bookmarkEnd w:id="202"/>
      <w:r>
        <w:rPr>
          <w:rFonts w:ascii="Amiri" w:hAnsi="Amiri" w:eastAsia="Amiri" w:cs="Amiri"/>
          <w:color w:val="111111"/>
          <w:sz w:val="28"/>
          <w:sz w:val="28"/>
          <w:szCs w:val="28"/>
          <w:rtl w:val="true"/>
          <w:lang w:bidi="ar-SA"/>
        </w:rPr>
        <w:t>رواه أبو الصلت عن الإمام علي بن موسى الرضا،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ابن الجوزي بوضعه، وهو من حديث عبد السلام بن صالح عن ابن ماجة</w:t>
      </w:r>
      <w:r>
        <w:rPr>
          <w:rFonts w:eastAsia="Amiri" w:cs="Amiri" w:ascii="Amiri" w:hAnsi="Amiri"/>
          <w:color w:val="111111"/>
          <w:sz w:val="28"/>
          <w:szCs w:val="28"/>
          <w:rtl w:val="true"/>
          <w:lang w:bidi="ar-SA"/>
        </w:rPr>
        <w:t>»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وقال المناوي، عند تعرّضه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الإيمان بالتمنّي ولا بالتحلّي، ولكن هو ما وقر بالقلب وصدَّقه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مُنكَر، تفرَّد به عبد السلام بن صالح العابد،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ضعفه</w:t>
      </w:r>
      <w:r>
        <w:rPr>
          <w:rFonts w:eastAsia="Amiri" w:cs="Amiri" w:ascii="Amiri" w:hAnsi="Amiri"/>
          <w:color w:val="111111"/>
          <w:sz w:val="28"/>
          <w:szCs w:val="28"/>
          <w:rtl w:val="true"/>
          <w:lang w:bidi="ar-SA"/>
        </w:rPr>
        <w:t>. . .» .</w:t>
      </w:r>
      <w:r>
        <w:rPr>
          <w:rStyle w:val="FootnoteAnchor"/>
          <w:rtl w:val="true"/>
        </w:rPr>
        <w:footnoteReference w:id="386"/>
      </w:r>
    </w:p>
    <w:p>
      <w:pPr>
        <w:pStyle w:val="Heading6"/>
        <w:numPr>
          <w:ilvl w:val="5"/>
          <w:numId w:val="1"/>
        </w:numPr>
        <w:rPr/>
      </w:pPr>
      <w:bookmarkStart w:id="203" w:name="__RefHeading___Toc928537_3650668749"/>
      <w:bookmarkStart w:id="204" w:name="_Toc72"/>
      <w:bookmarkEnd w:id="203"/>
      <w:r>
        <w:rPr/>
        <w:t>٩</w:t>
      </w:r>
      <w:r>
        <w:rPr>
          <w:rtl w:val="true"/>
        </w:rPr>
        <w:t xml:space="preserve">- </w:t>
      </w:r>
      <w:r>
        <w:rPr>
          <w:rtl w:val="true"/>
        </w:rPr>
        <w:t>فطر بن خليفة</w:t>
      </w:r>
      <w:bookmarkEnd w:id="204"/>
    </w:p>
    <w:p>
      <w:pPr>
        <w:pStyle w:val="BookText"/>
        <w:rPr/>
      </w:pPr>
      <w:r>
        <w:rPr>
          <w:rFonts w:ascii="Amiri" w:hAnsi="Amiri" w:eastAsia="Amiri" w:cs="Amiri"/>
          <w:color w:val="111111"/>
          <w:sz w:val="28"/>
          <w:sz w:val="28"/>
          <w:szCs w:val="28"/>
          <w:rtl w:val="true"/>
          <w:lang w:bidi="ar-SA"/>
        </w:rPr>
        <w:t>الحناط، وقيل الخياط المخزومي، روى عن أبي الطفيل وأبي وائل، وطاووس ومجاهد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وعنه سفيان بن عيينة وسفيان الثوري وأبو أُسامة وعبدالله بن موسى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أهم ما قيل فيه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يعقوب الجوزجاني وهو من المشهورين بالنصب، تقدَّمت ترجمته في الفصل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زائغ غير ثقة</w:t>
      </w:r>
      <w:r>
        <w:rPr>
          <w:rFonts w:eastAsia="Amiri" w:cs="Amiri" w:ascii="Amiri" w:hAnsi="Amiri"/>
          <w:color w:val="111111"/>
          <w:sz w:val="28"/>
          <w:szCs w:val="28"/>
          <w:rtl w:val="true"/>
          <w:lang w:bidi="ar-SA"/>
        </w:rPr>
        <w:t>»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 بن خليفة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حدَّثنا أحمد بن علي، حدثنا عمرو بن هشام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الرواية عن فطر إلاّ لسوء مذهبه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سمعت أحمد بن يونس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أمرُّ بفطر بن خليفة بالكناسة في أصحاب الطعام، وكان أعرج، وكان يبكر عن أصحاب الطعام، قال فلا أكتب عنه، وكان يتشيّع، فأمرّ وأدعه مثل الكلب</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وُثِّق، 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زائغ غير ثقة،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زائغ لا يحتجّ به، وغمزه ابن المديني</w:t>
      </w:r>
      <w:r>
        <w:rPr>
          <w:rFonts w:eastAsia="Amiri" w:cs="Amiri" w:ascii="Amiri" w:hAnsi="Amiri"/>
          <w:color w:val="111111"/>
          <w:sz w:val="28"/>
          <w:szCs w:val="28"/>
          <w:rtl w:val="true"/>
          <w:lang w:bidi="ar-SA"/>
        </w:rPr>
        <w:t>. . .»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 بن خليفة الخياط، أبو بكر، مولى عمرو بن حريث الكوفي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 عبد الرحمن، حدّثنا عبدالله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فطر بن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فطر عند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 ثقة</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أبو بكر الكوفي الحناط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وثَّقه أحمد وغيره،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إن شاء الله، ومن الناس مَن يستضعفه، وكان لا يدع أحداً يكتب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الرواية عنه الاّ لسوء مذهبه</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ونقل الذهبي، في نفس الموضع من كتابه الآنف، قول عباد الرواجنى،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عباد الرواجني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الأهاعي وغيره، عن جعفر الأحمر، سمعت فطر بن خليفة في مرضه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يسرّني أنَّ مكان كل شعرة في جسدي ملك يسبِّح الله لحبِّي أهل البيت</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صدوق رُمي بالتشيُّع</w:t>
      </w:r>
      <w:r>
        <w:rPr>
          <w:rFonts w:eastAsia="Amiri" w:cs="Amiri" w:ascii="Amiri" w:hAnsi="Amiri"/>
          <w:color w:val="111111"/>
          <w:sz w:val="28"/>
          <w:szCs w:val="28"/>
          <w:rtl w:val="true"/>
          <w:lang w:bidi="ar-SA"/>
        </w:rPr>
        <w:t>. . .»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يُقدِّم علياً على عثمان</w:t>
      </w:r>
      <w:r>
        <w:rPr>
          <w:rFonts w:eastAsia="Amiri" w:cs="Amiri" w:ascii="Amiri" w:hAnsi="Amiri"/>
          <w:color w:val="111111"/>
          <w:sz w:val="28"/>
          <w:szCs w:val="28"/>
          <w:rtl w:val="true"/>
          <w:lang w:bidi="ar-SA"/>
        </w:rPr>
        <w:t>. . .» .</w:t>
      </w:r>
      <w:r>
        <w:rPr>
          <w:rStyle w:val="FootnoteAnchor"/>
          <w:rtl w:val="true"/>
        </w:rPr>
        <w:footnoteReference w:id="39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المجاميع الحديثية أو الفقهية، فهناك اتّجاهان، فمَن لم يسغ له حديث ما، وأراد أن يضعّف ذلك الحديث، ووجد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حينئذٍ يأتي برأي الجوزجاني فيه، أو رأي أبي بكر بن عياش، كما فعل ابن حزم في كتابه المحلّى في كتاب </w:t>
      </w:r>
    </w:p>
    <w:p>
      <w:pPr>
        <w:pStyle w:val="BookText"/>
        <w:rPr/>
      </w:pPr>
      <w:r>
        <w:rPr>
          <w:rFonts w:ascii="Amiri" w:hAnsi="Amiri" w:eastAsia="Amiri" w:cs="Amiri"/>
          <w:color w:val="111111"/>
          <w:sz w:val="28"/>
          <w:sz w:val="28"/>
          <w:szCs w:val="28"/>
          <w:rtl w:val="true"/>
          <w:lang w:bidi="ar-SA"/>
        </w:rPr>
        <w:t>الهبات منه،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يهب أو أن يتصدّق على أحدٍ من ولده، حتى يُعطي أو يتصدَّق على كل واحدٍ منهم بمثل ذلك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 بعد إيراد روايات على مدّعاه، وأتى برواية معارضة فيها فطر بن خليفة،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عارض رواية كل مَن ذكرنا برواية فطر لَمخذول، وفطر ضعيف</w:t>
      </w:r>
      <w:r>
        <w:rPr>
          <w:rFonts w:eastAsia="Amiri" w:cs="Amiri" w:ascii="Amiri" w:hAnsi="Amiri"/>
          <w:color w:val="111111"/>
          <w:sz w:val="28"/>
          <w:szCs w:val="28"/>
          <w:rtl w:val="true"/>
          <w:lang w:bidi="ar-SA"/>
        </w:rPr>
        <w:t>»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وذكر ابن حجر، بعد أن أورد قول الموثّقين لفطر، والمضعّفين له،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ليس له في البخاري سوى حديث واحد، رواه عن مجاهد عن عبدالله بن عمر؛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الواصل كالمكافئ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الحديث أخرجه من طريق الثوري، عن الأعمش والحسن بن عمرو وفطر، ثلاثتهم عن مجاهد</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أي أنَّ البخاري أخرج له حديثاً واحداً، مقروناً بغيره، وهذا إمارةٌ على عدم اعتماده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مضعّفاً له، ومعتمداً في تضعيفه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الجوزجاني، قال في تخريج حديث الجهر بالبسملة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ثنا فطر بن خليفة، عن أبي الفطيل عن علي وعمار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يجهر في المكتوبات 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لا أعلم في روايته منسوباً الى الجرح، وتعقَّبه الذهبي في مختصره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واهٍ، كأنَّه موضوع، لأنَّ عبد الرحمن صاحب مناكير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للزيعلي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وفطر بن خليفة، قال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ثقة، روى له البخاري مقروناً بغيره، والأربعة، وتصحيح الحاكم لا يُعتدّ به، سيما في هذا الموضع، فقد عُرف تساهله في ذلك</w:t>
      </w:r>
      <w:r>
        <w:rPr>
          <w:rFonts w:eastAsia="Amiri" w:cs="Amiri" w:ascii="Amiri" w:hAnsi="Amiri"/>
          <w:color w:val="111111"/>
          <w:sz w:val="28"/>
          <w:szCs w:val="28"/>
          <w:rtl w:val="true"/>
          <w:lang w:bidi="ar-SA"/>
        </w:rPr>
        <w:t xml:space="preserve">. . . . </w:t>
      </w:r>
      <w:r>
        <w:rPr>
          <w:rStyle w:val="FootnoteAnchor"/>
          <w:rtl w:val="true"/>
        </w:rPr>
        <w:footnoteReference w:id="39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كل ما تقدَّم يظهر أنَّ كثيراً من المحدِّثين تركوه لا لشيء إلاَّ لتشيُّعه، كما هو رأي ابن عياش وأحمد بن يونس والجوزجاني والدارقطني</w:t>
      </w:r>
      <w:r>
        <w:rPr>
          <w:rFonts w:eastAsia="Amiri" w:cs="Amiri" w:ascii="Amiri" w:hAnsi="Amiri"/>
          <w:color w:val="111111"/>
          <w:sz w:val="28"/>
          <w:szCs w:val="28"/>
          <w:rtl w:val="true"/>
          <w:lang w:bidi="ar-SA"/>
        </w:rPr>
        <w:t xml:space="preserve">. </w:t>
      </w:r>
      <w:bookmarkStart w:id="205" w:name="pg1614_13645"/>
    </w:p>
    <w:p>
      <w:pPr>
        <w:pStyle w:val="Heading6"/>
        <w:numPr>
          <w:ilvl w:val="5"/>
          <w:numId w:val="1"/>
        </w:numPr>
        <w:rPr/>
      </w:pPr>
      <w:bookmarkStart w:id="206" w:name="__RefHeading___Toc928539_3650668749"/>
      <w:bookmarkStart w:id="207" w:name="_Toc73"/>
      <w:bookmarkEnd w:id="205"/>
      <w:bookmarkEnd w:id="206"/>
      <w:r>
        <w:rPr/>
        <w:t>١٠</w:t>
      </w:r>
      <w:r>
        <w:rPr>
          <w:rtl w:val="true"/>
        </w:rPr>
        <w:t xml:space="preserve">- </w:t>
      </w:r>
      <w:r>
        <w:rPr>
          <w:rtl w:val="true"/>
        </w:rPr>
        <w:t>ثوير بن أبي فاختة</w:t>
      </w:r>
      <w:bookmarkEnd w:id="207"/>
    </w:p>
    <w:p>
      <w:pPr>
        <w:pStyle w:val="BookText"/>
        <w:rPr/>
      </w:pPr>
      <w:r>
        <w:rPr>
          <w:rFonts w:ascii="Amiri" w:hAnsi="Amiri" w:eastAsia="Amiri" w:cs="Amiri"/>
          <w:color w:val="111111"/>
          <w:sz w:val="28"/>
          <w:sz w:val="28"/>
          <w:szCs w:val="28"/>
          <w:rtl w:val="true"/>
          <w:lang w:bidi="ar-SA"/>
        </w:rPr>
        <w:t>أبو الجهم الكوفي، كناه أبو نعيم، يروي عن ابن عمر وابن الزبير، وأبيه، روى عنه سفيان الثوري وإسرائيل، وهو مولى لأُم هاني بنت أبي طالب، أخت أمير المؤمنين علي ابن أبي طالب عليه السلام، وقيل هو مولى زوجها جعدة بن هبيرة المخزومي، وهذه أهم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ثوير بن أبي فاختة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يونس بن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رافضياً،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أبو حاتم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وروى أبو صفوان الثقفي عن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 رُكن من أركان الكذب،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يحيى وابن مهدي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أحمد بن مفضل، حدَّثنا أبو مريم الأنصاري، حدَّثنا ثوير ابن أبي فاختة، عن أبيه،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يحبُّني كافر، ولا ولد زنى</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عبدالله بن أحمد، سُئل أبي عن ثوير بن أبي فاختة، ويزيد بن أبي زياد، وليث بن أبي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بعضهم من بعض، وقال يونس بن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رافضياً،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إبراهيم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القوي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نُسب إلى الرفض، ضعَّفه جماعة، وأثر الضعف على رواياته بيِّن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شعبة وإسرائيل وغيرهما، واحتملوا حديثه، كان يُرمى بالرفض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وأبوه لا بأس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ثوير يكتب حديثه وهو ضعيف، وحكى الساجي في الضعفاء عن أيوب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مستقيم الشأن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 الحاكم في المستدرك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ينقم عليه إلاّ التشيُّع</w:t>
      </w:r>
      <w:r>
        <w:rPr>
          <w:rFonts w:eastAsia="Amiri" w:cs="Amiri" w:ascii="Amiri" w:hAnsi="Amiri"/>
          <w:color w:val="111111"/>
          <w:sz w:val="28"/>
          <w:szCs w:val="28"/>
          <w:rtl w:val="true"/>
          <w:lang w:bidi="ar-SA"/>
        </w:rPr>
        <w:t>. . . .</w:t>
      </w:r>
      <w:r>
        <w:rPr>
          <w:rStyle w:val="FootnoteAnchor"/>
          <w:rtl w:val="true"/>
        </w:rPr>
        <w:footnoteReference w:id="399"/>
      </w:r>
      <w:bookmarkStart w:id="208" w:name="pg1614_13646"/>
    </w:p>
    <w:p>
      <w:pPr>
        <w:pStyle w:val="BookText"/>
        <w:rPr/>
      </w:pPr>
      <w:bookmarkEnd w:id="208"/>
      <w:r>
        <w:rPr>
          <w:rFonts w:ascii="Amiri" w:hAnsi="Amiri" w:eastAsia="Amiri" w:cs="Amiri"/>
          <w:color w:val="111111"/>
          <w:sz w:val="28"/>
          <w:sz w:val="28"/>
          <w:szCs w:val="28"/>
          <w:rtl w:val="true"/>
          <w:lang w:bidi="ar-SA"/>
        </w:rPr>
        <w:t>وفي المجاميع الحديثة، فإنَّ الأكثر على 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حزم، في باب الوقوف بالهدي بعَرَفة، بعد أن أورد حديثاً في طريقه ثوير،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الحجّاج، وإسرائيل، وثويراً، كلّهم ضعفاء</w:t>
      </w:r>
      <w:r>
        <w:rPr>
          <w:rFonts w:eastAsia="Amiri" w:cs="Amiri" w:ascii="Amiri" w:hAnsi="Amiri"/>
          <w:color w:val="111111"/>
          <w:sz w:val="28"/>
          <w:szCs w:val="28"/>
          <w:rtl w:val="true"/>
          <w:lang w:bidi="ar-SA"/>
        </w:rPr>
        <w:t>»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وقال عنه الهيثمي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 وهو مُجمَع على ضعفه</w:t>
      </w:r>
      <w:r>
        <w:rPr>
          <w:rFonts w:eastAsia="Amiri" w:cs="Amiri" w:ascii="Amiri" w:hAnsi="Amiri"/>
          <w:color w:val="111111"/>
          <w:sz w:val="28"/>
          <w:szCs w:val="28"/>
          <w:rtl w:val="true"/>
          <w:lang w:bidi="ar-SA"/>
        </w:rPr>
        <w:t>»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وقال عنه العيني، في باب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ثوير هذا ضعيف جداً، تكلّم فيه جماعة كثيرون</w:t>
      </w:r>
      <w:r>
        <w:rPr>
          <w:rFonts w:eastAsia="Amiri" w:cs="Amiri" w:ascii="Amiri" w:hAnsi="Amiri"/>
          <w:color w:val="111111"/>
          <w:sz w:val="28"/>
          <w:szCs w:val="28"/>
          <w:rtl w:val="true"/>
          <w:lang w:bidi="ar-SA"/>
        </w:rPr>
        <w:t>»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فيتحصّل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الأغلب على تضعيفه، وهو ممَّن رُمي بالتشيُّع،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ينقم عليه إلاّ التشيُّع ووثَّقه العجلي</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928541_3650668749"/>
      <w:bookmarkStart w:id="210" w:name="_Toc74"/>
      <w:bookmarkEnd w:id="209"/>
      <w:r>
        <w:rPr>
          <w:rtl w:val="true"/>
        </w:rPr>
        <w:t>خلاصة الفصل الثالث</w:t>
      </w:r>
      <w:r>
        <w:rPr>
          <w:rtl w:val="true"/>
        </w:rPr>
        <w:t xml:space="preserve">: </w:t>
      </w:r>
      <w:r>
        <w:rPr>
          <w:rtl w:val="true"/>
        </w:rPr>
        <w:t>تألَّف هذا الفصل من مقدّمةٍ ومبحثَين</w:t>
      </w:r>
      <w:bookmarkEnd w:id="210"/>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تعرَّضنا بعد التمهيد إلى تعريف التشيُّع لغةً، ثُمَّ اصطلاحاً، فكان التعريف في أصله مأخوذ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بمعنى الحطب الصغير الذي يُشايع الحطب الكبير ويعينه على اتِّقاد النار، ومن هذا المعنى أُخذ معنى المتابعة والمطاوعة والمناصرة، ثُمَّ استعمل في وحدة الرأي والاتّباع فيه، ثُمَّ غلب هذا الاسم على مَن يتولَّى أمير المؤمنين علي عليه السلام وأهل بيته الكرام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تعرَّضنا للمعنى الاصطلاحي، ومهَّدنا قبل ذكر المعنى الاصطلاحي بنقل كلمات بعض المتأخرين للفرق والمذاهب، وممَّن اهتمَّ بذكر التراجم، حيث أكَّدوا على أنَّ هناك مجموعة بارزة في صدر الإسلام الأوّل عُرفت بتشيُّعها لأمير المؤمنين علي بن أبي طالب عليه السلام، ونظرتها له على أنَّه المفضَّل والمقدَّم على بقية المسلمين آنذاك، وأنَّ هذا الأمر كان شائعاً غير مخفي ولا مُستغرَب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ويؤكّد ذلك أنَّ التشيُّع على رأي مشهور الرجاليين هو حبُّ علي عليه السلام وتقديمه على غيره، من غير حطٍّ من ذوي الفضل من غيره، وليس في ذلك غلوّ، بتصريح الكثير منهم، بل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عند علماء العقائد والملل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تنسب إلى عبدٍ من عبيد الله منصباً إلهياً على 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المبحثان اللذان تليا المقدّمة، فقد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التشيُّع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ضعَّفوا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وتعرَّضنا في المبحث الأوَّل إلى تساؤلٍ مهم،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التشيُّع فيه ما ينافي العدالة؟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التشيُّع فيه أمر ما يعدُّ من المفسّقات؟ وأثبتنا أنّ التشيُّع ينسجم تماماً مع ما أمرت به الشريعة؛ لأنَّ حبَّ علي عليه السلام أمرٌ مأمور به بالأوامر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حبّ أهل الإيمان والسبق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ومأمور به بالأوامر الخاصة، عن طريق رواياتٍ كثيرة تُشير إلى فضله، وتأمر بحبّه، وتنهى عن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التشيُّع ليس فيه أمرٌ مبتدع طارئٌ على الشريعة، ناتج عن هوى وميول خاصّة؛ لذا فهو بعيد كل البعد عن البدعة والابتداع؛ لأنَّه موافق لأوامر الشريعة، وخارج عن حدود نواهيها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فإنَّ التشيّع يوافق العدالة تماماً، ولا يتقاطع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إجماعاً على تقديم الشيخين، فالقول بتقديم علي عليه السلام مخالف لهذا الإجماع، ومخالفة الإجماع تُعدّ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مخالفة الإجماع مخصوصة بالإجماع القطعي، الذي ليس له مخالف أبداً، أمَّا الإجماع الظني، فيعني وجود مخالف من العلماء، وإن كان نادراً، ولذا فمخالفة الإجماع حينئذٍ لا تعدّ معصية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إن قبلنا دعوى الإجماع، وإلاّ ففي أصول ثبوت دعوى الإجماع نظر؛ </w:t>
      </w:r>
    </w:p>
    <w:p>
      <w:pPr>
        <w:pStyle w:val="BookText"/>
        <w:rPr/>
      </w:pPr>
      <w:r>
        <w:rPr>
          <w:rFonts w:ascii="Amiri" w:hAnsi="Amiri" w:eastAsia="Amiri" w:cs="Amiri"/>
          <w:color w:val="111111"/>
          <w:sz w:val="28"/>
          <w:sz w:val="28"/>
          <w:szCs w:val="28"/>
          <w:rtl w:val="true"/>
          <w:lang w:bidi="ar-SA"/>
        </w:rPr>
        <w:t>لوجود مخالف من الصحابة والتابعين وتابعيهم، وكثير من العلماء، فهؤلاء يرون تقديم علي عليه السلام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ذكرنا الجنبة العملية في الأمر، وقلنا إنَّ أغلب مَن رُمي بالغلوّ في التشيّع هم ليسوا كذلك في حقيقة الأمر، بل قيل فيهم ذلك بسبب إظهارهم لحبّهم لأمير المؤمنين علي وأهل بيته عليهم السلام، أو لنيلهم من ظلمة بني أُمية، كما ذكر ذلك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وجئنا بنماذج أثبتنا فيها ما ادَّعيناه، وناقشنا مصطلح الرفض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نظرياً وعملياً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وأثبتنا اضطرابهم في إطلاقه بين مَن أطلقه نظرياً وعملياً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المبحث الثاني، فقد تعرَّضنا فيه إلى منهجين اتَّبعهما علماء الجمهور لتضعيفهم لمَن رموه بالتشيّع، فتارة يضعّفون الشيعي بالتضعيفات العامة، وتارة بالتضعيفات الخاصة لأفراد وآحاد مَن رموهم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التضعيفات العامة، فقد وردت عن طريق قواعد جُعلت كأُسس يُنطلَق منها لتضعيف الشيعي،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التضعيف بسبب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كون الراوي داعية لبدعته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طُبِّقت هذه القاعدة على الشيعي مباشرة، وساوَوه مع غيره من أهل الاعتقادات الفاسدة، كالنواصب والخوارج والمرجئة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التضعيف لقاعدة عدم قبول قول مبتدع في 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قدح الشيعي في ناصبي لما قبلوه، طبقاً لهذه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التضعيف بسبب رواية 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التضعيف بسبب رواية الفضائل أعّم من الرمي بالتشيّع؛ إذ قد يضعّفون رواة فضائل علي عليه السلام وإن لم يرموهم بالتشيّع، وقد يرموهم بالتشيّع أوّلاً، ثُمَّ يضعّفونهم؛ والذي يهمّنا في بحثنا الثاني، فقد ضعَّفوا الكثير من الرواة بعد أن رموهم بالتشيّع؛ نتيجة لروايتهم في فضائل علي عليه 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الاتّهام والتضعيف للشيعي لقاعدة عدم قبول رواية المبتدع لِما يقوّي 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روى ذلك اتّهم، حتى لو كان صدوقاً ثقة؛ لذا اتَّهموا رواةً ثقات بوضع أحاديث في </w:t>
      </w:r>
    </w:p>
    <w:p>
      <w:pPr>
        <w:pStyle w:val="BookText"/>
        <w:rPr/>
      </w:pPr>
      <w:r>
        <w:rPr>
          <w:rFonts w:ascii="Amiri" w:hAnsi="Amiri" w:eastAsia="Amiri" w:cs="Amiri"/>
          <w:color w:val="111111"/>
          <w:sz w:val="28"/>
          <w:sz w:val="28"/>
          <w:szCs w:val="28"/>
          <w:rtl w:val="true"/>
          <w:lang w:bidi="ar-SA"/>
        </w:rPr>
        <w:t>فضل علي عليه السلام، مع وجود طرق أُخرى لتلك الأحاديث من غير طريق هؤلاء الرواة الذين اتَّهموهم، فلذاك اتَّهموا أبا الصلت الهروي، والحاكم النيسابوري، وأباجعفر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تعرَّضنا بصورة مُجمَلة إلى أهمّ ألفاظ الجرح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تعرَّضنا إلى التضعيفات الخاصة لأفراد وآحاد مَن رُموا بالتشيُّع، واخترنا في ذلك عشرة نماذج، كما فعلنا في الفصل السابق</w:t>
      </w:r>
      <w:r>
        <w:rPr>
          <w:rFonts w:eastAsia="Amiri" w:cs="Amiri" w:ascii="Amiri" w:hAnsi="Amiri"/>
          <w:color w:val="111111"/>
          <w:sz w:val="28"/>
          <w:szCs w:val="28"/>
          <w:rtl w:val="true"/>
          <w:lang w:bidi="ar-SA"/>
        </w:rPr>
        <w:t xml:space="preserve">. </w:t>
      </w:r>
      <w:bookmarkStart w:id="211" w:name="pg1614_13650"/>
    </w:p>
    <w:p>
      <w:pPr>
        <w:pStyle w:val="Heading2"/>
        <w:numPr>
          <w:ilvl w:val="1"/>
          <w:numId w:val="1"/>
        </w:numPr>
        <w:rPr/>
      </w:pPr>
      <w:bookmarkStart w:id="212" w:name="__RefHeading___Toc928543_3650668749"/>
      <w:bookmarkStart w:id="213" w:name="_Toc75"/>
      <w:bookmarkEnd w:id="211"/>
      <w:bookmarkEnd w:id="212"/>
      <w:r>
        <w:rPr>
          <w:rtl w:val="true"/>
        </w:rPr>
        <w:t>فهرس المصادر</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أبجد العلوم، صديق بن حسن القنوجي،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زكار،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بيروت </w:t>
      </w:r>
      <w:r>
        <w:rPr>
          <w:rFonts w:ascii="Amiri" w:hAnsi="Amiri" w:eastAsia="Amiri" w:cs="Amiri"/>
          <w:color w:val="111111"/>
          <w:sz w:val="28"/>
          <w:sz w:val="28"/>
          <w:szCs w:val="28"/>
          <w:lang w:bidi="ar-SA"/>
        </w:rPr>
        <w:t>١٩٧٨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الرجال، إبراهيم بن يعقوب الجوزجاني،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البدري،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الفحول، محمد بن علي الشوكاني،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البدري،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بيروت،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إرواء الغليل في تخريج أحاديث منار السبيل،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زهير الشاويش،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بيروت، سنة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 أبوالقاسم محمد بن عمر الزمخشري،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السرخسي، أبو بكر محمد بن أحمد السرخسي،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الإبهاج في شرح المنهاج، علي بن عبد الكافي السبكي،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بيروت،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في أصول الأحكام، أبو الحسن علي بن محمد الآمدي،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الجميلي،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الإحكام في أصول الأحكام، أبو محمد علي بن أحمد، ابن حزم الأندلسي،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القاهرة،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 لأخبار دول المغرب الأقصى، أبوالعباس أحمد بن خالد الناصري،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الناصري ومحمد الناصري،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الدار البيضاء،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معرفة الأصحاب، يوسف بن عبدالله بن محمد بن عبد 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w:t>
      </w:r>
      <w:r>
        <w:rPr>
          <w:rFonts w:ascii="Amiri" w:hAnsi="Amiri" w:eastAsia="Amiri" w:cs="Amiri"/>
          <w:color w:val="111111"/>
          <w:sz w:val="28"/>
          <w:sz w:val="28"/>
          <w:szCs w:val="28"/>
          <w:lang w:bidi="ar-SA"/>
        </w:rPr>
        <w:t>١٣۴۴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في تمييز الصحابة، أحمد بن علي بن حجر العسقلاني،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الإعتصام، أبو إسحاق الشاطبي،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المكتبة التجارية الكبرى،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خير الدين الزركلي، ط</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ascii="Amiri" w:hAnsi="Amiri" w:eastAsia="Amiri" w:cs="Amiri"/>
          <w:color w:val="111111"/>
          <w:sz w:val="28"/>
          <w:sz w:val="28"/>
          <w:szCs w:val="28"/>
          <w:lang w:bidi="ar-SA"/>
        </w:rPr>
        <w:t>١٩٨٠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 أبو الفرج الأصفهاني،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مهنا وسمير جابر،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عبد الكريم بن محمد السمعاني،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عمر البارودي،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بيروت، </w:t>
      </w:r>
      <w:r>
        <w:rPr>
          <w:rFonts w:ascii="Amiri" w:hAnsi="Amiri" w:eastAsia="Amiri" w:cs="Amiri"/>
          <w:color w:val="111111"/>
          <w:sz w:val="28"/>
          <w:sz w:val="28"/>
          <w:szCs w:val="28"/>
          <w:lang w:bidi="ar-SA"/>
        </w:rPr>
        <w:t>١٩٩٨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الحثيث في اختصار علوم الحديث، أبو الفداء عماد الدين إسماعيل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والتاريخ، المطهر بن طاهر المقدسي،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 بور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اسماعيل بن كثير الدمشقي،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مفهومها وحدودها، مركز الرسالة،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مركز الرسالة، قم،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 محمد بن إسماعيل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الندوي،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التبيين لأسماء المُدلّسين، إبراهيم بن محمد، سبط ابن العجمي،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داود الموصلي،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الريان للطباعة والنشر، بيروت،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التعريفات، علي بن محمد علي الجرجاني،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الأبياري،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والردّ على أهل الأهواء والبدع، محمد بن أحمد الملطي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زاهد الكوثري،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الأزهرية للتراث، مصر،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أبو حاتم محمد بن حبان البستي،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أحمد،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ascii="Amiri" w:hAnsi="Amiri" w:eastAsia="Amiri" w:cs="Amiri"/>
          <w:color w:val="111111"/>
          <w:sz w:val="28"/>
          <w:sz w:val="28"/>
          <w:szCs w:val="28"/>
          <w:lang w:bidi="ar-SA"/>
        </w:rPr>
        <w:t>١٣٩۵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محمّد ابن حبان،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شرف الدين أحمد،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ط</w:t>
      </w:r>
      <w:r>
        <w:rPr>
          <w:rFonts w:ascii="Amiri" w:hAnsi="Amiri" w:eastAsia="Amiri" w:cs="Amiri"/>
          <w:color w:val="111111"/>
          <w:sz w:val="28"/>
          <w:sz w:val="28"/>
          <w:szCs w:val="28"/>
          <w:lang w:bidi="ar-SA"/>
        </w:rPr>
        <w:t>١٣٩۵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لأخلاق الراوي وآداب السامع،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الطحان،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الرياض،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والتعديل، عبد الرحمن بن أبي حاتم الرازي،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 يوسف البحراني،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الاسلامي،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في علم الدراية، زين الدين بن علي الجبعي، الشهيد الثاني،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محمد علي بقال،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قم المقدسة،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والتكميل في الجرح والتعديل، أبو الحسنات محمد عبد الحي اللكنوي الهندي،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المطبوعات الإسلامية، حلب،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على أهل الرفض والضلال والزندقة، أحمد بن محمد بن حجر الهيثمي،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عبدالله التركي وكامل محمد الخراط،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الصغير، محمد بن اسماعيل البخارى،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الوعي، حلب، سوريا، سنة</w:t>
      </w:r>
      <w:r>
        <w:rPr>
          <w:rFonts w:ascii="Amiri" w:hAnsi="Amiri" w:eastAsia="Amiri" w:cs="Amiri"/>
          <w:color w:val="111111"/>
          <w:sz w:val="28"/>
          <w:sz w:val="28"/>
          <w:szCs w:val="28"/>
          <w:lang w:bidi="ar-SA"/>
        </w:rPr>
        <w:t>١٣٩۶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الكبير أو ضعفاء العقيلي، محمد بن عمر بن موسى العقيلي،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عبدالمعطي أمين قلعجي،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المكتبة العلمية، بيروت،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والمتروكين، عبد الرحمن بن علي بن محمد بن الجوزي،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القاضي،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محمد بن سعد الزهري، ابن سعد،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في خبر مَن غبر، شمس الدين محمد بن احمد الذهبى،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المنجد،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حكومة الكويت، الكويت، </w:t>
      </w:r>
      <w:r>
        <w:rPr>
          <w:rFonts w:ascii="Amiri" w:hAnsi="Amiri" w:eastAsia="Amiri" w:cs="Amiri"/>
          <w:color w:val="111111"/>
          <w:sz w:val="28"/>
          <w:sz w:val="28"/>
          <w:szCs w:val="28"/>
          <w:lang w:bidi="ar-SA"/>
        </w:rPr>
        <w:t>١٩٨۴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المتناهية في الأحاديث الواهية، عبدالرحمن بن علي بن جوزي،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بيروت،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في شرح الهداية في علم الرواية، شمس الدين محمد بن عبد الرحمن السخاوي،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عائش عبد المنعم إبراهيم،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أولاد الشيخ للتراث، </w:t>
      </w:r>
      <w:r>
        <w:rPr>
          <w:rFonts w:ascii="Amiri" w:hAnsi="Amiri" w:eastAsia="Amiri" w:cs="Amiri"/>
          <w:color w:val="111111"/>
          <w:sz w:val="28"/>
          <w:sz w:val="28"/>
          <w:szCs w:val="28"/>
          <w:lang w:bidi="ar-SA"/>
        </w:rPr>
        <w:t>٢٠٠١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والأهواء والنحل، علي بن احمد، ابن حزم الظاهرى،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 القاهرة،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والمتفقّه، أبو بكر أحمد بن علي، الخطيب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عادل بن يوسف الغرازي،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الجوزي، السعودية، </w:t>
      </w:r>
      <w:r>
        <w:rPr>
          <w:rFonts w:ascii="Amiri" w:hAnsi="Amiri" w:eastAsia="Amiri" w:cs="Amiri"/>
          <w:color w:val="111111"/>
          <w:sz w:val="28"/>
          <w:sz w:val="28"/>
          <w:szCs w:val="28"/>
          <w:lang w:bidi="ar-SA"/>
        </w:rPr>
        <w:t>١۴٢١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في معرفة مَن له رواية في الكتب الستة، شمس الدين محمد بن احمد الذهبى،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الإسلامية، جدة، السعودية،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ضعفاء الرجال، عبدالله بن عدي الجرجاني،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مختار غزاوي،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الحثيث عمَّن رُمي بوضع الحديث، إبراهيم بن محمد بن العجمي الحلبي،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السامرائي،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بيروت،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في علم الرواية، احمد بن علي الخطيب البغدادي،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السورقي وإبراهيم حمدي المدني،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 الشيخ عباس القمي،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اللباب في تهذيب الأنساب، علي بن أبي الكرم الشيباني الجزري،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المجروحين من المحدِّثين والضعفاء والمتروكين،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زايد،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الوعي، حلب، سوريا، </w:t>
      </w:r>
      <w:r>
        <w:rPr>
          <w:rFonts w:ascii="Amiri" w:hAnsi="Amiri" w:eastAsia="Amiri" w:cs="Amiri"/>
          <w:color w:val="111111"/>
          <w:sz w:val="28"/>
          <w:sz w:val="28"/>
          <w:szCs w:val="28"/>
          <w:lang w:bidi="ar-SA"/>
        </w:rPr>
        <w:t>١٣٩۶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الفاصل بين الراوي والواعي، الحسن بن عبد الرحمن الرامهرمزي،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عجاج الخطيب،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المحصول في علم الأصول، محمد بن عمر بن الحسين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جابر العلواني،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طبع عام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علي بن أحمد بن حزم الظاهري،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الآفاق الجديدة،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في علم الأثر، عز الدين محمد بن إبراهيم بن الوزير الحسني اليماني، رسالة في المصطلح</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أبوعبدالله محمد بن عبدالله الحاكم النيسابوري،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المستصفى في علم الأصول، أبو حامد محمد بن محمد الغزالي،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عبدالسلام عبد الشافي،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أحمد بن محمد الفيومي،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أبو القاسم سليمان بن أحمد الطبراني،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عوض الله محمد وعبد المحسن إبراهيم الحسيني،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القاهرة،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والتاريخ، يعقوب بن سفيان الفسوي،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منصور،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في طبقات المحدّثين، شمس الدين محمد بن احمد الذهبى،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همام عبدالرحيم سعيد،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الفرقان، عمان، الأردن،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في الضعفاء، محمد بن احمد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المقتفى في سرد الكنى،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صالح عبد العزيز المراد،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الإسلامية، المدينة المنورة،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محمد بن عبد الكريم الشهرستاني،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كيلاني،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في أخبار الملوك والأمم، عبد الرحمن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ascii="Amiri" w:hAnsi="Amiri" w:eastAsia="Amiri" w:cs="Amiri"/>
          <w:color w:val="111111"/>
          <w:sz w:val="28"/>
          <w:sz w:val="28"/>
          <w:szCs w:val="28"/>
          <w:lang w:bidi="ar-SA"/>
        </w:rPr>
        <w:t>١٣۵٨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المنتقى من منهاج الاعتدال، شمس الدين محمد بن احمد الذهبى،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محب‌الدين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المنهل الروي في مختصر علوم الحديث النبوي، محمد بن إبراهيم بن جماعة،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عبد الرحمن رمضان،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دمشق،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عبد الرحمن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المدينة المنورة،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الزاهرة في ملوك مصر والقاهرة، جمال‌الدين أبي المحاسن يوسف، ابن تغري بردي الأتابكي،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والإرشاد القومي،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على مقدمة ابن الصلاح، بدر الدين محمد بن عبدالله بن بهادر،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بن محمد بلافريج،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أضواء السلف، الرياض،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والإرشاد في معرفة أهل الثقة والسداد، أحمد بن محمد البخاري الكلاباذي، المعروف برجال صحيح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الليثي،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بالوفيات، صلاح الدين بن اُيبك الصفدي،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الأرناؤوط وتركي مصطفى،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بيروت،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اليواقيت والدرر في شرح نخبة ابن حجر، عبد الرؤوف المناوي،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الزين أحمد،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الرياض، </w:t>
      </w:r>
      <w:r>
        <w:rPr>
          <w:rFonts w:ascii="Amiri" w:hAnsi="Amiri" w:eastAsia="Amiri" w:cs="Amiri"/>
          <w:color w:val="111111"/>
          <w:sz w:val="28"/>
          <w:sz w:val="28"/>
          <w:szCs w:val="28"/>
          <w:lang w:bidi="ar-SA"/>
        </w:rPr>
        <w:t>١٩٩٩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 محمد باقر المجلسي،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وعبدالرحيم الرباني الشيرازي،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دارإحياء التراث العربي، بيروت،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من جواهر القاموس، محمد مرتضى الحسيني الزبيدي،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خلدون، عبد الرحمن بن محمد بن خلدون الحضرمي، ط</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دارالقلم، بيروت </w:t>
      </w:r>
      <w:r>
        <w:rPr>
          <w:rFonts w:ascii="Amiri" w:hAnsi="Amiri" w:eastAsia="Amiri" w:cs="Amiri"/>
          <w:color w:val="111111"/>
          <w:sz w:val="28"/>
          <w:sz w:val="28"/>
          <w:szCs w:val="28"/>
          <w:lang w:bidi="ar-SA"/>
        </w:rPr>
        <w:t>١٩٨۴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معين، ابن معين يحيى أبو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نور سيف،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البحث العلمي وإحياء التراث الإسلامي، مكة المكرمة،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أسماء الثقات، عمر بن أحمد أبو حفص الواعظ،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السامرائي،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السلفية، الكويت،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شمس الدين محمد بن أحمد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عبدالسلام تدمري،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العربي، بيروت،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أبوبكر أحمد بن علي الخطيب البغدادي،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خليفة بن خياط، خليفة بن خياط الليثي العصفري،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ضياء العمري،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ومؤسسة الرسالة، دمشق، بيروت،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علي بن الحسن الشافعي،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الأحوذي بشرح جامع الترمذي، محمد بن عبدالرحمن المباركفوري،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الراوي في شرح تقريب النواوي، عبد الرحمن بن أبي بكر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الرياض الحديثة، الرياض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الموضوعات، محمد طاهر بن علي الفتني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تعجيل المنفعة بزوائد رجال الأئمة الأربعة، احمد بن على 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الله امداد الحق،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العلل لابن أبي حاتم، محمد بن أحمد المقدسي،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محمد جارالله،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أضواء السلف، الرياض، </w:t>
      </w:r>
      <w:r>
        <w:rPr>
          <w:rFonts w:ascii="Amiri" w:hAnsi="Amiri" w:eastAsia="Amiri" w:cs="Amiri"/>
          <w:color w:val="111111"/>
          <w:sz w:val="28"/>
          <w:sz w:val="28"/>
          <w:szCs w:val="28"/>
          <w:lang w:bidi="ar-SA"/>
        </w:rPr>
        <w:t>١۴٢٣</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التهذيب، احمد بن على 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سوريا،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احمد بن على بن حجر العسقلانى،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بيروت،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يوسف بن عبد الرحمن المزي،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اللغة، أبو منصور محمد بن أحمد الأزهري،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عوض مرعب،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ascii="Amiri" w:hAnsi="Amiri" w:eastAsia="Amiri" w:cs="Amiri"/>
          <w:color w:val="111111"/>
          <w:sz w:val="28"/>
          <w:sz w:val="28"/>
          <w:szCs w:val="28"/>
          <w:lang w:bidi="ar-SA"/>
        </w:rPr>
        <w:t>٢٠٠١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النظر إلى أصول الأثر، طاهر الجزائري الدمشقي،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أبوغدة،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المطبوعات الإسلامية، حلب،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الألوهية، أحمد بن عبد الحليم بن تيمية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العاصمي النجدي،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المقاصد وتصحيح القواعد في شرح قصيدة الإمام ابن القيّم، أحمد إبراهيم بن عيسى،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الشاويش،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بيروت،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النظر في علم الأثر، محمد بن إسماعيل، الصنعاني،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العاصمة، الرياض،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العلوم والحكم، زين‌الدين عبد الرحمن الحنبلي، طبعة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اللغة، أبو بكر محمد بن الحسن بن دريد،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رمزي منير بعلبكي،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 بن أبي‌طالب أحمد بن شعيب، النسائي،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ميرين البلوشي،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المعلا، الكويت،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يوسف بن المطهر العلامة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طبع عام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 في أسماء الرجال، صفي‌الدين أحمد بن عبدالله الخزرجي الأنصاري،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 ط</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المطبوعات الإسلامية ودارالبشائر، حلب، بيروت،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آل أعين، أحمد بن محمد أبو غالب الزراري،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الموسوي الأبطحي،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رباني، قم،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الآجري لأبي داود، سليمان بن الأشعث،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العليم عبدالعظيم البستوي، مؤسسة الريان للطباعة والنشر، لبنان،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الأحاديث الصحيحة، محمد ناصر الدين الألباني،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محمد بن يزيد القزويني، ابن ماجة،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البيهقي الكبرى، أحمد بن الحسين البيهقي،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دار الباز، مكّة المكرمة،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محمد بن عيسى الترمذي،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وآخرون،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 شمس الدين محمد بن احمد الذهبى،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 ومحمد نعيم العرقسوسي، ط</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المقاصد في علم الكلام، سعد الدين مسعود بن عمر، التفتازاني،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دارالنشر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النعمانية، باكستان،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مختصر المنتهى الأصولي لابن الحاجب، عضد الدين عبد الرحمن بن أحمد الإيجي القاضي العضد،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عبد الحميد بن هبة الله بن أبي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نشر دار إحياء الكتب العربية،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محمد بن اسماعيل البخارى،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اليمامة، بيروت،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بشرح النووي، يحيى بن شرف النووي،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الحجاج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الحفاظ، عبد الرحمن‌بن ابى‌بكر السيوطى،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الحنابلة، محمد أبو الحسين بن أبي يعلى،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نشر دار 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الشافعية الكبرى، تاج الدين بن علي بن عبد الكافي السبكي،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أحمد الطناحي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محمّد،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هجر، سنة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الأصول، محمد بن الحسن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الأنصاري،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قم المقدسة،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 ومصطلحاته، صبحي الصالح، ط</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شرح صحيح البخاري، بدر الدين محمود بن أحمد العيني،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أبو بكر محمد بن عزيز السجستاني،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أديب عبد الواحد جمران،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قتيبة،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الباب في الكنى والألقاب، محمد بن إسحاق بن مندة الأصبهاني،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قتيبة محمد نظر الفاريابي،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الكوثر، الرياض، السعودية،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احمد بن على بن حجر العسقلانى، شرح صحيح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محب‌الدين الخطيب،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دارالمعرفة، بيروت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المغيث شرح ألفية الحديث، شمس الدين محمد بن عبدالرحمن السخاوى،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بيروت،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الملك العلي بصحة حديث باب مدينة العلم علي، أحمد بن محمد بن الصديق، الغماري الحسني،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الإسلامية في الأزهر،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 الحسن بن موسى النوبختي،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 عبدالرؤوف المناوى،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مصر، </w:t>
      </w:r>
      <w:r>
        <w:rPr>
          <w:rFonts w:ascii="Amiri" w:hAnsi="Amiri" w:eastAsia="Amiri" w:cs="Amiri"/>
          <w:color w:val="111111"/>
          <w:sz w:val="28"/>
          <w:sz w:val="28"/>
          <w:szCs w:val="28"/>
          <w:lang w:bidi="ar-SA"/>
        </w:rPr>
        <w:t>١٣۵۶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التحديث من فنون مصطلح الحديث، محمد جمال الدين القاسمي،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 الخليل بن أحمد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المخروجي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الهجرة،</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الكليات، أبوالبقاء أيوب بن موسى الكفومي،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درويش ومحمد المصري،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القناع عن متن الإقناع، منصور بن يونس بن إدريس البهوتي،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مصيلحي،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ascii="Amiri" w:hAnsi="Amiri" w:eastAsia="Amiri" w:cs="Amiri"/>
          <w:color w:val="111111"/>
          <w:sz w:val="28"/>
          <w:sz w:val="28"/>
          <w:szCs w:val="28"/>
          <w:lang w:bidi="ar-SA"/>
        </w:rPr>
        <w:t>١۴٠٢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 علاء الدين علي المتقي الهندي،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عمر الدمياطي،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محمد بن مكرم، ابن منظور المصري،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احمد بن على 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النظامية، الهند،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فخر الدين بن محمد علي بن أحمد الطريحي،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الإسلامية،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 ومنبع الفوائد، علي بن أبي بكر الهيثمي،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الريان للتراث ودار الكتاب العربي، القاهرة، بيروت،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مرقاة المفاتيح شرح مشكاة المصابيح، علي بن سلطان محمد القاري،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عيتاني،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 أحمد بن عمرو أبو بكر البزار،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الرحمن زين الله،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القرآن، بيروت،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وملاذ المجتهدين، جمال الدين حسن العاملي الجبعي،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محمد علي البقال،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مطبعة الآداب، النجف الأشرف،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لغة الفقهاء، محمد رواس قلعجي،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بيروت،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 أبو الحسين أحمد بن فارس،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 هارون،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بيروت،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الثقات من رجال أهل العلم والحديث ومن الضعفاء وذكر مذاهبهم وأخبارهم، أحمد بن عبدالله العجلي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العليم عبد العظيم البستوي،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المدينة المنورة، السعودية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محمد بن عبدالله الحاكم النيسابورى،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معظم حسين،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بيروت،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الإسلاميين واختلاف المصلّين، أبو الحسن علي بن إسماعيل الأشعري،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 ط</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الصلاح، أبو عمرو بن عثمان الشهرزوري بن الصلاح،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نورالدين عتر،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المعاصر، بيروت،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في أصول الحديث، عبد الحق بن سيف الدين البخاري الدهلوي،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 الحسيني الغروي، 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بيروت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عبدالحليم بن تيميه الحرانى،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رشاد سالم،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 شمس الدين محمد بن احمد الذهبى،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محمد</w:t>
      </w:r>
    </w:p>
    <w:p>
      <w:pPr>
        <w:pStyle w:val="BookText"/>
        <w:rPr/>
      </w:pPr>
      <w:r>
        <w:rPr>
          <w:rFonts w:ascii="Amiri" w:hAnsi="Amiri" w:eastAsia="Amiri" w:cs="Amiri"/>
          <w:color w:val="111111"/>
          <w:sz w:val="28"/>
          <w:sz w:val="28"/>
          <w:szCs w:val="28"/>
          <w:lang w:bidi="ar-SA"/>
        </w:rPr>
        <w:t>١۴۴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معوض والشيخ عادل أحمد عبد الموجود، ط</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ascii="Amiri" w:hAnsi="Amiri" w:eastAsia="Amiri" w:cs="Amiri"/>
          <w:color w:val="111111"/>
          <w:sz w:val="28"/>
          <w:sz w:val="28"/>
          <w:szCs w:val="28"/>
          <w:lang w:bidi="ar-SA"/>
        </w:rPr>
        <w:t>١٩٩۵</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الفكر في مصطلح أهل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ضمن كتاب سبل السلام للصنعاني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الراية لأحاديث الهداية، عبدالله بن يوسف الزيلعي،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يوسف البنوري،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مصر، </w:t>
      </w:r>
      <w:r>
        <w:rPr>
          <w:rFonts w:ascii="Amiri" w:hAnsi="Amiri" w:eastAsia="Amiri" w:cs="Amiri"/>
          <w:color w:val="111111"/>
          <w:sz w:val="28"/>
          <w:sz w:val="28"/>
          <w:szCs w:val="28"/>
          <w:lang w:bidi="ar-SA"/>
        </w:rPr>
        <w:t>١٣۵٧</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المتناثر من الحديث المتواتر، محمد بن جعفر الكناني،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حجازي،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السلفية،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الساري مقدمة فتح الباري،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ومحب الدين الخطيب،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شمس الدين أحمد بن محمد بن خلكان،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بيروت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 زين الدين بن علي، الشهيد الثاني، ص</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توضيح الأفكار، محمد بن اسماعيل الصنعاني،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 يوسف بن المطهّر، العلامة الحلي،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في علم الأصول، محمد بن عمر الرازي،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 العسقلاني،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٣۶٣</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ومصطلحاته، صبحي الصالح، ص </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علي بن احمد بن حزم،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أبو عمرو بن عثمان بن الصلاح،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الراوي في مختصر علوم الحديث النبوي، محمد بن إبراهيم بن جماعة،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تقريب النواوي، عبد الرحمن بن أبي بكر السيوطي،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النظر إلى أصول الأثر، طاهر الجزائري الدمشقي،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التدليس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والمدالسة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المخادعة لسان العرب،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الاصطلاح لها معانٍ عدة، قال ابن سبط بن العجمي في التبيين لأسماء المدلسين،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اعلم أنَّ التدليس على ثلاثة أقسام،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تدليس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يُسقِط اسم شيخه الذي سمع منه، ويرتقي إلى شيخ شيخه بعنوان وقال، أو يسقط أداة الرواية ويسمّي الشيخ فقط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مثلاً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تدليس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يصف الشيخ المسمع بوصف لا يُعرَف به، من إسمٍ أو كنيةٍ أو لقبٍ، أو نسبةٍ إلى قبيلةٍ أو بلدةٍ أو صنعةٍ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تدليس التسوية</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وهو أنه يروي حديثاً عن شيخٍ ثقةٍ غير مدلِّسٍ، وذلك الثقة يرويه عن ضعيف عن ثقة، فيأتي المدلّس الذي سمع من الثقة الأول غير المدلّس، فيسقط الضعيف الذي في السند، ويجعل الحديث عن شيخه الثقة عن الثقة الثاني بلفظ محتمل، فيسوّي الإسناد كله ثقات، وهذا أشرّ الأقسام</w:t>
      </w:r>
      <w:r>
        <w:rPr>
          <w:rFonts w:eastAsia="IRNazanin" w:cs="IRNazanin"/>
          <w:b w:val="false"/>
          <w:bCs w:val="false"/>
          <w:i w:val="false"/>
          <w:iCs w:val="false"/>
          <w:color w:val="333333"/>
          <w:sz w:val="20"/>
          <w:szCs w:val="20"/>
          <w:rtl w:val="true"/>
        </w:rPr>
        <w:t>. . .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والمتفقه، أحمد بن علي الخطيب البغدادي،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في شرح المنهاج، علي بن عبد الكافي السبكي،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السرخسي، محمد بن على السرخسي،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 علي بن محمد الآمدي،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تتميماً للفائدة، ننوه هنا وباختصار شديد إلى شروط الراوي عند أتباع مدرسة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اعني الشيعة الامامية الاثنا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الاسلام فهو شرط اتفاقي، فلا تُقبل رواية الكافر مطلقاً، سواء كان من غير أهل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كاليهود والنصارى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أهل القبلة كالمجسّمة والخوارج والغلاة عند مَن يكفّرهم، والظاهر أنَّ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غير أهل القبلة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المتضمّن لشرطية العقل والبلوغ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فالعقل شرط اتفاقي، أمّا البلوغ، فاشتراطه هو المشهور، وأمّا الضبط، فهو أيضاً شرط اتفاقي لا خلاف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العدالة في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الملكة النفسانية الراسخة الباعثة على ملازمة التقوى وترك ارتكاب الكبائر والإصرار على الصغائر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فالمشهور هو عدم اشتراطها، والاكتفاء بالوثاقة في الراوي، بمعنى تحرزه عن الكذب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 جمال الدين حسن العاملي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أن نوّهنا بشيء من الإيجاز إلى أنَّ أتباع مدرسة أهل البيت عليهم السلام من الشيعة الإمامية لا يرون شرطية العدالة في الراوي، بل يكتفون بوثاقة الراوي وتحرزه عن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مانصه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فامّا مَن كان مخطئاً في بعض الأفعال، او فاسقاً في أفعال الجوارح، وكان ثقة في روايته، متحرزاً فيها، فإنَّ ذلك لا يوجب ردَّ خبره، ويجوز العمل به؛ لأنَّ العدالة المطلوبة في الرواية حاصلة فيه، وإنَّما الفسق بافعال الجوارح يمنع من قبول شهادته، وليس بمانع من قبول خبره، ولأجل ذلك قبلت الطائفة أخبار جماعة هذه صفتهم، عدةالأصول، محمد بن حسن الطوسي،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الباقلاني، نسبة إلى باقلا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البقل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القاضي الباقلاني البصري المتكلم المشهور، كان على مذهب الشيخ أبي حسن الأشعري، ومؤيداً اعتقاده، وناصراً طريقته، وسكن بغداد وصنَّف التصانيف الكثيرة المشهورة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٢۶٩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أحمد بن علي،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محمد بن عبدالله الحاكم النيسابوري،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شعبة بن الحجاج بن الورد، مولى الآشاقر، واسطي الأصل بصري الدار، رأى الحسن ومحمد بن سيرين وسمع قتادة ويونس بن عبيد وأيوب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روى عنه أيوب السختياني والأعمش ومحمد بن إسحاق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تُراجَع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لأخلاق الراوي وآداب السامع، أحمد بن علي الخطيب البغدادي،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لأخلاق الراوي وآداب السامع،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الفكر في مصطلح أهل الأثر، ابن حجر العسقلاني،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ألفية الحديث، محمد بن عبد الرحمن السخاوي،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علم الأثر محمد بن إبراهيم بن الوزير اليماني،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 محمد بن علي الشوكاني،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النظر إلى أصول الأثر،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٣٨۴</w:t>
      </w:r>
      <w:r>
        <w:rPr>
          <w:rFonts w:ascii="IRNazanin" w:hAnsi="IRNazanin" w:eastAsia="IRNazanin"/>
          <w:b w:val="false"/>
          <w:b w:val="false"/>
          <w:bCs w:val="false"/>
          <w:i w:val="false"/>
          <w:i w:val="false"/>
          <w:iCs w:val="false"/>
          <w:color w:val="333333"/>
          <w:sz w:val="20"/>
          <w:sz w:val="20"/>
          <w:szCs w:val="20"/>
          <w:rtl w:val="true"/>
        </w:rPr>
        <w:t>؛ قواعد التحديث من فنون مصطلح الحديث، محمد جمال الدين القاسمي،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توجية النظر إلى أصول الأثر،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محمد بن أحمد الذهبي،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أبوالحسين أحمد بن فارس،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مادة ب د ع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مادة ب د ع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والحكم، ابن رجب الحنبلي، ص</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نقلاً عن كتاب البدعة مفهومها وحدودها،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علي بن محمد علي الجرجاني،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 سعد الدين مسعود بن عمر التفتازاني،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الكليات، أيوب بن موسى الكفومي،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أبوإسحاق الشاطبي،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في علم الكلام،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في شرح الهداية في علم الرواية، محمد بن عبدالرحمن السخاوي،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فتح المغيث في شرح ألفية الحديث، محمد بن عبد الرحمن، السخاوي،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الخليل بن أحمد الفراهيدي،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محمد مرتضى الحسيني الزبيدي،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محمد بن عمر الزمخشري،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جمع من العلماء،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مادة نصب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فخر الدين بن محمد علي الطريحي،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أحمد بن عبد الحليم بن تيمية،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الألوهية، أحمد بن عبد الحليم بن تيمية،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منهاج الاعتدال، محمد بن أحمد الذهبي،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۴٢٠</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المقاصد وتصحيح القواعد، أحمد إبراهيم بن عيسى،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۴٨٢</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ابن حجر العسقلاني،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 علي بن أبي الكرم الجزري،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محمد بن عمر العقيلي،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مسلم بن الحجاج النيسابوري،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محمد ناصر الدين الألباني،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بحاشية الذهبي ، محمد بن عبدالله الحاكم النيسابوري،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النبي ص لعلي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ترضى أن تكون منّي بمنزلة هارون من موسى، غير أنّه لا نبي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يراجع على سبيل المثال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علي بن أبي طالب، احمد بن شعيب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محمد بن إسماعيل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 المؤمنين علي بن أبي طالب،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ص يوم خيبر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هذه الراية رجلاً يفتح الله على يديه، يحبّ الله ورسوله، ويحبّه الله ورسوله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١٨٧١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بالحصباء، وهو الحصى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كتب المصنّف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النظر في علم الاثر، محمد بن إسماعيل الصنعاني،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النظر في علم الأثر،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تهذيب الكمال، يوسف بن عبد الرحمن المزي،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لاشك ولاريب في ان الخوارج من اوضح مصاديق النواصب لانهم ابغضوا علياً عليه السلام و حاربوه، بل وكفروه و عثمان و طلحة و الزبير؛ الملل و النحل، الشهرستاني،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والدرر، عبد الرؤوف المناوي،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الفاضل، الحسن بن عبد الرحمن الرامهرمزي، ص</w:t>
      </w:r>
      <w:r>
        <w:rPr>
          <w:rFonts w:ascii="IRNazanin" w:hAnsi="IRNazanin" w:eastAsia="IRNazanin"/>
          <w:b w:val="false"/>
          <w:b w:val="false"/>
          <w:bCs w:val="false"/>
          <w:i w:val="false"/>
          <w:i w:val="false"/>
          <w:iCs w:val="false"/>
          <w:color w:val="333333"/>
          <w:sz w:val="20"/>
          <w:sz w:val="20"/>
          <w:szCs w:val="20"/>
        </w:rPr>
        <w:t>۴١۶</w:t>
      </w:r>
      <w:r>
        <w:rPr>
          <w:rFonts w:ascii="IRNazanin" w:hAnsi="IRNazanin" w:eastAsia="IRNazanin"/>
          <w:b w:val="false"/>
          <w:b w:val="false"/>
          <w:bCs w:val="false"/>
          <w:i w:val="false"/>
          <w:i w:val="false"/>
          <w:iCs w:val="false"/>
          <w:color w:val="333333"/>
          <w:sz w:val="20"/>
          <w:sz w:val="20"/>
          <w:szCs w:val="20"/>
          <w:rtl w:val="true"/>
        </w:rPr>
        <w:t>؛ الموضوعات، عبد الرحمن بن علي ابن الجوزي،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سليمان بن مهران الأسدي الكاهلي، مولاهم الكوفي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نحو ألف وثمانمائة حديث، قال 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الأعمش أقرأهم لكتاب الله، وأحفظهم للحديث وأعلمهم بالفرائض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اياس قاضي البصرة أبو واثلة، كان يُضرَب به المثل في الذكاء والدهاء، وقد وثّقه ابن معين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 أبو بكر أحمد بن علي الخطيب البغدادي،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۴٠٣</w:t>
      </w:r>
      <w:r>
        <w:rPr>
          <w:rFonts w:ascii="IRNazanin" w:hAnsi="IRNazanin" w:eastAsia="IRNazanin"/>
          <w:b w:val="false"/>
          <w:b w:val="false"/>
          <w:bCs w:val="false"/>
          <w:i w:val="false"/>
          <w:i w:val="false"/>
          <w:iCs w:val="false"/>
          <w:color w:val="333333"/>
          <w:sz w:val="20"/>
          <w:sz w:val="20"/>
          <w:szCs w:val="20"/>
          <w:rtl w:val="true"/>
        </w:rPr>
        <w:t xml:space="preserve">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الفسوي،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٢۶۴</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أنَّ علماء الرجال عندهم يضعِّفون الشيعي مطلقاً، سواء غلى بتشيّعه أم لا، وسيأتي فيما بعد بيان الشيعي في عُرفهم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الإيمان حب الأنصار، وآية النفاق بغض الأنصار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أخرجه البخاري في صحيحه،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الصحيح عن أمّ سلمة زوج النبي ص أنَّها 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أنِّي سمعت رسول الله ص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علياً فقد أحبّني، ومَن أحبّني فقد أحبَّ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أبغض علياً فقد أبغضني، ومَن أبغضني فقد أبغضَ الله عز 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 الألباني،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 محمد بن جعفر الكناني،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٢۵٣٩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يحيى بن شرف النووي،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شريك بن عبدالله بن الحارث النخعي الكوفي، أبو عبدالله، عالم بالحديث، فقيه، كان قاضياً للمنصور العباسي على الكوفة سنة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ترجمته كاملة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منهاج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مؤمل بن إهاب بن عبد العزيز بن قفل الربعي العجلي، أبو عبد الرحمن، الشهير بابن قفل المحدّث، من أهل الكوفة، نزل الرملة بفلسطين ومات بها سنة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هجرية؛ الأعلام، خير الدين الزركلي،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هارون بن زاذان بن ثابت، السلمي بالولاء، ولد سنة ثمان عشر ومائة، سمع من عاصم الأحول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قيل إنّه بخاري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أحفظ من يزيد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محمدبن أحمد الذهبي،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طبقات الحنابلة، لإبن أبي يعلى،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قال أحمد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يزيد بن هارون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ربّ العزة تعالى في النوم،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يزيد، تكتب عن حريز 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ما علمت منه إلاّ خيراً،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يزيد، لا تكتب عنه؛ فأنّه يسبُّ علياً</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مقدمة ابن الصلاح، بدر الدين محمد بن عبدالله ابن بهادر،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صلاح الدين بن أيبك الصفدي،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٣۶٢</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توثيق يحيى بن معين لأبي الصلت الهروي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وأيضاً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الخطيب البغدادي،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رواية عبدالله بن أحمد بن حنبل عن أبي الصلت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تاريخ الإسلام،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ابن حجر العسقلاني،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في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يُكتفى فيه ببُغض أمير المؤمنين علي عليه السلام، و حسب، بل يُضاف إليه السبّ و الشتم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محمد بن أحمد الذهبي،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عبدالله بن عدي،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كلام الكاتب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 عبد الرحمن بن علي بن الجوزي،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 علي بن أبي الكرم الجزري،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من المحدثين والضعفاء والمتروكين، أبو حاتم محمد بن حبان البستي،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وذكر ذلك أيضاً في شرح نهج البلاغة، ابن أبي الحديد، عبد الحميد بن هبة الله،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معقوفتين للكاتب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رجال الصحيحين، وثَّقه يحيى بن معين وأبو اليمان وابن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أبو حاتم محمد بن حبان البستي،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عبد الحميد بن هبة الله ابن أبي الحديد،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فسكون وكسر الجيم، أسم فاعل من أرجأ، وأرجأ فلان الأمر، أخَّره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تعتقد أنَّه لا يضر مع الإيمان معصية، ولا ينفع مع الكفر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لغة الفقهاء، قلعچي، ص</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محمد بن أحمد الذهبي،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العلل لابن أبي حاتم،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فرقة من فرق الخوارج، وهم المُكفِّرين أصحاب المعاصي في الصغائر والكبائر، تكفير نعمة لا تكفير شرك، ويتبرؤون من علي عليه السلام وعثمان، ولا يستحلّون أموال الناس ولا يسبون النساء، ولا يخالفون في دين ولا سنة، ومركزهم ناحية هراة وأصطخر، بين دار ابجرد وكرمان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والردّ، الملطي الشافعي،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 إبراهيم بن محمد ابن العجمي الحلبي،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محمد بن إسماعيل البخاري،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علي بن الحسن الشافعي،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 يحيى أبو زكريا ابن معين،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والإرشاد، أحمد بن محمد البخاري الكلاباذي،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والتاريخ،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السمعاني،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والإرشاد،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۵٧۴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أحمد بن عبدالله العجلي،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۴٣٢</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أبو الفرج الإصفهاني،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وسمّي الأحرد لأنّه كان يمشي على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الآجري، أبي داود،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۴٢۴</w:t>
      </w:r>
      <w:r>
        <w:rPr>
          <w:rFonts w:ascii="IRNazanin" w:hAnsi="IRNazanin" w:eastAsia="IRNazanin"/>
          <w:b w:val="false"/>
          <w:b w:val="false"/>
          <w:bCs w:val="false"/>
          <w:i w:val="false"/>
          <w:i w:val="false"/>
          <w:iCs w:val="false"/>
          <w:color w:val="333333"/>
          <w:sz w:val="20"/>
          <w:sz w:val="20"/>
          <w:szCs w:val="20"/>
          <w:rtl w:val="true"/>
        </w:rPr>
        <w:t xml:space="preserve">، سليمان بن الأشعث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عبد الرحمن بن أبي حاتم الرازي،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أصحاب زياد بن الأصفر، خالفوا غيرهم من الخوارج بأمور كثيرة يراجع في ترجمتهم، الملل والنحل،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محمد بن أحمد الذهبي،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الاستقصا لأخبار دول المغرب الأقصى، أبو العباس أحمد بن خالد الناصري،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ليس في سير أعلام النبلاء بل ذكره يعقوب بن سفيان الفسوي في المعرفة والتاريخ عند نقله لنفس الخبر مباشرة من ابن 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الاسلام،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تهذيب الكمال، أحمد بن عبدالله الخزرجي،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في تخريج احاديث منار السبيل، محمد ناصر الدين الألباني،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النظر في علم الأثر،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 يحيى بن شرف النووي،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 عماد الدين إسماعيل 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مقدمة ابن الصلاح،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والدرر، عبد الرؤوف المناوي،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والدرر،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مقدمة ابن الصلاح،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۴٠٠</w:t>
      </w:r>
      <w:r>
        <w:rPr>
          <w:rFonts w:ascii="IRNazanin" w:hAnsi="IRNazanin" w:eastAsia="IRNazanin"/>
          <w:b w:val="false"/>
          <w:b w:val="false"/>
          <w:bCs w:val="false"/>
          <w:i w:val="false"/>
          <w:i w:val="false"/>
          <w:iCs w:val="false"/>
          <w:color w:val="333333"/>
          <w:sz w:val="20"/>
          <w:sz w:val="20"/>
          <w:szCs w:val="20"/>
          <w:rtl w:val="true"/>
        </w:rPr>
        <w:t>؛ ثمرات النظر،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والدرر،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الدين محمد بن أحمد بن عثمان بن قايماز الذهبي الدمشقي، المتوفى في القرن الثامن الهجري سنة </w:t>
      </w:r>
      <w:r>
        <w:rPr>
          <w:rFonts w:ascii="IRNazanin" w:hAnsi="IRNazanin" w:eastAsia="IRNazanin"/>
          <w:b w:val="false"/>
          <w:b w:val="false"/>
          <w:bCs w:val="false"/>
          <w:i w:val="false"/>
          <w:i w:val="false"/>
          <w:iCs w:val="false"/>
          <w:color w:val="333333"/>
          <w:sz w:val="20"/>
          <w:sz w:val="20"/>
          <w:szCs w:val="20"/>
        </w:rPr>
        <w:t>٧۴٨</w:t>
      </w:r>
      <w:r>
        <w:rPr>
          <w:rFonts w:ascii="IRNazanin" w:hAnsi="IRNazanin" w:eastAsia="IRNazanin"/>
          <w:b w:val="false"/>
          <w:b w:val="false"/>
          <w:bCs w:val="false"/>
          <w:i w:val="false"/>
          <w:i w:val="false"/>
          <w:iCs w:val="false"/>
          <w:color w:val="333333"/>
          <w:sz w:val="20"/>
          <w:sz w:val="20"/>
          <w:szCs w:val="20"/>
          <w:rtl w:val="true"/>
        </w:rPr>
        <w:t xml:space="preserve"> هجرية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محمد بن عزيز السجستاني،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 محمد بن أحمد الأزهري،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 محمد بن الحسن ابن دريد،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٨٧٢</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أحمد بن محمد الفيومي،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الكليات، أبو البقاء أيوب بن موسى الحسيني الكفومي،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۵۴٠</w:t>
      </w:r>
      <w:r>
        <w:rPr>
          <w:rFonts w:ascii="IRNazanin" w:hAnsi="IRNazanin" w:eastAsia="IRNazanin"/>
          <w:b w:val="false"/>
          <w:b w:val="false"/>
          <w:bCs w:val="false"/>
          <w:i w:val="false"/>
          <w:i w:val="false"/>
          <w:iCs w:val="false"/>
          <w:color w:val="333333"/>
          <w:sz w:val="20"/>
          <w:sz w:val="20"/>
          <w:szCs w:val="20"/>
          <w:rtl w:val="true"/>
        </w:rPr>
        <w:t>؛ وتاج العروس من جواهر القاموس، محمد مرتضى الحسيني الزبيدي،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الحسن بن موسى النوبختي،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معرفة الأصحاب، يوسف بن عبدالله بن محمد بن عبد البر،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١٠٩٠</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واختلاف المصلين، أبو الحسن علي بن إسماعيل الأشعري،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 علي بن أحمد بن حزم،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ابن خلدون،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۵۶٠</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أصول الحديث، عبد الحق البخاري الدهلوي،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الوقوف على حقيقة الإجماع عند الجمهور، لنرى هل يتحقّق فيما نحن فيه إجماع، وهل دعواه تامة، لذلك لابد من تعريف الإجماع، لنرى هل يمكن دعواه أم لا؟ قال الغزالي، في تعريفه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نعني به اتّفاق أمّة محمد خاصة على أمر من الأمور الدينية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المستصفى، أبو حامد الغزالي،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فالغزالي اشترط اتِّفاق جميع الأمَّة على أمر لكي يتحقّق الإجماع، فلو خالف واحد من الأمّة اخترم الإجماع، فكيف إذا خالف عالم أو 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 الحاجب، فقد خصَّ الإجماع بالمجتهدين فقط،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اتّفاق المجتهدين من هذه الأمّة في عصر على أمر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مختصر المنتهى الأصولي لابن الحاجب، عبد الرحمن بن أحمد الإيجي القاضي العضد،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السرخسي، فقد خصّ الاتِّفاق بالمجتهدين العدول،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المذهب عندنا أنَّ الحجة اتِّفاق كل عالم مجتهد ممَّن هو غير منسوب إلى هوى، ولا مُعلِن بفسق، في كل عصر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السرخسي،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الأحوال، فقد خالف فيما نحن فيه علماء مجتهدون عدول، فضلاً عن صحابة أخيار، وتابعين فضلاء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روي عن عبدالله بن عمر،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كنّا نقول ورسول الله 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وعمر وعثمان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الترمذي في سننه،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رواية صحيحة على جواز بيع أم الولد، لكن استقرّ الرأي الفقهي على خلاف هذه الرواية؛ لوجود روايات معارضة لها، والرأي الفقهي على حرمة بيع الأمّة أمّ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 البهوتي،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الهيثمي،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ابن حجر إلى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محمد بن عبد الكريم الشهرستاني،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محمد باقر المجلسي،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الذهبي في 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فالشيعي الغالي في زمان السلف وعرفهم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تكلَّم في عثمان والزبير وطلحة ومعاوية، وطائفة ممَّن حارب علياً</w:t>
      </w:r>
      <w:r>
        <w:rPr>
          <w:rFonts w:eastAsia="IRNazanin" w:cs="IRNazanin"/>
          <w:b w:val="false"/>
          <w:bCs w:val="false"/>
          <w:i w:val="false"/>
          <w:iCs w:val="false"/>
          <w:color w:val="333333"/>
          <w:sz w:val="20"/>
          <w:szCs w:val="20"/>
          <w:rtl w:val="true"/>
        </w:rPr>
        <w:t>. . .»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٧٧۵</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 تاج الدين بن علي السبكي،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الصغير،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٣۴٢</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نباح كلاب الحوأب على أم المؤمنين عائشة ذكر في الكثير من مصادر الحديث والتراجم التاريخية، قال الذهبي في سير أعلام النبلاء،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يخرجوه، وقال العسقلاني في فتح الباري،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طريق قيس بن أبي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أقبلت عائشة فنزلت بعض مياه بني عامر، نبحت عليها الكلاب،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ماءٍ هذا؟ قالوا الحوأب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اظنّني الاّ راجعة، فقال لها بعض مَن كان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تقدمين فيراك المسلمون فيصلح الله ذات بينهم،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 قال لنا ذات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بإحداكن تنبح عليها كلاب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هذا أحمد و أبو يعلى والبزار، وصحَّحه ابن حبان والحاكم وسنده على شرط الصحيح</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عبدالله بن عدي،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إسماعيل الحسني الكحلاني، ثُمَّ الصنعاني </w:t>
      </w:r>
      <w:r>
        <w:rPr>
          <w:rFonts w:ascii="IRNazanin" w:hAnsi="IRNazanin" w:eastAsia="IRNazanin"/>
          <w:b w:val="false"/>
          <w:b w:val="false"/>
          <w:bCs w:val="false"/>
          <w:i w:val="false"/>
          <w:i w:val="false"/>
          <w:iCs w:val="false"/>
          <w:color w:val="333333"/>
          <w:sz w:val="20"/>
          <w:sz w:val="20"/>
          <w:szCs w:val="20"/>
        </w:rPr>
        <w:t>١٠٩٩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١١٨٢</w:t>
      </w:r>
      <w:r>
        <w:rPr>
          <w:rFonts w:ascii="IRNazanin" w:hAnsi="IRNazanin" w:eastAsia="IRNazanin"/>
          <w:b w:val="false"/>
          <w:b w:val="false"/>
          <w:bCs w:val="false"/>
          <w:i w:val="false"/>
          <w:i w:val="false"/>
          <w:iCs w:val="false"/>
          <w:color w:val="333333"/>
          <w:sz w:val="20"/>
          <w:sz w:val="20"/>
          <w:szCs w:val="20"/>
          <w:rtl w:val="true"/>
        </w:rPr>
        <w:t>ق ، المعروف كأسلافه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 ، مجتهد من أهل بيت علم واجتهاد، أُصيب بمحن كثيرة من الجهلاء والعوام، له نحو مؤلَّف، أشهرها سبل السلام، ذكر ترجمته صاحب الأعلام، خير الدين الزركلي،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وذكره صاحب أبجد العلوم،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قال الشيخ أحمد بن عبد القادر الحفظي الشافعي في ذخيرة الآمال في شرح عقد جواهر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السيد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محمد بن إسماعيل المير، وهو لا ينسب الى مذهب بل مذهبه الحديث</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النظر، محمد بن إسماعيل الصنعاني،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البخاري، ابن حجر العسقلاني،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أصول الحديث،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في شرح صحيح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الفيض الحسني الأزهري، متفقه شافعي مغربي، من نزلاء طنجة، تعلّم بالأزهر، واستقرَّ وتوفي بالقاهرة سنة </w:t>
      </w:r>
      <w:r>
        <w:rPr>
          <w:rFonts w:ascii="IRNazanin" w:hAnsi="IRNazanin" w:eastAsia="IRNazanin"/>
          <w:b w:val="false"/>
          <w:b w:val="false"/>
          <w:bCs w:val="false"/>
          <w:i w:val="false"/>
          <w:i w:val="false"/>
          <w:iCs w:val="false"/>
          <w:color w:val="333333"/>
          <w:sz w:val="20"/>
          <w:sz w:val="20"/>
          <w:szCs w:val="20"/>
        </w:rPr>
        <w:t>١٣٨٠</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كتب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التنزيه في فضل القرآن وحامليه، و إقامة الدليل،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قول أبي زرعة هذا حول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القاري، في مرقاة المفاتيح،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والمناوي، في فيض القدير،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جعفر محمد بن جرير الطبري، المؤرِّخ، المفسّر، من ثقات المؤرّخين، وكان مجتهداً في أحكام الدين، توفي سنة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ق، ذكر ترجمته صاحب الأعلام،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 في لسان الميزان،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عند تعرّضه لترجمة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جرير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الإمام الجليل</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ثقة صادق، فيه تشيّع يسير، وموالاة لا تضرّ، أقذع أحمد بن علي السليماني الحافظ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للروافض، كذا قال السليماني، وهذا رجم بالظن الكاذب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إنّما نُبِزَ بالتشيع لأنَّه صحَّح حديث غدير خم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محمد بن عبدالله بن حمدويه بن نعيم الضبي الطهماني النيسابوري، ويُعرَف بابن البيع، أبو عبدالله، من أكابر حفاظ الحديث والمصنفين فيه، توفي سنة </w:t>
      </w:r>
      <w:r>
        <w:rPr>
          <w:rFonts w:ascii="IRNazanin" w:hAnsi="IRNazanin" w:eastAsia="IRNazanin"/>
          <w:b w:val="false"/>
          <w:b w:val="false"/>
          <w:bCs w:val="false"/>
          <w:i w:val="false"/>
          <w:i w:val="false"/>
          <w:iCs w:val="false"/>
          <w:color w:val="333333"/>
          <w:sz w:val="20"/>
          <w:sz w:val="20"/>
          <w:szCs w:val="20"/>
        </w:rPr>
        <w:t>۴٠۵</w:t>
      </w:r>
      <w:r>
        <w:rPr>
          <w:rFonts w:ascii="IRNazanin" w:hAnsi="IRNazanin" w:eastAsia="IRNazanin"/>
          <w:b w:val="false"/>
          <w:b w:val="false"/>
          <w:bCs w:val="false"/>
          <w:i w:val="false"/>
          <w:i w:val="false"/>
          <w:iCs w:val="false"/>
          <w:color w:val="333333"/>
          <w:sz w:val="20"/>
          <w:sz w:val="20"/>
          <w:szCs w:val="20"/>
          <w:rtl w:val="true"/>
        </w:rPr>
        <w:t>ق ،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أعلم الناس بصحيح الحديث وتمييزه عن سقيمه، قال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من تصانيفه المسموعة في أيدي الناس ما يبلغ ألفاً وخمسمائة جزء،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نيسابور، والمستدرك على الصحيحين، والأكليل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رمي بعضهم للحاكم بالرفض والخبث الحافظ الذهبي، في سير أعلام النبلاء،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قال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أنبأني أحمد بن سلامة عن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ابن الطاهر أنّه سأل أبا إسماعيل عبدالله بن محمد الهروي عن أبي عبدالله الحاكم،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الحديث، رافضي خبيث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ليس هو رافضياً، بل يتشيع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شديد التعصب للشيعة في الباطن، وكان يظهر التسنّن في التقديم والخلافة، وكان منحرفاً غالياً عن معاوية، يتظاهر بذلك ولا يعتذر منه، فسمعت أبا الفتح سمكويه بهراة،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سمعت أبا عبد الرحمن السلمي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الحاكم وهو في داره، لا يمكنه الخروج إلى المسجد من أصحاب أبي عبدالله بن كرام، وذلك أنّهم كسروا منبره ومنعوه من الخروج،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خرجت وأمليت في فضائل هذا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لاسترحت من المحنة،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يجيء من قلبي، لا يجيء من قلبي</w:t>
      </w:r>
      <w:r>
        <w:rPr>
          <w:rFonts w:eastAsia="IRNazanin" w:cs="IRNazanin"/>
          <w:b w:val="false"/>
          <w:bCs w:val="false"/>
          <w:i w:val="false"/>
          <w:iCs w:val="false"/>
          <w:color w:val="333333"/>
          <w:sz w:val="20"/>
          <w:szCs w:val="20"/>
          <w:rtl w:val="true"/>
        </w:rPr>
        <w:t>. .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من حديث الموالاة الحديث المتواتر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الحديث أشهر من أن نذكر له مصدراً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الثقة الرحّال أبو محمد عبدالله بن محمد بن عثمان الواسطي ابن السقا، محدّث واسط، سمع أبا يعلى الموصلي وأبا خليفة الفضل ابن خباب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حدَّث عنه الدار قطني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قال السلفي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خميساً الحوزي عن ابن السقا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مزينة مضر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وبارك الله في سنّه وعلمه، واتَّفق أنَّه أملى حديث الطائر، فلم تحتمله أنفسهم، فوثبوا به وأقاموه وغسلوا موضعه، فمضى ولزم بيته لا يحدِّث أحداً من الواسطيين، ولهذا قلَّ حديثه عندهم، توفي سنة </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سيرته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الطير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الذي رواه غير واحد من الحفاظ، وهذا لفظ الحاكم في 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به الثقة المأمون أبو القاسم الحسن بن محمد بن الحسين بن إسماعيل بن محمد بن الفضل بن علية بن خالد السكوني، بالكوفة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ثنا ثابت 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أنس بن مالك كان شاكياً، فأتاه محمد بن الحجاج يعوده في أصحاب له، فجرى الحديث حتى ذكروا علياً فتنقّصه محمد بن الحجاج، فقال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أقعدوني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فأقعدوه،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الحجاج، لا أراك تنتقص علي بن أبي‌طالب، والذي بعث محمداً بالحق، لقد كنت خادم رسول الله ص بين يديه، وكان كل يوم يخدم بين يدي رسول الله ص غلام من أبناء الأنصار، فكان ذلك اليوم يومي، فجاءت أم أيمن، مولاة رسول الله ص ، بطير فوضعته بين يدي رسول الله،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أيمن، ما هذا الطائر؟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الطائر أصبته فصنعته لك، فقال رسول الله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جئني بأحبِّ خلقك إليك وإليّ يأكل معي من هذا الطائر، وضُرب الباب، فقال رسول الله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انظر مَن على الباب،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الأنصار، فذهبت فإذا عليّ بالباب،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 على حاجة، فجئت حتى قمت من مقامي، فلم ألبث أن ضُرب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انظر مَن على الباب،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رجلاً من الأنصار، فذهبت فإذا عليّ بالباب،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 على حاجة، فجئت حتى قمت من مقامي، فلم ألبث أن ضُرب الباب، فقال رسول الله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اذهب فأدخله، فلست بأوّل رجل أحبّ قومه، ليس هو من الأنصار، فذهبت فأدخلته،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قرِّب إليه الطير،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فوضعته بين يدي رسول‌الله ص ، فأكلا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كان هذا بمحضرٍ منك؟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 بالله عهداً أن لا أنتقص علياً بعد مقامي هذا، ولا أعلم أحداً ينتقصه إلاّ أشنت له وجهه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القارئ اللبيب الفطن أنَّ كلمة غسلوا موضعه كناية عن نجاسته، أي أنَّهم حكموا بنجاسة مسلمٍ وعالمٍ ومحدّثٍ شهير؛ لروايته منقبة من مناقب أمير المؤمنين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فقس</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محمد بن أحمد، في سير أعلام النبلاء،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الإمام المحدث البارع القاضي أبو القاسم عبيد الله بن عبدالله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بن حسكان القرشي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ويُعرَف بابن الحذاء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حدَّث عن جده وعن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والظاهر أنَّه بقي إلى بعد السبعين وأربعمائة</w:t>
      </w:r>
      <w:r>
        <w:rPr>
          <w:rFonts w:eastAsia="IRNazanin" w:cs="IRNazanin"/>
          <w:b w:val="false"/>
          <w:bCs w:val="false"/>
          <w:i w:val="false"/>
          <w:iCs w:val="false"/>
          <w:color w:val="333333"/>
          <w:sz w:val="20"/>
          <w:szCs w:val="20"/>
          <w:rtl w:val="true"/>
        </w:rPr>
        <w:t>. . .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محمد بن أحمد، في تاريخ الإسلام، ج</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عند ترجمته للحسكاني</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ووجدت له مجلساً في تصحيح ردّ الشمس وترغيم النواصب الشمس، وقد تكلم على رجاله كلام شيعي عارف بفن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وحديث ردّ الشمس رواه غير واحد من الحفاظ، وبطرق متعدّدة، خرّجها ابن كثير، إسماعيل بن عمر، في البداية والنهاية،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تعليقات مطوّلة، والحديث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القاسم عبيد الله بن عبدالله بن أحمد الحسكاني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 ذلك من طريق أسماء بنت عميس، وعلي‌بن أبي طالب، وأبي هريرة، وأبي سعيد الخدري، ثُمَّ رواه من طريق أحمد بن صالح المصري، وأحمد بن الوليد الأنطاكي، والحسن بن داود، ثلاثتهم عن محمد بن إسماعيل بن أبي فديك، وهو ثقة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أسماء بنت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الظهر بالصهباء من أرض خيبر، ثُمَّ أرسل علياً في حاجة، فجاء وقد صلَّى رسول الله العصر، فوضع رأسه في حجر علي ولم يحرِّكه حتى غربت الشمس،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عبدك علياً احتبس نفسه على نبيه، فردّ عليه شرقها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فطلعت الشمس حتى ردّت على الجبال، فقام علي فتوضأ وصلّى العصر، ثُمّ غابت الشمس</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إبراهيم بن عبد العزيز بن الضحاك بن عمر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أبو إسحاق المديني الأصبهاني، كان يقال له شاه بن عبد كويه، روى عن ابن علية وغيره، روى عنه أبو نعيم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ذكره ابن حجر العسقلاني في 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محمد بن أحمد، في ميزان الاعتدال في نقد الرجال،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في ترجمته لابن الضحاك الآنف الذكر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وحكي أنْ قعد للحديث، وأخرج الفضائل، وأملى فضائل أبي بكر وعمر، ثُمَّ قال لأصحاب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نبدأ، بعثمان أو علي؟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تشكّ في هذا؟ هذا والله رافضي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فتركوا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ذلك كلّه الحافظ أبو محمد عبدالله بن محمد بن جعفر بن حيان، المكنى بأبي الشيخ، في كتاب طبقات المحدثين بأصبهان؛ الواردين عليه، وحكى نحوه أيضاً أبو نعيم في تاريخ أصبهان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 حجر في 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في ترجمته، تعليقاً على الحادث المذكور، بعد أن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ظلم بيّن، فإنَّ هذا مذهب جماعة من أهل السنة، أعني التوقف في تفضيل أحدهما على الآخر، وإن كان الأكثر على تقديم عثمان، بل كان جماعة من أهل السنة يقدمون علياً على عثمان، منهم سفيان الثوري وابن خزيمة</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بكر السيوطي في طبقات الحافظ،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وابن حجر العسقلاني في لسان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وأمّا السيد الحميري، فقد قال عنه الزركلي في الأعلام،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الحميري</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ه، إسماعيل بن محمد بن يزيد بن ربيعة بن مفرغ الحميري، أبوهاشم، أو أبوعامر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إمامي متقدم، قال صاحب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أكثر الناس شعراً في الجاهلية والإسلام ثلاثي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وأبو العتاهية، والسيد</w:t>
      </w:r>
      <w:r>
        <w:rPr>
          <w:rFonts w:eastAsia="IRNazanin" w:cs="IRNazanin"/>
          <w:b w:val="false"/>
          <w:bCs w:val="false"/>
          <w:i w:val="false"/>
          <w:iCs w:val="false"/>
          <w:color w:val="333333"/>
          <w:sz w:val="20"/>
          <w:szCs w:val="20"/>
          <w:rtl w:val="true"/>
        </w:rPr>
        <w:t>. . .»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بن علي، أبو حسن المسعودي، من ذرية عبدالله بن مسعود، مؤرّخ، رحّالة، بحّاثة، من أهل بغداد، أقام بمصر وتوفّي فيها سنة </w:t>
      </w:r>
      <w:r>
        <w:rPr>
          <w:rFonts w:ascii="IRNazanin" w:hAnsi="IRNazanin" w:eastAsia="IRNazanin"/>
          <w:b w:val="false"/>
          <w:b w:val="false"/>
          <w:bCs w:val="false"/>
          <w:i w:val="false"/>
          <w:i w:val="false"/>
          <w:iCs w:val="false"/>
          <w:color w:val="333333"/>
          <w:sz w:val="20"/>
          <w:sz w:val="20"/>
          <w:szCs w:val="20"/>
        </w:rPr>
        <w:t>٣۴۶</w:t>
      </w:r>
      <w:r>
        <w:rPr>
          <w:rFonts w:ascii="IRNazanin" w:hAnsi="IRNazanin" w:eastAsia="IRNazanin"/>
          <w:b w:val="false"/>
          <w:b w:val="false"/>
          <w:bCs w:val="false"/>
          <w:i w:val="false"/>
          <w:i w:val="false"/>
          <w:iCs w:val="false"/>
          <w:color w:val="333333"/>
          <w:sz w:val="20"/>
          <w:sz w:val="20"/>
          <w:szCs w:val="20"/>
          <w:rtl w:val="true"/>
        </w:rPr>
        <w:t>ق، ذكر ترجمته خير الدين الزركلي في الأعلام،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كل ذلك وحكم بتشيعه ابن حجر العسقلاني في لسان الميزان،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بل نصَّ على كونه شيعياً معتزلياً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العقسلاني في 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باب البصري القصار، عن ثابت 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 ولا يكاد يعرف إلاّ بحديث الطير،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المؤلّف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بم سكتوا عن تضعيفه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 البخاري، فلم يذكر فيه جرحاً، وابن أبي حاتم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وقال الذهبي، محمد بن أحمد، في المغني في الضعفاء،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باب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ضعيف واهٍ</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محمد بن أحمد، في ميزان الاعتدال في نقد الرجال،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سعيد بن فرقد الجدي، روى عن أبي حمة وعنه الطبراني، فذكر حديث الطير بإسناد الصحيحين، فهو المتَّهم بوضعه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من الغريب أنَّ عبد الرحمن بن الجوزي في كتابه العلل المتناهية في الأحاديث الواهية،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ذكر حديث الطير بطريق أحمد بن سعيد بن فرقد، ولم يقدح به أصلاً، مع أنّه ذكر جميع طرق الحديث وعدّدها ستة عشر طريق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 الجرجاني في الكامل في ضعفاء الرجال،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يحيى بن المختار، كوفي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عطية العوفي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رسول الله غداة اُّعطي الكوثر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نظر إلي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إنَّ الله عزوجل أعطاني الكوثر 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وما الكوثر؟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في الجنة، طوله ستمائة عام، وعرضه ما بين المشرق والمغرب، لا يشرب أحد منه قبلي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فلا يطعمه مَن خفر ذّمتي ووتر عترتي وقتل أهل بيتي</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حدَّثنا حماد بن المختار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أُهدي لرسول الله ص طائر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وساق حديث الطير المتقدّم ثم قال ابن عدي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وحماد بروايته هذين الحديثين يدل على أنّه من متشيعي الكوفة، ولا أعرف لحماد من الحديث غير هذين الحديثين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المشهور عن رسول الله 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سبط بن العجمي، إبراهيم‌بن محمد، في الكشف الحثيث،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يدري من ذا إلاَّ أنَّه روى محمد بن علي العتيبي عنه، عن‌الثوري عن‌منصور عن‌إبراهيم عن‌علقمة عن‌عبدالله،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الحكمة فجعل في علي‌تسعة أجزاء، وفي الناس جزء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كذب ذكره الذهبي في ترجمة هذا الرجل، فالظاهر من حال الذهبي أنَّه اتهمه والله أعلم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وذكر علي بن الحسن الشافعي في تاريخ مدينة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٣٨۴</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 أبو علي المقرئ، أنا أبو نعيم الحافظ، أنا أبو أحمد الغطريفي، أنا أحمد بن عمران بن سلمة، وكان ثقة عدلاً مرضياً، أنا سفيان الثوري عن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النبي فسُئل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الحكمة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فشتّان بين القولين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 الجرجاني في الكامل في ضعفاء الرجال،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عمر بن إسماعيل بن مجالد الكوفي ، 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وحدَّث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بحديث أنا مدينة العلم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سلمة الكوفي عن ساكني جرجان، وكان متّهماً عن أبي معاوية كذلك</w:t>
      </w:r>
      <w:r>
        <w:rPr>
          <w:rFonts w:eastAsia="IRNazanin" w:cs="IRNazanin"/>
          <w:b w:val="false"/>
          <w:bCs w:val="false"/>
          <w:i w:val="false"/>
          <w:iCs w:val="false"/>
          <w:color w:val="333333"/>
          <w:sz w:val="20"/>
          <w:szCs w:val="20"/>
          <w:rtl w:val="true"/>
        </w:rPr>
        <w:t>. . .»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العسقلاني في 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بسامراء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حدّثنا عبد الرزاق عن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جابر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أمير البررة وقاتل الفجرة، أنا مدينة العلم وعلي بابها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الخطيب في حديث جابر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أنكر ما روى، وفي بعض أحاديثه نكرة، وقال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 عن عبد الرزاق وغيره بالمناكير، يترك حديثه</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حديث ردّ الشمس فيما سبق، فلا نعيد ذكره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أحمدبن محمدبن الصديق الغماري الحسني، ص</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۶۵٢</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محمد بن أحمد الذهبي،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١٠۴۵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إسحاق ابن النديم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شرطة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قال لهذه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تشرطوا، فإنَّما أشارطكم على الجنة، ولست أشارطكم على ذهب ولا فضة، أنَّ نبياً من الأنبياء فيما مضى قال لأصحابه تشرطوا فإنّي لست أشارطكم إلاّ على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وكانوا اثنا عشر ألفاً على ما نقله ابن عساكر في تاريخ مدينة دمشق،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٢۶٢</w:t>
      </w:r>
      <w:r>
        <w:rPr>
          <w:rFonts w:ascii="IRNazanin" w:hAnsi="IRNazanin" w:eastAsia="IRNazanin"/>
          <w:b w:val="false"/>
          <w:b w:val="false"/>
          <w:bCs w:val="false"/>
          <w:i w:val="false"/>
          <w:i w:val="false"/>
          <w:iCs w:val="false"/>
          <w:color w:val="333333"/>
          <w:sz w:val="20"/>
          <w:sz w:val="20"/>
          <w:szCs w:val="20"/>
          <w:rtl w:val="true"/>
        </w:rPr>
        <w:t>، والخميس بمعنى الجيش، فهؤلاء شارطهم علي عليه السلام على الجنة، فشرطوا له بذل أنفسهم، وهم خُلَّص أصحابه عليه السلام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 خليفة بن خياط الليثي العصفري،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المقتنى في سرد الكنى، محمد بن أحمد الذهبي،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بحاشية الذهبي،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محمد بن عمر بن موسى العقيلي،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 ابن تغري بردي الأتابكي،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٣۴٢</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 محمد ناصر الدين الألباني،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السبيعي، عمرو بن عبدالله، قال في حقه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أئمّة التابعين بالكوفة وأثبتهم إلاّ أنَّه شاخ ونسي ولم يختلط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أبوحاتم محمد بن حبان البستي،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الكبرى، أحمد بن الحسين البيهقي،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بحاشية الذهبي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ذلك ابن سعد في طبقاته،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تذهيب تهذيب الكمال، صفي الدين أحمد بن عبدالله الخزرجي الأنصاري،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 في طبقات المحدثين، محمد بن أحمد الذهبي،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الباب في الكنى والألقاب، محمد بن إسحاق بن مندة الأصبهاني،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الرزاق بن همام بن نافع الصنعاني، من شيوخ البخاري، توفي سنة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كتب عديدة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في الفقه، المغازي، تفسير القرآن، الجامع الكبير في الحديث</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الحديث أخرجناها من تهذيب الكمال،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بندر،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 يلزمون المعادن، دخيل، أو هم الذين يخزنون البضائع للغلاء،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السنة، ولذلك لقب بنداراً؛ لأنّه جمع حديث مالك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وبندار معناه الحافظ، ذكره الزبيدي في تاج العروس،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بندر،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 يلزمون المعادن، دخيل، أو هم الذين يخزنون البضائع للغلاء،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السنة، ولذلك لقب بنداراً؛ لأنّه جمع حديث مالك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وبندار معناه الحافظ، ذكره الزبيدي في تاج العروس،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الحافظ، عبد الرحمن بن أبي بكر،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 محمد بن أحمد الذهبي،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الملوك والأمم، عبد الرحمن بن علي بن محمد بن الجوزي،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قتيبة،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محمد بن سليمان بن الحسن بن الجهم بن بكير بن أعين الشيباني، وكان من أفاضل الثقات والمحدّثين، وشيخ علماء عصره وأستاذهم، وبقية آل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 الكنى والألقاب،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آل أعين، أحمد بن محمد أبو غالب الزراري،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 رواية الدوري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۴٣۵</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 أحمد بن عمرو البزار،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أبو القاسم سليمان بن أحمد الطبراني،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ضعفاء الرجال، عبدالله بن عدي،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أسماء الثقات، عمر بن أحمد أبو حفص الواعظ،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 عبد الرحمن بن علي بن محمد بن الجوزي،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الرجال، إبراهيم بن يعقوب الجوزجاني،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٢٠۵</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من المحدّثين والضعفاء والمتروكين،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ابن حجر العسقلاني في تعجيل المنفعة بزوائد رجال الأئمة الأربعة ،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في ترجمة عبدالله بن صندل ، قال</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فإنَّ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يأخذ إلاّ عمَّن يأذن له أبوه في الأخذ عنه</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بدر الدين محمود العيني،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 محمد طاهر الفتني،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عبد الرؤوف المناوي،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أحوال الرجال،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محمد بن عمر بن موسى العقيلي،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تكلّم فيه وهو موثّق، محمد بن أحمد الذهبي،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۴۴١</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 ص</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۵۵٠</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علي بن أحمد بن حزم الظاهري،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۴٣۵</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عبدالله بن يوسف الزيعلي،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٣۴۴</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ج</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161</Pages>
  <Words>41913</Words>
  <Characters>181378</Characters>
  <CharactersWithSpaces>221879</CharactersWithSpaces>
  <Paragraphs>1931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2026-08-16T17:17:16Z</dcterms:created>
  <dc:creator>ghaemiyeh.com</dc:creator>
  <dc:description/>
  <dc:language>en-US</dc:language>
  <cp:lastModifiedBy/>
  <dcterms:modified xsi:type="dcterms:W3CDTF">2026-08-16T20:47:22Z</dcterms:modified>
  <cp:revision>1</cp:revision>
  <dc:subject/>
  <dc:title>فقدالاعتدال فی نقدالرجال دراسة تحلیلیة لشرطیة عدالةالراوی عندالجمهور</dc:title>
</cp:coreProperties>
</file>

<file path=docProps/custom.xml><?xml version="1.0" encoding="utf-8"?>
<Properties xmlns="http://schemas.openxmlformats.org/officeDocument/2006/custom-properties" xmlns:vt="http://schemas.openxmlformats.org/officeDocument/2006/docPropsVTypes"/>
</file>