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غدیریه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0104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250106_372815092">
            <w:r>
              <w:rPr>
                <w:webHidden/>
                <w:rStyle w:val="IndexLink"/>
                <w:rtl w:val="true"/>
              </w:rPr>
              <w:t>اشارت</w:t>
            </w:r>
            <w:r>
              <w:rPr>
                <w:rStyle w:val="IndexLink"/>
                <w:rtl w:val="true"/>
              </w:rPr>
              <w:tab/>
            </w:r>
            <w:r>
              <w:rPr>
                <w:rStyle w:val="IndexLink"/>
              </w:rPr>
              <w:t>4</w:t>
            </w:r>
          </w:hyperlink>
        </w:p>
        <w:p>
          <w:pPr>
            <w:pStyle w:val="Contents2"/>
            <w:tabs>
              <w:tab w:val="clear" w:pos="8743"/>
              <w:tab w:val="right" w:pos="9026" w:leader="dot"/>
            </w:tabs>
            <w:rPr/>
          </w:pPr>
          <w:hyperlink w:anchor="__RefHeading___Toc3250108_372815092">
            <w:r>
              <w:rPr>
                <w:webHidden/>
                <w:rStyle w:val="IndexLink"/>
              </w:rPr>
              <w:t>1</w:t>
            </w:r>
            <w:r>
              <w:rPr>
                <w:rStyle w:val="IndexLink"/>
                <w:rtl w:val="true"/>
              </w:rPr>
              <w:t xml:space="preserve">) </w:t>
            </w:r>
            <w:r>
              <w:rPr>
                <w:rStyle w:val="IndexLink"/>
                <w:rtl w:val="true"/>
              </w:rPr>
              <w:t>متن خطبه غدیریه</w:t>
            </w:r>
            <w:r>
              <w:rPr>
                <w:rStyle w:val="IndexLink"/>
                <w:rtl w:val="true"/>
              </w:rPr>
              <w:tab/>
            </w:r>
            <w:r>
              <w:rPr>
                <w:rStyle w:val="IndexLink"/>
              </w:rPr>
              <w:t>5</w:t>
            </w:r>
          </w:hyperlink>
        </w:p>
        <w:p>
          <w:pPr>
            <w:pStyle w:val="Contents2"/>
            <w:tabs>
              <w:tab w:val="clear" w:pos="8743"/>
              <w:tab w:val="right" w:pos="9026" w:leader="dot"/>
            </w:tabs>
            <w:rPr/>
          </w:pPr>
          <w:hyperlink w:anchor="__RefHeading___Toc3250110_372815092">
            <w:r>
              <w:rPr>
                <w:webHidden/>
                <w:rStyle w:val="IndexLink"/>
              </w:rPr>
              <w:t>2</w:t>
            </w:r>
            <w:r>
              <w:rPr>
                <w:rStyle w:val="IndexLink"/>
                <w:rtl w:val="true"/>
              </w:rPr>
              <w:t xml:space="preserve">) </w:t>
            </w:r>
            <w:r>
              <w:rPr>
                <w:rStyle w:val="IndexLink"/>
                <w:rtl w:val="true"/>
              </w:rPr>
              <w:t>نگاهی گذرا به مفاد خطبه به عنوان سند جهانی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3250112_372815092">
            <w:r>
              <w:rPr>
                <w:webHidden/>
                <w:rStyle w:val="IndexLink"/>
              </w:rPr>
              <w:t>3</w:t>
            </w:r>
            <w:r>
              <w:rPr>
                <w:rStyle w:val="IndexLink"/>
                <w:rtl w:val="true"/>
              </w:rPr>
              <w:t xml:space="preserve">) </w:t>
            </w:r>
            <w:r>
              <w:rPr>
                <w:rStyle w:val="IndexLink"/>
                <w:rtl w:val="true"/>
              </w:rPr>
              <w:t>خطبه غدیریه در منابع روایی</w:t>
            </w:r>
            <w:r>
              <w:rPr>
                <w:rStyle w:val="IndexLink"/>
                <w:rtl w:val="true"/>
              </w:rPr>
              <w:tab/>
            </w:r>
            <w:r>
              <w:rPr>
                <w:rStyle w:val="IndexLink"/>
              </w:rPr>
              <w:t>12</w:t>
            </w:r>
          </w:hyperlink>
        </w:p>
        <w:p>
          <w:pPr>
            <w:pStyle w:val="Contents3"/>
            <w:tabs>
              <w:tab w:val="clear" w:pos="8459"/>
              <w:tab w:val="right" w:pos="9026" w:leader="dot"/>
            </w:tabs>
            <w:rPr/>
          </w:pPr>
          <w:hyperlink w:anchor="__RefHeading___Toc3250114_37281509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50116_372815092">
            <w:r>
              <w:rPr>
                <w:webHidden/>
                <w:rStyle w:val="IndexLink"/>
                <w:rtl w:val="true"/>
              </w:rPr>
              <w:t>الف</w:t>
            </w:r>
            <w:r>
              <w:rPr>
                <w:rStyle w:val="IndexLink"/>
                <w:rtl w:val="true"/>
              </w:rPr>
              <w:t xml:space="preserve">: </w:t>
            </w:r>
            <w:r>
              <w:rPr>
                <w:rStyle w:val="IndexLink"/>
                <w:rtl w:val="true"/>
              </w:rPr>
              <w:t>منابعی که همه خطبه را نقل کرده اند</w:t>
            </w:r>
            <w:r>
              <w:rPr>
                <w:rStyle w:val="IndexLink"/>
                <w:rtl w:val="true"/>
              </w:rPr>
              <w:tab/>
            </w:r>
            <w:r>
              <w:rPr>
                <w:rStyle w:val="IndexLink"/>
              </w:rPr>
              <w:t>12</w:t>
            </w:r>
          </w:hyperlink>
        </w:p>
        <w:p>
          <w:pPr>
            <w:pStyle w:val="Contents3"/>
            <w:tabs>
              <w:tab w:val="clear" w:pos="8459"/>
              <w:tab w:val="right" w:pos="9026" w:leader="dot"/>
            </w:tabs>
            <w:rPr/>
          </w:pPr>
          <w:hyperlink w:anchor="__RefHeading___Toc3250118_372815092">
            <w:r>
              <w:rPr>
                <w:webHidden/>
                <w:rStyle w:val="IndexLink"/>
                <w:rtl w:val="true"/>
              </w:rPr>
              <w:t>ب</w:t>
            </w:r>
            <w:r>
              <w:rPr>
                <w:rStyle w:val="IndexLink"/>
                <w:rtl w:val="true"/>
              </w:rPr>
              <w:t xml:space="preserve">: </w:t>
            </w:r>
            <w:r>
              <w:rPr>
                <w:rStyle w:val="IndexLink"/>
                <w:rtl w:val="true"/>
              </w:rPr>
              <w:t>منابعی که تنها به نقل پاره هایی از خطبه بسنده کرده اند</w:t>
            </w:r>
            <w:r>
              <w:rPr>
                <w:rStyle w:val="IndexLink"/>
                <w:rtl w:val="true"/>
              </w:rPr>
              <w:tab/>
            </w:r>
            <w:r>
              <w:rPr>
                <w:rStyle w:val="IndexLink"/>
              </w:rPr>
              <w:t>13</w:t>
            </w:r>
          </w:hyperlink>
        </w:p>
        <w:p>
          <w:pPr>
            <w:pStyle w:val="Contents2"/>
            <w:tabs>
              <w:tab w:val="clear" w:pos="8743"/>
              <w:tab w:val="right" w:pos="9026" w:leader="dot"/>
            </w:tabs>
            <w:rPr/>
          </w:pPr>
          <w:hyperlink w:anchor="__RefHeading___Toc3250120_372815092">
            <w:r>
              <w:rPr>
                <w:webHidden/>
                <w:rStyle w:val="IndexLink"/>
              </w:rPr>
              <w:t>4</w:t>
            </w:r>
            <w:r>
              <w:rPr>
                <w:rStyle w:val="IndexLink"/>
                <w:rtl w:val="true"/>
              </w:rPr>
              <w:t xml:space="preserve">) </w:t>
            </w:r>
            <w:r>
              <w:rPr>
                <w:rStyle w:val="IndexLink"/>
                <w:rtl w:val="true"/>
              </w:rPr>
              <w:t>پژوهشی در سند خطبه</w:t>
            </w:r>
            <w:r>
              <w:rPr>
                <w:rStyle w:val="IndexLink"/>
                <w:rtl w:val="true"/>
              </w:rPr>
              <w:tab/>
            </w:r>
            <w:r>
              <w:rPr>
                <w:rStyle w:val="IndexLink"/>
              </w:rPr>
              <w:t>14</w:t>
            </w:r>
          </w:hyperlink>
        </w:p>
        <w:p>
          <w:pPr>
            <w:pStyle w:val="Contents3"/>
            <w:tabs>
              <w:tab w:val="clear" w:pos="8459"/>
              <w:tab w:val="right" w:pos="9026" w:leader="dot"/>
            </w:tabs>
            <w:rPr/>
          </w:pPr>
          <w:hyperlink w:anchor="__RefHeading___Toc3250122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250124_372815092">
            <w:r>
              <w:rPr>
                <w:webHidden/>
                <w:rStyle w:val="IndexLink"/>
              </w:rPr>
              <w:t>1</w:t>
            </w:r>
            <w:r>
              <w:rPr>
                <w:rStyle w:val="IndexLink"/>
                <w:rtl w:val="true"/>
              </w:rPr>
              <w:t xml:space="preserve">. </w:t>
            </w:r>
            <w:r>
              <w:rPr>
                <w:rStyle w:val="IndexLink"/>
                <w:rtl w:val="true"/>
              </w:rPr>
              <w:t>بررسی رجال و سند روایت</w:t>
            </w:r>
            <w:r>
              <w:rPr>
                <w:rStyle w:val="IndexLink"/>
                <w:rtl w:val="true"/>
              </w:rPr>
              <w:tab/>
            </w:r>
            <w:r>
              <w:rPr>
                <w:rStyle w:val="IndexLink"/>
              </w:rPr>
              <w:t>14</w:t>
            </w:r>
          </w:hyperlink>
        </w:p>
        <w:p>
          <w:pPr>
            <w:pStyle w:val="Contents3"/>
            <w:tabs>
              <w:tab w:val="clear" w:pos="8459"/>
              <w:tab w:val="right" w:pos="9026" w:leader="dot"/>
            </w:tabs>
            <w:rPr/>
          </w:pPr>
          <w:hyperlink w:anchor="__RefHeading___Toc3250126_372815092">
            <w:r>
              <w:rPr>
                <w:webHidden/>
                <w:rStyle w:val="IndexLink"/>
              </w:rPr>
              <w:t>2</w:t>
            </w:r>
            <w:r>
              <w:rPr>
                <w:rStyle w:val="IndexLink"/>
                <w:rtl w:val="true"/>
              </w:rPr>
              <w:t xml:space="preserve">. </w:t>
            </w:r>
            <w:r>
              <w:rPr>
                <w:rStyle w:val="IndexLink"/>
                <w:rtl w:val="true"/>
              </w:rPr>
              <w:t>اهمال در روایت</w:t>
            </w:r>
            <w:r>
              <w:rPr>
                <w:rStyle w:val="IndexLink"/>
                <w:rtl w:val="true"/>
              </w:rPr>
              <w:tab/>
            </w:r>
            <w:r>
              <w:rPr>
                <w:rStyle w:val="IndexLink"/>
              </w:rPr>
              <w:t>15</w:t>
            </w:r>
          </w:hyperlink>
        </w:p>
        <w:p>
          <w:pPr>
            <w:pStyle w:val="Contents3"/>
            <w:tabs>
              <w:tab w:val="clear" w:pos="8459"/>
              <w:tab w:val="right" w:pos="9026" w:leader="dot"/>
            </w:tabs>
            <w:rPr/>
          </w:pPr>
          <w:hyperlink w:anchor="__RefHeading___Toc3250128_372815092">
            <w:r>
              <w:rPr>
                <w:webHidden/>
                <w:rStyle w:val="IndexLink"/>
                <w:rtl w:val="true"/>
              </w:rPr>
              <w:t>آراء دانشمندان درباره روایت مهمل</w:t>
            </w:r>
            <w:r>
              <w:rPr>
                <w:rStyle w:val="IndexLink"/>
                <w:rtl w:val="true"/>
              </w:rPr>
              <w:tab/>
            </w:r>
            <w:r>
              <w:rPr>
                <w:rStyle w:val="IndexLink"/>
              </w:rPr>
              <w:t>16</w:t>
            </w:r>
          </w:hyperlink>
        </w:p>
        <w:p>
          <w:pPr>
            <w:pStyle w:val="Contents2"/>
            <w:tabs>
              <w:tab w:val="clear" w:pos="8743"/>
              <w:tab w:val="right" w:pos="9026" w:leader="dot"/>
            </w:tabs>
            <w:rPr/>
          </w:pPr>
          <w:hyperlink w:anchor="__RefHeading___Toc3250130_372815092">
            <w:r>
              <w:rPr>
                <w:webHidden/>
                <w:rStyle w:val="IndexLink"/>
              </w:rPr>
              <w:t>5</w:t>
            </w:r>
            <w:r>
              <w:rPr>
                <w:rStyle w:val="IndexLink"/>
                <w:rtl w:val="true"/>
              </w:rPr>
              <w:t xml:space="preserve">) </w:t>
            </w:r>
            <w:r>
              <w:rPr>
                <w:rStyle w:val="IndexLink"/>
                <w:rtl w:val="true"/>
              </w:rPr>
              <w:t xml:space="preserve">شکوه غدیر در نگاه علی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3250132_372815092">
            <w:r>
              <w:rPr>
                <w:webHidden/>
                <w:rStyle w:val="IndexLink"/>
                <w:rtl w:val="true"/>
              </w:rPr>
              <w:t>نکته پایانی</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4_53638"/>
      <w:bookmarkStart w:id="1" w:name="pg7054_53638"/>
      <w:bookmarkEnd w:id="1"/>
    </w:p>
    <w:p>
      <w:pPr>
        <w:pStyle w:val="Heading2"/>
        <w:numPr>
          <w:ilvl w:val="1"/>
          <w:numId w:val="1"/>
        </w:numPr>
        <w:rPr/>
      </w:pPr>
      <w:bookmarkStart w:id="2" w:name="pg7054_53638"/>
      <w:bookmarkStart w:id="3" w:name="__RefHeading___Toc3250104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خطبه غدیریه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فاکرميبدی</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حدیث ، 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3250106_372815092"/>
      <w:bookmarkStart w:id="6" w:name="_Toc2"/>
      <w:bookmarkEnd w:id="5"/>
      <w:r>
        <w:rPr>
          <w:rtl w:val="true"/>
        </w:rPr>
        <w:t>اشارت</w:t>
      </w:r>
      <w:bookmarkEnd w:id="6"/>
    </w:p>
    <w:p>
      <w:pPr>
        <w:pStyle w:val="BookText"/>
        <w:rPr/>
      </w:pPr>
      <w:r>
        <w:rPr>
          <w:rFonts w:ascii="IRNazanin" w:hAnsi="IRNazanin" w:eastAsia="IRNazanin"/>
          <w:color w:val="111111"/>
          <w:sz w:val="28"/>
          <w:sz w:val="28"/>
          <w:szCs w:val="28"/>
          <w:rtl w:val="true"/>
          <w:lang w:bidi="fa-IR"/>
        </w:rPr>
        <w:t>ممکن است افراد بسیاری در طول تاریخ از حادثه غدیر و اهمیت آن سخن گفته و از آن تعاریفی ارائه داده باشند، اما هیچ یک از این سخنان نمی توانند بیانگر عظمت و شکوه غدیر باشد، زیرا تنها کسانی می توانند تعریف جامع از وقایع و حوادث عرضه نمایند که خود پدید آورنده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زیبنده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غدیر را به بهترین شکل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دستور خداوند سبحان حادثه غدیر را در میان دو نزول قرآنی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من کنت مولاه فهذا علی مولاه،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واقعه غدیر، اکمال دین، اتمام نعمت و موجب رضایت و خوشنودی خداست و روز غدیر ظرف زمانی این ارزشها معرفی کرد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 عید غدیر خود که خوب است آن را خطبه غدیریه بنامیم به تفسیر و تحلیل این رویداد عظیم تاریخ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خطبه که در گوشه و کنار برخی از کتابهای ادعیه و روایت در غربت به سر می برد و بررسی سند و کتابشناسی آن و شرح پاره هایی از</w:t>
      </w:r>
      <w:bookmarkStart w:id="7" w:name="pg7054_53639"/>
    </w:p>
    <w:p>
      <w:pPr>
        <w:pStyle w:val="BookText"/>
        <w:rPr/>
      </w:pPr>
      <w:bookmarkEnd w:id="7"/>
      <w:r>
        <w:rPr>
          <w:rFonts w:ascii="IRNazanin" w:hAnsi="IRNazanin" w:eastAsia="IRNazanin"/>
          <w:color w:val="111111"/>
          <w:sz w:val="28"/>
          <w:sz w:val="28"/>
          <w:szCs w:val="28"/>
          <w:rtl w:val="true"/>
          <w:lang w:bidi="fa-IR"/>
        </w:rPr>
        <w:t>آن، موضوع این جستار است</w:t>
      </w:r>
      <w:r>
        <w:rPr>
          <w:rFonts w:eastAsia="IRNazanin" w:cs="IRNazanin"/>
          <w:color w:val="111111"/>
          <w:sz w:val="28"/>
          <w:szCs w:val="28"/>
          <w:rtl w:val="true"/>
          <w:lang w:bidi="fa-IR"/>
        </w:rPr>
        <w:t>.</w:t>
      </w:r>
    </w:p>
    <w:p>
      <w:pPr>
        <w:pStyle w:val="Heading2"/>
        <w:numPr>
          <w:ilvl w:val="1"/>
          <w:numId w:val="1"/>
        </w:numPr>
        <w:rPr/>
      </w:pPr>
      <w:bookmarkStart w:id="8" w:name="__RefHeading___Toc3250108_372815092"/>
      <w:bookmarkStart w:id="9" w:name="_Toc3"/>
      <w:bookmarkEnd w:id="8"/>
      <w:r>
        <w:rPr/>
        <w:t>1</w:t>
      </w:r>
      <w:r>
        <w:rPr>
          <w:rtl w:val="true"/>
        </w:rPr>
        <w:t xml:space="preserve">) </w:t>
      </w:r>
      <w:r>
        <w:rPr>
          <w:rtl w:val="true"/>
        </w:rPr>
        <w:t>متن خطبه غدیریه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الْحَمْدَ عَلَى عِبَادِهِ مِنْ غَيْرِ حَاجَةٍ مِنْهُ إِلَى حَامِدِيهِ وَ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وَ إِنْ عَظُمَ وَ أَشْهَدُ أَنْ لَا إِلَهَ إِلَّا اللَّهُ وَحْدَهُ لَا شَرِيكَ لَهُ شَهَادَةً نُزِعَتْ عَنْ إِخْلَاصِ الْمَطْوِيِّ وَ نُطْقُ اللِّسَانِ بِهَا عِبَارَةٌ عَنْ صِدْقٍ خَفِيٍّ أَنَّهُ الْخَالِقُ الْبَدِي‏ءُ الْمُصَوِّرُ 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إِذَا كَانَ الشَّيْ‏ءُ مِنْ مَشِيَّتِهِ وَ كَانَ لَا يُشْبِهُهُ مُكَوَّنُهُ وَ أَشْهَدُ أَنَّ مُحَمَّداً عَبْدُهُ وَ رَسُولُهُ اسْتَخْلَصَهُ فِي الْقِدَمِ عَلَى سَائِرِ الْأُمَمِ عَلَى عِلْمٍ مِنْهُ بِهِ انْفَرَدَ عَنِ التَّشَاكُلِ وَ التَّمَاثُلِ مِنْ أَبْنَاءِ الْجِنْسِ وَ أْتَمَنَهُ آمِراً وَ نَاهِياً عَنْهُ أَقَامَهُ فِي سَائِرِ عَالَمِهِ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إِذْ كَانَ لا تُدْرِكُهُ الْأَبْصارُ وَ لَا تَحْوِيهِ خَوَاطِرُ الْأَفْكَارِ وَ لَا تُمَثِّلُهُ غَوَامِضُ الظِّنَنِ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 اخْتَصَّهُ مِنْ تَكْرِمَتِهِ بِمَا لَمْ يَلْحَقْهُ فِيهِ أَحَدٌ مِنْ بَرِيَّتِهِ فَهَلْهَلَ ذَلِكَ بِخَاصَّتِهِ وَ خَلَّتِهِ إِذْ لَا يَخْتَصُّ مَنْ يَشُوبُهُ التَّغْيِيرُ وَ لَا يُخَالِلُ مَنْ يَلْحَقُهُ التَّظْنِينُ وَ أَمَرَ بِالصَّلَاةِ عَلَيْهِ مَزِيداً فِي تَكْرِمَتِهِ وَ تَطْرِيقاً لِلدَّاعِي إِلَى إِجَابَتِهِ فَصَلَّى اللَّهُ عَلَيْهِ وَ كَرَّمَ وَ شَرَّفَ وَ عَظَّمَ مَزِيداً لَا يَلْحَقُهُ التَّنْفِيدُ وَ لَا يَنْقَطِعُ عَلَى التَّأْبِيدِ وَ إِنَّ اللَّهَ تَعَالَى اخْتَصَّ لِنَفْسِهِ بَعْدَ نَبِيِّهِ صلي الله عليه وآله مِنْ بَرِيَّتِهِ خَاصَّةً عَلَّاهُمْ بِتَعْلِيَتِهِ وَ سَمَا بِهِمْ إِلَى رُتْبَتِهِ وَ جَعَلَهُمُ الدُّعَاةَ بِالْحَقِّ إِلَيْهِ وَ</w:t>
      </w:r>
    </w:p>
    <w:p>
      <w:pPr>
        <w:pStyle w:val="BookText"/>
        <w:rPr/>
      </w:pPr>
      <w:r>
        <w:rPr>
          <w:rFonts w:ascii="Amiri" w:hAnsi="Amiri" w:eastAsia="Amiri" w:cs="Amiri"/>
          <w:color w:val="111111"/>
          <w:sz w:val="28"/>
          <w:sz w:val="28"/>
          <w:szCs w:val="28"/>
          <w:rtl w:val="true"/>
          <w:lang w:bidi="ar-SA"/>
        </w:rPr>
        <w:t>الْأَدِلَّاءَ بِالْإِرْشَادِ عَلَيْهِ لِقَرْنٍ قَرْنٍ وَ زَمَنٍ زَمَنٍ أَنْشَأَهُمْ فِي الْقِدَمِ قَبْلَ كُلِّ مَذْرُوءٍ وَ مَبْرُوءٍ أَنْوَاراً أَنْطَقَهَا بِتَحْمِيدِهِ وَ أَلْهَمَهَا بِشُكْرِهِ وَ تَمْجِيدِهِ وَ جَعَلَهَا الْحُجَجَ لَهُ عَلَى كُلِّ مُعْتَرِفٍ لَهُ بِمَلَكَةِ الرُّبُوبِيَّةِ وَ سُلْطَانِ الْعُبُودِيَّةِ وَ اسْتَنْطَقَ بِهَا الْخُرْسَانَ بِأَنْوَاعِ اللُّغَاتِ بُخُوعاً لَهُ بِأَنَّهُ فَاطِرُ الْأَرَضِينَ وَ السَّمَاوَاتِ وَ أَشْهَدَهُمْ خَلْقَهُ وَ وَلَّاهُمْ مَا شَاءَ مِنْ أَمْرِهِ جَعَلَهُمْ‏تَرَاجِمَةَ مَشِيَّتِهِ وَ أَلْسُنَ إِرَادَتِهِ عَبِيداً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 يَحْكُمُونَ بِأَحْكَامِهِ وَ يَسُنُّونَ سُنَّتَهُ وَ يَعْتَمِدُونَ حُدُودَهُ وَ يُؤَدُّونَ فُرُوضَهُ وَ لَمْ يَدَعِ الْخَلْقَ فِي بُهَمٍ صَمَّاءَ وَ لَا فِي عَمًى بَكْمَاءَ بَلْ جَعَلَ لَهُمْ عَقُولًا مَازَجَتْ شَوَاهِدَهُمْ وَ تَفَرَّقَتْ فِي هَيَاكِلِهِمْ حَقَّقَهَا فِي نُفُوسِهِمْ وَ اسْتَعْبَدَ لَهَا حَوَاسَّهُمْ فَقَرَّتْ بِهَا عَلَى أَسْمَاعٍ وَ نَوَاظِرَ وَ أَفْكَارٍ وَ خَوَاطِرَ أَلْزَمَهُمْ بِهَا حُجَّتَهُ وَ أَرَاهُمْ بِهَا مَحَجَّتَهُ وَ أَنْطَقَهُمْ عَمَّا تَشْهَدُ بِهِ بِأَلْسِنَةٍ ذَرِبَةٍ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قَامَ فِيهَا مِنْ قُدْرَتِهِ وَ حِكْمَتِهِ وَ بَيَّنَ بِهَا عِنْدَهُمْ بِهَا لِيَهْلِكَ مَنْ هَلَكَ عَنْ بَيِّنَةٍ وَ يَحْيى‏ مَنْ حَيَّ عَنْ بَيِّنَةٍ وَ إِنَّ اللَّهَ لَسَمِيعٌ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شَاهِدٌ خَبِيرٌ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اللّه تعالی جمع لکم معشر المؤمنین فی هذا الیوم عیدین عظیمین کبیرین، لایقوم احدهما الا بصاحبه، لیکمل عندکم جمیل 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ویقفکم علی طریق رشده ویقفو بکم آثار المستضیئین بنور هدایته ویشملکم منهاج قصده و یوفر علیکم هنیأ رفده، فجعل الجمعة مجمعاً ندب الیه لتطهیر ما کان قبله وغسل ما کان اوقعته مکاسب السوء من مثله الی مثله وذکری للمؤمنین وتبیان خشیة المتقین ووهب من ثواب</w:t>
      </w:r>
    </w:p>
    <w:p>
      <w:pPr>
        <w:pStyle w:val="BookText"/>
        <w:rPr/>
      </w:pPr>
      <w:r>
        <w:rPr>
          <w:rFonts w:ascii="IRNazanin" w:hAnsi="IRNazanin" w:eastAsia="IRNazanin"/>
          <w:color w:val="111111"/>
          <w:sz w:val="28"/>
          <w:sz w:val="28"/>
          <w:szCs w:val="28"/>
          <w:rtl w:val="true"/>
          <w:lang w:bidi="fa-IR"/>
        </w:rPr>
        <w:t>الاعمال فیه اضعاف ما وهب لاهل طاعته فی الایام قبله وجعله لایتم الا بالایتمار لما امر به، والانتهاء عما نهی عنه، والبخوع بطاعته فیما حثّ علیه وندب الیه فلا یقبل دیناً الا بولایة من امر بولایته ولاتنتظم اسباب طاعته الا بالتمسک بعصمه وعصم اهل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فانزل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الدوح ما بیّن به عن ارادته فی خلصائه وذوی اجتبائه وامره بالبلاغ و ترک الحفل باهل الزیع والنفاق وضمن له عصمته منهم، وکشف من خبایا اهل الریب وضمائر اهل الارتداد ما رمز فیه، فعقله المؤمن والمنافق، فاعزّ معزّ وثبت علی الحق ثابت، وازداد جهلة المنافق وحمیة المارق ووقع العَض علی النواجد والغمز علی السواعد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ونطق ناطق و نعق ناعق ونشق ناشق و استمر علی مارقیته، ووقع الادغان من طائفه باللسان دون حقائق الایمان ومن طائفة باللسان وصدق الایمان، وکمّل اللّه دینه واقر عین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والمؤمنین والمتابعین، وکان ما قد شهده بعضکم وبلغ بعضکم وتمت کلمة اللّه الحسنی علی الصابرین ودمّر اللّه ما صنع فرعون وهامان وقارون وجنوده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کانوا یعرشون وبقیت حثالة من الضلال لایألون الناس خبالاً یقصدهم اللّه فی دیارهم ویمحو اللّه آثارهم ویبید معالمهم ویعقبهم عن قرب الحسرات ویلحقهم بمن بسط اکفهم ومد اعناقهم ومکنهم من دین اللّه حتی بدلوه ومن حکمه حتی غیّروه وسیأتی نصراللّه علی عدوّه لحینه واللّه لطیف خبیر وفی دون ما سمعتم کفایة وبلاغ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فتاملوا رحمکم اللّه ما ندبکم اللّه الیه وحثّکم علیه واقصدوا شرعه واسلکوا نهجه ولاتتبعوا السبل فتفرق بکم عن سبیله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یوم عظیم الشأن، فیه وقع الفرج، ورفعت الدرج، ووضحت الحجج وهو یوم الایضاح والافصاح عن</w:t>
      </w:r>
    </w:p>
    <w:p>
      <w:pPr>
        <w:pStyle w:val="BookText"/>
        <w:rPr/>
      </w:pPr>
      <w:r>
        <w:rPr>
          <w:rFonts w:ascii="IRNazanin" w:hAnsi="IRNazanin" w:eastAsia="IRNazanin"/>
          <w:color w:val="111111"/>
          <w:sz w:val="28"/>
          <w:sz w:val="28"/>
          <w:szCs w:val="28"/>
          <w:rtl w:val="true"/>
          <w:lang w:bidi="fa-IR"/>
        </w:rPr>
        <w:t>المقام الصراح ویوم کمال الدین و یوم العهد المعهود ویوم الشاهد والمشهود ویوم تبیان العقود عن النفاق والجحود، ویوم البیان عن حقائق الایمان، ویوم دحر الشیطان، ویوم البرهان، هذا یوم الفصل الذی کنتم توعدون، هذا یوم الملاء الاعلی الذی انتم عنه معرضون، هذا یوم الارشاد، ویوم محسنة العباد، ویوم الدلیل علی الرّداد، هذا یوم ابدی خفایا الصدور ومضمرات الامور، هذا یوم النصوص علی اهل الخصوص، هذا یوم شیت، هذا یوم ادریس، هذا یوم یوشع، هذا یوم شمعون، هذا یوم الأمن والمأمون، هذا یوم اظهار المصون من المکنون، هذا یوم ابلاء السرائر، فلم یزل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هذا یوم، فراقبوا اللّه عزّ وجلّ واتقوه واسمعوا له واطیعوه، واحذروا المکر ولاتخادعوه وفتّشوا ضمائرکم ولاتواربوه، و تقربوا الی اللّه تعالی بتوحیده، وطاعة من امرکم ان تطیعوه ولاتمسکوا الکوافر، ولایجنح بکم الغی فتضلوا عن سبیل الرشاد باتباع اولئک الذین ضلّوا واضلّوا، قال اللّه عزّ من قائل فی طائفة ذکرهم بالذم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وکبرائنا فاضلونا السبیلا ربنا آتهم ضعفین من العذاب والعنهم لعناً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یتحاجون فی النار فیقول الضعفاء للذین استکبروا انا کنا لکم تبعاً فهل انتم مغنون عنّا من عذاب اللّه من شئ قالوا لو هدانا اللّه لهدیناکم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افتدرون الاستکبار ماهو؟ هو ترک الطاعةلمن امروا بطاعته، والترفع علی من ندبوا الی متابعته والقرآن ینطق من هذا عن کثیر، ان تدبّره متدبّر، زجره ووعظه، واعلموا ایها المؤمنون انّ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کانهم بنیان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اتدرون ما سبیل اللّه ومن سبیله؟ ومن صراط اللّه؟ ومن طریقه؟ أنا صراط اللّه الذی من لم یسلکه</w:t>
      </w:r>
    </w:p>
    <w:p>
      <w:pPr>
        <w:pStyle w:val="BookText"/>
        <w:rPr/>
      </w:pPr>
      <w:r>
        <w:rPr>
          <w:rFonts w:ascii="IRNazanin" w:hAnsi="IRNazanin" w:eastAsia="IRNazanin"/>
          <w:color w:val="111111"/>
          <w:sz w:val="28"/>
          <w:sz w:val="28"/>
          <w:szCs w:val="28"/>
          <w:rtl w:val="true"/>
          <w:lang w:bidi="fa-IR"/>
        </w:rPr>
        <w:t xml:space="preserve">بطاعة اللّه فیه هوی به الی النار، وأنا سبیله الذی نصبنی للاتباع بعد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الجنه والنار، وأنا حجة اللّه علی الفجار والابرار وأنا نور الانوار، فانتبهوا من رقدةِ الغفلة وبادروا بالعمل قبل حلول الأجل وسابقوا الی مغفرة من ربکم قبل ان لیضرب بالسور بباطن الرحمة وظاهر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فتنادون فلا یسمع نداءکم وتضجّون فلا یحفل بضجیجکم وقبل ان تستغیثوا فلا ثغاثوا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سارعوا الی الطاعات قبل فوت الاوقات، فکان قد جاءکم هادم اللذات فلا مناص نجاءٍ ولامحیص 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رحمکم اللّه بعد انقضاء مجمعکم بالتوسعة علی عیالکم والبرّ باخوانکم والشکر للّه عزّ وجلّ علی ما منحکم واجمعوا یجمع اللّه شملکم وتبارّوا یصل اللّه الفتکم، وتهادوا نعم اللّه کما 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وتهانوا نعمة اللّه کما هناکم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بالتواب فیه علی اضعاف الاعیاد قبله او بعده الاّ فی مثله والبرّ فیه یثمر المال ویزید فی العمر والتعاطف فیه یقتضی رحمة اللّه وعطفه وهیّوا لاخوانکم وعیالکم عن فضله بالجهد من جودکم وبما تناله القدرة من استطاعتکم واظهر البشر فیما بینکم والسرور فی ملاقاتکم والحمدللّه علی ما منحکم وعودوا بالمزید من الخیر علی اهل التأمیل لکم وساروا بکم ضعفاءکم فی ماکلکم وماتناله القدرة من استطاعتکم وعلی حسب امکانکم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فالدرهم فیه بمأة الف درهم والمزید من اللّه عزّ وجلّ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وصوم هذا الیوم مما ندب اللّه تعالی الیه وجعل الجزاء العظیم کفالة عنه حتّی لو تعبّد له عبد من العبید فی الشبیبة من ابتداء الدنیا الی تقضیها، صائماً نهارها، قائماً لیلها، اذا اخلص المخلص فی صومه لقصرت الیه الدنیا عن کفایة، ومن اسعف اخاه مبتدءً وبرّه راغباً فله کاجر من صام هذا الیوم وقام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فطر مؤمناً فی</w:t>
      </w:r>
      <w:bookmarkStart w:id="10" w:name="pg7054_53644"/>
    </w:p>
    <w:p>
      <w:pPr>
        <w:pStyle w:val="BookText"/>
        <w:rPr/>
      </w:pPr>
      <w:bookmarkEnd w:id="10"/>
      <w:r>
        <w:rPr>
          <w:rFonts w:ascii="IRNazanin" w:hAnsi="IRNazanin" w:eastAsia="IRNazanin"/>
          <w:color w:val="111111"/>
          <w:sz w:val="28"/>
          <w:sz w:val="28"/>
          <w:szCs w:val="28"/>
          <w:rtl w:val="true"/>
          <w:lang w:bidi="fa-IR"/>
        </w:rPr>
        <w:t>لیلته فکانما فطر فئاماً وفئاماً یعده ها بیده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ناهض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الفئام؟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الف نبی و صدیق و شهید،فکیف بمن تکفّل عدداً من المؤمنین والمؤمنات، وأنا ضمینه علی اللّه تعالی الأمان من الکفر والفقر، وان مات فی لیلته او یومه او بعده الی مثله من غیر ارتکاب کبیرة فاجره علی اللّه تعالی، ومن استدان لاخوانه واعانهم، فأنا الضامن علی اللّه ان بقاه قضاه وان قبضه حمله عنه واذا تلاقیتم فتصافحوا بالتسلیم وتهانوا النعمة فی هذا الیوم ولیبلغ الحاضر الغایب والشاهد البائن ولیعد الغنی علی الفقیر، والقوی علی الضعیف، امر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ثم اخذ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خطبه الجمعة وجعل صلاة جمعته صلاة عیده وانصرف بولده وسیعتد الی منزل ابی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اعدله من طعام وانصرف غنیهم وفقیرهم برفده الی عیاله</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1" w:name="__RefHeading___Toc3250110_372815092"/>
      <w:bookmarkStart w:id="12" w:name="_Toc4"/>
      <w:bookmarkEnd w:id="11"/>
      <w:r>
        <w:rPr/>
        <w:t>2</w:t>
      </w:r>
      <w:r>
        <w:rPr>
          <w:rtl w:val="true"/>
        </w:rPr>
        <w:t xml:space="preserve">) </w:t>
      </w:r>
      <w:r>
        <w:rPr>
          <w:rtl w:val="true"/>
        </w:rPr>
        <w:t>نگاهی گذرا به مفاد خطبه به عنوان سند جهانی اسلام</w:t>
      </w:r>
      <w:bookmarkEnd w:id="12"/>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جمعه که مصادف با روز عید غدیر بوده است، خطبه ای ایراد می کند که با حمد و ثنای الهی و با کلمات و جملاتی پر معنا و شهادت به وحدانیت ذات اقدس اله و بیان برخی از صفات ثبوتیه و سلبیه او، شروع می شود، و پس از تشریح اهمیت نبوت و رسالت، و بیان این که گواهی به نبوت، قرین اعتراف به لاهوتیت خداست، به بیان مسئله امامت و مقام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درباره جایگاه واقعی ائمه، خلقت و نشأت وجودی آنها و دیگر ویژگی هایشان سخن می 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نقش پراهمیت خود می پردازد و در کنار حجت ظاهر، شاهدی</w:t>
      </w:r>
    </w:p>
    <w:p>
      <w:pPr>
        <w:pStyle w:val="BookText"/>
        <w:rPr/>
      </w:pPr>
      <w:r>
        <w:rPr>
          <w:rFonts w:ascii="IRNazanin" w:hAnsi="IRNazanin" w:eastAsia="IRNazanin"/>
          <w:color w:val="111111"/>
          <w:sz w:val="28"/>
          <w:sz w:val="28"/>
          <w:szCs w:val="28"/>
          <w:rtl w:val="true"/>
          <w:lang w:bidi="fa-IR"/>
        </w:rPr>
        <w:t>دیگر را بر حقانیّت خود مطرح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اهمیت روز جمعه و عید غدیر را خاطر نشان می سازد و فلسفه روز جمعه و اعمال مستحب آن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ارتباط توحید، نبوت و ولایت و دین با یکدیگر اشارت می کنند و آثار و ثمرات معرفی ولیّ، در واقعه غدیر را به تفصیل بیان کرده و با تعابیری بلند به تفسیر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نصایح و پندهای ارزشمندی می دهد و با استناد به آیات قرآن مردم را به اطاعت خدا و رعایت تقوا و دوری از گناه تشویق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بیان معنای استکبار، استکبار را سرپیچی از پیروی کسی که می بایست اطاعت شود می داند و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منم، سبیل اللّه منم، نورالانوار منم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 بار دیگر مردم را به اخلاق فردی، اجتماعی، مالی و… سفارش می کند و استحباب روزه روز غدیر و پاداش بس عظیم آن را یادآور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گوینده این سخنان کسی است که همه ملل اسلام به علم، فضل، کمال، مقام والا و عدالت و تقوایش اعتراف دارند؛ از این روی جای دارد همگان به این خطبه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و بدان احتجاج کنند، و به برکت آن، شبهه های اعتقادی خود را رفع کنند و مرزبندی های ساختگی میان فرقه ها را بردارند، پیوند وثیق میان توحید، نبوت، رسالت و امامت را درک کنند و براساس آن عقاید، احکام و معارف را از باب حکمت و علم</w:t>
      </w:r>
      <w:bookmarkStart w:id="13" w:name="pg7054_53646"/>
    </w:p>
    <w:p>
      <w:pPr>
        <w:pStyle w:val="BookText"/>
        <w:rPr/>
      </w:pPr>
      <w:bookmarkEnd w:id="13"/>
      <w:r>
        <w:rPr>
          <w:rFonts w:ascii="IRNazanin" w:hAnsi="IRNazanin" w:eastAsia="IRNazanin"/>
          <w:color w:val="111111"/>
          <w:sz w:val="28"/>
          <w:sz w:val="28"/>
          <w:szCs w:val="28"/>
          <w:rtl w:val="true"/>
          <w:lang w:bidi="fa-IR"/>
        </w:rPr>
        <w:t>نبی دریافت دارند</w:t>
      </w:r>
      <w:r>
        <w:rPr>
          <w:rFonts w:eastAsia="IRNazanin" w:cs="IRNazanin"/>
          <w:color w:val="111111"/>
          <w:sz w:val="28"/>
          <w:szCs w:val="28"/>
          <w:rtl w:val="true"/>
          <w:lang w:bidi="fa-IR"/>
        </w:rPr>
        <w:t>.</w:t>
      </w:r>
    </w:p>
    <w:p>
      <w:pPr>
        <w:pStyle w:val="Heading2"/>
        <w:numPr>
          <w:ilvl w:val="1"/>
          <w:numId w:val="1"/>
        </w:numPr>
        <w:rPr/>
      </w:pPr>
      <w:bookmarkStart w:id="14" w:name="__RefHeading___Toc3250112_372815092"/>
      <w:bookmarkStart w:id="15" w:name="_Toc5"/>
      <w:bookmarkEnd w:id="14"/>
      <w:r>
        <w:rPr/>
        <w:t>3</w:t>
      </w:r>
      <w:r>
        <w:rPr>
          <w:rtl w:val="true"/>
        </w:rPr>
        <w:t xml:space="preserve">) </w:t>
      </w:r>
      <w:r>
        <w:rPr>
          <w:rtl w:val="true"/>
        </w:rPr>
        <w:t>خطبه غدیریه در منابع روایی</w:t>
      </w:r>
      <w:bookmarkEnd w:id="15"/>
    </w:p>
    <w:p>
      <w:pPr>
        <w:pStyle w:val="Heading3"/>
        <w:numPr>
          <w:ilvl w:val="2"/>
          <w:numId w:val="1"/>
        </w:numPr>
        <w:rPr/>
      </w:pPr>
      <w:bookmarkStart w:id="16" w:name="__RefHeading___Toc3250114_37281509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این خطبه اگرچه در کتب اربعه اول یافت نمی شود، اما در دیگر منابع معتبر وجود دارد که برخی از آنها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مرجع اصلی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طوسی، مؤلف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کتب اربعه است، که نویسنده مقاله نیز روایت را از تصویر نسخه خطی آن نقل می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طوسی، دیگر نویسندگان، مؤلفان جوامع روایی و ادعیه، این روایت را با واسطه و یا بی واسطه از 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برخی از آنها تمام خطبه را نقل کرده اند و بعضی تنها به نقل پاره هایی از آن بسنده کرده اند</w:t>
      </w:r>
      <w:r>
        <w:rPr>
          <w:rFonts w:eastAsia="IRNazanin" w:cs="IRNazanin"/>
          <w:color w:val="111111"/>
          <w:sz w:val="28"/>
          <w:szCs w:val="28"/>
          <w:rtl w:val="true"/>
          <w:lang w:bidi="fa-IR"/>
        </w:rPr>
        <w:t>.</w:t>
      </w:r>
    </w:p>
    <w:p>
      <w:pPr>
        <w:pStyle w:val="Heading3"/>
        <w:numPr>
          <w:ilvl w:val="2"/>
          <w:numId w:val="1"/>
        </w:numPr>
        <w:rPr/>
      </w:pPr>
      <w:bookmarkStart w:id="18" w:name="__RefHeading___Toc3250116_372815092"/>
      <w:bookmarkStart w:id="19" w:name="_Toc7"/>
      <w:bookmarkEnd w:id="18"/>
      <w:r>
        <w:rPr>
          <w:rtl w:val="true"/>
        </w:rPr>
        <w:t>الف</w:t>
      </w:r>
      <w:r>
        <w:rPr>
          <w:rtl w:val="true"/>
        </w:rPr>
        <w:t xml:space="preserve">: </w:t>
      </w:r>
      <w:r>
        <w:rPr>
          <w:rtl w:val="true"/>
        </w:rPr>
        <w:t>منابعی که همه خطبه را نقل کرده اند</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ابوالقاسم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یادآوری می کنیم ابن طاووس این روایت را به سند خود از شیخ طوسی و با همان سند شیخ با اندک تفاوتی در بعضی از کلمات نقل می 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 الدین ابراهیم بن علی ابن الحسن …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الواقیة وجنة الایمان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آورده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مجلسی، 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سید ابن طاووس،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لکن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تفاوت دارد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w:t>
      </w:r>
      <w:bookmarkStart w:id="20" w:name="pg7054_53647"/>
    </w:p>
    <w:p>
      <w:pPr>
        <w:pStyle w:val="BookText"/>
        <w:rPr/>
      </w:pPr>
      <w:bookmarkEnd w:id="20"/>
      <w:r>
        <w:rPr>
          <w:rFonts w:ascii="IRNazanin" w:hAnsi="IRNazanin" w:eastAsia="IRNazanin"/>
          <w:color w:val="111111"/>
          <w:sz w:val="28"/>
          <w:sz w:val="28"/>
          <w:szCs w:val="28"/>
          <w:rtl w:val="true"/>
          <w:lang w:bidi="fa-IR"/>
        </w:rPr>
        <w:t xml:space="preserve">که علامه مجلسی 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بی شک این کتاب نیز از جمله منابعی است که خطبه را به طور کامل ذکر کرده است، ولی باید توجه داشت که چون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است و کتاب اخیر اولین تألیف سید ابن طاووس است، ممکن است این دانشمند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کرده است همان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متن کامل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 w:name="__RefHeading___Toc3250118_372815092"/>
      <w:bookmarkStart w:id="22" w:name="_Toc8"/>
      <w:bookmarkEnd w:id="21"/>
      <w:r>
        <w:rPr>
          <w:rtl w:val="true"/>
        </w:rPr>
        <w:t>ب</w:t>
      </w:r>
      <w:r>
        <w:rPr>
          <w:rtl w:val="true"/>
        </w:rPr>
        <w:t xml:space="preserve">: </w:t>
      </w:r>
      <w:r>
        <w:rPr>
          <w:rtl w:val="true"/>
        </w:rPr>
        <w:t>منابعی که تنها به نقل پاره هایی از خطبه بسنده کرده اند</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کمی از این خطبه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بخشهایی از این روایت را که در ارتباط با استحباب روزه عید غدیر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نقل کرده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مفسر عبدعلی حویزی، پاره هایی از این خطبه که در اهمیت عقل و خرد و کارایی آن است و مشتمل بر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ذیل همین آیه، و بخشی دیگر را به مناسبت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دیگر آورده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که زیر نظر آیة اللّه العظمی بروجردی، تدوین گردیده است، به مناسبت استحباب روزه در روز هجدهم ذو الحجه، بخشی از خطبه را که مربوط به روزه و صدقه است،</w:t>
      </w:r>
      <w:bookmarkStart w:id="23" w:name="pg7054_53648"/>
    </w:p>
    <w:p>
      <w:pPr>
        <w:pStyle w:val="BookText"/>
        <w:rPr/>
      </w:pPr>
      <w:bookmarkEnd w:id="23"/>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بخش هایی از این خطبه که مشتمل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الغدیر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اگرچه خود تصریح نمی کند که خطبه را از کدام منبع نقل کرده است، ولی از قراین و شواهد و بویژه از پاورقی کتاب بخوبی معلوم می شود 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2"/>
        <w:numPr>
          <w:ilvl w:val="1"/>
          <w:numId w:val="1"/>
        </w:numPr>
        <w:rPr/>
      </w:pPr>
      <w:bookmarkStart w:id="24" w:name="__RefHeading___Toc3250120_372815092"/>
      <w:bookmarkStart w:id="25" w:name="_Toc9"/>
      <w:bookmarkEnd w:id="24"/>
      <w:r>
        <w:rPr/>
        <w:t>4</w:t>
      </w:r>
      <w:r>
        <w:rPr>
          <w:rtl w:val="true"/>
        </w:rPr>
        <w:t xml:space="preserve">) </w:t>
      </w:r>
      <w:r>
        <w:rPr>
          <w:rtl w:val="true"/>
        </w:rPr>
        <w:t>پژوهشی در سند خطبه</w:t>
      </w:r>
      <w:bookmarkEnd w:id="25"/>
    </w:p>
    <w:p>
      <w:pPr>
        <w:pStyle w:val="Heading3"/>
        <w:numPr>
          <w:ilvl w:val="2"/>
          <w:numId w:val="1"/>
        </w:numPr>
        <w:rPr/>
      </w:pPr>
      <w:bookmarkStart w:id="26" w:name="__RefHeading___Toc3250122_372815092"/>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امیرالمؤمنین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جماعة عن ابی محمّد هارون بن موسی التلعکبری، قال حدثنا ابوالحسن علی بن احمد الخراسانی الحاجب فی شهر رمضان سنة سبع وثلاثین وثلاث مأة، قال حدثنا سعید بن هارون ابو عمرو المروزی وقد زاد علی الثمانین سنة، قال حدثنا الفیاض بن محمّد بن عمر الطوسی بطوس سنة تسع وخمسین ومأتین وقد بلغ التسعین، انه شهد ابا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الغدیر و بحضرته جماعة من خاصته وقد احتبسهم للافطار… وهو یذکر فضل الیوم وقِدمه فکان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قال حدثنی جدّی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حدثنی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ابی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فی بعض سنتی امیرالمؤمنین الجمعة والغدیر فصعد المنبر علی خمس ساعات من نهار ذلک الیوم فحمد اللّه واثنی علیه حمداً لم یسمع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آنگاه خطبه غدیریه را تا پایان نقل می کند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8" w:name="__RefHeading___Toc3250124_372815092"/>
      <w:bookmarkStart w:id="29" w:name="_Toc11"/>
      <w:bookmarkEnd w:id="28"/>
      <w:r>
        <w:rPr/>
        <w:t>1</w:t>
      </w:r>
      <w:r>
        <w:rPr>
          <w:rtl w:val="true"/>
        </w:rPr>
        <w:t xml:space="preserve">. </w:t>
      </w:r>
      <w:r>
        <w:rPr>
          <w:rtl w:val="true"/>
        </w:rPr>
        <w:t>بررسی رجال و سند روایت</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سند این روایت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سلسله ذهبیه است که از امام هشتم،</w:t>
      </w:r>
      <w:bookmarkStart w:id="30" w:name="pg7054_53649"/>
    </w:p>
    <w:p>
      <w:pPr>
        <w:pStyle w:val="BookText"/>
        <w:rPr/>
      </w:pPr>
      <w:bookmarkEnd w:id="30"/>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واسطه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که تنها به جهت تبرک و تیمن، نام مبارک آنها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دوم سند از شیخ طوسی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که محور پژوهش در این بخش از مقاله است</w:t>
      </w:r>
      <w:r>
        <w:rPr>
          <w:rFonts w:eastAsia="IRNazanin" w:cs="IRNazanin"/>
          <w:color w:val="111111"/>
          <w:sz w:val="28"/>
          <w:szCs w:val="28"/>
          <w:rtl w:val="true"/>
          <w:lang w:bidi="fa-IR"/>
        </w:rPr>
        <w:t>.</w:t>
      </w:r>
    </w:p>
    <w:p>
      <w:pPr>
        <w:pStyle w:val="Heading3"/>
        <w:numPr>
          <w:ilvl w:val="2"/>
          <w:numId w:val="1"/>
        </w:numPr>
        <w:rPr/>
      </w:pPr>
      <w:bookmarkStart w:id="31" w:name="__RefHeading___Toc3250126_372815092"/>
      <w:bookmarkStart w:id="32" w:name="_Toc12"/>
      <w:bookmarkEnd w:id="31"/>
      <w:r>
        <w:rPr/>
        <w:t>2</w:t>
      </w:r>
      <w:r>
        <w:rPr>
          <w:rtl w:val="true"/>
        </w:rPr>
        <w:t xml:space="preserve">. </w:t>
      </w:r>
      <w:r>
        <w:rPr>
          <w:rtl w:val="true"/>
        </w:rPr>
        <w:t>اهمال در روایت</w:t>
      </w:r>
      <w:bookmarkEnd w:id="32"/>
    </w:p>
    <w:p>
      <w:pPr>
        <w:pStyle w:val="BookText"/>
        <w:rPr/>
      </w:pPr>
      <w:r>
        <w:rPr>
          <w:rFonts w:ascii="IRNazanin" w:hAnsi="IRNazanin" w:eastAsia="IRNazanin"/>
          <w:color w:val="111111"/>
          <w:sz w:val="28"/>
          <w:sz w:val="28"/>
          <w:szCs w:val="28"/>
          <w:rtl w:val="true"/>
          <w:lang w:bidi="fa-IR"/>
        </w:rPr>
        <w:t xml:space="preserve">این حدیث از نظر علم رجال و علم درایت، از 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چرا که تعریف روایت مهمل به طور کامل بر این روایت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رجال و درایت، در تعریف خبر مهمل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مهمل، روایتی است که برخی از رجال سند آن در کتابهای رجالی ذکر نشده باشد و یا اگر ذکر شده وصفی از آن نشده باشد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رجال درباره رجال سند این روایت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مدح و توثیق شده و با تعابیری چون، وجه، ثقه، معتمد، جلیل القدر، عظیم المنزلة وعدیم النظیر یاد شده است، </w:t>
      </w:r>
      <w:r>
        <w:rPr>
          <w:rStyle w:val="FootnoteAnchor"/>
          <w:rtl w:val="true"/>
        </w:rPr>
        <w:footnoteReference w:id="14"/>
      </w:r>
      <w:r>
        <w:rPr>
          <w:rFonts w:ascii="IRNazanin" w:hAnsi="IRNazanin" w:eastAsia="IRNazanin"/>
          <w:color w:val="111111"/>
          <w:sz w:val="28"/>
          <w:sz w:val="28"/>
          <w:szCs w:val="28"/>
          <w:rtl w:val="true"/>
          <w:lang w:bidi="fa-IR"/>
        </w:rPr>
        <w:t>از دیگران ذکری به میان نیاورده اند و وصفی چه مدح و چه ذم و قدح درباره آنها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جوامع رجالی و سخن علامه نمازی شاهرودی گواه بر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دارد که علمای رجال از علی بن احمد، سعید بن هارون و فیاض بن محمّد طوسی سخنی به میان نیاورده 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بنابراین، روایت مهمل است اما این باعث آن نمی شود که دست از روایت شسته و بدان توجهی نکنیم، چرا که میان دانشمندان علم رجال و درایت گفتار یکسان و هماهنگی وجود ندارد، و اتفاق و اجماعی بر میزان</w:t>
      </w:r>
      <w:bookmarkStart w:id="33" w:name="pg7054_53650"/>
    </w:p>
    <w:p>
      <w:pPr>
        <w:pStyle w:val="BookText"/>
        <w:rPr/>
      </w:pPr>
      <w:bookmarkEnd w:id="33"/>
      <w:r>
        <w:rPr>
          <w:rFonts w:ascii="IRNazanin" w:hAnsi="IRNazanin" w:eastAsia="IRNazanin"/>
          <w:color w:val="111111"/>
          <w:sz w:val="28"/>
          <w:sz w:val="28"/>
          <w:szCs w:val="28"/>
          <w:rtl w:val="true"/>
          <w:lang w:bidi="fa-IR"/>
        </w:rPr>
        <w:t>اعتبار روایت مهمل در بین نیست و در این باره دست کم سه نظریه وجود دارد</w:t>
      </w:r>
      <w:r>
        <w:rPr>
          <w:rFonts w:eastAsia="IRNazanin" w:cs="IRNazanin"/>
          <w:color w:val="111111"/>
          <w:sz w:val="28"/>
          <w:szCs w:val="28"/>
          <w:rtl w:val="true"/>
          <w:lang w:bidi="fa-IR"/>
        </w:rPr>
        <w:t>.</w:t>
      </w:r>
    </w:p>
    <w:p>
      <w:pPr>
        <w:pStyle w:val="Heading3"/>
        <w:numPr>
          <w:ilvl w:val="2"/>
          <w:numId w:val="1"/>
        </w:numPr>
        <w:rPr/>
      </w:pPr>
      <w:bookmarkStart w:id="34" w:name="__RefHeading___Toc3250128_372815092"/>
      <w:bookmarkStart w:id="35" w:name="_Toc13"/>
      <w:bookmarkEnd w:id="34"/>
      <w:r>
        <w:rPr>
          <w:rtl w:val="true"/>
        </w:rPr>
        <w:t>آراء دانشمندان درباره روایت مهمل</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مهمل بسان روایت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به شهید ثانی، مجلسی و ممقانی نسبت می دهند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اعم از روایتی است که تصریح به مجهول بودن آن شده باشد و روایتی که مدحی و قدحی درباره آن ذکر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ممقانی ضمن این که روایت مهمل و مجهول را جزء اقسام خبر ضعیف می شمارد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نیز این قسم از روایات در حکم ضعیف دانسته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مهمل، مجهول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محمّدباقر استرآبادی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معتقد است مجهول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اصطلاحی، یعنی روایتی که پیشوایان رجال نسبت به یکی از راویان آن حکم به جهالت نموده باشد، و مجهول لغوی یعنی روایتی که از راوی آن در کتابهای رجالی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مسلماً روایت ضعیف است ولی در قسم دوم نمی توان حکم به ضعف و صحت نمود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مهمل جزء روایت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علامه حلی و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گذشتگان از رجالیان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مهمل را اصلاً عنوان نکرده و ابن داود نیز آن را در جزء اول کتاب و در شمار روایتهای ممدوح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کار این است که به روایت مهمل عمل می کرده اند همانند عمل به خبر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الحقیق بالاتباع و علیه عمل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می کند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w:t>
      </w:r>
      <w:bookmarkStart w:id="36" w:name="pg7054_53651"/>
    </w:p>
    <w:p>
      <w:pPr>
        <w:pStyle w:val="BookText"/>
        <w:rPr/>
      </w:pPr>
      <w:bookmarkEnd w:id="36"/>
      <w:r>
        <w:rPr>
          <w:rFonts w:ascii="IRNazanin" w:hAnsi="IRNazanin" w:eastAsia="IRNazanin"/>
          <w:color w:val="111111"/>
          <w:sz w:val="28"/>
          <w:sz w:val="28"/>
          <w:szCs w:val="28"/>
          <w:rtl w:val="true"/>
          <w:lang w:bidi="fa-IR"/>
        </w:rPr>
        <w:t xml:space="preserve">از آنجا که نسبت به رجال روایت مهمل تصریحی بر جهل و قدح نشده است و میان دانشمندان نیز سخن یکسانی در بی ارزشی روایت مهمل وجود ندارد، و از سوی دیگر علامه مجلسی با فرض بی اعتباری و ضعف روایت مهمل، این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می توان آن را تلقی به قبول کرد، بویژه اینکه بزرگانی چون شیخ طوسی، ابن طاووس، کفعمی، حرّ عاملی و امینی این خطبه را نقل کرده اند</w:t>
      </w:r>
      <w:r>
        <w:rPr>
          <w:rFonts w:eastAsia="IRNazanin" w:cs="IRNazanin"/>
          <w:color w:val="111111"/>
          <w:sz w:val="28"/>
          <w:szCs w:val="28"/>
          <w:rtl w:val="true"/>
          <w:lang w:bidi="fa-IR"/>
        </w:rPr>
        <w:t>.</w:t>
      </w:r>
    </w:p>
    <w:p>
      <w:pPr>
        <w:pStyle w:val="Heading2"/>
        <w:numPr>
          <w:ilvl w:val="1"/>
          <w:numId w:val="1"/>
        </w:numPr>
        <w:rPr/>
      </w:pPr>
      <w:bookmarkStart w:id="37" w:name="__RefHeading___Toc3250130_372815092"/>
      <w:bookmarkStart w:id="38" w:name="_Toc14"/>
      <w:bookmarkEnd w:id="37"/>
      <w:r>
        <w:rPr/>
        <w:t>5</w:t>
      </w:r>
      <w:r>
        <w:rPr>
          <w:rtl w:val="true"/>
        </w:rPr>
        <w:t xml:space="preserve">) </w:t>
      </w:r>
      <w:r>
        <w:rPr>
          <w:rtl w:val="true"/>
        </w:rPr>
        <w:t xml:space="preserve">شکوه غدیر در نگاه علی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در این بخش به پاره های از خطبه غدیریه که درباره معرفی روز غدیر و بیان عظمت و شکوه آن است، اشارت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 عید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جمع لکم معشر المؤمنین، فی هذا الیوم عیدین عظمین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پیش از این نیز یادآوری شد،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ایراد فرمود، روز غدیر مصادف با روز جمعه بوده است، به همین دلیل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هر دو را به عظمت و بزرگی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بهترین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ذو الحجة و برگزاری مراسم جشن و سرور و بزرگداشت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عید بودن روز غدیر، روایات متعددی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از جمله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غدیرخم افضل اعیاد امتی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روایتی از امام صادق می 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یوم عید و فرح و سرور</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و اعظم اعیاد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بزرگان از دانشمندان اسلام</w:t>
      </w:r>
    </w:p>
    <w:p>
      <w:pPr>
        <w:pStyle w:val="BookText"/>
        <w:rPr/>
      </w:pPr>
      <w:r>
        <w:rPr>
          <w:rFonts w:ascii="IRNazanin" w:hAnsi="IRNazanin" w:eastAsia="IRNazanin"/>
          <w:color w:val="111111"/>
          <w:sz w:val="28"/>
          <w:sz w:val="28"/>
          <w:szCs w:val="28"/>
          <w:rtl w:val="true"/>
          <w:lang w:bidi="fa-IR"/>
        </w:rPr>
        <w:t xml:space="preserve">چون ابو ریحان بیرونی، ابن طلحه شافعی و ابن خلکان نقل می کند که از این روز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بیان اراده خدا و روز 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علی نبیه فی یوم الدوح ما بیّن به عن ارادته فی خلصائه وذوی اجتبائه وامره بالبلاغ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درختان بزرگ و تنومند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بخش از خطبه در حقیقت بیانگر موقعیت جغرافیای تاریخی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روز زیر درختان تنومند، آیاتی نازل شد که مبیّن اراده خدا برای بندگان خالص، مخلص و برگزیده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هجدهم ذو الحجه بود جبرئیل فرود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آن حضرت را مأمور به تبلیغ امری کرد که بین خدا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وآن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جمله بلغ ما انزل الیک بخوبی روشن می شود که پیش از آن ولیّ امر تعیین شده بود و آن روز تنها برای معرفی و ابلاغ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بزرگ، روز گشایش ، روز 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یوم عظیم الشأن، فیه وقع الفرج ورفعت الدرج ووضحت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روز بدان جهت است که ظرف ظهور اراده الهی و زمان ابلاغ پیام الهی و آثار مترتب بر آن است؛ روزی است که گشایش و فرج حاصل شد، چرا که نگرانی امت اسلام نسبت به زمان پس از پیامبر را برطرف کرد و بدانها امید بخشید؛ روزی که نردبان تکامل افراشته شد و با طرح مسئله امامت و</w:t>
      </w:r>
    </w:p>
    <w:p>
      <w:pPr>
        <w:pStyle w:val="BookText"/>
        <w:rPr/>
      </w:pPr>
      <w:r>
        <w:rPr>
          <w:rFonts w:ascii="IRNazanin" w:hAnsi="IRNazanin" w:eastAsia="IRNazanin"/>
          <w:color w:val="111111"/>
          <w:sz w:val="28"/>
          <w:sz w:val="28"/>
          <w:szCs w:val="28"/>
          <w:rtl w:val="true"/>
          <w:lang w:bidi="fa-IR"/>
        </w:rPr>
        <w:t>معرفی امام، دین به کمال لازم خود رسید، روزی که حجت ها آشکار شد و بر همگان اتمام حجت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پرده برداری از مقام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الایضاح والافصاح عن المقام الصراح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اظهار کردن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صراحت به معنای خالص بودن چیزی از تعلقات است، و سخن صریح از همین باب است بدان جهت که اظهار و تأویل ندارد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صراح یعنی جایگاه پاکی، پیراستگی، و منظور از آن مقام عصمت و امامت است که در روز غدیر از آن پرده برداری شد و امام برای همگان مشخص شد تا دیگر بهانه ای برای منافقان و دو رویان نباشد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کسی را معرفی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کامل شدن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است که دین خداوند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روز غدیر صورت گرفت آنچنان از اهمیت برخوردار بود که حق تعالی در شأن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کاری که اگر صورت نمی گرفت، نه تنها دین به مرحله کمال خود نمی رسید که در حقیقت اصل رسالت نیز ابلاغ نشده بود، فان لم تفعل فما بلغت رسالته از این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وکمل اللّه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پیمان بستن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العهد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پیمانِ بسته شده است، پیمانی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اقرار و اعتراف از مردم مبنی بر اینکه پیامبر حتی از خود مردم نسبت به خودشان، بر آنها اختیار و حق دارد و مردم نیز آن را تأیید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p>
    <w:p>
      <w:pPr>
        <w:pStyle w:val="BookText"/>
        <w:rPr/>
      </w:pPr>
      <w:r>
        <w:rPr>
          <w:rFonts w:ascii="IRNazanin" w:hAnsi="IRNazanin" w:eastAsia="IRNazanin"/>
          <w:color w:val="111111"/>
          <w:sz w:val="28"/>
          <w:sz w:val="28"/>
          <w:szCs w:val="28"/>
          <w:rtl w:val="true"/>
          <w:lang w:bidi="fa-IR"/>
        </w:rPr>
        <w:t>الناس من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وانا مولی المؤمنین و انا اولی بهم من انفسهم فمن کنت مولاه فعلی مولاه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ممکن است عهد معهود اشاره به عهدی باشد که در آغاز خلقت از انسان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دعای غدیر می خوانیم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وجددت لنا عهدک و ذکرتنا میثاقک المأخوذ منا فی ابتداء خلقک ایانا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شهود و 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الشاهد والمشهود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که قرآن درباره قیامت به کار برده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معنا که شاهدْ پیامبر و مشهود، قیامت است، شاهدْ انسانها و مشهود، اعمال آنان است، شاهد ملائکه و مشهود، قرآن است و شاهدْ پیامبر و مشهود،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این تعبیر درباره روز غدیر، مفید همین معناست که پیامبر، شاهد و علی،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انسانها و فرشتگان بر این امر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نیز گواهی داد که گروهی به دلیل نیل به مقام ولایت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 گفتند، لکن پس از چندی و در ظرف تنها چند ماه آن را زیرپا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نمایش قرارها از دورویی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تبیان العقود عن النفاق والجحود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خط حق از جریان نفاق مشخص شد، روزی که باعث شد حامیان واقعی از مدعیان دروغین جدا شوند؛ آنان که حقایق را آگاهانه انکار کردند و نفاق خود را در عمل آشکار ساختند،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وکشف خبایا</w:t>
      </w:r>
    </w:p>
    <w:p>
      <w:pPr>
        <w:pStyle w:val="BookText"/>
        <w:rPr/>
      </w:pPr>
      <w:r>
        <w:rPr>
          <w:rFonts w:ascii="IRNazanin" w:hAnsi="IRNazanin" w:eastAsia="IRNazanin"/>
          <w:color w:val="111111"/>
          <w:sz w:val="28"/>
          <w:sz w:val="28"/>
          <w:szCs w:val="28"/>
          <w:rtl w:val="true"/>
          <w:lang w:bidi="fa-IR"/>
        </w:rPr>
        <w:t>اهل الریب وضمائر اهل الارتداد، وقع الاذعان من طائفة باللسان دون حقائق الایمان و من طائفة باللسان وصدق الایمان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بیان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البیان عن 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خط ایمان از دیگر خطوط ممتاز شد، کسانی که تا آن روز ادعای ایمان به خدا و اطاعت از پیامبر را داشتند، در آن روز درونشان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دانستند که اگر واقعاً معتقد به اطیعوا اللّه واطیعوا الرسول هستند باید از اوامر خدا و پیامبر و از جمله ولی امر،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بارز و اَتم اطاعت از خدا و رسول است نیز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با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بر آب شدن نقشه ها و برباد رفتن خواب و خیالها، حقایق را انکار کردند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چرا که ایمان فقط گفتن شهادتین نیست، بلکه پذیرش ولایت، حقیقت آن است که باید در قلب تجلی و در عمل جلوه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راندن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دحر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با کامل شدن دین، شیطان نیز برای دومین بار رانده شد، شیطان که از دین کامل و حقیقت ایمان دل خوشی ندارد، دوست می داشت دین، ناتمام و ابتر بماند و به کفار وعده می داد که با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راحتی می کشند، با واقعه غدیر، وسوسه ها، توطئه ها و نقشه ها، نقش بر آب شد و همان گونه که کافران مأیوس و نومید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نیز مأیوس و رانده درگاه الهی شد؛ همو که راضی به خلافت انسان برای خدا نبود و با سجده نکردن طرد و رجم شد، راضی به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نبود و از این رو مدحور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مرغمة الشیطان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یهود و نصارا را که مدعی انحصار بهشت بودند و می گفتند جز ما کسی به بهشت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لَن يَدْخُلَ الْجَنَّةَ إِلَّا مَن كَانَ هُودًا أَوْ 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می کند و آنان را به استدلال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دلیل حقانیت اهل ولایت و رهروان امام و ولی اللّه الاعظم و منصوب الهی است، و دلیل و برهانی است که تاریخ، حدیث و تفسیر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اگر مدعی هستند باید اقامه دلیل کنند و برهان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داوری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الفصل الذی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 غدیر روز جدایی حق از باطل است و این عبارت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حقیقت تشبیهی از غدیر به قیامت است و یا به عبارت صحیح تر تاویل به آن است، که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تشبیه و تأویل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آن گونه که روز قیامت حق از باطل جدا می شود و اهل حقیقت و ایمان روانه</w:t>
      </w:r>
    </w:p>
    <w:p>
      <w:pPr>
        <w:pStyle w:val="BookText"/>
        <w:rPr/>
      </w:pPr>
      <w:r>
        <w:rPr>
          <w:rFonts w:ascii="IRNazanin" w:hAnsi="IRNazanin" w:eastAsia="IRNazanin"/>
          <w:color w:val="111111"/>
          <w:sz w:val="28"/>
          <w:sz w:val="28"/>
          <w:szCs w:val="28"/>
          <w:rtl w:val="true"/>
          <w:lang w:bidi="fa-IR"/>
        </w:rPr>
        <w:t xml:space="preserve">بهشت می شوند و گروه باطل به سوی دوزخ برده می شوند، روز غدیر نیز فرقه ناجیه، مؤمنان به ولایت هستند و در صراط مستقیم که همان امام مفترض الطاعة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سبیله الذی نصبنی للاتباع بعد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جز آنها که از حق و ولایت اعراض کرده اند، دوزخی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کفار و مشرکان انتظار وقوع قیامت را نداشتند و می پنداشتند که واقعیت ندارد؛ دشمنان ولایت نیز انتظار چنین روزی را نداشتند و نمی پنداشتند که خداوند وصی و جانشینی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نصب کنند، اما با حیرت تمام مشاهده کردند که خداوند خود داوری کرد و امام و ولی را تعیین نمود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ابلاغ آن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الملاء الاعلی الذی انتم عنه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غدیر روز فرشتگان والامقام در عالم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از خطبه، برگرفته از کلام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إِلَى الْمَلَإِ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این تعبیر بیانگر آن است که در این روز فرشتگان به امر الهی فرود آمده و چنین مأموریتی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پس از، آن نیز طبق روایت رضوی در عالم فرشتگان محفل انس برگزار می 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الیوم الذی یامر جبرئیل ان ینصب کرسی کرامة بازاء بین المعمور ویصعده جبرئیل وتجتمع الیه الملائکه من جمیع السموات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الغدیر فی السماء اشهر منه فی الارض</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معاندان نمی توانند و یا نمی خواهند این معنا را درک کنند، از این روی امر</w:t>
      </w:r>
    </w:p>
    <w:p>
      <w:pPr>
        <w:pStyle w:val="BookText"/>
        <w:rPr/>
      </w:pPr>
      <w:r>
        <w:rPr>
          <w:rFonts w:ascii="IRNazanin" w:hAnsi="IRNazanin" w:eastAsia="IRNazanin"/>
          <w:color w:val="111111"/>
          <w:sz w:val="28"/>
          <w:sz w:val="28"/>
          <w:szCs w:val="28"/>
          <w:rtl w:val="true"/>
          <w:lang w:bidi="fa-IR"/>
        </w:rPr>
        <w:t>مهم الهی را از صقع ربوبی و ملأ اعلی تنزل داده و به یک امر بشری تبدیل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رهنمون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روزی است که خداوند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مسیر آینده شان راهنمایی کرد، حقایق را گفت، ولیّ امر را معرفی کرد، و با بدرقه کردن آن با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واحب من احبه وابغض من ابغضه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راه ولایت و مسیر عداوت ، طریق حب و بغض مردم را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کرد و رهنمون داد، مسیر آینده را روشن کرد، اما امت چه کرد؟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آزمون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محنة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آزمودن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آزمایش بندگان بود، روزی که خداوند، ولی و پذیرش ولایتش را وسیله آزمودن انسانها قرار داد، هر که آن را پذیرفت و بدان پای بند بود، سرفراز از بوته آزمایش درآمد، و هر که آن را رفض کرد هر چند در آن هنگام تبریک گفت در این امتحان پذیرفته نشد، چرا که نفی ولایت در حقیقت رها کردن رسالت و ترک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پیشاهنگان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الدلیل علی الرواد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 قراول است، این عبارت ممکن است بدین معنا باشد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پیشگامان ایمان و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آمن به، اول من اسلم </w:t>
      </w:r>
      <w:r>
        <w:rPr>
          <w:rStyle w:val="FootnoteAnchor"/>
          <w:rtl w:val="true"/>
        </w:rPr>
        <w:footnoteReference w:id="31"/>
      </w:r>
      <w:r>
        <w:rPr>
          <w:rFonts w:ascii="IRNazanin" w:hAnsi="IRNazanin" w:eastAsia="IRNazanin"/>
          <w:color w:val="111111"/>
          <w:sz w:val="28"/>
          <w:sz w:val="28"/>
          <w:szCs w:val="28"/>
          <w:rtl w:val="true"/>
          <w:lang w:bidi="fa-IR"/>
        </w:rPr>
        <w:t xml:space="preserve">و گوی سبقت را در این میدان از دیگران ربوده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،به این روز و واقعه غدیر</w:t>
      </w:r>
    </w:p>
    <w:p>
      <w:pPr>
        <w:pStyle w:val="BookText"/>
        <w:rPr/>
      </w:pPr>
      <w:r>
        <w:rPr>
          <w:rFonts w:ascii="IRNazanin" w:hAnsi="IRNazanin" w:eastAsia="IRNazanin"/>
          <w:color w:val="111111"/>
          <w:sz w:val="28"/>
          <w:sz w:val="28"/>
          <w:szCs w:val="28"/>
          <w:rtl w:val="true"/>
          <w:lang w:bidi="fa-IR"/>
        </w:rPr>
        <w:t>بر فضایل خود استدلال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که روز ولایت و معرفی ولی است دلیلی است بر شناخت پیشگامان و پیشاهنگان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در ایمانِ به رسالت، پیشاهنگِ در امامت و صدر الائمه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هویدا شدن نهان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ابدی خفایا الصدور ومضمران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گوشزد کردن مجدد جریان نفاق و دوروییهای مذموم که پیش از این بدان اشارت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آشکار شدن اسرار ممدوح؛ یعنی روزی که خداوند، راز بین خود و رسولش را آشکار کرد، در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را که خداوند در درونش به ودیعت نهاده بود و پیامبر از افشای آن در هراس بود، با تضمین بر تأمین آن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 من ربک …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شناسایی خاصان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النصوص علی اهل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بعثت تا حجة البلاغ، بارها به اشاره و کنایه به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 منزلت و … اما در جریان غدیر بدون هیچ پرده پوشی و به دور از هر گونه کنایه و اشاره و با صراحت تمام به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امر مسلمین پرداخت و راه هرگونه توجیه را مسدود کرد زیرا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روز تنصیص است روز معرفی خاصان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صریح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اوصیا و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شیث، هذا یوم ادریس، هذا یوم یوشع، هذا یوم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امام به تعلق روز غدیر به برخی از انبیا و اوصیا چون ادریس، شیث، یوشع و شمعون اشارت می کند، قرآن کریم درباره ادریس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إِدْرِيسَ إِنَّهُ كانَ صِدِّيقاً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شیث، به حسب تاریخ، وصی حضرت آدم بوده است؛ یوشع نیز جانشین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جانشین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در ادامه روایت می خوانیم که روز غدیر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گویا روز غدیر یادآور نقاط حساس در نبوت و وصایت است که بسیاری از انبیا از جمله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تعیین جانشین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آسایش و آسودگی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الامن و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واقعه غدیر، نگرانی هایی نسبت به آینده اسلام وجود داشت و حتی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نگرانی یی ابراز می شد، چرا که در حدیث ثقلین و خطبه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تخلفونی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جریان غدیر می بینیم این نگرانی به سرور و شادی مبدل می 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واتمام النعمة ورضی الرب برسالتی والولایة لعلی من بعدی</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واقر عین نبیه والمؤمنین والتابعین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این که خداوند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پیامدهای غدیر، امنیت و آسایش را تضمین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وضمن له عصمته</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جهت نیز غدیر روز آسودگی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گنج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اظهار المصون من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روزی است که آنچه در نهان نگهداری می شد، علنی گردید، و این همان امر مهم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من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حادثه غدیر برنامه ای نبوده است که خلق الساعه پدید آمده باشد، بلکه پیش از فرا رسیدن این برهه از زمان در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شده علم الهی و سینه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روز غدیر تنها ظرف اعلان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آشکار شدن رازها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ابلاء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خطبه تعبیر دیگری از بیانی است که قبلاً بیان شده بود، در حقیقت امام با توجه به اهمیت این اعلان، آن را به چند 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ابدی خفایا الصدور و مضمرات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مرتبه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ابلاء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اسرار درون اعم از کفر و ایمان، بغض و حب، شر و خیر، ریا و اخلاص و… آشکار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اخیر برگرفته از وصف قیامت است که قرآن بدان اشارت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روز غدیر به روز قیامت می تواند بیانگر این نکته باشد که آن گونه که روز قیامت اعلان نهایی پایان دوره ای از حیات و آغاز حیاتی دیگر است، غدیر نیز به نوبه خود اعلان پایان دوره ای از هدایت و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وآغاز دوره ای دیگر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امامت است و ویژگی جاودانگی دین را تضمین می کند</w:t>
      </w:r>
      <w:r>
        <w:rPr>
          <w:rFonts w:eastAsia="IRNazanin" w:cs="IRNazanin"/>
          <w:color w:val="111111"/>
          <w:sz w:val="28"/>
          <w:szCs w:val="28"/>
          <w:rtl w:val="true"/>
          <w:lang w:bidi="fa-IR"/>
        </w:rPr>
        <w:t>.</w:t>
      </w:r>
      <w:bookmarkStart w:id="39" w:name="pg7054_53663"/>
    </w:p>
    <w:p>
      <w:pPr>
        <w:pStyle w:val="Heading2"/>
        <w:numPr>
          <w:ilvl w:val="1"/>
          <w:numId w:val="1"/>
        </w:numPr>
        <w:rPr/>
      </w:pPr>
      <w:bookmarkStart w:id="40" w:name="__RefHeading___Toc3250132_372815092"/>
      <w:bookmarkStart w:id="41" w:name="_Toc15"/>
      <w:bookmarkEnd w:id="39"/>
      <w:bookmarkEnd w:id="40"/>
      <w:r>
        <w:rPr>
          <w:rtl w:val="true"/>
        </w:rPr>
        <w:t>نکته پایانی</w:t>
      </w:r>
      <w:bookmarkEnd w:id="41"/>
    </w:p>
    <w:p>
      <w:pPr>
        <w:pStyle w:val="BookText"/>
        <w:rPr/>
      </w:pPr>
      <w:r>
        <w:rPr>
          <w:rFonts w:ascii="IRNazanin" w:hAnsi="IRNazanin" w:eastAsia="IRNazanin"/>
          <w:color w:val="111111"/>
          <w:sz w:val="28"/>
          <w:sz w:val="28"/>
          <w:szCs w:val="28"/>
          <w:rtl w:val="true"/>
          <w:lang w:bidi="fa-IR"/>
        </w:rPr>
        <w:t>از آنچه گذشت، روشن شد که جریان غدیر، تنها رخدادی تاریخی و یا گذرگاهی جغرافیایی و یا بحثی روایی و یا مسئله ای سیاسی نیست و حتی به رغم تصور عموم، حدّ فاصل میان شیعه و سنی در مسئله امامت نیست؛ زیرا اختلاف نظر میان این دو فرقه بر سر وقوع حادثه تاریخی غدیر، یا صدور روایت آن و یا لزوم وجود امام و رهبر نیست، که همگان بر آن ها اتفاق نظر دارند؛ آنچه در این رهگذر مورد نقض و ابرام فریقین است، لزوم تنصیصی بودن نصب امام و ولیّ به همان وجه که در نبوت و رسالت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غدیر، نه تاریخ است، نه جغرافیا، نه روایت است و بحث درایت ، و نه سیاست و حکومت، بلکه ولایت است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غدیر سر فصل عقیده ای است که سرچشمه همه طاعتها و نمود همه رسالت ها و نبوت همه انبیا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کلمه ای است که پیشوندش لاهوت و رسالت، و پسوند آن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جمله ای است که مبتدای آن توحید، خبرش معاد و قیامت و ربطش ولایت است پس بر ماست که با درک ربط بین توحید و نبوت و ولایت همه عقاید، اخلاقیات و اعمال خود را با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و بر وفق آن گام برداریم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ترکیبی است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وآیه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بین کروشه قرار گرفته است، به استثنای مورد اخیر ونشانی آیات ، همگی برگرفته از نسخه خطی مصباح المتهجد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شیخ طوسی، به تصحیح اسماعیل انصاری زنجانی،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نسخه ای از این کتاب، در کتابخانه مدرسه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آموزش تخصصی تفسیر و علوم قرآن حوزه علمیه قم وجود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461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الصوم، باب الصوم المندوب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ص</w:t>
      </w:r>
      <w:r>
        <w:rPr>
          <w:rFonts w:eastAsia="IRNazanin" w:cs="IRNazanin"/>
          <w:b w:val="false"/>
          <w:bCs w:val="false"/>
          <w:i w:val="false"/>
          <w:iCs w:val="false"/>
          <w:color w:val="333333"/>
          <w:sz w:val="20"/>
          <w:szCs w:val="20"/>
        </w:rPr>
        <w:t>694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درایة الحدیث، شانه چی،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کلیات فی علم الرجال، جعفر سبحانی، ص</w:t>
      </w:r>
      <w:r>
        <w:rPr>
          <w:rFonts w:eastAsia="IRNazanin" w:cs="IRNazanin"/>
          <w:b w:val="false"/>
          <w:bCs w:val="false"/>
          <w:i w:val="false"/>
          <w:iCs w:val="false"/>
          <w:color w:val="333333"/>
          <w:sz w:val="20"/>
          <w:szCs w:val="20"/>
        </w:rPr>
        <w:t>122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معجم الرجال،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رجال الحدیث،ج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مولی محمّد جعفر شریعتمدار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الهدایه، ص</w:t>
      </w:r>
      <w:r>
        <w:rPr>
          <w:rFonts w:eastAsia="IRNazanin" w:cs="IRNazanin"/>
          <w:b w:val="false"/>
          <w:bCs w:val="false"/>
          <w:i w:val="false"/>
          <w:iCs w:val="false"/>
          <w:color w:val="333333"/>
          <w:sz w:val="20"/>
          <w:szCs w:val="20"/>
        </w:rPr>
        <w:t>7172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درایة الحدیث، ص</w:t>
      </w:r>
      <w:r>
        <w:rPr>
          <w:rFonts w:eastAsia="IRNazanin" w:cs="IRNazanin"/>
          <w:b w:val="false"/>
          <w:bCs w:val="false"/>
          <w:i w:val="false"/>
          <w:iCs w:val="false"/>
          <w:color w:val="333333"/>
          <w:sz w:val="20"/>
          <w:szCs w:val="20"/>
        </w:rPr>
        <w:t>89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الصوم، باب الصوم المندوب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294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الخمسة من الصحاح السته،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الماثور،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الصوم، باب الصوم المندوب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6912</Words>
  <Characters>27337</Characters>
  <CharactersWithSpaces>34025</CharactersWithSpaces>
  <Paragraphs>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2026-08-27T07:35:17Z</dcterms:created>
  <dc:creator>ghaemiyeh.com</dc:creator>
  <dc:description/>
  <dc:language>en-US</dc:language>
  <cp:lastModifiedBy/>
  <dcterms:modified xsi:type="dcterms:W3CDTF">2026-08-27T11:05:19Z</dcterms:modified>
  <cp:revision>1</cp:revision>
  <dc:subject/>
  <dc:title>خطبه غدیریه امام علی علیه السلام</dc:title>
</cp:coreProperties>
</file>

<file path=docProps/custom.xml><?xml version="1.0" encoding="utf-8"?>
<Properties xmlns="http://schemas.openxmlformats.org/officeDocument/2006/custom-properties" xmlns:vt="http://schemas.openxmlformats.org/officeDocument/2006/docPropsVTypes"/>
</file>