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القواعد کتاب المتاجر خضر الجناجی </w:t>
      </w:r>
      <w:r>
        <w:rPr>
          <w:rtl w:val="true"/>
        </w:rPr>
        <w:t>«</w:t>
      </w:r>
      <w:r>
        <w:rPr>
          <w:rtl w:val="true"/>
        </w:rPr>
        <w:t>صاحب کشف الغطاء</w:t>
      </w:r>
      <w:r>
        <w:rPr>
          <w:rtl w:val="true"/>
        </w:rPr>
        <w:t xml:space="preserve">» </w:t>
      </w:r>
      <w:r>
        <w:rPr>
          <w:rtl w:val="true"/>
        </w:rPr>
        <w:t xml:space="preserve">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4780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284782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84784_2320776876">
            <w:r>
              <w:rPr>
                <w:webHidden/>
                <w:rStyle w:val="IndexLink"/>
                <w:rtl w:val="true"/>
              </w:rPr>
              <w:t xml:space="preserve">الاهداء </w:t>
            </w:r>
            <w:r>
              <w:rPr>
                <w:rStyle w:val="IndexLink"/>
                <w:rtl w:val="true"/>
              </w:rPr>
              <w:t>:</w:t>
              <w:tab/>
            </w:r>
            <w:r>
              <w:rPr>
                <w:rStyle w:val="IndexLink"/>
              </w:rPr>
              <w:t>11</w:t>
            </w:r>
          </w:hyperlink>
        </w:p>
        <w:p>
          <w:pPr>
            <w:pStyle w:val="Contents2"/>
            <w:tabs>
              <w:tab w:val="clear" w:pos="8743"/>
              <w:tab w:val="right" w:pos="9026" w:leader="dot"/>
            </w:tabs>
            <w:rPr/>
          </w:pPr>
          <w:hyperlink w:anchor="__RefHeading___Toc5284786_2320776876">
            <w:r>
              <w:rPr>
                <w:webHidden/>
                <w:rStyle w:val="IndexLink"/>
                <w:rtl w:val="true"/>
              </w:rPr>
              <w:t>مقدمه التحقیق</w:t>
            </w:r>
            <w:r>
              <w:rPr>
                <w:rStyle w:val="IndexLink"/>
                <w:rtl w:val="true"/>
              </w:rPr>
              <w:tab/>
            </w:r>
            <w:r>
              <w:rPr>
                <w:rStyle w:val="IndexLink"/>
              </w:rPr>
              <w:t>12</w:t>
            </w:r>
          </w:hyperlink>
        </w:p>
        <w:p>
          <w:pPr>
            <w:pStyle w:val="Contents2"/>
            <w:tabs>
              <w:tab w:val="clear" w:pos="8743"/>
              <w:tab w:val="right" w:pos="9026" w:leader="dot"/>
            </w:tabs>
            <w:rPr/>
          </w:pPr>
          <w:hyperlink w:anchor="__RefHeading___Toc5284788_2320776876">
            <w:r>
              <w:rPr>
                <w:webHidden/>
                <w:rStyle w:val="IndexLink"/>
                <w:rtl w:val="true"/>
              </w:rPr>
              <w:t>اسم و شهرته</w:t>
            </w:r>
            <w:r>
              <w:rPr>
                <w:rStyle w:val="IndexLink"/>
                <w:rtl w:val="true"/>
              </w:rPr>
              <w:tab/>
            </w:r>
            <w:r>
              <w:rPr>
                <w:rStyle w:val="IndexLink"/>
              </w:rPr>
              <w:t>14</w:t>
            </w:r>
          </w:hyperlink>
        </w:p>
        <w:p>
          <w:pPr>
            <w:pStyle w:val="Contents2"/>
            <w:tabs>
              <w:tab w:val="clear" w:pos="8743"/>
              <w:tab w:val="right" w:pos="9026" w:leader="dot"/>
            </w:tabs>
            <w:rPr/>
          </w:pPr>
          <w:hyperlink w:anchor="__RefHeading___Toc5284790_2320776876">
            <w:r>
              <w:rPr>
                <w:webHidden/>
                <w:rStyle w:val="IndexLink"/>
                <w:rtl w:val="true"/>
              </w:rPr>
              <w:t>والده</w:t>
            </w:r>
            <w:r>
              <w:rPr>
                <w:rStyle w:val="IndexLink"/>
                <w:rtl w:val="true"/>
              </w:rPr>
              <w:tab/>
            </w:r>
            <w:r>
              <w:rPr>
                <w:rStyle w:val="IndexLink"/>
              </w:rPr>
              <w:t>15</w:t>
            </w:r>
          </w:hyperlink>
        </w:p>
        <w:p>
          <w:pPr>
            <w:pStyle w:val="Contents2"/>
            <w:tabs>
              <w:tab w:val="clear" w:pos="8743"/>
              <w:tab w:val="right" w:pos="9026" w:leader="dot"/>
            </w:tabs>
            <w:rPr/>
          </w:pPr>
          <w:hyperlink w:anchor="__RefHeading___Toc5284792_2320776876">
            <w:r>
              <w:rPr>
                <w:webHidden/>
                <w:rStyle w:val="IndexLink"/>
                <w:rtl w:val="true"/>
              </w:rPr>
              <w:t>أساتذته</w:t>
            </w:r>
            <w:r>
              <w:rPr>
                <w:rStyle w:val="IndexLink"/>
                <w:rtl w:val="true"/>
              </w:rPr>
              <w:tab/>
            </w:r>
            <w:r>
              <w:rPr>
                <w:rStyle w:val="IndexLink"/>
              </w:rPr>
              <w:t>16</w:t>
            </w:r>
          </w:hyperlink>
        </w:p>
        <w:p>
          <w:pPr>
            <w:pStyle w:val="Contents2"/>
            <w:tabs>
              <w:tab w:val="clear" w:pos="8743"/>
              <w:tab w:val="right" w:pos="9026" w:leader="dot"/>
            </w:tabs>
            <w:rPr/>
          </w:pPr>
          <w:hyperlink w:anchor="__RefHeading___Toc5284794_2320776876">
            <w:r>
              <w:rPr>
                <w:webHidden/>
                <w:rStyle w:val="IndexLink"/>
                <w:rtl w:val="true"/>
              </w:rPr>
              <w:t>موطنه و مدفنه</w:t>
            </w:r>
            <w:r>
              <w:rPr>
                <w:rStyle w:val="IndexLink"/>
                <w:rtl w:val="true"/>
              </w:rPr>
              <w:tab/>
            </w:r>
            <w:r>
              <w:rPr>
                <w:rStyle w:val="IndexLink"/>
              </w:rPr>
              <w:t>17</w:t>
            </w:r>
          </w:hyperlink>
        </w:p>
        <w:p>
          <w:pPr>
            <w:pStyle w:val="Contents2"/>
            <w:tabs>
              <w:tab w:val="clear" w:pos="8743"/>
              <w:tab w:val="right" w:pos="9026" w:leader="dot"/>
            </w:tabs>
            <w:rPr/>
          </w:pPr>
          <w:hyperlink w:anchor="__RefHeading___Toc5284796_2320776876">
            <w:r>
              <w:rPr>
                <w:webHidden/>
                <w:rStyle w:val="IndexLink"/>
                <w:rtl w:val="true"/>
              </w:rPr>
              <w:t>مکانته العلمیة</w:t>
            </w:r>
            <w:r>
              <w:rPr>
                <w:rStyle w:val="IndexLink"/>
                <w:rtl w:val="true"/>
              </w:rPr>
              <w:tab/>
            </w:r>
            <w:r>
              <w:rPr>
                <w:rStyle w:val="IndexLink"/>
              </w:rPr>
              <w:t>18</w:t>
            </w:r>
          </w:hyperlink>
        </w:p>
        <w:p>
          <w:pPr>
            <w:pStyle w:val="Contents2"/>
            <w:tabs>
              <w:tab w:val="clear" w:pos="8743"/>
              <w:tab w:val="right" w:pos="9026" w:leader="dot"/>
            </w:tabs>
            <w:rPr/>
          </w:pPr>
          <w:hyperlink w:anchor="__RefHeading___Toc5284798_2320776876">
            <w:r>
              <w:rPr>
                <w:webHidden/>
                <w:rStyle w:val="IndexLink"/>
                <w:rtl w:val="true"/>
              </w:rPr>
              <w:t>حرکته النشطة لدعم الاتجاه الاُصولی</w:t>
            </w:r>
            <w:r>
              <w:rPr>
                <w:rStyle w:val="IndexLink"/>
                <w:rtl w:val="true"/>
              </w:rPr>
              <w:tab/>
            </w:r>
            <w:r>
              <w:rPr>
                <w:rStyle w:val="IndexLink"/>
              </w:rPr>
              <w:t>29</w:t>
            </w:r>
          </w:hyperlink>
        </w:p>
        <w:p>
          <w:pPr>
            <w:pStyle w:val="Contents2"/>
            <w:tabs>
              <w:tab w:val="clear" w:pos="8743"/>
              <w:tab w:val="right" w:pos="9026" w:leader="dot"/>
            </w:tabs>
            <w:rPr/>
          </w:pPr>
          <w:hyperlink w:anchor="__RefHeading___Toc5284800_2320776876">
            <w:r>
              <w:rPr>
                <w:webHidden/>
                <w:rStyle w:val="IndexLink"/>
                <w:rtl w:val="true"/>
              </w:rPr>
              <w:t>مدرسته الفقهیة</w:t>
            </w:r>
            <w:r>
              <w:rPr>
                <w:rStyle w:val="IndexLink"/>
                <w:rtl w:val="true"/>
              </w:rPr>
              <w:tab/>
            </w:r>
            <w:r>
              <w:rPr>
                <w:rStyle w:val="IndexLink"/>
              </w:rPr>
              <w:t>30</w:t>
            </w:r>
          </w:hyperlink>
        </w:p>
        <w:p>
          <w:pPr>
            <w:pStyle w:val="Contents2"/>
            <w:tabs>
              <w:tab w:val="clear" w:pos="8743"/>
              <w:tab w:val="right" w:pos="9026" w:leader="dot"/>
            </w:tabs>
            <w:rPr/>
          </w:pPr>
          <w:hyperlink w:anchor="__RefHeading___Toc5284802_2320776876">
            <w:r>
              <w:rPr>
                <w:webHidden/>
                <w:rStyle w:val="IndexLink"/>
                <w:rtl w:val="true"/>
              </w:rPr>
              <w:t>المشاهیر من تلامذته</w:t>
            </w:r>
            <w:r>
              <w:rPr>
                <w:rStyle w:val="IndexLink"/>
                <w:rtl w:val="true"/>
              </w:rPr>
              <w:tab/>
            </w:r>
            <w:r>
              <w:rPr>
                <w:rStyle w:val="IndexLink"/>
              </w:rPr>
              <w:t>31</w:t>
            </w:r>
          </w:hyperlink>
        </w:p>
        <w:p>
          <w:pPr>
            <w:pStyle w:val="Contents2"/>
            <w:tabs>
              <w:tab w:val="clear" w:pos="8743"/>
              <w:tab w:val="right" w:pos="9026" w:leader="dot"/>
            </w:tabs>
            <w:rPr/>
          </w:pPr>
          <w:hyperlink w:anchor="__RefHeading___Toc5284804_2320776876">
            <w:r>
              <w:rPr>
                <w:webHidden/>
                <w:rStyle w:val="IndexLink"/>
                <w:rtl w:val="true"/>
              </w:rPr>
              <w:t>مؤلفاته</w:t>
            </w:r>
            <w:r>
              <w:rPr>
                <w:rStyle w:val="IndexLink"/>
                <w:rtl w:val="true"/>
              </w:rPr>
              <w:tab/>
            </w:r>
            <w:r>
              <w:rPr>
                <w:rStyle w:val="IndexLink"/>
              </w:rPr>
              <w:t>62</w:t>
            </w:r>
          </w:hyperlink>
        </w:p>
        <w:p>
          <w:pPr>
            <w:pStyle w:val="Contents2"/>
            <w:tabs>
              <w:tab w:val="clear" w:pos="8743"/>
              <w:tab w:val="right" w:pos="9026" w:leader="dot"/>
            </w:tabs>
            <w:rPr/>
          </w:pPr>
          <w:hyperlink w:anchor="__RefHeading___Toc5284806_2320776876">
            <w:r>
              <w:rPr>
                <w:webHidden/>
                <w:rStyle w:val="IndexLink"/>
                <w:rtl w:val="true"/>
              </w:rPr>
              <w:t>النسخ الخطیّة المعتمدة فی تحقیق الکتاب</w:t>
            </w:r>
            <w:r>
              <w:rPr>
                <w:rStyle w:val="IndexLink"/>
                <w:rtl w:val="true"/>
              </w:rPr>
              <w:tab/>
            </w:r>
            <w:r>
              <w:rPr>
                <w:rStyle w:val="IndexLink"/>
              </w:rPr>
              <w:t>74</w:t>
            </w:r>
          </w:hyperlink>
        </w:p>
        <w:p>
          <w:pPr>
            <w:pStyle w:val="Contents2"/>
            <w:tabs>
              <w:tab w:val="clear" w:pos="8743"/>
              <w:tab w:val="right" w:pos="9026" w:leader="dot"/>
            </w:tabs>
            <w:rPr/>
          </w:pPr>
          <w:hyperlink w:anchor="__RefHeading___Toc5284808_2320776876">
            <w:r>
              <w:rPr>
                <w:webHidden/>
                <w:rStyle w:val="IndexLink"/>
                <w:rtl w:val="true"/>
              </w:rPr>
              <w:t>منهج التحقیق</w:t>
            </w:r>
            <w:r>
              <w:rPr>
                <w:rStyle w:val="IndexLink"/>
                <w:rtl w:val="true"/>
              </w:rPr>
              <w:tab/>
            </w:r>
            <w:r>
              <w:rPr>
                <w:rStyle w:val="IndexLink"/>
              </w:rPr>
              <w:t>77</w:t>
            </w:r>
          </w:hyperlink>
        </w:p>
        <w:p>
          <w:pPr>
            <w:pStyle w:val="Contents2"/>
            <w:tabs>
              <w:tab w:val="clear" w:pos="8743"/>
              <w:tab w:val="right" w:pos="9026" w:leader="dot"/>
            </w:tabs>
            <w:rPr/>
          </w:pPr>
          <w:hyperlink w:anchor="__RefHeading___Toc5284810_2320776876">
            <w:r>
              <w:rPr>
                <w:webHidden/>
                <w:rStyle w:val="IndexLink"/>
                <w:rtl w:val="true"/>
              </w:rPr>
              <w:t>نموذج من خطّ المؤلف</w:t>
            </w:r>
            <w:r>
              <w:rPr>
                <w:rStyle w:val="IndexLink"/>
                <w:rtl w:val="true"/>
              </w:rPr>
              <w:tab/>
            </w:r>
            <w:r>
              <w:rPr>
                <w:rStyle w:val="IndexLink"/>
              </w:rPr>
              <w:t>80</w:t>
            </w:r>
          </w:hyperlink>
        </w:p>
        <w:p>
          <w:pPr>
            <w:pStyle w:val="Contents2"/>
            <w:tabs>
              <w:tab w:val="clear" w:pos="8743"/>
              <w:tab w:val="right" w:pos="9026" w:leader="dot"/>
            </w:tabs>
            <w:rPr/>
          </w:pPr>
          <w:hyperlink w:anchor="__RefHeading___Toc5284812_2320776876">
            <w:r>
              <w:rPr>
                <w:webHidden/>
                <w:rStyle w:val="IndexLink"/>
                <w:rtl w:val="true"/>
              </w:rPr>
              <w:t>مصادر المقدّمه</w:t>
            </w:r>
            <w:r>
              <w:rPr>
                <w:rStyle w:val="IndexLink"/>
                <w:rtl w:val="true"/>
              </w:rPr>
              <w:tab/>
            </w:r>
            <w:r>
              <w:rPr>
                <w:rStyle w:val="IndexLink"/>
              </w:rPr>
              <w:t>82</w:t>
            </w:r>
          </w:hyperlink>
        </w:p>
        <w:p>
          <w:pPr>
            <w:pStyle w:val="Contents2"/>
            <w:tabs>
              <w:tab w:val="clear" w:pos="8743"/>
              <w:tab w:val="right" w:pos="9026" w:leader="dot"/>
            </w:tabs>
            <w:rPr/>
          </w:pPr>
          <w:hyperlink w:anchor="__RefHeading___Toc5284814_2320776876">
            <w:r>
              <w:rPr>
                <w:webHidden/>
                <w:rStyle w:val="IndexLink"/>
                <w:rtl w:val="true"/>
              </w:rPr>
              <w:t>نماذج مصوّرة من النسخ الخطّیة المعتمدة فی تحقیق الکتاب</w:t>
            </w:r>
            <w:r>
              <w:rPr>
                <w:rStyle w:val="IndexLink"/>
                <w:rtl w:val="true"/>
              </w:rPr>
              <w:tab/>
            </w:r>
            <w:r>
              <w:rPr>
                <w:rStyle w:val="IndexLink"/>
              </w:rPr>
              <w:t>84</w:t>
            </w:r>
          </w:hyperlink>
        </w:p>
        <w:p>
          <w:pPr>
            <w:pStyle w:val="Contents2"/>
            <w:tabs>
              <w:tab w:val="clear" w:pos="8743"/>
              <w:tab w:val="right" w:pos="9026" w:leader="dot"/>
            </w:tabs>
            <w:rPr/>
          </w:pPr>
          <w:hyperlink w:anchor="__RefHeading___Toc5284816_2320776876">
            <w:r>
              <w:rPr>
                <w:webHidden/>
                <w:rStyle w:val="IndexLink"/>
                <w:rtl w:val="true"/>
              </w:rPr>
              <w:t>بدایة الکتاب</w:t>
            </w:r>
            <w:r>
              <w:rPr>
                <w:rStyle w:val="IndexLink"/>
                <w:rtl w:val="true"/>
              </w:rPr>
              <w:tab/>
            </w:r>
            <w:r>
              <w:rPr>
                <w:rStyle w:val="IndexLink"/>
              </w:rPr>
              <w:t>98</w:t>
            </w:r>
          </w:hyperlink>
        </w:p>
        <w:p>
          <w:pPr>
            <w:pStyle w:val="Contents2"/>
            <w:tabs>
              <w:tab w:val="clear" w:pos="8743"/>
              <w:tab w:val="right" w:pos="9026" w:leader="dot"/>
            </w:tabs>
            <w:rPr/>
          </w:pPr>
          <w:hyperlink w:anchor="__RefHeading___Toc5284818_2320776876">
            <w:r>
              <w:rPr>
                <w:webHidden/>
                <w:rStyle w:val="IndexLink"/>
                <w:rtl w:val="true"/>
              </w:rPr>
              <w:t>مقدّمة المؤلّف</w:t>
            </w:r>
            <w:r>
              <w:rPr>
                <w:rStyle w:val="IndexLink"/>
                <w:rtl w:val="true"/>
              </w:rPr>
              <w:tab/>
            </w:r>
            <w:r>
              <w:rPr>
                <w:rStyle w:val="IndexLink"/>
              </w:rPr>
              <w:t>100</w:t>
            </w:r>
          </w:hyperlink>
        </w:p>
        <w:p>
          <w:pPr>
            <w:pStyle w:val="Contents2"/>
            <w:tabs>
              <w:tab w:val="clear" w:pos="8743"/>
              <w:tab w:val="right" w:pos="9026" w:leader="dot"/>
            </w:tabs>
            <w:rPr/>
          </w:pPr>
          <w:hyperlink w:anchor="__RefHeading___Toc5284820_2320776876">
            <w:r>
              <w:rPr>
                <w:webHidden/>
                <w:rStyle w:val="IndexLink"/>
                <w:rtl w:val="true"/>
              </w:rPr>
              <w:t>کتاب المعاملات</w:t>
            </w:r>
            <w:r>
              <w:rPr>
                <w:rStyle w:val="IndexLink"/>
                <w:rtl w:val="true"/>
              </w:rPr>
              <w:tab/>
            </w:r>
            <w:r>
              <w:rPr>
                <w:rStyle w:val="IndexLink"/>
              </w:rPr>
              <w:t>101</w:t>
            </w:r>
          </w:hyperlink>
        </w:p>
        <w:p>
          <w:pPr>
            <w:pStyle w:val="Contents3"/>
            <w:tabs>
              <w:tab w:val="clear" w:pos="8459"/>
              <w:tab w:val="right" w:pos="9026" w:leader="dot"/>
            </w:tabs>
            <w:rPr/>
          </w:pPr>
          <w:hyperlink w:anchor="__RefHeading___Toc5284822_2320776876">
            <w:r>
              <w:rPr>
                <w:webHidden/>
                <w:rStyle w:val="IndexLink"/>
                <w:rtl w:val="true"/>
              </w:rPr>
              <w:t>انقسام الفقه إلی أربعة أقسام و تعریفها</w:t>
            </w:r>
            <w:r>
              <w:rPr>
                <w:rStyle w:val="IndexLink"/>
                <w:rtl w:val="true"/>
              </w:rPr>
              <w:tab/>
            </w:r>
            <w:r>
              <w:rPr>
                <w:rStyle w:val="IndexLink"/>
              </w:rPr>
              <w:t>101</w:t>
            </w:r>
          </w:hyperlink>
        </w:p>
        <w:p>
          <w:pPr>
            <w:pStyle w:val="Contents2"/>
            <w:tabs>
              <w:tab w:val="clear" w:pos="8743"/>
              <w:tab w:val="right" w:pos="9026" w:leader="dot"/>
            </w:tabs>
            <w:rPr/>
          </w:pPr>
          <w:hyperlink w:anchor="__RefHeading___Toc5284824_2320776876">
            <w:r>
              <w:rPr>
                <w:webHidden/>
                <w:rStyle w:val="IndexLink"/>
                <w:rtl w:val="true"/>
              </w:rPr>
              <w:t>کتاب المتاجر</w:t>
            </w:r>
            <w:r>
              <w:rPr>
                <w:rStyle w:val="IndexLink"/>
                <w:rtl w:val="true"/>
              </w:rPr>
              <w:tab/>
            </w:r>
            <w:r>
              <w:rPr>
                <w:rStyle w:val="IndexLink"/>
              </w:rPr>
              <w:t>103</w:t>
            </w:r>
          </w:hyperlink>
        </w:p>
        <w:p>
          <w:pPr>
            <w:pStyle w:val="Contents3"/>
            <w:tabs>
              <w:tab w:val="clear" w:pos="8459"/>
              <w:tab w:val="right" w:pos="9026" w:leader="dot"/>
            </w:tabs>
            <w:rPr/>
          </w:pPr>
          <w:hyperlink w:anchor="__RefHeading___Toc5284826_2320776876">
            <w:r>
              <w:rPr>
                <w:webHidden/>
                <w:rStyle w:val="IndexLink"/>
                <w:rtl w:val="true"/>
              </w:rPr>
              <w:t>تعریف المتاجر</w:t>
            </w:r>
            <w:r>
              <w:rPr>
                <w:rStyle w:val="IndexLink"/>
                <w:rtl w:val="true"/>
              </w:rPr>
              <w:tab/>
            </w:r>
            <w:r>
              <w:rPr>
                <w:rStyle w:val="IndexLink"/>
              </w:rPr>
              <w:t>103</w:t>
            </w:r>
          </w:hyperlink>
        </w:p>
        <w:p>
          <w:pPr>
            <w:pStyle w:val="Contents3"/>
            <w:tabs>
              <w:tab w:val="clear" w:pos="8459"/>
              <w:tab w:val="right" w:pos="9026" w:leader="dot"/>
            </w:tabs>
            <w:rPr/>
          </w:pPr>
          <w:hyperlink w:anchor="__RefHeading___Toc5284828_2320776876">
            <w:r>
              <w:rPr>
                <w:webHidden/>
                <w:rStyle w:val="IndexLink"/>
                <w:rtl w:val="true"/>
              </w:rPr>
              <w:t>أقسام المتاجر</w:t>
            </w:r>
            <w:r>
              <w:rPr>
                <w:rStyle w:val="IndexLink"/>
                <w:rtl w:val="true"/>
              </w:rPr>
              <w:tab/>
            </w:r>
            <w:r>
              <w:rPr>
                <w:rStyle w:val="IndexLink"/>
              </w:rPr>
              <w:t>105</w:t>
            </w:r>
          </w:hyperlink>
        </w:p>
        <w:p>
          <w:pPr>
            <w:pStyle w:val="Contents3"/>
            <w:tabs>
              <w:tab w:val="clear" w:pos="8459"/>
              <w:tab w:val="right" w:pos="9026" w:leader="dot"/>
            </w:tabs>
            <w:rPr/>
          </w:pPr>
          <w:hyperlink w:anchor="__RefHeading___Toc5284830_2320776876">
            <w:r>
              <w:rPr>
                <w:webHidden/>
                <w:rStyle w:val="IndexLink"/>
                <w:rtl w:val="true"/>
              </w:rPr>
              <w:t>الواجب من المتاجر</w:t>
            </w:r>
            <w:r>
              <w:rPr>
                <w:rStyle w:val="IndexLink"/>
                <w:rtl w:val="true"/>
              </w:rPr>
              <w:tab/>
            </w:r>
            <w:r>
              <w:rPr>
                <w:rStyle w:val="IndexLink"/>
              </w:rPr>
              <w:t>107</w:t>
            </w:r>
          </w:hyperlink>
        </w:p>
        <w:p>
          <w:pPr>
            <w:pStyle w:val="Contents2"/>
            <w:tabs>
              <w:tab w:val="clear" w:pos="8743"/>
              <w:tab w:val="right" w:pos="9026" w:leader="dot"/>
            </w:tabs>
            <w:rPr/>
          </w:pPr>
          <w:hyperlink w:anchor="__RefHeading___Toc5284832_2320776876">
            <w:r>
              <w:rPr>
                <w:webHidden/>
                <w:rStyle w:val="IndexLink"/>
                <w:rtl w:val="true"/>
              </w:rPr>
              <w:t>بیع الرقیق</w:t>
            </w:r>
            <w:r>
              <w:rPr>
                <w:rStyle w:val="IndexLink"/>
                <w:rtl w:val="true"/>
              </w:rPr>
              <w:tab/>
            </w:r>
            <w:r>
              <w:rPr>
                <w:rStyle w:val="IndexLink"/>
              </w:rPr>
              <w:t>112</w:t>
            </w:r>
          </w:hyperlink>
        </w:p>
        <w:p>
          <w:pPr>
            <w:pStyle w:val="Contents2"/>
            <w:tabs>
              <w:tab w:val="clear" w:pos="8743"/>
              <w:tab w:val="right" w:pos="9026" w:leader="dot"/>
            </w:tabs>
            <w:rPr/>
          </w:pPr>
          <w:hyperlink w:anchor="__RefHeading___Toc5284834_2320776876">
            <w:r>
              <w:rPr>
                <w:webHidden/>
                <w:rStyle w:val="IndexLink"/>
                <w:rtl w:val="true"/>
              </w:rPr>
              <w:t>اتخاذ الذبح و النحر صنعة</w:t>
            </w:r>
            <w:r>
              <w:rPr>
                <w:rStyle w:val="IndexLink"/>
                <w:rtl w:val="true"/>
              </w:rPr>
              <w:tab/>
            </w:r>
            <w:r>
              <w:rPr>
                <w:rStyle w:val="IndexLink"/>
              </w:rPr>
              <w:t>113</w:t>
            </w:r>
          </w:hyperlink>
        </w:p>
        <w:p>
          <w:pPr>
            <w:pStyle w:val="Contents2"/>
            <w:tabs>
              <w:tab w:val="clear" w:pos="8743"/>
              <w:tab w:val="right" w:pos="9026" w:leader="dot"/>
            </w:tabs>
            <w:rPr/>
          </w:pPr>
          <w:hyperlink w:anchor="__RefHeading___Toc5284836_2320776876">
            <w:r>
              <w:rPr>
                <w:webHidden/>
                <w:rStyle w:val="IndexLink"/>
                <w:rtl w:val="true"/>
              </w:rPr>
              <w:t>الحیاکة و النساجة</w:t>
            </w:r>
            <w:r>
              <w:rPr>
                <w:rStyle w:val="IndexLink"/>
                <w:rtl w:val="true"/>
              </w:rPr>
              <w:tab/>
            </w:r>
            <w:r>
              <w:rPr>
                <w:rStyle w:val="IndexLink"/>
              </w:rPr>
              <w:t>114</w:t>
            </w:r>
          </w:hyperlink>
        </w:p>
        <w:p>
          <w:pPr>
            <w:pStyle w:val="Contents2"/>
            <w:tabs>
              <w:tab w:val="clear" w:pos="8743"/>
              <w:tab w:val="right" w:pos="9026" w:leader="dot"/>
            </w:tabs>
            <w:rPr/>
          </w:pPr>
          <w:hyperlink w:anchor="__RefHeading___Toc5284838_2320776876">
            <w:r>
              <w:rPr>
                <w:webHidden/>
                <w:rStyle w:val="IndexLink"/>
                <w:rtl w:val="true"/>
              </w:rPr>
              <w:t>تقبیل القابلة</w:t>
            </w:r>
            <w:r>
              <w:rPr>
                <w:rStyle w:val="IndexLink"/>
                <w:rtl w:val="true"/>
              </w:rPr>
              <w:tab/>
            </w:r>
            <w:r>
              <w:rPr>
                <w:rStyle w:val="IndexLink"/>
              </w:rPr>
              <w:t>117</w:t>
            </w:r>
          </w:hyperlink>
        </w:p>
        <w:p>
          <w:pPr>
            <w:pStyle w:val="Contents2"/>
            <w:tabs>
              <w:tab w:val="clear" w:pos="8743"/>
              <w:tab w:val="right" w:pos="9026" w:leader="dot"/>
            </w:tabs>
            <w:rPr/>
          </w:pPr>
          <w:hyperlink w:anchor="__RefHeading___Toc5284840_2320776876">
            <w:r>
              <w:rPr>
                <w:webHidden/>
                <w:rStyle w:val="IndexLink"/>
                <w:rtl w:val="true"/>
              </w:rPr>
              <w:t>کسب الصبیان</w:t>
            </w:r>
            <w:r>
              <w:rPr>
                <w:rStyle w:val="IndexLink"/>
                <w:rtl w:val="true"/>
              </w:rPr>
              <w:tab/>
            </w:r>
            <w:r>
              <w:rPr>
                <w:rStyle w:val="IndexLink"/>
              </w:rPr>
              <w:t>118</w:t>
            </w:r>
          </w:hyperlink>
        </w:p>
        <w:p>
          <w:pPr>
            <w:pStyle w:val="Contents2"/>
            <w:tabs>
              <w:tab w:val="clear" w:pos="8743"/>
              <w:tab w:val="right" w:pos="9026" w:leader="dot"/>
            </w:tabs>
            <w:rPr/>
          </w:pPr>
          <w:hyperlink w:anchor="__RefHeading___Toc5284842_2320776876">
            <w:r>
              <w:rPr>
                <w:webHidden/>
                <w:rStyle w:val="IndexLink"/>
                <w:rtl w:val="true"/>
              </w:rPr>
              <w:t>کسب غیر المتجنب للحرام</w:t>
            </w:r>
            <w:r>
              <w:rPr>
                <w:rStyle w:val="IndexLink"/>
                <w:rtl w:val="true"/>
              </w:rPr>
              <w:tab/>
            </w:r>
            <w:r>
              <w:rPr>
                <w:rStyle w:val="IndexLink"/>
              </w:rPr>
              <w:t>118</w:t>
            </w:r>
          </w:hyperlink>
        </w:p>
        <w:p>
          <w:pPr>
            <w:pStyle w:val="Contents2"/>
            <w:tabs>
              <w:tab w:val="clear" w:pos="8743"/>
              <w:tab w:val="right" w:pos="9026" w:leader="dot"/>
            </w:tabs>
            <w:rPr/>
          </w:pPr>
          <w:hyperlink w:anchor="__RefHeading___Toc5284844_2320776876">
            <w:r>
              <w:rPr>
                <w:webHidden/>
                <w:rStyle w:val="IndexLink"/>
                <w:rtl w:val="true"/>
              </w:rPr>
              <w:t>اُجرة تعلیم القرآن</w:t>
            </w:r>
            <w:r>
              <w:rPr>
                <w:rStyle w:val="IndexLink"/>
                <w:rtl w:val="true"/>
              </w:rPr>
              <w:tab/>
            </w:r>
            <w:r>
              <w:rPr>
                <w:rStyle w:val="IndexLink"/>
              </w:rPr>
              <w:t>119</w:t>
            </w:r>
          </w:hyperlink>
        </w:p>
        <w:p>
          <w:pPr>
            <w:pStyle w:val="Contents2"/>
            <w:tabs>
              <w:tab w:val="clear" w:pos="8743"/>
              <w:tab w:val="right" w:pos="9026" w:leader="dot"/>
            </w:tabs>
            <w:rPr/>
          </w:pPr>
          <w:hyperlink w:anchor="__RefHeading___Toc5284846_2320776876">
            <w:r>
              <w:rPr>
                <w:webHidden/>
                <w:rStyle w:val="IndexLink"/>
                <w:rtl w:val="true"/>
              </w:rPr>
              <w:t>تعشیر المصحف</w:t>
            </w:r>
            <w:r>
              <w:rPr>
                <w:rStyle w:val="IndexLink"/>
                <w:rtl w:val="true"/>
              </w:rPr>
              <w:tab/>
            </w:r>
            <w:r>
              <w:rPr>
                <w:rStyle w:val="IndexLink"/>
              </w:rPr>
              <w:t>120</w:t>
            </w:r>
          </w:hyperlink>
        </w:p>
        <w:p>
          <w:pPr>
            <w:pStyle w:val="Contents2"/>
            <w:tabs>
              <w:tab w:val="clear" w:pos="8743"/>
              <w:tab w:val="right" w:pos="9026" w:leader="dot"/>
            </w:tabs>
            <w:rPr/>
          </w:pPr>
          <w:hyperlink w:anchor="__RefHeading___Toc5284848_2320776876">
            <w:r>
              <w:rPr>
                <w:webHidden/>
                <w:rStyle w:val="IndexLink"/>
                <w:rtl w:val="true"/>
              </w:rPr>
              <w:t>الصیاغة</w:t>
            </w:r>
            <w:r>
              <w:rPr>
                <w:rStyle w:val="IndexLink"/>
                <w:rtl w:val="true"/>
              </w:rPr>
              <w:tab/>
            </w:r>
            <w:r>
              <w:rPr>
                <w:rStyle w:val="IndexLink"/>
              </w:rPr>
              <w:t>120</w:t>
            </w:r>
          </w:hyperlink>
        </w:p>
        <w:p>
          <w:pPr>
            <w:pStyle w:val="Contents2"/>
            <w:tabs>
              <w:tab w:val="clear" w:pos="8743"/>
              <w:tab w:val="right" w:pos="9026" w:leader="dot"/>
            </w:tabs>
            <w:rPr/>
          </w:pPr>
          <w:hyperlink w:anchor="__RefHeading___Toc5284850_2320776876">
            <w:r>
              <w:rPr>
                <w:webHidden/>
                <w:rStyle w:val="IndexLink"/>
                <w:rtl w:val="true"/>
              </w:rPr>
              <w:t>القصابة</w:t>
            </w:r>
            <w:r>
              <w:rPr>
                <w:rStyle w:val="IndexLink"/>
                <w:rtl w:val="true"/>
              </w:rPr>
              <w:tab/>
            </w:r>
            <w:r>
              <w:rPr>
                <w:rStyle w:val="IndexLink"/>
              </w:rPr>
              <w:t>121</w:t>
            </w:r>
          </w:hyperlink>
        </w:p>
        <w:p>
          <w:pPr>
            <w:pStyle w:val="Contents2"/>
            <w:tabs>
              <w:tab w:val="clear" w:pos="8743"/>
              <w:tab w:val="right" w:pos="9026" w:leader="dot"/>
            </w:tabs>
            <w:rPr/>
          </w:pPr>
          <w:hyperlink w:anchor="__RefHeading___Toc5284852_2320776876">
            <w:r>
              <w:rPr>
                <w:webHidden/>
                <w:rStyle w:val="IndexLink"/>
                <w:rtl w:val="true"/>
              </w:rPr>
              <w:t>رکوب البحر</w:t>
            </w:r>
            <w:r>
              <w:rPr>
                <w:rStyle w:val="IndexLink"/>
                <w:rtl w:val="true"/>
              </w:rPr>
              <w:tab/>
            </w:r>
            <w:r>
              <w:rPr>
                <w:rStyle w:val="IndexLink"/>
              </w:rPr>
              <w:t>122</w:t>
            </w:r>
          </w:hyperlink>
        </w:p>
        <w:p>
          <w:pPr>
            <w:pStyle w:val="Contents2"/>
            <w:tabs>
              <w:tab w:val="clear" w:pos="8743"/>
              <w:tab w:val="right" w:pos="9026" w:leader="dot"/>
            </w:tabs>
            <w:rPr/>
          </w:pPr>
          <w:hyperlink w:anchor="__RefHeading___Toc5284854_2320776876">
            <w:r>
              <w:rPr>
                <w:webHidden/>
                <w:rStyle w:val="IndexLink"/>
                <w:rtl w:val="true"/>
              </w:rPr>
              <w:t>خصاء الحیوان</w:t>
            </w:r>
            <w:r>
              <w:rPr>
                <w:rStyle w:val="IndexLink"/>
                <w:rtl w:val="true"/>
              </w:rPr>
              <w:tab/>
            </w:r>
            <w:r>
              <w:rPr>
                <w:rStyle w:val="IndexLink"/>
              </w:rPr>
              <w:t>122</w:t>
            </w:r>
          </w:hyperlink>
        </w:p>
        <w:p>
          <w:pPr>
            <w:pStyle w:val="Contents2"/>
            <w:tabs>
              <w:tab w:val="clear" w:pos="8743"/>
              <w:tab w:val="right" w:pos="9026" w:leader="dot"/>
            </w:tabs>
            <w:rPr/>
          </w:pPr>
          <w:hyperlink w:anchor="__RefHeading___Toc5284856_2320776876">
            <w:r>
              <w:rPr>
                <w:webHidden/>
                <w:rStyle w:val="IndexLink"/>
                <w:rtl w:val="true"/>
              </w:rPr>
              <w:t>معاملة الظالمین</w:t>
            </w:r>
            <w:r>
              <w:rPr>
                <w:rStyle w:val="IndexLink"/>
                <w:rtl w:val="true"/>
              </w:rPr>
              <w:tab/>
            </w:r>
            <w:r>
              <w:rPr>
                <w:rStyle w:val="IndexLink"/>
              </w:rPr>
              <w:t>123</w:t>
            </w:r>
          </w:hyperlink>
        </w:p>
        <w:p>
          <w:pPr>
            <w:pStyle w:val="Contents2"/>
            <w:tabs>
              <w:tab w:val="clear" w:pos="8743"/>
              <w:tab w:val="right" w:pos="9026" w:leader="dot"/>
            </w:tabs>
            <w:rPr/>
          </w:pPr>
          <w:hyperlink w:anchor="__RefHeading___Toc5284858_2320776876">
            <w:r>
              <w:rPr>
                <w:webHidden/>
                <w:rStyle w:val="IndexLink"/>
                <w:rtl w:val="true"/>
              </w:rPr>
              <w:t>معاملة السفلة و الأدنین</w:t>
            </w:r>
            <w:r>
              <w:rPr>
                <w:rStyle w:val="IndexLink"/>
                <w:rtl w:val="true"/>
              </w:rPr>
              <w:tab/>
            </w:r>
            <w:r>
              <w:rPr>
                <w:rStyle w:val="IndexLink"/>
              </w:rPr>
              <w:t>123</w:t>
            </w:r>
          </w:hyperlink>
        </w:p>
        <w:p>
          <w:pPr>
            <w:pStyle w:val="Contents2"/>
            <w:tabs>
              <w:tab w:val="clear" w:pos="8743"/>
              <w:tab w:val="right" w:pos="9026" w:leader="dot"/>
            </w:tabs>
            <w:rPr/>
          </w:pPr>
          <w:hyperlink w:anchor="__RefHeading___Toc5284860_2320776876">
            <w:r>
              <w:rPr>
                <w:webHidden/>
                <w:rStyle w:val="IndexLink"/>
                <w:rtl w:val="true"/>
              </w:rPr>
              <w:t>معاملة ذوی العاهات</w:t>
            </w:r>
            <w:r>
              <w:rPr>
                <w:rStyle w:val="IndexLink"/>
                <w:rtl w:val="true"/>
              </w:rPr>
              <w:tab/>
            </w:r>
            <w:r>
              <w:rPr>
                <w:rStyle w:val="IndexLink"/>
              </w:rPr>
              <w:t>124</w:t>
            </w:r>
          </w:hyperlink>
        </w:p>
        <w:p>
          <w:pPr>
            <w:pStyle w:val="Contents2"/>
            <w:tabs>
              <w:tab w:val="clear" w:pos="8743"/>
              <w:tab w:val="right" w:pos="9026" w:leader="dot"/>
            </w:tabs>
            <w:rPr/>
          </w:pPr>
          <w:hyperlink w:anchor="__RefHeading___Toc5284862_2320776876">
            <w:r>
              <w:rPr>
                <w:webHidden/>
                <w:rStyle w:val="IndexLink"/>
                <w:rtl w:val="true"/>
              </w:rPr>
              <w:t>معاملة الأکراد</w:t>
            </w:r>
            <w:r>
              <w:rPr>
                <w:rStyle w:val="IndexLink"/>
                <w:rtl w:val="true"/>
              </w:rPr>
              <w:tab/>
            </w:r>
            <w:r>
              <w:rPr>
                <w:rStyle w:val="IndexLink"/>
              </w:rPr>
              <w:t>124</w:t>
            </w:r>
          </w:hyperlink>
        </w:p>
        <w:p>
          <w:pPr>
            <w:pStyle w:val="Contents2"/>
            <w:tabs>
              <w:tab w:val="clear" w:pos="8743"/>
              <w:tab w:val="right" w:pos="9026" w:leader="dot"/>
            </w:tabs>
            <w:rPr/>
          </w:pPr>
          <w:hyperlink w:anchor="__RefHeading___Toc5284864_2320776876">
            <w:r>
              <w:rPr>
                <w:webHidden/>
                <w:rStyle w:val="IndexLink"/>
                <w:rtl w:val="true"/>
              </w:rPr>
              <w:t>الأوّل کل نجس لا یقبل التطهیر</w:t>
            </w:r>
            <w:r>
              <w:rPr>
                <w:rStyle w:val="IndexLink"/>
                <w:rtl w:val="true"/>
              </w:rPr>
              <w:tab/>
            </w:r>
            <w:r>
              <w:rPr>
                <w:rStyle w:val="IndexLink"/>
              </w:rPr>
              <w:t>126</w:t>
            </w:r>
          </w:hyperlink>
        </w:p>
        <w:p>
          <w:pPr>
            <w:pStyle w:val="Contents2"/>
            <w:tabs>
              <w:tab w:val="clear" w:pos="8743"/>
              <w:tab w:val="right" w:pos="9026" w:leader="dot"/>
            </w:tabs>
            <w:rPr/>
          </w:pPr>
          <w:hyperlink w:anchor="__RefHeading___Toc5284866_2320776876">
            <w:r>
              <w:rPr>
                <w:webHidden/>
                <w:rStyle w:val="IndexLink"/>
                <w:rtl w:val="true"/>
              </w:rPr>
              <w:t>الخمر</w:t>
            </w:r>
            <w:r>
              <w:rPr>
                <w:rStyle w:val="IndexLink"/>
                <w:rtl w:val="true"/>
              </w:rPr>
              <w:tab/>
            </w:r>
            <w:r>
              <w:rPr>
                <w:rStyle w:val="IndexLink"/>
              </w:rPr>
              <w:t>133</w:t>
            </w:r>
          </w:hyperlink>
        </w:p>
        <w:p>
          <w:pPr>
            <w:pStyle w:val="Contents2"/>
            <w:tabs>
              <w:tab w:val="clear" w:pos="8743"/>
              <w:tab w:val="right" w:pos="9026" w:leader="dot"/>
            </w:tabs>
            <w:rPr/>
          </w:pPr>
          <w:hyperlink w:anchor="__RefHeading___Toc5284868_2320776876">
            <w:r>
              <w:rPr>
                <w:webHidden/>
                <w:rStyle w:val="IndexLink"/>
                <w:rtl w:val="true"/>
              </w:rPr>
              <w:t>الفقّاع</w:t>
            </w:r>
            <w:r>
              <w:rPr>
                <w:rStyle w:val="IndexLink"/>
                <w:rtl w:val="true"/>
              </w:rPr>
              <w:tab/>
            </w:r>
            <w:r>
              <w:rPr>
                <w:rStyle w:val="IndexLink"/>
              </w:rPr>
              <w:t>133</w:t>
            </w:r>
          </w:hyperlink>
        </w:p>
        <w:p>
          <w:pPr>
            <w:pStyle w:val="Contents2"/>
            <w:tabs>
              <w:tab w:val="clear" w:pos="8743"/>
              <w:tab w:val="right" w:pos="9026" w:leader="dot"/>
            </w:tabs>
            <w:rPr/>
          </w:pPr>
          <w:hyperlink w:anchor="__RefHeading___Toc5284870_2320776876">
            <w:r>
              <w:rPr>
                <w:webHidden/>
                <w:rStyle w:val="IndexLink"/>
                <w:rtl w:val="true"/>
              </w:rPr>
              <w:t>المیتة</w:t>
            </w:r>
            <w:r>
              <w:rPr>
                <w:rStyle w:val="IndexLink"/>
                <w:rtl w:val="true"/>
              </w:rPr>
              <w:tab/>
            </w:r>
            <w:r>
              <w:rPr>
                <w:rStyle w:val="IndexLink"/>
              </w:rPr>
              <w:t>133</w:t>
            </w:r>
          </w:hyperlink>
        </w:p>
        <w:p>
          <w:pPr>
            <w:pStyle w:val="Contents2"/>
            <w:tabs>
              <w:tab w:val="clear" w:pos="8743"/>
              <w:tab w:val="right" w:pos="9026" w:leader="dot"/>
            </w:tabs>
            <w:rPr/>
          </w:pPr>
          <w:hyperlink w:anchor="__RefHeading___Toc5284872_2320776876">
            <w:r>
              <w:rPr>
                <w:webHidden/>
                <w:rStyle w:val="IndexLink"/>
                <w:rtl w:val="true"/>
              </w:rPr>
              <w:t>الدم</w:t>
            </w:r>
            <w:r>
              <w:rPr>
                <w:rStyle w:val="IndexLink"/>
                <w:rtl w:val="true"/>
              </w:rPr>
              <w:tab/>
            </w:r>
            <w:r>
              <w:rPr>
                <w:rStyle w:val="IndexLink"/>
              </w:rPr>
              <w:t>134</w:t>
            </w:r>
          </w:hyperlink>
        </w:p>
        <w:p>
          <w:pPr>
            <w:pStyle w:val="Contents2"/>
            <w:tabs>
              <w:tab w:val="clear" w:pos="8743"/>
              <w:tab w:val="right" w:pos="9026" w:leader="dot"/>
            </w:tabs>
            <w:rPr/>
          </w:pPr>
          <w:hyperlink w:anchor="__RefHeading___Toc5284874_2320776876">
            <w:r>
              <w:rPr>
                <w:webHidden/>
                <w:rStyle w:val="IndexLink"/>
                <w:rtl w:val="true"/>
              </w:rPr>
              <w:t>أبوال و أوراث ما لا یؤکل لحمه</w:t>
            </w:r>
            <w:r>
              <w:rPr>
                <w:rStyle w:val="IndexLink"/>
                <w:rtl w:val="true"/>
              </w:rPr>
              <w:tab/>
            </w:r>
            <w:r>
              <w:rPr>
                <w:rStyle w:val="IndexLink"/>
              </w:rPr>
              <w:t>134</w:t>
            </w:r>
          </w:hyperlink>
        </w:p>
        <w:p>
          <w:pPr>
            <w:pStyle w:val="Contents2"/>
            <w:tabs>
              <w:tab w:val="clear" w:pos="8743"/>
              <w:tab w:val="right" w:pos="9026" w:leader="dot"/>
            </w:tabs>
            <w:rPr/>
          </w:pPr>
          <w:hyperlink w:anchor="__RefHeading___Toc5284876_2320776876">
            <w:r>
              <w:rPr>
                <w:webHidden/>
                <w:rStyle w:val="IndexLink"/>
                <w:rtl w:val="true"/>
              </w:rPr>
              <w:t>الکلب و الخنزیر</w:t>
            </w:r>
            <w:r>
              <w:rPr>
                <w:rStyle w:val="IndexLink"/>
                <w:rtl w:val="true"/>
              </w:rPr>
              <w:tab/>
            </w:r>
            <w:r>
              <w:rPr>
                <w:rStyle w:val="IndexLink"/>
              </w:rPr>
              <w:t>134</w:t>
            </w:r>
          </w:hyperlink>
        </w:p>
        <w:p>
          <w:pPr>
            <w:pStyle w:val="Contents2"/>
            <w:tabs>
              <w:tab w:val="clear" w:pos="8743"/>
              <w:tab w:val="right" w:pos="9026" w:leader="dot"/>
            </w:tabs>
            <w:rPr/>
          </w:pPr>
          <w:hyperlink w:anchor="__RefHeading___Toc5284878_2320776876">
            <w:r>
              <w:rPr>
                <w:webHidden/>
                <w:rStyle w:val="IndexLink"/>
                <w:rtl w:val="true"/>
              </w:rPr>
              <w:t>المائعات النجسة التی لا تقبل التطهیر</w:t>
            </w:r>
            <w:r>
              <w:rPr>
                <w:rStyle w:val="IndexLink"/>
                <w:rtl w:val="true"/>
              </w:rPr>
              <w:tab/>
            </w:r>
            <w:r>
              <w:rPr>
                <w:rStyle w:val="IndexLink"/>
              </w:rPr>
              <w:t>134</w:t>
            </w:r>
          </w:hyperlink>
        </w:p>
        <w:p>
          <w:pPr>
            <w:pStyle w:val="Contents2"/>
            <w:tabs>
              <w:tab w:val="clear" w:pos="8743"/>
              <w:tab w:val="right" w:pos="9026" w:leader="dot"/>
            </w:tabs>
            <w:rPr/>
          </w:pPr>
          <w:hyperlink w:anchor="__RefHeading___Toc5284880_2320776876">
            <w:r>
              <w:rPr>
                <w:webHidden/>
                <w:rStyle w:val="IndexLink"/>
                <w:rtl w:val="true"/>
              </w:rPr>
              <w:t>استثناء الدهن المتنجس للأستصباح به تحت السماء</w:t>
            </w:r>
            <w:r>
              <w:rPr>
                <w:rStyle w:val="IndexLink"/>
                <w:rtl w:val="true"/>
              </w:rPr>
              <w:tab/>
            </w:r>
            <w:r>
              <w:rPr>
                <w:rStyle w:val="IndexLink"/>
              </w:rPr>
              <w:t>143</w:t>
            </w:r>
          </w:hyperlink>
        </w:p>
        <w:p>
          <w:pPr>
            <w:pStyle w:val="Contents2"/>
            <w:tabs>
              <w:tab w:val="clear" w:pos="8743"/>
              <w:tab w:val="right" w:pos="9026" w:leader="dot"/>
            </w:tabs>
            <w:rPr/>
          </w:pPr>
          <w:hyperlink w:anchor="__RefHeading___Toc5284882_2320776876">
            <w:r>
              <w:rPr>
                <w:webHidden/>
                <w:rStyle w:val="IndexLink"/>
                <w:rtl w:val="true"/>
              </w:rPr>
              <w:t>حرمة أبول ما یؤکل لحمه</w:t>
            </w:r>
            <w:r>
              <w:rPr>
                <w:rStyle w:val="IndexLink"/>
                <w:rtl w:val="true"/>
              </w:rPr>
              <w:tab/>
            </w:r>
            <w:r>
              <w:rPr>
                <w:rStyle w:val="IndexLink"/>
              </w:rPr>
              <w:t>148</w:t>
            </w:r>
          </w:hyperlink>
        </w:p>
        <w:p>
          <w:pPr>
            <w:pStyle w:val="Contents2"/>
            <w:tabs>
              <w:tab w:val="clear" w:pos="8743"/>
              <w:tab w:val="right" w:pos="9026" w:leader="dot"/>
            </w:tabs>
            <w:rPr/>
          </w:pPr>
          <w:hyperlink w:anchor="__RefHeading___Toc5284884_2320776876">
            <w:r>
              <w:rPr>
                <w:webHidden/>
                <w:rStyle w:val="IndexLink"/>
                <w:rtl w:val="true"/>
              </w:rPr>
              <w:t>استثناء بول الإبل للاستشفاء</w:t>
            </w:r>
            <w:r>
              <w:rPr>
                <w:rStyle w:val="IndexLink"/>
                <w:rtl w:val="true"/>
              </w:rPr>
              <w:tab/>
            </w:r>
            <w:r>
              <w:rPr>
                <w:rStyle w:val="IndexLink"/>
              </w:rPr>
              <w:t>151</w:t>
            </w:r>
          </w:hyperlink>
        </w:p>
        <w:p>
          <w:pPr>
            <w:pStyle w:val="Contents2"/>
            <w:tabs>
              <w:tab w:val="clear" w:pos="8743"/>
              <w:tab w:val="right" w:pos="9026" w:leader="dot"/>
            </w:tabs>
            <w:rPr/>
          </w:pPr>
          <w:hyperlink w:anchor="__RefHeading___Toc5284886_2320776876">
            <w:r>
              <w:rPr>
                <w:webHidden/>
                <w:rStyle w:val="IndexLink"/>
                <w:rtl w:val="true"/>
              </w:rPr>
              <w:t>جواز بیع الکلاب الأربعة</w:t>
            </w:r>
            <w:r>
              <w:rPr>
                <w:rStyle w:val="IndexLink"/>
                <w:rtl w:val="true"/>
              </w:rPr>
              <w:tab/>
            </w:r>
            <w:r>
              <w:rPr>
                <w:rStyle w:val="IndexLink"/>
              </w:rPr>
              <w:t>152</w:t>
            </w:r>
          </w:hyperlink>
        </w:p>
        <w:p>
          <w:pPr>
            <w:pStyle w:val="Contents2"/>
            <w:tabs>
              <w:tab w:val="clear" w:pos="8743"/>
              <w:tab w:val="right" w:pos="9026" w:leader="dot"/>
            </w:tabs>
            <w:rPr/>
          </w:pPr>
          <w:hyperlink w:anchor="__RefHeading___Toc5284888_2320776876">
            <w:r>
              <w:rPr>
                <w:webHidden/>
                <w:rStyle w:val="IndexLink"/>
                <w:rtl w:val="true"/>
              </w:rPr>
              <w:t>الثالث</w:t>
            </w:r>
            <w:r>
              <w:rPr>
                <w:rStyle w:val="IndexLink"/>
                <w:rtl w:val="true"/>
              </w:rPr>
              <w:t xml:space="preserve">: </w:t>
            </w:r>
            <w:r>
              <w:rPr>
                <w:rStyle w:val="IndexLink"/>
                <w:rtl w:val="true"/>
              </w:rPr>
              <w:t>بیع ما لا ینتفع به</w:t>
            </w:r>
            <w:r>
              <w:rPr>
                <w:rStyle w:val="IndexLink"/>
                <w:rtl w:val="true"/>
              </w:rPr>
              <w:tab/>
            </w:r>
            <w:r>
              <w:rPr>
                <w:rStyle w:val="IndexLink"/>
              </w:rPr>
              <w:t>167</w:t>
            </w:r>
          </w:hyperlink>
        </w:p>
        <w:p>
          <w:pPr>
            <w:pStyle w:val="Contents3"/>
            <w:tabs>
              <w:tab w:val="clear" w:pos="8459"/>
              <w:tab w:val="right" w:pos="9026" w:leader="dot"/>
            </w:tabs>
            <w:rPr/>
          </w:pPr>
          <w:hyperlink w:anchor="__RefHeading___Toc5284890_2320776876">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5284892_2320776876">
            <w:r>
              <w:rPr>
                <w:webHidden/>
                <w:rStyle w:val="IndexLink"/>
                <w:rtl w:val="true"/>
              </w:rPr>
              <w:t>جواز بیع الماء و التراب و الحجارة</w:t>
            </w:r>
            <w:r>
              <w:rPr>
                <w:rStyle w:val="IndexLink"/>
                <w:rtl w:val="true"/>
              </w:rPr>
              <w:tab/>
            </w:r>
            <w:r>
              <w:rPr>
                <w:rStyle w:val="IndexLink"/>
              </w:rPr>
              <w:t>177</w:t>
            </w:r>
          </w:hyperlink>
        </w:p>
        <w:p>
          <w:pPr>
            <w:pStyle w:val="Contents3"/>
            <w:tabs>
              <w:tab w:val="clear" w:pos="8459"/>
              <w:tab w:val="right" w:pos="9026" w:leader="dot"/>
            </w:tabs>
            <w:rPr/>
          </w:pPr>
          <w:hyperlink w:anchor="__RefHeading___Toc5284894_2320776876">
            <w:r>
              <w:rPr>
                <w:webHidden/>
                <w:rStyle w:val="IndexLink"/>
                <w:rtl w:val="true"/>
              </w:rPr>
              <w:t>حرمة بیع التریاق</w:t>
            </w:r>
            <w:r>
              <w:rPr>
                <w:rStyle w:val="IndexLink"/>
                <w:rtl w:val="true"/>
              </w:rPr>
              <w:tab/>
            </w:r>
            <w:r>
              <w:rPr>
                <w:rStyle w:val="IndexLink"/>
              </w:rPr>
              <w:t>177</w:t>
            </w:r>
          </w:hyperlink>
        </w:p>
        <w:p>
          <w:pPr>
            <w:pStyle w:val="Contents3"/>
            <w:tabs>
              <w:tab w:val="clear" w:pos="8459"/>
              <w:tab w:val="right" w:pos="9026" w:leader="dot"/>
            </w:tabs>
            <w:rPr/>
          </w:pPr>
          <w:hyperlink w:anchor="__RefHeading___Toc5284896_2320776876">
            <w:r>
              <w:rPr>
                <w:webHidden/>
                <w:rStyle w:val="IndexLink"/>
                <w:rtl w:val="true"/>
              </w:rPr>
              <w:t>حکم بیع السمّ من الحشائش</w:t>
            </w:r>
            <w:r>
              <w:rPr>
                <w:rStyle w:val="IndexLink"/>
                <w:rtl w:val="true"/>
              </w:rPr>
              <w:tab/>
            </w:r>
            <w:r>
              <w:rPr>
                <w:rStyle w:val="IndexLink"/>
              </w:rPr>
              <w:t>178</w:t>
            </w:r>
          </w:hyperlink>
        </w:p>
        <w:p>
          <w:pPr>
            <w:pStyle w:val="Contents3"/>
            <w:tabs>
              <w:tab w:val="clear" w:pos="8459"/>
              <w:tab w:val="right" w:pos="9026" w:leader="dot"/>
            </w:tabs>
            <w:rPr/>
          </w:pPr>
          <w:hyperlink w:anchor="__RefHeading___Toc5284898_2320776876">
            <w:r>
              <w:rPr>
                <w:webHidden/>
                <w:rStyle w:val="IndexLink"/>
                <w:rtl w:val="true"/>
              </w:rPr>
              <w:t>جواز بیع لبن الآدمیات</w:t>
            </w:r>
            <w:r>
              <w:rPr>
                <w:rStyle w:val="IndexLink"/>
                <w:rtl w:val="true"/>
              </w:rPr>
              <w:tab/>
            </w:r>
            <w:r>
              <w:rPr>
                <w:rStyle w:val="IndexLink"/>
              </w:rPr>
              <w:t>178</w:t>
            </w:r>
          </w:hyperlink>
        </w:p>
        <w:p>
          <w:pPr>
            <w:pStyle w:val="Contents2"/>
            <w:tabs>
              <w:tab w:val="clear" w:pos="8743"/>
              <w:tab w:val="right" w:pos="9026" w:leader="dot"/>
            </w:tabs>
            <w:rPr/>
          </w:pPr>
          <w:hyperlink w:anchor="__RefHeading___Toc5284900_2320776876">
            <w:r>
              <w:rPr>
                <w:webHidden/>
                <w:rStyle w:val="IndexLink"/>
                <w:rtl w:val="true"/>
              </w:rPr>
              <w:t>الرابع</w:t>
            </w:r>
            <w:r>
              <w:rPr>
                <w:rStyle w:val="IndexLink"/>
                <w:rtl w:val="true"/>
              </w:rPr>
              <w:t xml:space="preserve">: </w:t>
            </w:r>
            <w:r>
              <w:rPr>
                <w:rStyle w:val="IndexLink"/>
                <w:rtl w:val="true"/>
              </w:rPr>
              <w:t>ما نصّ الشارع علی تحریمه عیناً</w:t>
            </w:r>
            <w:r>
              <w:rPr>
                <w:rStyle w:val="IndexLink"/>
                <w:rtl w:val="true"/>
              </w:rPr>
              <w:tab/>
            </w:r>
            <w:r>
              <w:rPr>
                <w:rStyle w:val="IndexLink"/>
              </w:rPr>
              <w:t>193</w:t>
            </w:r>
          </w:hyperlink>
        </w:p>
        <w:p>
          <w:pPr>
            <w:pStyle w:val="Contents3"/>
            <w:tabs>
              <w:tab w:val="clear" w:pos="8459"/>
              <w:tab w:val="right" w:pos="9026" w:leader="dot"/>
            </w:tabs>
            <w:rPr/>
          </w:pPr>
          <w:hyperlink w:anchor="__RefHeading___Toc5284902_2320776876">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5284904_2320776876">
            <w:r>
              <w:rPr>
                <w:webHidden/>
                <w:rStyle w:val="IndexLink"/>
                <w:rtl w:val="true"/>
              </w:rPr>
              <w:t>الغناء</w:t>
            </w:r>
            <w:r>
              <w:rPr>
                <w:rStyle w:val="IndexLink"/>
                <w:rtl w:val="true"/>
              </w:rPr>
              <w:tab/>
            </w:r>
            <w:r>
              <w:rPr>
                <w:rStyle w:val="IndexLink"/>
              </w:rPr>
              <w:t>198</w:t>
            </w:r>
          </w:hyperlink>
        </w:p>
        <w:p>
          <w:pPr>
            <w:pStyle w:val="Contents3"/>
            <w:tabs>
              <w:tab w:val="clear" w:pos="8459"/>
              <w:tab w:val="right" w:pos="9026" w:leader="dot"/>
            </w:tabs>
            <w:rPr/>
          </w:pPr>
          <w:hyperlink w:anchor="__RefHeading___Toc5284906_2320776876">
            <w:r>
              <w:rPr>
                <w:webHidden/>
                <w:rStyle w:val="IndexLink"/>
                <w:rtl w:val="true"/>
              </w:rPr>
              <w:t>القمار</w:t>
            </w:r>
            <w:r>
              <w:rPr>
                <w:rStyle w:val="IndexLink"/>
                <w:rtl w:val="true"/>
              </w:rPr>
              <w:tab/>
            </w:r>
            <w:r>
              <w:rPr>
                <w:rStyle w:val="IndexLink"/>
              </w:rPr>
              <w:t>212</w:t>
            </w:r>
          </w:hyperlink>
        </w:p>
        <w:p>
          <w:pPr>
            <w:pStyle w:val="Contents3"/>
            <w:tabs>
              <w:tab w:val="clear" w:pos="8459"/>
              <w:tab w:val="right" w:pos="9026" w:leader="dot"/>
            </w:tabs>
            <w:rPr/>
          </w:pPr>
          <w:hyperlink w:anchor="__RefHeading___Toc5284908_2320776876">
            <w:r>
              <w:rPr>
                <w:webHidden/>
                <w:rStyle w:val="IndexLink"/>
                <w:rtl w:val="true"/>
              </w:rPr>
              <w:t>الغشّ بما یخفی</w:t>
            </w:r>
            <w:r>
              <w:rPr>
                <w:rStyle w:val="IndexLink"/>
                <w:rtl w:val="true"/>
              </w:rPr>
              <w:tab/>
            </w:r>
            <w:r>
              <w:rPr>
                <w:rStyle w:val="IndexLink"/>
              </w:rPr>
              <w:t>215</w:t>
            </w:r>
          </w:hyperlink>
        </w:p>
        <w:p>
          <w:pPr>
            <w:pStyle w:val="Contents3"/>
            <w:tabs>
              <w:tab w:val="clear" w:pos="8459"/>
              <w:tab w:val="right" w:pos="9026" w:leader="dot"/>
            </w:tabs>
            <w:rPr/>
          </w:pPr>
          <w:hyperlink w:anchor="__RefHeading___Toc5284910_2320776876">
            <w:r>
              <w:rPr>
                <w:webHidden/>
                <w:rStyle w:val="IndexLink"/>
                <w:rtl w:val="true"/>
              </w:rPr>
              <w:t>تدلیس الماشطة</w:t>
            </w:r>
            <w:r>
              <w:rPr>
                <w:rStyle w:val="IndexLink"/>
                <w:rtl w:val="true"/>
              </w:rPr>
              <w:tab/>
            </w:r>
            <w:r>
              <w:rPr>
                <w:rStyle w:val="IndexLink"/>
              </w:rPr>
              <w:t>218</w:t>
            </w:r>
          </w:hyperlink>
        </w:p>
        <w:p>
          <w:pPr>
            <w:pStyle w:val="Contents3"/>
            <w:tabs>
              <w:tab w:val="clear" w:pos="8459"/>
              <w:tab w:val="right" w:pos="9026" w:leader="dot"/>
            </w:tabs>
            <w:rPr/>
          </w:pPr>
          <w:hyperlink w:anchor="__RefHeading___Toc5284912_2320776876">
            <w:r>
              <w:rPr>
                <w:webHidden/>
                <w:rStyle w:val="IndexLink"/>
                <w:rtl w:val="true"/>
              </w:rPr>
              <w:t>تزیین الرجل أو المرأة بالحرام</w:t>
            </w:r>
            <w:r>
              <w:rPr>
                <w:rStyle w:val="IndexLink"/>
                <w:rtl w:val="true"/>
              </w:rPr>
              <w:tab/>
            </w:r>
            <w:r>
              <w:rPr>
                <w:rStyle w:val="IndexLink"/>
              </w:rPr>
              <w:t>220</w:t>
            </w:r>
          </w:hyperlink>
        </w:p>
        <w:p>
          <w:pPr>
            <w:pStyle w:val="Contents3"/>
            <w:tabs>
              <w:tab w:val="clear" w:pos="8459"/>
              <w:tab w:val="right" w:pos="9026" w:leader="dot"/>
            </w:tabs>
            <w:rPr/>
          </w:pPr>
          <w:hyperlink w:anchor="__RefHeading___Toc5284914_2320776876">
            <w:r>
              <w:rPr>
                <w:webHidden/>
                <w:rStyle w:val="IndexLink"/>
                <w:rtl w:val="true"/>
              </w:rPr>
              <w:t>معونة الظالمین فی الظلم</w:t>
            </w:r>
            <w:r>
              <w:rPr>
                <w:rStyle w:val="IndexLink"/>
                <w:rtl w:val="true"/>
              </w:rPr>
              <w:tab/>
            </w:r>
            <w:r>
              <w:rPr>
                <w:rStyle w:val="IndexLink"/>
              </w:rPr>
              <w:t>221</w:t>
            </w:r>
          </w:hyperlink>
        </w:p>
        <w:p>
          <w:pPr>
            <w:pStyle w:val="Contents3"/>
            <w:tabs>
              <w:tab w:val="clear" w:pos="8459"/>
              <w:tab w:val="right" w:pos="9026" w:leader="dot"/>
            </w:tabs>
            <w:rPr/>
          </w:pPr>
          <w:hyperlink w:anchor="__RefHeading___Toc5284916_2320776876">
            <w:r>
              <w:rPr>
                <w:webHidden/>
                <w:rStyle w:val="IndexLink"/>
                <w:rtl w:val="true"/>
              </w:rPr>
              <w:t>غیبتهم</w:t>
            </w:r>
            <w:r>
              <w:rPr>
                <w:rStyle w:val="IndexLink"/>
                <w:rtl w:val="true"/>
              </w:rPr>
              <w:tab/>
            </w:r>
            <w:r>
              <w:rPr>
                <w:rStyle w:val="IndexLink"/>
              </w:rPr>
              <w:t>228</w:t>
            </w:r>
          </w:hyperlink>
        </w:p>
        <w:p>
          <w:pPr>
            <w:pStyle w:val="Contents3"/>
            <w:tabs>
              <w:tab w:val="clear" w:pos="8459"/>
              <w:tab w:val="right" w:pos="9026" w:leader="dot"/>
            </w:tabs>
            <w:rPr/>
          </w:pPr>
          <w:hyperlink w:anchor="__RefHeading___Toc5284918_2320776876">
            <w:r>
              <w:rPr>
                <w:webHidden/>
                <w:rStyle w:val="IndexLink"/>
                <w:rtl w:val="true"/>
              </w:rPr>
              <w:t>الکذب علیهم</w:t>
            </w:r>
            <w:r>
              <w:rPr>
                <w:rStyle w:val="IndexLink"/>
                <w:rtl w:val="true"/>
              </w:rPr>
              <w:tab/>
            </w:r>
            <w:r>
              <w:rPr>
                <w:rStyle w:val="IndexLink"/>
              </w:rPr>
              <w:t>239</w:t>
            </w:r>
          </w:hyperlink>
        </w:p>
        <w:p>
          <w:pPr>
            <w:pStyle w:val="Contents3"/>
            <w:tabs>
              <w:tab w:val="clear" w:pos="8459"/>
              <w:tab w:val="right" w:pos="9026" w:leader="dot"/>
            </w:tabs>
            <w:rPr/>
          </w:pPr>
          <w:hyperlink w:anchor="__RefHeading___Toc5284920_2320776876">
            <w:r>
              <w:rPr>
                <w:webHidden/>
                <w:rStyle w:val="IndexLink"/>
                <w:rtl w:val="true"/>
              </w:rPr>
              <w:t>النمیمة علیهم</w:t>
            </w:r>
            <w:r>
              <w:rPr>
                <w:rStyle w:val="IndexLink"/>
                <w:rtl w:val="true"/>
              </w:rPr>
              <w:tab/>
            </w:r>
            <w:r>
              <w:rPr>
                <w:rStyle w:val="IndexLink"/>
              </w:rPr>
              <w:t>241</w:t>
            </w:r>
          </w:hyperlink>
        </w:p>
        <w:p>
          <w:pPr>
            <w:pStyle w:val="Contents3"/>
            <w:tabs>
              <w:tab w:val="clear" w:pos="8459"/>
              <w:tab w:val="right" w:pos="9026" w:leader="dot"/>
            </w:tabs>
            <w:rPr/>
          </w:pPr>
          <w:hyperlink w:anchor="__RefHeading___Toc5284922_2320776876">
            <w:r>
              <w:rPr>
                <w:webHidden/>
                <w:rStyle w:val="IndexLink"/>
                <w:rtl w:val="true"/>
              </w:rPr>
              <w:t>سبّهم</w:t>
            </w:r>
            <w:r>
              <w:rPr>
                <w:rStyle w:val="IndexLink"/>
                <w:rtl w:val="true"/>
              </w:rPr>
              <w:tab/>
            </w:r>
            <w:r>
              <w:rPr>
                <w:rStyle w:val="IndexLink"/>
              </w:rPr>
              <w:t>242</w:t>
            </w:r>
          </w:hyperlink>
        </w:p>
        <w:p>
          <w:pPr>
            <w:pStyle w:val="Contents3"/>
            <w:tabs>
              <w:tab w:val="clear" w:pos="8459"/>
              <w:tab w:val="right" w:pos="9026" w:leader="dot"/>
            </w:tabs>
            <w:rPr/>
          </w:pPr>
          <w:hyperlink w:anchor="__RefHeading___Toc5284924_2320776876">
            <w:r>
              <w:rPr>
                <w:webHidden/>
                <w:rStyle w:val="IndexLink"/>
                <w:rtl w:val="true"/>
              </w:rPr>
              <w:t>مدح مَن یستحق الذم</w:t>
            </w:r>
            <w:r>
              <w:rPr>
                <w:rStyle w:val="IndexLink"/>
                <w:rtl w:val="true"/>
              </w:rPr>
              <w:tab/>
            </w:r>
            <w:r>
              <w:rPr>
                <w:rStyle w:val="IndexLink"/>
              </w:rPr>
              <w:t>242</w:t>
            </w:r>
          </w:hyperlink>
        </w:p>
        <w:p>
          <w:pPr>
            <w:pStyle w:val="Contents3"/>
            <w:tabs>
              <w:tab w:val="clear" w:pos="8459"/>
              <w:tab w:val="right" w:pos="9026" w:leader="dot"/>
            </w:tabs>
            <w:rPr/>
          </w:pPr>
          <w:hyperlink w:anchor="__RefHeading___Toc5284926_2320776876">
            <w:r>
              <w:rPr>
                <w:webHidden/>
                <w:rStyle w:val="IndexLink"/>
                <w:rtl w:val="true"/>
              </w:rPr>
              <w:t>التشبیب بالمرأة المعروفةالمؤمنة</w:t>
            </w:r>
            <w:r>
              <w:rPr>
                <w:rStyle w:val="IndexLink"/>
                <w:rtl w:val="true"/>
              </w:rPr>
              <w:tab/>
            </w:r>
            <w:r>
              <w:rPr>
                <w:rStyle w:val="IndexLink"/>
              </w:rPr>
              <w:t>244</w:t>
            </w:r>
          </w:hyperlink>
        </w:p>
        <w:p>
          <w:pPr>
            <w:pStyle w:val="Contents3"/>
            <w:tabs>
              <w:tab w:val="clear" w:pos="8459"/>
              <w:tab w:val="right" w:pos="9026" w:leader="dot"/>
            </w:tabs>
            <w:rPr/>
          </w:pPr>
          <w:hyperlink w:anchor="__RefHeading___Toc5284928_2320776876">
            <w:r>
              <w:rPr>
                <w:webHidden/>
                <w:rStyle w:val="IndexLink"/>
                <w:rtl w:val="true"/>
              </w:rPr>
              <w:t>السحر</w:t>
            </w:r>
            <w:r>
              <w:rPr>
                <w:rStyle w:val="IndexLink"/>
                <w:rtl w:val="true"/>
              </w:rPr>
              <w:tab/>
            </w:r>
            <w:r>
              <w:rPr>
                <w:rStyle w:val="IndexLink"/>
              </w:rPr>
              <w:t>246</w:t>
            </w:r>
          </w:hyperlink>
        </w:p>
        <w:p>
          <w:pPr>
            <w:pStyle w:val="Contents3"/>
            <w:tabs>
              <w:tab w:val="clear" w:pos="8459"/>
              <w:tab w:val="right" w:pos="9026" w:leader="dot"/>
            </w:tabs>
            <w:rPr/>
          </w:pPr>
          <w:hyperlink w:anchor="__RefHeading___Toc5284930_2320776876">
            <w:r>
              <w:rPr>
                <w:webHidden/>
                <w:rStyle w:val="IndexLink"/>
                <w:rtl w:val="true"/>
              </w:rPr>
              <w:t>وجوب قتل المستحلّ له</w:t>
            </w:r>
            <w:r>
              <w:rPr>
                <w:rStyle w:val="IndexLink"/>
                <w:rtl w:val="true"/>
              </w:rPr>
              <w:tab/>
            </w:r>
            <w:r>
              <w:rPr>
                <w:rStyle w:val="IndexLink"/>
              </w:rPr>
              <w:t>255</w:t>
            </w:r>
          </w:hyperlink>
        </w:p>
        <w:p>
          <w:pPr>
            <w:pStyle w:val="Contents3"/>
            <w:tabs>
              <w:tab w:val="clear" w:pos="8459"/>
              <w:tab w:val="right" w:pos="9026" w:leader="dot"/>
            </w:tabs>
            <w:rPr/>
          </w:pPr>
          <w:hyperlink w:anchor="__RefHeading___Toc5284932_2320776876">
            <w:r>
              <w:rPr>
                <w:webHidden/>
                <w:rStyle w:val="IndexLink"/>
                <w:rtl w:val="true"/>
              </w:rPr>
              <w:t>الکهانة</w:t>
            </w:r>
            <w:r>
              <w:rPr>
                <w:rStyle w:val="IndexLink"/>
                <w:rtl w:val="true"/>
              </w:rPr>
              <w:tab/>
            </w:r>
            <w:r>
              <w:rPr>
                <w:rStyle w:val="IndexLink"/>
              </w:rPr>
              <w:t>258</w:t>
            </w:r>
          </w:hyperlink>
        </w:p>
        <w:p>
          <w:pPr>
            <w:pStyle w:val="Contents3"/>
            <w:tabs>
              <w:tab w:val="clear" w:pos="8459"/>
              <w:tab w:val="right" w:pos="9026" w:leader="dot"/>
            </w:tabs>
            <w:rPr/>
          </w:pPr>
          <w:hyperlink w:anchor="__RefHeading___Toc5284934_2320776876">
            <w:r>
              <w:rPr>
                <w:webHidden/>
                <w:rStyle w:val="IndexLink"/>
                <w:rtl w:val="true"/>
              </w:rPr>
              <w:t>التنجیم و تعلّم النجوم</w:t>
            </w:r>
            <w:r>
              <w:rPr>
                <w:rStyle w:val="IndexLink"/>
                <w:rtl w:val="true"/>
              </w:rPr>
              <w:tab/>
            </w:r>
            <w:r>
              <w:rPr>
                <w:rStyle w:val="IndexLink"/>
              </w:rPr>
              <w:t>262</w:t>
            </w:r>
          </w:hyperlink>
        </w:p>
        <w:p>
          <w:pPr>
            <w:pStyle w:val="Contents3"/>
            <w:tabs>
              <w:tab w:val="clear" w:pos="8459"/>
              <w:tab w:val="right" w:pos="9026" w:leader="dot"/>
            </w:tabs>
            <w:rPr/>
          </w:pPr>
          <w:hyperlink w:anchor="__RefHeading___Toc5284936_2320776876">
            <w:r>
              <w:rPr>
                <w:webHidden/>
                <w:rStyle w:val="IndexLink"/>
                <w:rtl w:val="true"/>
              </w:rPr>
              <w:t>الشعبذة</w:t>
            </w:r>
            <w:r>
              <w:rPr>
                <w:rStyle w:val="IndexLink"/>
                <w:rtl w:val="true"/>
              </w:rPr>
              <w:tab/>
            </w:r>
            <w:r>
              <w:rPr>
                <w:rStyle w:val="IndexLink"/>
              </w:rPr>
              <w:t>267</w:t>
            </w:r>
          </w:hyperlink>
        </w:p>
        <w:p>
          <w:pPr>
            <w:pStyle w:val="Contents3"/>
            <w:tabs>
              <w:tab w:val="clear" w:pos="8459"/>
              <w:tab w:val="right" w:pos="9026" w:leader="dot"/>
            </w:tabs>
            <w:rPr/>
          </w:pPr>
          <w:hyperlink w:anchor="__RefHeading___Toc5284938_2320776876">
            <w:r>
              <w:rPr>
                <w:webHidden/>
                <w:rStyle w:val="IndexLink"/>
                <w:rtl w:val="true"/>
              </w:rPr>
              <w:t>القیافة</w:t>
            </w:r>
            <w:r>
              <w:rPr>
                <w:rStyle w:val="IndexLink"/>
                <w:rtl w:val="true"/>
              </w:rPr>
              <w:tab/>
            </w:r>
            <w:r>
              <w:rPr>
                <w:rStyle w:val="IndexLink"/>
              </w:rPr>
              <w:t>268</w:t>
            </w:r>
          </w:hyperlink>
        </w:p>
        <w:p>
          <w:pPr>
            <w:pStyle w:val="Contents3"/>
            <w:tabs>
              <w:tab w:val="clear" w:pos="8459"/>
              <w:tab w:val="right" w:pos="9026" w:leader="dot"/>
            </w:tabs>
            <w:rPr/>
          </w:pPr>
          <w:hyperlink w:anchor="__RefHeading___Toc5284940_2320776876">
            <w:r>
              <w:rPr>
                <w:webHidden/>
                <w:rStyle w:val="IndexLink"/>
                <w:rtl w:val="true"/>
              </w:rPr>
              <w:t>بیع المصحف</w:t>
            </w:r>
            <w:r>
              <w:rPr>
                <w:rStyle w:val="IndexLink"/>
                <w:rtl w:val="true"/>
              </w:rPr>
              <w:tab/>
            </w:r>
            <w:r>
              <w:rPr>
                <w:rStyle w:val="IndexLink"/>
              </w:rPr>
              <w:t>271</w:t>
            </w:r>
          </w:hyperlink>
        </w:p>
        <w:p>
          <w:pPr>
            <w:pStyle w:val="Contents3"/>
            <w:tabs>
              <w:tab w:val="clear" w:pos="8459"/>
              <w:tab w:val="right" w:pos="9026" w:leader="dot"/>
            </w:tabs>
            <w:rPr/>
          </w:pPr>
          <w:hyperlink w:anchor="__RefHeading___Toc5284942_2320776876">
            <w:r>
              <w:rPr>
                <w:webHidden/>
                <w:rStyle w:val="IndexLink"/>
                <w:rtl w:val="true"/>
              </w:rPr>
              <w:t>جواز الاُجرة علی کتابة القرآن</w:t>
            </w:r>
            <w:r>
              <w:rPr>
                <w:rStyle w:val="IndexLink"/>
                <w:rtl w:val="true"/>
              </w:rPr>
              <w:tab/>
            </w:r>
            <w:r>
              <w:rPr>
                <w:rStyle w:val="IndexLink"/>
              </w:rPr>
              <w:t>275</w:t>
            </w:r>
          </w:hyperlink>
        </w:p>
        <w:p>
          <w:pPr>
            <w:pStyle w:val="Contents3"/>
            <w:tabs>
              <w:tab w:val="clear" w:pos="8459"/>
              <w:tab w:val="right" w:pos="9026" w:leader="dot"/>
            </w:tabs>
            <w:rPr/>
          </w:pPr>
          <w:hyperlink w:anchor="__RefHeading___Toc5284944_2320776876">
            <w:r>
              <w:rPr>
                <w:webHidden/>
                <w:rStyle w:val="IndexLink"/>
                <w:rtl w:val="true"/>
              </w:rPr>
              <w:t>حرمة السرقة و الخیانة و بیعهما</w:t>
            </w:r>
            <w:r>
              <w:rPr>
                <w:rStyle w:val="IndexLink"/>
                <w:rtl w:val="true"/>
              </w:rPr>
              <w:tab/>
            </w:r>
            <w:r>
              <w:rPr>
                <w:rStyle w:val="IndexLink"/>
              </w:rPr>
              <w:t>275</w:t>
            </w:r>
          </w:hyperlink>
        </w:p>
        <w:p>
          <w:pPr>
            <w:pStyle w:val="Contents3"/>
            <w:tabs>
              <w:tab w:val="clear" w:pos="8459"/>
              <w:tab w:val="right" w:pos="9026" w:leader="dot"/>
            </w:tabs>
            <w:rPr/>
          </w:pPr>
          <w:hyperlink w:anchor="__RefHeading___Toc5284946_2320776876">
            <w:r>
              <w:rPr>
                <w:webHidden/>
                <w:rStyle w:val="IndexLink"/>
                <w:rtl w:val="true"/>
              </w:rPr>
              <w:t>حکم مَن وجد عنده سرقة</w:t>
            </w:r>
            <w:r>
              <w:rPr>
                <w:rStyle w:val="IndexLink"/>
                <w:rtl w:val="true"/>
              </w:rPr>
              <w:tab/>
            </w:r>
            <w:r>
              <w:rPr>
                <w:rStyle w:val="IndexLink"/>
              </w:rPr>
              <w:t>276</w:t>
            </w:r>
          </w:hyperlink>
        </w:p>
        <w:p>
          <w:pPr>
            <w:pStyle w:val="Contents3"/>
            <w:tabs>
              <w:tab w:val="clear" w:pos="8459"/>
              <w:tab w:val="right" w:pos="9026" w:leader="dot"/>
            </w:tabs>
            <w:rPr/>
          </w:pPr>
          <w:hyperlink w:anchor="__RefHeading___Toc5284948_2320776876">
            <w:r>
              <w:rPr>
                <w:webHidden/>
                <w:rStyle w:val="IndexLink"/>
                <w:rtl w:val="true"/>
              </w:rPr>
              <w:t>حکم ما لو اشتری بمال السرقة و الخیانة</w:t>
            </w:r>
            <w:r>
              <w:rPr>
                <w:rStyle w:val="IndexLink"/>
                <w:rtl w:val="true"/>
              </w:rPr>
              <w:tab/>
            </w:r>
            <w:r>
              <w:rPr>
                <w:rStyle w:val="IndexLink"/>
              </w:rPr>
              <w:t>282</w:t>
            </w:r>
          </w:hyperlink>
        </w:p>
        <w:p>
          <w:pPr>
            <w:pStyle w:val="Contents3"/>
            <w:tabs>
              <w:tab w:val="clear" w:pos="8459"/>
              <w:tab w:val="right" w:pos="9026" w:leader="dot"/>
            </w:tabs>
            <w:rPr/>
          </w:pPr>
          <w:hyperlink w:anchor="__RefHeading___Toc5284950_2320776876">
            <w:r>
              <w:rPr>
                <w:webHidden/>
                <w:rStyle w:val="IndexLink"/>
                <w:rtl w:val="true"/>
              </w:rPr>
              <w:t>حکم ما لو حجّ به</w:t>
            </w:r>
            <w:r>
              <w:rPr>
                <w:rStyle w:val="IndexLink"/>
                <w:rtl w:val="true"/>
              </w:rPr>
              <w:tab/>
            </w:r>
            <w:r>
              <w:rPr>
                <w:rStyle w:val="IndexLink"/>
              </w:rPr>
              <w:t>282</w:t>
            </w:r>
          </w:hyperlink>
        </w:p>
        <w:p>
          <w:pPr>
            <w:pStyle w:val="Contents3"/>
            <w:tabs>
              <w:tab w:val="clear" w:pos="8459"/>
              <w:tab w:val="right" w:pos="9026" w:leader="dot"/>
            </w:tabs>
            <w:rPr/>
          </w:pPr>
          <w:hyperlink w:anchor="__RefHeading___Toc5284952_2320776876">
            <w:r>
              <w:rPr>
                <w:webHidden/>
                <w:rStyle w:val="IndexLink"/>
                <w:rtl w:val="true"/>
              </w:rPr>
              <w:t>حکم الطواف و السعی بالثوب المغضوب أو علی الدابة المغصوبة</w:t>
            </w:r>
            <w:r>
              <w:rPr>
                <w:rStyle w:val="IndexLink"/>
                <w:rtl w:val="true"/>
              </w:rPr>
              <w:tab/>
            </w:r>
            <w:r>
              <w:rPr>
                <w:rStyle w:val="IndexLink"/>
              </w:rPr>
              <w:t>282</w:t>
            </w:r>
          </w:hyperlink>
        </w:p>
        <w:p>
          <w:pPr>
            <w:pStyle w:val="Contents3"/>
            <w:tabs>
              <w:tab w:val="clear" w:pos="8459"/>
              <w:tab w:val="right" w:pos="9026" w:leader="dot"/>
            </w:tabs>
            <w:rPr/>
          </w:pPr>
          <w:hyperlink w:anchor="__RefHeading___Toc5284954_2320776876">
            <w:r>
              <w:rPr>
                <w:webHidden/>
                <w:rStyle w:val="IndexLink"/>
                <w:rtl w:val="true"/>
              </w:rPr>
              <w:t>التطیف</w:t>
            </w:r>
            <w:r>
              <w:rPr>
                <w:rStyle w:val="IndexLink"/>
                <w:rtl w:val="true"/>
              </w:rPr>
              <w:tab/>
            </w:r>
            <w:r>
              <w:rPr>
                <w:rStyle w:val="IndexLink"/>
              </w:rPr>
              <w:t>283</w:t>
            </w:r>
          </w:hyperlink>
        </w:p>
        <w:p>
          <w:pPr>
            <w:pStyle w:val="Contents3"/>
            <w:tabs>
              <w:tab w:val="clear" w:pos="8459"/>
              <w:tab w:val="right" w:pos="9026" w:leader="dot"/>
            </w:tabs>
            <w:rPr/>
          </w:pPr>
          <w:hyperlink w:anchor="__RefHeading___Toc5284956_2320776876">
            <w:r>
              <w:rPr>
                <w:webHidden/>
                <w:rStyle w:val="IndexLink"/>
                <w:rtl w:val="true"/>
              </w:rPr>
              <w:t>الرشا فی الحکم</w:t>
            </w:r>
            <w:r>
              <w:rPr>
                <w:rStyle w:val="IndexLink"/>
                <w:rtl w:val="true"/>
              </w:rPr>
              <w:tab/>
            </w:r>
            <w:r>
              <w:rPr>
                <w:rStyle w:val="IndexLink"/>
              </w:rPr>
              <w:t>284</w:t>
            </w:r>
          </w:hyperlink>
        </w:p>
        <w:p>
          <w:pPr>
            <w:pStyle w:val="Contents2"/>
            <w:tabs>
              <w:tab w:val="clear" w:pos="8743"/>
              <w:tab w:val="right" w:pos="9026" w:leader="dot"/>
            </w:tabs>
            <w:rPr/>
          </w:pPr>
          <w:hyperlink w:anchor="__RefHeading___Toc5284958_2320776876">
            <w:r>
              <w:rPr>
                <w:webHidden/>
                <w:rStyle w:val="IndexLink"/>
                <w:rtl w:val="true"/>
              </w:rPr>
              <w:t>الخامس</w:t>
            </w:r>
            <w:r>
              <w:rPr>
                <w:rStyle w:val="IndexLink"/>
                <w:rtl w:val="true"/>
              </w:rPr>
              <w:t xml:space="preserve">: </w:t>
            </w:r>
            <w:r>
              <w:rPr>
                <w:rStyle w:val="IndexLink"/>
                <w:rtl w:val="true"/>
              </w:rPr>
              <w:t>ما یجب علی الانسان فعله</w:t>
            </w:r>
            <w:r>
              <w:rPr>
                <w:rStyle w:val="IndexLink"/>
                <w:rtl w:val="true"/>
              </w:rPr>
              <w:tab/>
            </w:r>
            <w:r>
              <w:rPr>
                <w:rStyle w:val="IndexLink"/>
              </w:rPr>
              <w:t>286</w:t>
            </w:r>
          </w:hyperlink>
        </w:p>
        <w:p>
          <w:pPr>
            <w:pStyle w:val="Contents3"/>
            <w:tabs>
              <w:tab w:val="clear" w:pos="8459"/>
              <w:tab w:val="right" w:pos="9026" w:leader="dot"/>
            </w:tabs>
            <w:rPr/>
          </w:pPr>
          <w:hyperlink w:anchor="__RefHeading___Toc5284960_2320776876">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5284962_2320776876">
            <w:r>
              <w:rPr>
                <w:webHidden/>
                <w:rStyle w:val="IndexLink"/>
                <w:rtl w:val="true"/>
              </w:rPr>
              <w:t>حرمة الاُجرة علی الأذان</w:t>
            </w:r>
            <w:r>
              <w:rPr>
                <w:rStyle w:val="IndexLink"/>
                <w:rtl w:val="true"/>
              </w:rPr>
              <w:tab/>
            </w:r>
            <w:r>
              <w:rPr>
                <w:rStyle w:val="IndexLink"/>
              </w:rPr>
              <w:t>293</w:t>
            </w:r>
          </w:hyperlink>
        </w:p>
        <w:p>
          <w:pPr>
            <w:pStyle w:val="Contents3"/>
            <w:tabs>
              <w:tab w:val="clear" w:pos="8459"/>
              <w:tab w:val="right" w:pos="9026" w:leader="dot"/>
            </w:tabs>
            <w:rPr/>
          </w:pPr>
          <w:hyperlink w:anchor="__RefHeading___Toc5284964_2320776876">
            <w:r>
              <w:rPr>
                <w:webHidden/>
                <w:rStyle w:val="IndexLink"/>
                <w:rtl w:val="true"/>
              </w:rPr>
              <w:t>حرمة الاُجره علی الإمامة</w:t>
            </w:r>
            <w:r>
              <w:rPr>
                <w:rStyle w:val="IndexLink"/>
                <w:rtl w:val="true"/>
              </w:rPr>
              <w:tab/>
            </w:r>
            <w:r>
              <w:rPr>
                <w:rStyle w:val="IndexLink"/>
              </w:rPr>
              <w:t>300</w:t>
            </w:r>
          </w:hyperlink>
        </w:p>
        <w:p>
          <w:pPr>
            <w:pStyle w:val="Contents3"/>
            <w:tabs>
              <w:tab w:val="clear" w:pos="8459"/>
              <w:tab w:val="right" w:pos="9026" w:leader="dot"/>
            </w:tabs>
            <w:rPr/>
          </w:pPr>
          <w:hyperlink w:anchor="__RefHeading___Toc5284966_2320776876">
            <w:r>
              <w:rPr>
                <w:webHidden/>
                <w:rStyle w:val="IndexLink"/>
                <w:rtl w:val="true"/>
              </w:rPr>
              <w:t>حرمة الاُجرة علی أدائها</w:t>
            </w:r>
            <w:r>
              <w:rPr>
                <w:rStyle w:val="IndexLink"/>
                <w:rtl w:val="true"/>
              </w:rPr>
              <w:tab/>
            </w:r>
            <w:r>
              <w:rPr>
                <w:rStyle w:val="IndexLink"/>
              </w:rPr>
              <w:t>303</w:t>
            </w:r>
          </w:hyperlink>
        </w:p>
        <w:p>
          <w:pPr>
            <w:pStyle w:val="Contents2"/>
            <w:tabs>
              <w:tab w:val="clear" w:pos="8743"/>
              <w:tab w:val="right" w:pos="9026" w:leader="dot"/>
            </w:tabs>
            <w:rPr/>
          </w:pPr>
          <w:hyperlink w:anchor="__RefHeading___Toc5284968_2320776876">
            <w:r>
              <w:rPr>
                <w:webHidden/>
                <w:rStyle w:val="IndexLink"/>
                <w:rtl w:val="true"/>
              </w:rPr>
              <w:t>خاتمه</w:t>
            </w:r>
            <w:r>
              <w:rPr>
                <w:rStyle w:val="IndexLink"/>
                <w:rtl w:val="true"/>
              </w:rPr>
              <w:t>:</w:t>
            </w:r>
            <w:r>
              <w:rPr>
                <w:rStyle w:val="IndexLink"/>
                <w:rtl w:val="true"/>
              </w:rPr>
              <w:t>تشتمل علی أحکام</w:t>
            </w:r>
            <w:r>
              <w:rPr>
                <w:rStyle w:val="IndexLink"/>
                <w:rtl w:val="true"/>
              </w:rPr>
              <w:tab/>
            </w:r>
            <w:r>
              <w:rPr>
                <w:rStyle w:val="IndexLink"/>
              </w:rPr>
              <w:t>303</w:t>
            </w:r>
          </w:hyperlink>
        </w:p>
        <w:p>
          <w:pPr>
            <w:pStyle w:val="Contents3"/>
            <w:tabs>
              <w:tab w:val="clear" w:pos="8459"/>
              <w:tab w:val="right" w:pos="9026" w:leader="dot"/>
            </w:tabs>
            <w:rPr/>
          </w:pPr>
          <w:hyperlink w:anchor="__RefHeading___Toc5284970_2320776876">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284972_2320776876">
            <w:r>
              <w:rPr>
                <w:webHidden/>
                <w:rStyle w:val="IndexLink"/>
                <w:rtl w:val="true"/>
              </w:rPr>
              <w:t>ثبوت الخیار مع الغبن الفاحش لهم</w:t>
            </w:r>
            <w:r>
              <w:rPr>
                <w:rStyle w:val="IndexLink"/>
                <w:rtl w:val="true"/>
              </w:rPr>
              <w:tab/>
            </w:r>
            <w:r>
              <w:rPr>
                <w:rStyle w:val="IndexLink"/>
              </w:rPr>
              <w:t>307</w:t>
            </w:r>
          </w:hyperlink>
        </w:p>
        <w:p>
          <w:pPr>
            <w:pStyle w:val="Contents3"/>
            <w:tabs>
              <w:tab w:val="clear" w:pos="8459"/>
              <w:tab w:val="right" w:pos="9026" w:leader="dot"/>
            </w:tabs>
            <w:rPr/>
          </w:pPr>
          <w:hyperlink w:anchor="__RefHeading___Toc5284974_2320776876">
            <w:r>
              <w:rPr>
                <w:webHidden/>
                <w:rStyle w:val="IndexLink"/>
                <w:rtl w:val="true"/>
              </w:rPr>
              <w:t>حرمة النجش</w:t>
            </w:r>
            <w:r>
              <w:rPr>
                <w:rStyle w:val="IndexLink"/>
                <w:rtl w:val="true"/>
              </w:rPr>
              <w:tab/>
            </w:r>
            <w:r>
              <w:rPr>
                <w:rStyle w:val="IndexLink"/>
              </w:rPr>
              <w:t>313</w:t>
            </w:r>
          </w:hyperlink>
        </w:p>
        <w:p>
          <w:pPr>
            <w:pStyle w:val="Contents3"/>
            <w:tabs>
              <w:tab w:val="clear" w:pos="8459"/>
              <w:tab w:val="right" w:pos="9026" w:leader="dot"/>
            </w:tabs>
            <w:rPr/>
          </w:pPr>
          <w:hyperlink w:anchor="__RefHeading___Toc5284976_2320776876">
            <w:r>
              <w:rPr>
                <w:webHidden/>
                <w:rStyle w:val="IndexLink"/>
                <w:rtl w:val="true"/>
              </w:rPr>
              <w:t>ثبوت الخیار فیه مع الغبن الفاحش</w:t>
            </w:r>
            <w:r>
              <w:rPr>
                <w:rStyle w:val="IndexLink"/>
                <w:rtl w:val="true"/>
              </w:rPr>
              <w:tab/>
            </w:r>
            <w:r>
              <w:rPr>
                <w:rStyle w:val="IndexLink"/>
              </w:rPr>
              <w:t>316</w:t>
            </w:r>
          </w:hyperlink>
        </w:p>
        <w:p>
          <w:pPr>
            <w:pStyle w:val="Contents2"/>
            <w:tabs>
              <w:tab w:val="clear" w:pos="8743"/>
              <w:tab w:val="right" w:pos="9026" w:leader="dot"/>
            </w:tabs>
            <w:rPr/>
          </w:pPr>
          <w:hyperlink w:anchor="__RefHeading___Toc5284978_2320776876">
            <w:r>
              <w:rPr>
                <w:webHidden/>
                <w:rStyle w:val="IndexLink"/>
                <w:rtl w:val="true"/>
              </w:rPr>
              <w:t>الثانی حرمة الاحتکار</w:t>
            </w:r>
            <w:r>
              <w:rPr>
                <w:rStyle w:val="IndexLink"/>
                <w:rtl w:val="true"/>
              </w:rPr>
              <w:tab/>
            </w:r>
            <w:r>
              <w:rPr>
                <w:rStyle w:val="IndexLink"/>
              </w:rPr>
              <w:t>317</w:t>
            </w:r>
          </w:hyperlink>
        </w:p>
        <w:p>
          <w:pPr>
            <w:pStyle w:val="Contents2"/>
            <w:tabs>
              <w:tab w:val="clear" w:pos="8743"/>
              <w:tab w:val="right" w:pos="9026" w:leader="dot"/>
            </w:tabs>
            <w:rPr/>
          </w:pPr>
          <w:hyperlink w:anchor="__RefHeading___Toc5284980_2320776876">
            <w:r>
              <w:rPr>
                <w:webHidden/>
                <w:rStyle w:val="IndexLink"/>
                <w:rtl w:val="true"/>
              </w:rPr>
              <w:t>الرابع حکم أکل ما ینثر فی الأعراس</w:t>
            </w:r>
            <w:r>
              <w:rPr>
                <w:rStyle w:val="IndexLink"/>
                <w:rtl w:val="true"/>
              </w:rPr>
              <w:tab/>
            </w:r>
            <w:r>
              <w:rPr>
                <w:rStyle w:val="IndexLink"/>
              </w:rPr>
              <w:t>335</w:t>
            </w:r>
          </w:hyperlink>
        </w:p>
        <w:p>
          <w:pPr>
            <w:pStyle w:val="Contents2"/>
            <w:tabs>
              <w:tab w:val="clear" w:pos="8743"/>
              <w:tab w:val="right" w:pos="9026" w:leader="dot"/>
            </w:tabs>
            <w:rPr/>
          </w:pPr>
          <w:hyperlink w:anchor="__RefHeading___Toc5284982_2320776876">
            <w:r>
              <w:rPr>
                <w:webHidden/>
                <w:rStyle w:val="IndexLink"/>
                <w:rtl w:val="true"/>
              </w:rPr>
              <w:t>الخامس حکم الولایة من قبل الإمام العادل</w:t>
            </w:r>
            <w:r>
              <w:rPr>
                <w:rStyle w:val="IndexLink"/>
                <w:rtl w:val="true"/>
              </w:rPr>
              <w:tab/>
            </w:r>
            <w:r>
              <w:rPr>
                <w:rStyle w:val="IndexLink"/>
              </w:rPr>
              <w:t>337</w:t>
            </w:r>
          </w:hyperlink>
        </w:p>
        <w:p>
          <w:pPr>
            <w:pStyle w:val="Contents3"/>
            <w:tabs>
              <w:tab w:val="clear" w:pos="8459"/>
              <w:tab w:val="right" w:pos="9026" w:leader="dot"/>
            </w:tabs>
            <w:rPr/>
          </w:pPr>
          <w:hyperlink w:anchor="__RefHeading___Toc5284984_2320776876">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5284986_2320776876">
            <w:r>
              <w:rPr>
                <w:webHidden/>
                <w:rStyle w:val="IndexLink"/>
                <w:rtl w:val="true"/>
              </w:rPr>
              <w:t>حکم الولایة من الجائر</w:t>
            </w:r>
            <w:r>
              <w:rPr>
                <w:rStyle w:val="IndexLink"/>
                <w:rtl w:val="true"/>
              </w:rPr>
              <w:tab/>
            </w:r>
            <w:r>
              <w:rPr>
                <w:rStyle w:val="IndexLink"/>
              </w:rPr>
              <w:t>338</w:t>
            </w:r>
          </w:hyperlink>
        </w:p>
        <w:p>
          <w:pPr>
            <w:pStyle w:val="Contents2"/>
            <w:tabs>
              <w:tab w:val="clear" w:pos="8743"/>
              <w:tab w:val="right" w:pos="9026" w:leader="dot"/>
            </w:tabs>
            <w:rPr/>
          </w:pPr>
          <w:hyperlink w:anchor="__RefHeading___Toc5284988_2320776876">
            <w:r>
              <w:rPr>
                <w:webHidden/>
                <w:rStyle w:val="IndexLink"/>
                <w:rtl w:val="true"/>
              </w:rPr>
              <w:t>السادس حکم جوائز الظالم</w:t>
            </w:r>
            <w:r>
              <w:rPr>
                <w:rStyle w:val="IndexLink"/>
                <w:rtl w:val="true"/>
              </w:rPr>
              <w:tab/>
            </w:r>
            <w:r>
              <w:rPr>
                <w:rStyle w:val="IndexLink"/>
              </w:rPr>
              <w:t>342</w:t>
            </w:r>
          </w:hyperlink>
        </w:p>
        <w:p>
          <w:pPr>
            <w:pStyle w:val="Contents2"/>
            <w:tabs>
              <w:tab w:val="clear" w:pos="8743"/>
              <w:tab w:val="right" w:pos="9026" w:leader="dot"/>
            </w:tabs>
            <w:rPr/>
          </w:pPr>
          <w:hyperlink w:anchor="__RefHeading___Toc5284990_2320776876">
            <w:r>
              <w:rPr>
                <w:webHidden/>
                <w:rStyle w:val="IndexLink"/>
                <w:rtl w:val="true"/>
              </w:rPr>
              <w:t>الثامن حکم الأجیر الخاص</w:t>
            </w:r>
            <w:r>
              <w:rPr>
                <w:rStyle w:val="IndexLink"/>
                <w:rtl w:val="true"/>
              </w:rPr>
              <w:tab/>
            </w:r>
            <w:r>
              <w:rPr>
                <w:rStyle w:val="IndexLink"/>
              </w:rPr>
              <w:t>358</w:t>
            </w:r>
          </w:hyperlink>
        </w:p>
        <w:p>
          <w:pPr>
            <w:pStyle w:val="Contents2"/>
            <w:tabs>
              <w:tab w:val="clear" w:pos="8743"/>
              <w:tab w:val="right" w:pos="9026" w:leader="dot"/>
            </w:tabs>
            <w:rPr/>
          </w:pPr>
          <w:hyperlink w:anchor="__RefHeading___Toc5284992_2320776876">
            <w:r>
              <w:rPr>
                <w:webHidden/>
                <w:rStyle w:val="IndexLink"/>
                <w:rtl w:val="true"/>
              </w:rPr>
              <w:t>الحادی عشر حکم أخذ الرجل من مال ولده</w:t>
            </w:r>
            <w:r>
              <w:rPr>
                <w:rStyle w:val="IndexLink"/>
                <w:rtl w:val="true"/>
              </w:rPr>
              <w:tab/>
            </w:r>
            <w:r>
              <w:rPr>
                <w:rStyle w:val="IndexLink"/>
              </w:rPr>
              <w:t>371</w:t>
            </w:r>
          </w:hyperlink>
        </w:p>
        <w:p>
          <w:pPr>
            <w:pStyle w:val="Contents3"/>
            <w:tabs>
              <w:tab w:val="clear" w:pos="8459"/>
              <w:tab w:val="right" w:pos="9026" w:leader="dot"/>
            </w:tabs>
            <w:rPr/>
          </w:pPr>
          <w:hyperlink w:anchor="__RefHeading___Toc5284994_2320776876">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5284996_2320776876">
            <w:r>
              <w:rPr>
                <w:webHidden/>
                <w:rStyle w:val="IndexLink"/>
                <w:rtl w:val="true"/>
              </w:rPr>
              <w:t>حکم أخذ الولد من مال والده</w:t>
            </w:r>
            <w:r>
              <w:rPr>
                <w:rStyle w:val="IndexLink"/>
                <w:rtl w:val="true"/>
              </w:rPr>
              <w:tab/>
            </w:r>
            <w:r>
              <w:rPr>
                <w:rStyle w:val="IndexLink"/>
              </w:rPr>
              <w:t>378</w:t>
            </w:r>
          </w:hyperlink>
        </w:p>
        <w:p>
          <w:pPr>
            <w:pStyle w:val="Contents3"/>
            <w:tabs>
              <w:tab w:val="clear" w:pos="8459"/>
              <w:tab w:val="right" w:pos="9026" w:leader="dot"/>
            </w:tabs>
            <w:rPr/>
          </w:pPr>
          <w:hyperlink w:anchor="__RefHeading___Toc5284998_2320776876">
            <w:r>
              <w:rPr>
                <w:webHidden/>
                <w:rStyle w:val="IndexLink"/>
                <w:rtl w:val="true"/>
              </w:rPr>
              <w:t>حکم أخذ الزوجة من مال زوجها</w:t>
            </w:r>
            <w:r>
              <w:rPr>
                <w:rStyle w:val="IndexLink"/>
                <w:rtl w:val="true"/>
              </w:rPr>
              <w:tab/>
            </w:r>
            <w:r>
              <w:rPr>
                <w:rStyle w:val="IndexLink"/>
              </w:rPr>
              <w:t>378</w:t>
            </w:r>
          </w:hyperlink>
        </w:p>
        <w:p>
          <w:pPr>
            <w:pStyle w:val="Contents2"/>
            <w:tabs>
              <w:tab w:val="clear" w:pos="8743"/>
              <w:tab w:val="right" w:pos="9026" w:leader="dot"/>
            </w:tabs>
            <w:rPr/>
          </w:pPr>
          <w:hyperlink w:anchor="__RefHeading___Toc5285000_2320776876">
            <w:r>
              <w:rPr>
                <w:webHidden/>
                <w:rStyle w:val="IndexLink"/>
                <w:rtl w:val="true"/>
              </w:rPr>
              <w:t>الفصل الثانی في الآداب</w:t>
            </w:r>
            <w:r>
              <w:rPr>
                <w:rStyle w:val="IndexLink"/>
                <w:rtl w:val="true"/>
              </w:rPr>
              <w:tab/>
            </w:r>
            <w:r>
              <w:rPr>
                <w:rStyle w:val="IndexLink"/>
              </w:rPr>
              <w:t>381</w:t>
            </w:r>
          </w:hyperlink>
        </w:p>
        <w:p>
          <w:pPr>
            <w:pStyle w:val="Contents3"/>
            <w:tabs>
              <w:tab w:val="clear" w:pos="8459"/>
              <w:tab w:val="right" w:pos="9026" w:leader="dot"/>
            </w:tabs>
            <w:rPr/>
          </w:pPr>
          <w:hyperlink w:anchor="__RefHeading___Toc5285002_2320776876">
            <w:r>
              <w:rPr>
                <w:webHidden/>
                <w:rStyle w:val="IndexLink"/>
                <w:rtl w:val="true"/>
              </w:rPr>
              <w:t>مایستحب لطالب التجارة</w:t>
            </w:r>
            <w:r>
              <w:rPr>
                <w:rStyle w:val="IndexLink"/>
                <w:rtl w:val="true"/>
              </w:rPr>
              <w:tab/>
            </w:r>
            <w:r>
              <w:rPr>
                <w:rStyle w:val="IndexLink"/>
              </w:rPr>
              <w:t>381</w:t>
            </w:r>
          </w:hyperlink>
        </w:p>
        <w:p>
          <w:pPr>
            <w:pStyle w:val="Contents3"/>
            <w:tabs>
              <w:tab w:val="clear" w:pos="8459"/>
              <w:tab w:val="right" w:pos="9026" w:leader="dot"/>
            </w:tabs>
            <w:rPr/>
          </w:pPr>
          <w:hyperlink w:anchor="__RefHeading___Toc5285004_2320776876">
            <w:r>
              <w:rPr>
                <w:webHidden/>
                <w:rStyle w:val="IndexLink"/>
                <w:rtl w:val="true"/>
              </w:rPr>
              <w:t>ما یتبع ذلک من مستحبات و آداب</w:t>
            </w:r>
            <w:r>
              <w:rPr>
                <w:rStyle w:val="IndexLink"/>
                <w:rtl w:val="true"/>
              </w:rPr>
              <w:tab/>
            </w:r>
            <w:r>
              <w:rPr>
                <w:rStyle w:val="IndexLink"/>
              </w:rPr>
              <w:t>384</w:t>
            </w:r>
          </w:hyperlink>
        </w:p>
        <w:p>
          <w:pPr>
            <w:pStyle w:val="Contents3"/>
            <w:tabs>
              <w:tab w:val="clear" w:pos="8459"/>
              <w:tab w:val="right" w:pos="9026" w:leader="dot"/>
            </w:tabs>
            <w:rPr/>
          </w:pPr>
          <w:hyperlink w:anchor="__RefHeading___Toc5285006_2320776876">
            <w:r>
              <w:rPr>
                <w:webHidden/>
                <w:rStyle w:val="IndexLink"/>
                <w:rtl w:val="true"/>
              </w:rPr>
              <w:t>النهی عن بیع عسیب الفحل</w:t>
            </w:r>
            <w:r>
              <w:rPr>
                <w:rStyle w:val="IndexLink"/>
                <w:rtl w:val="true"/>
              </w:rPr>
              <w:tab/>
            </w:r>
            <w:r>
              <w:rPr>
                <w:rStyle w:val="IndexLink"/>
              </w:rPr>
              <w:t>410</w:t>
            </w:r>
          </w:hyperlink>
        </w:p>
        <w:p>
          <w:pPr>
            <w:pStyle w:val="Contents3"/>
            <w:tabs>
              <w:tab w:val="clear" w:pos="8459"/>
              <w:tab w:val="right" w:pos="9026" w:leader="dot"/>
            </w:tabs>
            <w:rPr/>
          </w:pPr>
          <w:hyperlink w:anchor="__RefHeading___Toc5285008_2320776876">
            <w:r>
              <w:rPr>
                <w:webHidden/>
                <w:rStyle w:val="IndexLink"/>
                <w:rtl w:val="true"/>
              </w:rPr>
              <w:t>النهی عن بیع الملاقیح</w:t>
            </w:r>
            <w:r>
              <w:rPr>
                <w:rStyle w:val="IndexLink"/>
                <w:rtl w:val="true"/>
              </w:rPr>
              <w:tab/>
            </w:r>
            <w:r>
              <w:rPr>
                <w:rStyle w:val="IndexLink"/>
              </w:rPr>
              <w:t>411</w:t>
            </w:r>
          </w:hyperlink>
        </w:p>
        <w:p>
          <w:pPr>
            <w:pStyle w:val="Contents3"/>
            <w:tabs>
              <w:tab w:val="clear" w:pos="8459"/>
              <w:tab w:val="right" w:pos="9026" w:leader="dot"/>
            </w:tabs>
            <w:rPr/>
          </w:pPr>
          <w:hyperlink w:anchor="__RefHeading___Toc5285010_2320776876">
            <w:r>
              <w:rPr>
                <w:webHidden/>
                <w:rStyle w:val="IndexLink"/>
                <w:rtl w:val="true"/>
              </w:rPr>
              <w:t>النهی عن بیع الملاسمة</w:t>
            </w:r>
            <w:r>
              <w:rPr>
                <w:rStyle w:val="IndexLink"/>
                <w:rtl w:val="true"/>
              </w:rPr>
              <w:tab/>
            </w:r>
            <w:r>
              <w:rPr>
                <w:rStyle w:val="IndexLink"/>
              </w:rPr>
              <w:t>412</w:t>
            </w:r>
          </w:hyperlink>
        </w:p>
        <w:p>
          <w:pPr>
            <w:pStyle w:val="Contents3"/>
            <w:tabs>
              <w:tab w:val="clear" w:pos="8459"/>
              <w:tab w:val="right" w:pos="9026" w:leader="dot"/>
            </w:tabs>
            <w:rPr/>
          </w:pPr>
          <w:hyperlink w:anchor="__RefHeading___Toc5285012_2320776876">
            <w:r>
              <w:rPr>
                <w:webHidden/>
                <w:rStyle w:val="IndexLink"/>
                <w:rtl w:val="true"/>
              </w:rPr>
              <w:t>النهی عن بیع المنابذة</w:t>
            </w:r>
            <w:r>
              <w:rPr>
                <w:rStyle w:val="IndexLink"/>
                <w:rtl w:val="true"/>
              </w:rPr>
              <w:tab/>
            </w:r>
            <w:r>
              <w:rPr>
                <w:rStyle w:val="IndexLink"/>
              </w:rPr>
              <w:t>413</w:t>
            </w:r>
          </w:hyperlink>
        </w:p>
        <w:p>
          <w:pPr>
            <w:pStyle w:val="Contents3"/>
            <w:tabs>
              <w:tab w:val="clear" w:pos="8459"/>
              <w:tab w:val="right" w:pos="9026" w:leader="dot"/>
            </w:tabs>
            <w:rPr/>
          </w:pPr>
          <w:hyperlink w:anchor="__RefHeading___Toc5285014_2320776876">
            <w:r>
              <w:rPr>
                <w:webHidden/>
                <w:rStyle w:val="IndexLink"/>
                <w:rtl w:val="true"/>
              </w:rPr>
              <w:t>حکم بیع التلجئة</w:t>
            </w:r>
            <w:r>
              <w:rPr>
                <w:rStyle w:val="IndexLink"/>
                <w:rtl w:val="true"/>
              </w:rPr>
              <w:tab/>
            </w:r>
            <w:r>
              <w:rPr>
                <w:rStyle w:val="IndexLink"/>
              </w:rPr>
              <w:t>417</w:t>
            </w:r>
          </w:hyperlink>
        </w:p>
        <w:p>
          <w:pPr>
            <w:pStyle w:val="Contents2"/>
            <w:tabs>
              <w:tab w:val="clear" w:pos="8743"/>
              <w:tab w:val="right" w:pos="9026" w:leader="dot"/>
            </w:tabs>
            <w:rPr/>
          </w:pPr>
          <w:hyperlink w:anchor="__RefHeading___Toc5285016_2320776876">
            <w:r>
              <w:rPr>
                <w:webHidden/>
                <w:rStyle w:val="IndexLink"/>
                <w:rtl w:val="true"/>
              </w:rPr>
              <w:t>مصادر التحقیق</w:t>
            </w:r>
            <w:r>
              <w:rPr>
                <w:rStyle w:val="IndexLink"/>
                <w:rtl w:val="true"/>
              </w:rPr>
              <w:tab/>
            </w:r>
            <w:r>
              <w:rPr>
                <w:rStyle w:val="IndexLink"/>
              </w:rPr>
              <w:t>418</w:t>
            </w:r>
          </w:hyperlink>
        </w:p>
        <w:p>
          <w:pPr>
            <w:pStyle w:val="Contents2"/>
            <w:tabs>
              <w:tab w:val="clear" w:pos="8743"/>
              <w:tab w:val="right" w:pos="9026" w:leader="dot"/>
            </w:tabs>
            <w:rPr/>
          </w:pPr>
          <w:hyperlink w:anchor="__RefHeading___Toc5285018_2320776876">
            <w:r>
              <w:rPr>
                <w:webHidden/>
                <w:rStyle w:val="IndexLink"/>
                <w:rtl w:val="true"/>
              </w:rPr>
              <w:t>فهرس الموضوعات</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3_271905"/>
      <w:bookmarkStart w:id="1" w:name="pg20243_271905"/>
      <w:bookmarkEnd w:id="1"/>
    </w:p>
    <w:p>
      <w:pPr>
        <w:pStyle w:val="Heading2"/>
        <w:numPr>
          <w:ilvl w:val="1"/>
          <w:numId w:val="1"/>
        </w:numPr>
        <w:rPr/>
      </w:pPr>
      <w:bookmarkStart w:id="2" w:name="pg20243_271905"/>
      <w:bookmarkStart w:id="3" w:name="__RefHeading___Toc528478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IRNazanin" w:hAnsi="IRNazanin" w:eastAsia="IRNazanin"/>
          <w:color w:val="111111"/>
          <w:sz w:val="28"/>
          <w:sz w:val="28"/>
          <w:szCs w:val="28"/>
          <w:rtl w:val="true"/>
          <w:lang w:bidi="fa-IR"/>
        </w:rPr>
        <w:t>کتاب المتاجر</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الشيخ جعفربن الشيخ خِضر الجَناجی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السَّيّد مُحمّد حُسين الرَّضَويّ الكِشمیری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المحمد جاني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4782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ينشر لأوّل مرّة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محققاً على اثنتي عشرة نسخة خطيّة </w:t>
      </w:r>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IRNazanin" w:hAnsi="IRNazanin" w:eastAsia="IRNazanin"/>
          <w:color w:val="111111"/>
          <w:sz w:val="28"/>
          <w:sz w:val="28"/>
          <w:szCs w:val="28"/>
          <w:rtl w:val="true"/>
          <w:lang w:bidi="fa-IR"/>
        </w:rPr>
        <w:t>کتاب المتاجر</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الشيخ جعفربن الشيخ خِضر الجَناجی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الرَّضَويّ الكِشمیری </w:t>
      </w:r>
    </w:p>
    <w:p>
      <w:pPr>
        <w:pStyle w:val="BookText"/>
        <w:rPr/>
      </w:pPr>
      <w:r>
        <w:rPr>
          <w:rFonts w:ascii="Amiri" w:hAnsi="Amiri" w:eastAsia="Amiri" w:cs="Amiri"/>
          <w:color w:val="111111"/>
          <w:sz w:val="28"/>
          <w:sz w:val="28"/>
          <w:szCs w:val="28"/>
          <w:rtl w:val="true"/>
          <w:lang w:bidi="ar-SA"/>
        </w:rPr>
        <w:t>حقوق الطبع محفوظة للمحقق</w:t>
      </w:r>
    </w:p>
    <w:p>
      <w:pPr>
        <w:pStyle w:val="BookText"/>
        <w:rPr/>
      </w:pPr>
      <w:r>
        <w:rPr>
          <w:rFonts w:ascii="IRNazanin" w:hAnsi="IRNazanin" w:eastAsia="IRNazanin"/>
          <w:color w:val="111111"/>
          <w:sz w:val="28"/>
          <w:sz w:val="28"/>
          <w:szCs w:val="28"/>
          <w:rtl w:val="true"/>
          <w:lang w:bidi="fa-IR"/>
        </w:rPr>
        <w:t xml:space="preserve">مركز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قدس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7740333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91029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964 - 91029 - 0 - 6</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الجناجي</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حسين الرضوي الكشميری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لمحققة الأولى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سعيد بن جبير</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243_271910"/>
    </w:p>
    <w:p>
      <w:pPr>
        <w:pStyle w:val="Heading2"/>
        <w:numPr>
          <w:ilvl w:val="1"/>
          <w:numId w:val="1"/>
        </w:numPr>
        <w:rPr/>
      </w:pPr>
      <w:bookmarkStart w:id="8" w:name="__RefHeading___Toc5284784_2320776876"/>
      <w:bookmarkStart w:id="9" w:name="_Toc3"/>
      <w:bookmarkEnd w:id="7"/>
      <w:bookmarkEnd w:id="8"/>
      <w:r>
        <w:rPr>
          <w:rtl w:val="true"/>
        </w:rPr>
        <w:t xml:space="preserve">الاهداء </w:t>
      </w:r>
      <w:r>
        <w:rPr>
          <w:rtl w:val="true"/>
        </w:rPr>
        <w:t>:</w:t>
      </w:r>
      <w:bookmarkEnd w:id="9"/>
    </w:p>
    <w:p>
      <w:pPr>
        <w:pStyle w:val="BookText"/>
        <w:rPr/>
      </w:pPr>
      <w:r>
        <w:rPr>
          <w:rFonts w:ascii="Amiri" w:hAnsi="Amiri" w:eastAsia="Amiri" w:cs="Amiri"/>
          <w:color w:val="111111"/>
          <w:sz w:val="28"/>
          <w:sz w:val="28"/>
          <w:szCs w:val="28"/>
          <w:rtl w:val="true"/>
          <w:lang w:bidi="ar-SA"/>
        </w:rPr>
        <w:t>إليك</w:t>
      </w:r>
    </w:p>
    <w:p>
      <w:pPr>
        <w:pStyle w:val="BookText"/>
        <w:rPr/>
      </w:pPr>
      <w:r>
        <w:rPr>
          <w:rFonts w:ascii="Amiri" w:hAnsi="Amiri" w:eastAsia="Amiri" w:cs="Amiri"/>
          <w:color w:val="111111"/>
          <w:sz w:val="28"/>
          <w:sz w:val="28"/>
          <w:szCs w:val="28"/>
          <w:rtl w:val="true"/>
          <w:lang w:bidi="ar-SA"/>
        </w:rPr>
        <w:t>يا حجة الله</w:t>
      </w:r>
    </w:p>
    <w:p>
      <w:pPr>
        <w:pStyle w:val="BookText"/>
        <w:rPr/>
      </w:pPr>
      <w:r>
        <w:rPr>
          <w:rFonts w:ascii="Amiri" w:hAnsi="Amiri" w:eastAsia="Amiri" w:cs="Amiri"/>
          <w:color w:val="111111"/>
          <w:sz w:val="28"/>
          <w:sz w:val="28"/>
          <w:szCs w:val="28"/>
          <w:rtl w:val="true"/>
          <w:lang w:bidi="ar-SA"/>
        </w:rPr>
        <w:t>يا ابن العسكرى</w:t>
      </w:r>
    </w:p>
    <w:p>
      <w:pPr>
        <w:pStyle w:val="BookText"/>
        <w:rPr/>
      </w:pPr>
      <w:r>
        <w:rPr>
          <w:rFonts w:ascii="Amiri" w:hAnsi="Amiri" w:eastAsia="Amiri" w:cs="Amiri"/>
          <w:color w:val="111111"/>
          <w:sz w:val="28"/>
          <w:sz w:val="28"/>
          <w:szCs w:val="28"/>
          <w:rtl w:val="true"/>
          <w:lang w:bidi="ar-SA"/>
        </w:rPr>
        <w:t xml:space="preserve">أهدى هذا المجهود المتواضع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الناس شدُّوا رحالهم</w:t>
      </w:r>
    </w:p>
    <w:p>
      <w:pPr>
        <w:pStyle w:val="BookText"/>
        <w:rPr/>
      </w:pPr>
      <w:r>
        <w:rPr>
          <w:rFonts w:ascii="Amiri" w:hAnsi="Amiri" w:eastAsia="Amiri" w:cs="Amiri"/>
          <w:color w:val="111111"/>
          <w:sz w:val="28"/>
          <w:sz w:val="28"/>
          <w:szCs w:val="28"/>
          <w:rtl w:val="true"/>
          <w:lang w:bidi="ar-SA"/>
        </w:rPr>
        <w:t>إلى بحرك الطامي أتيتُ بجرَّتي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الكتاب </w:t>
      </w:r>
      <w:bookmarkStart w:id="10" w:name="pg20243_271911"/>
    </w:p>
    <w:p>
      <w:pPr>
        <w:pStyle w:val="Heading2"/>
        <w:numPr>
          <w:ilvl w:val="1"/>
          <w:numId w:val="1"/>
        </w:numPr>
        <w:rPr/>
      </w:pPr>
      <w:bookmarkStart w:id="11" w:name="__RefHeading___Toc5284786_2320776876"/>
      <w:bookmarkStart w:id="12" w:name="_Toc4"/>
      <w:bookmarkEnd w:id="10"/>
      <w:bookmarkEnd w:id="11"/>
      <w:r>
        <w:rPr>
          <w:rtl w:val="true"/>
        </w:rPr>
        <w:t>مقدمه التحقیق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محمّد وآله الطيبين الطاهرين، سيّما بقيّة الله في الأرضين ، واللعن الدائم على أعدائهم ومعانيدهم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هداية الناس إلى المعرفة بربّهم والطاعة لخالقهم ؛ لمّا كانت من خصائص آل محمد صلی الله علیه و آله من بعده ، فهم الدعاة إلى الله والأدلّاء على مرضاته ، وهم سفينة النجاة من ركبها نجا ومن تخلّف عنها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غيبة صاحب العصر منهم من قضاء الله المحتوم وقدره المبرم ؛ ندبوا شيعتهم وحثّوهم على تعلّم علومهم، وحفظ آثارهم ، وإحياء ذكرهم ومعرفة أحكامهم ، والنظر في حلالهم وحرامهم ونشر كلامهم ، وإرشاد الجاهل بنورهم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ذلك ما رواه 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الحسن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يُتْمِ اليتيم الذي انقطع من أبيه يُتمُ يتيمٍ انقطع عن إمامه ، ولا يقدر على الوصول إليه ، ولا يدري كيف حكمه فيما يبتلي من شرايع دينه ؛ ألا فمَن كان من شيعتنا عالماً بعلومنا وهدى الجاهل بشريعتنا كان معنا في الرفيق الأعلى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فهرعت طائفة لإجابة هذه الدعوة وتلبية هذه الندبة ، فشمّرت عن ساعد الجدّ ، متحملةً مكاره الدهر وشظف العيش ومرارة الفقر ، صابرةً على جور الزمان وظلم سلاطينه وبطش حكّامه، مروّضةً نفسها على ترك ملاذ الدنيا وزينتها حريصة على العمر أن يصرف إلّا في ترويج المذهب ، فرِحةً بما اُعدّ لها في 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حاملة الأمانة ، وحلقة الوصل بين الأئمة الأطهار وشيعتهم ، وحرف الربط بين الهداة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أسعد هذه الطائفة وما أعظم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تمخضّت جهودها الجبارة عن ثروة عظيمة من التراث يعتز بها المذهب الإمامى ويفخر ، مبرهناً أصالته واستقلاله ، مسجّلاً عراقته وقدمه وجاءَت حاوية لمختلف علوم الدين، شاملة لكل جوانب الشريعة ، من كلام وتفسير وحديث وفقه وأصول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الذخائر والنفائس الكتاب الماثل بين يديك ، ولي معه قصّة طويلة ، فلقد عشقته منذ رأيته ، وأنست به منذ وقفت عليه ، وهبته منذ دققت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ما يوجز حكايتي معه قول قيس بن الملوّح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وعُلّقتُ ليلى وهي ذات موصَّد ولم يبد للأتراب من ثديها حجم صغيرين نرعى البهم ياليت أنّنا إلى الآن لم نكبر ولم تكبر البهم فإلىٰ الحديث عن مؤلّفه وعنه </w:t>
      </w:r>
      <w:r>
        <w:rPr>
          <w:rFonts w:eastAsia="Amiri" w:cs="Amiri" w:ascii="Amiri" w:hAnsi="Amiri"/>
          <w:color w:val="111111"/>
          <w:sz w:val="28"/>
          <w:szCs w:val="28"/>
          <w:rtl w:val="true"/>
          <w:lang w:bidi="ar-SA"/>
        </w:rPr>
        <w:t xml:space="preserve">. </w:t>
      </w:r>
      <w:bookmarkStart w:id="13" w:name="pg20243_271913"/>
    </w:p>
    <w:p>
      <w:pPr>
        <w:pStyle w:val="BookText"/>
        <w:rPr/>
      </w:pPr>
      <w:bookmarkEnd w:id="13"/>
      <w:r>
        <w:rPr>
          <w:rFonts w:ascii="Amiri" w:hAnsi="Amiri" w:eastAsia="Amiri" w:cs="Amiri"/>
          <w:color w:val="111111"/>
          <w:sz w:val="28"/>
          <w:sz w:val="28"/>
          <w:szCs w:val="28"/>
          <w:rtl w:val="true"/>
          <w:lang w:bidi="ar-SA"/>
        </w:rPr>
        <w:t>لمحة عن حياة المؤلّف</w:t>
      </w:r>
    </w:p>
    <w:p>
      <w:pPr>
        <w:pStyle w:val="Heading2"/>
        <w:numPr>
          <w:ilvl w:val="1"/>
          <w:numId w:val="1"/>
        </w:numPr>
        <w:rPr/>
      </w:pPr>
      <w:bookmarkStart w:id="14" w:name="__RefHeading___Toc5284788_2320776876"/>
      <w:bookmarkStart w:id="15" w:name="_Toc5"/>
      <w:bookmarkEnd w:id="14"/>
      <w:r>
        <w:rPr>
          <w:rtl w:val="true"/>
        </w:rPr>
        <w:t>اسم و شهرته</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جعفر ابن الشيخ خضر بن يحيى ، الجناجي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جناجة ، وهي إحدى قرىٰ العذار ، في الحلّة الفيحاء</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توقيعه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الجنيجاوي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حرز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وجدناه في ورقة بیع بخطّه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ما هو المتعارف لدىٰ العراقيين من انتسابهم إلى عشائرهم ، لا إلى بلدانهم أو قراهم </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بعد أن</w:t>
      </w:r>
      <w:r>
        <w:rPr>
          <w:rFonts w:eastAsia="Amiri" w:cs="Amiri" w:ascii="Amiri" w:hAnsi="Amiri"/>
          <w:color w:val="111111"/>
          <w:sz w:val="28"/>
          <w:szCs w:val="28"/>
          <w:rtl w:val="true"/>
          <w:lang w:bidi="ar-SA"/>
        </w:rPr>
        <w:t xml:space="preserve">: </w:t>
      </w:r>
      <w:bookmarkStart w:id="16" w:name="pg20243_271914"/>
    </w:p>
    <w:p>
      <w:pPr>
        <w:pStyle w:val="BookText"/>
        <w:rPr/>
      </w:pPr>
      <w:bookmarkEnd w:id="16"/>
      <w:r>
        <w:rPr>
          <w:rFonts w:ascii="Amiri" w:hAnsi="Amiri" w:eastAsia="Amiri" w:cs="Amiri"/>
          <w:color w:val="111111"/>
          <w:sz w:val="28"/>
          <w:sz w:val="28"/>
          <w:szCs w:val="28"/>
          <w:rtl w:val="true"/>
          <w:lang w:bidi="ar-SA"/>
        </w:rPr>
        <w:t xml:space="preserve">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الغرّاء ، الذي أهداه لسطان إيران فتح علي شاه القاجاري ، وأذن له فيه بما نصّ عليه في كتاب الجهاد منه ، وبعد أن انتشر الكتاب في الأوساط ، وذاع صيته في الآفاق ، وكان ذلك في أواخر عمره ، وفي فترة مرجعيته ، فصار يُعرف بهذه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اشتهاره بها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لا سبيل لنا لمعرفته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اشتهر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لُقّبت ذرّيته من بعده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284790_2320776876"/>
      <w:bookmarkStart w:id="18" w:name="_Toc6"/>
      <w:bookmarkEnd w:id="17"/>
      <w:r>
        <w:rPr>
          <w:rtl w:val="true"/>
        </w:rPr>
        <w:t>والده</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خضر بن يحيى</w:t>
      </w:r>
      <w:r>
        <w:rPr>
          <w:rStyle w:val="FootnoteAnchor"/>
          <w:rtl w:val="true"/>
        </w:rPr>
        <w:footnoteReference w:id="4"/>
      </w:r>
      <w:r>
        <w:rPr>
          <w:rFonts w:ascii="Amiri" w:hAnsi="Amiri" w:eastAsia="Amiri" w:cs="Amiri"/>
          <w:color w:val="111111"/>
          <w:sz w:val="28"/>
          <w:sz w:val="28"/>
          <w:szCs w:val="28"/>
          <w:rtl w:val="true"/>
          <w:lang w:bidi="ar-SA"/>
        </w:rPr>
        <w:t xml:space="preserve">، الجناجي قال الشيخ النوري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الشيخ خضر من الفقهاء المتبتّلين، والزهّاد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عصره كانوا يزدحمون على 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 إلى بلد العلم والهجرة النجف الأقدس </w:t>
      </w:r>
      <w:r>
        <w:rPr>
          <w:rStyle w:val="FootnoteAnchor"/>
          <w:rtl w:val="true"/>
        </w:rPr>
        <w:footnoteReference w:id="5"/>
      </w:r>
      <w:r>
        <w:rPr>
          <w:rFonts w:ascii="Amiri" w:hAnsi="Amiri" w:eastAsia="Amiri" w:cs="Amiri"/>
          <w:color w:val="111111"/>
          <w:sz w:val="28"/>
          <w:sz w:val="28"/>
          <w:szCs w:val="28"/>
          <w:rtl w:val="true"/>
          <w:lang w:bidi="ar-SA"/>
        </w:rPr>
        <w:t xml:space="preserve">، وطلبَ العلمَ فيها ، وحضر على فضلائها ، حتى صار فقيهاً مجتهداً ، وكان كثير الورع والعبادة ، مشهوراً بالتقىٰ والصلاح ، محترماً عند العلماء مقدّماً، وكانت الناس تبجّله وتثق به كلّ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الفقه على العالم العابد السيد هاشم النجفي المعروف بالحطّاب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مشايخنا أنّه ذو دراية </w:t>
      </w:r>
      <w:bookmarkStart w:id="19" w:name="pg20243_271915"/>
    </w:p>
    <w:p>
      <w:pPr>
        <w:pStyle w:val="BookText"/>
        <w:rPr/>
      </w:pPr>
      <w:bookmarkEnd w:id="19"/>
      <w:r>
        <w:rPr>
          <w:rFonts w:ascii="IRNazanin" w:hAnsi="IRNazanin" w:eastAsia="IRNazanin"/>
          <w:color w:val="111111"/>
          <w:sz w:val="28"/>
          <w:sz w:val="28"/>
          <w:szCs w:val="28"/>
          <w:rtl w:val="true"/>
          <w:lang w:bidi="fa-IR"/>
        </w:rPr>
        <w:t xml:space="preserve">فائقة ، وخبرة واسعة ، وعبادة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الشيخ خضر هو المؤسس لهذا البيت التليد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آل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له يعود ، حيث بسببه خرج من أولاده وأحفاده عشرات العلماء المجتهدين والفضلاء الناسكين ، ولم تكن هجرته مع الانقطاع عن أعمامه ، بل يقضي أغلب أيامه النجف ثم يعود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النجف حدود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في حجرة من حجر رواق حرم أمير المؤمنين علیه السلام، بالقرب من قبر المقدّس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أولاداً أربعة علماء وأدباء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 المشهور بالشيخ الأكبر صاحب كتاب كشف الغطاء، وهو أعظمهم علماً وشأناً ، وهو جدّ اُسرة آل كاشف الغطاء، والشيخ محسن جدّ آل الشيخ راضي ، والشيخ حسين المقدّس ، وأحفاده اليوم يعرفون بآل الشيخ خضر </w:t>
      </w:r>
      <w:r>
        <w:rPr>
          <w:rStyle w:val="FootnoteAnchor"/>
          <w:rtl w:val="true"/>
        </w:rPr>
        <w:footnoteReference w:id="6"/>
      </w:r>
      <w:r>
        <w:rPr>
          <w:rFonts w:ascii="Amiri" w:hAnsi="Amiri" w:eastAsia="Amiri" w:cs="Amiri"/>
          <w:color w:val="111111"/>
          <w:sz w:val="28"/>
          <w:sz w:val="28"/>
          <w:szCs w:val="28"/>
          <w:rtl w:val="true"/>
          <w:lang w:bidi="ar-SA"/>
        </w:rPr>
        <w:t xml:space="preserve">، والشيخ محمّد جد آل الشيخ عليوي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كلٌ من أولاده الأربع هو أبو أسرة في النجف وخارجها</w:t>
      </w:r>
      <w:r>
        <w:rPr>
          <w:rFonts w:eastAsia="Amiri" w:cs="Amiri" w:ascii="Amiri" w:hAnsi="Amiri"/>
          <w:color w:val="111111"/>
          <w:sz w:val="28"/>
          <w:szCs w:val="28"/>
          <w:rtl w:val="true"/>
          <w:lang w:bidi="ar-SA"/>
        </w:rPr>
        <w:t>» .</w:t>
      </w:r>
    </w:p>
    <w:p>
      <w:pPr>
        <w:pStyle w:val="Heading2"/>
        <w:numPr>
          <w:ilvl w:val="1"/>
          <w:numId w:val="1"/>
        </w:numPr>
        <w:rPr/>
      </w:pPr>
      <w:bookmarkStart w:id="20" w:name="__RefHeading___Toc5284792_2320776876"/>
      <w:bookmarkStart w:id="21" w:name="_Toc7"/>
      <w:bookmarkEnd w:id="20"/>
      <w:r>
        <w:rPr>
          <w:rtl w:val="true"/>
        </w:rPr>
        <w:t>أساتذته</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حرز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المقدّمات على والده المقدّس الشيخ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حضر أبحاث المدرّسين والعلماء ، وكانت تلمذته على أساطين عصره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الفتوني العاملي، والشيخ محمد تقي الدورقي ، والسيد صادق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الأوحدي محمد باقر بن محمد أكمل المعروف بالوحيد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أكثر تلمذّه عند هؤلاء الأعلام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عند السيد مهدي الطباطبائي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بعد أن رحل من كربلاء إلى النجف ، </w:t>
      </w:r>
      <w:bookmarkStart w:id="22" w:name="pg20243_271916"/>
    </w:p>
    <w:p>
      <w:pPr>
        <w:pStyle w:val="BookText"/>
        <w:rPr/>
      </w:pPr>
      <w:bookmarkEnd w:id="22"/>
      <w:r>
        <w:rPr>
          <w:rFonts w:ascii="Amiri" w:hAnsi="Amiri" w:eastAsia="Amiri" w:cs="Amiri"/>
          <w:color w:val="111111"/>
          <w:sz w:val="28"/>
          <w:sz w:val="28"/>
          <w:szCs w:val="28"/>
          <w:rtl w:val="true"/>
          <w:lang w:bidi="ar-SA"/>
        </w:rPr>
        <w:t>وكان الشيخ جعفر مكتفياً عن الحضور عندئذ لكن رجّح عنده الحضور لأمور سامية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الرواية أيضاً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أولئك من المشايخ الكابرين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284794_2320776876"/>
      <w:bookmarkStart w:id="24" w:name="_Toc8"/>
      <w:bookmarkEnd w:id="23"/>
      <w:r>
        <w:rPr>
          <w:rtl w:val="true"/>
        </w:rPr>
        <w:t>موطنه و مدفنه</w:t>
      </w:r>
      <w:bookmarkEnd w:id="24"/>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كما حكي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 لحفيده الشيخ علي ابن الشيخ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مسكنه ، وبها وفاته ومدفنه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التحق بالرفيق الأعلى يوم الأربعاء قبل الظهر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أعدّها لنفسه قطعة وهي ساحة كبيرة أوقفت عليه ، وقد عمّر منها مقبرة، ومسجداً محاذياً لها، ومدرسة ، وهي مقبرة شهيرة تقع قرب داره الكبيرة في محلة العمارة من محلّات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 بعض الشعراء عام وفاته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ذقتَ طعم الموت قلتُ مؤرّخاً لعل حياتي بعد جعفر علقم</w:t>
      </w:r>
    </w:p>
    <w:p>
      <w:pPr>
        <w:pStyle w:val="BookText"/>
        <w:rPr/>
      </w:pPr>
      <w:r>
        <w:rPr>
          <w:rFonts w:ascii="Amiri" w:hAnsi="Amiri" w:eastAsia="Amiri" w:cs="Amiri"/>
          <w:color w:val="111111"/>
          <w:sz w:val="28"/>
          <w:sz w:val="28"/>
          <w:szCs w:val="28"/>
          <w:rtl w:val="true"/>
          <w:lang w:bidi="ar-SA"/>
        </w:rPr>
        <w:t xml:space="preserve">وقد رثاه أعلام الشعر والأدب بقصائد كثيرة ،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البغدادي ، ومطلع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تكاد له السما تتفطر والأرض ترجف والجبال تُسيّر</w:t>
      </w:r>
    </w:p>
    <w:p>
      <w:pPr>
        <w:pStyle w:val="BookText"/>
        <w:rPr/>
      </w:pPr>
      <w:r>
        <w:rPr>
          <w:rFonts w:ascii="Amiri" w:hAnsi="Amiri" w:eastAsia="Amiri" w:cs="Amiri"/>
          <w:color w:val="111111"/>
          <w:sz w:val="28"/>
          <w:sz w:val="28"/>
          <w:szCs w:val="28"/>
          <w:rtl w:val="true"/>
          <w:lang w:bidi="ar-SA"/>
        </w:rPr>
        <w:t xml:space="preserve">والشيخ حمّود الظالمي ، ومطلع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يشجني ذكر جيران بذي سَلّم ولا جرى مدمعي شوقاً إلى أضم</w:t>
      </w:r>
    </w:p>
    <w:p>
      <w:pPr>
        <w:pStyle w:val="BookText"/>
        <w:rPr/>
      </w:pPr>
      <w:r>
        <w:rPr>
          <w:rFonts w:ascii="Amiri" w:hAnsi="Amiri" w:eastAsia="Amiri" w:cs="Amiri"/>
          <w:color w:val="111111"/>
          <w:sz w:val="28"/>
          <w:sz w:val="28"/>
          <w:szCs w:val="28"/>
          <w:rtl w:val="true"/>
          <w:lang w:bidi="ar-SA"/>
        </w:rPr>
        <w:t xml:space="preserve">والشيخ حسن قفطان ، ومطلع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فقدنا جعفراً والعلم حتى كأن العلم كان له خيالا</w:t>
      </w:r>
    </w:p>
    <w:p>
      <w:pPr>
        <w:pStyle w:val="BookText"/>
        <w:rPr/>
      </w:pPr>
      <w:r>
        <w:rPr>
          <w:rFonts w:ascii="Amiri" w:hAnsi="Amiri" w:eastAsia="Amiri" w:cs="Amiri"/>
          <w:color w:val="111111"/>
          <w:sz w:val="28"/>
          <w:sz w:val="28"/>
          <w:szCs w:val="28"/>
          <w:rtl w:val="true"/>
          <w:lang w:bidi="ar-SA"/>
        </w:rPr>
        <w:t xml:space="preserve">وتلميذه السيد علي الأمين العاملي ، وأوّل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أتطلب دنياً بعد فقدك جعفرا وتطمع فيها أن تكون معمّرا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وتركن للدهر الخؤون سفاهةً وتغفل عمّا كنت تسمع أو ترىٰ </w:t>
      </w:r>
      <w:bookmarkStart w:id="25" w:name="pg20243_271917"/>
    </w:p>
    <w:p>
      <w:pPr>
        <w:pStyle w:val="BookText"/>
        <w:rPr/>
      </w:pPr>
      <w:bookmarkEnd w:id="25"/>
      <w:r>
        <w:rPr>
          <w:rFonts w:ascii="Amiri" w:hAnsi="Amiri" w:eastAsia="Amiri" w:cs="Amiri"/>
          <w:color w:val="111111"/>
          <w:sz w:val="28"/>
          <w:sz w:val="28"/>
          <w:szCs w:val="28"/>
          <w:rtl w:val="true"/>
          <w:lang w:bidi="ar-SA"/>
        </w:rPr>
        <w:t>وترغب في الدنيا وتعلم حالها وتزهد في اُخراك سرّاً ومجهرا</w:t>
      </w:r>
    </w:p>
    <w:p>
      <w:pPr>
        <w:pStyle w:val="BookText"/>
        <w:rPr/>
      </w:pPr>
      <w:r>
        <w:rPr>
          <w:rFonts w:ascii="Amiri" w:hAnsi="Amiri" w:eastAsia="Amiri" w:cs="Amiri"/>
          <w:color w:val="111111"/>
          <w:sz w:val="28"/>
          <w:sz w:val="28"/>
          <w:szCs w:val="28"/>
          <w:rtl w:val="true"/>
          <w:lang w:bidi="ar-SA"/>
        </w:rPr>
        <w:t>وتعذلني صحبي على الوجد والبكا وتعجب من محمرّ دمعي إذ جرىٰ</w:t>
      </w:r>
    </w:p>
    <w:p>
      <w:pPr>
        <w:pStyle w:val="BookText"/>
        <w:rPr/>
      </w:pPr>
      <w:r>
        <w:rPr>
          <w:rFonts w:ascii="Amiri" w:hAnsi="Amiri" w:eastAsia="Amiri" w:cs="Amiri"/>
          <w:color w:val="111111"/>
          <w:sz w:val="28"/>
          <w:sz w:val="28"/>
          <w:szCs w:val="28"/>
          <w:rtl w:val="true"/>
          <w:lang w:bidi="ar-SA"/>
        </w:rPr>
        <w:t>ألم ترَ أنّ العلم مات بموته وأصبح ركن الدين منفصم العرى</w:t>
      </w:r>
    </w:p>
    <w:p>
      <w:pPr>
        <w:pStyle w:val="BookText"/>
        <w:rPr/>
      </w:pPr>
      <w:r>
        <w:rPr>
          <w:rFonts w:ascii="Amiri" w:hAnsi="Amiri" w:eastAsia="Amiri" w:cs="Amiri"/>
          <w:color w:val="111111"/>
          <w:sz w:val="28"/>
          <w:sz w:val="28"/>
          <w:szCs w:val="28"/>
          <w:rtl w:val="true"/>
          <w:lang w:bidi="ar-SA"/>
        </w:rPr>
        <w:t xml:space="preserve">ووالي بغداد داود باشا العثماني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للدهر أنت أصبت فالبس برغمك دوننا ثوب الحداد</w:t>
      </w:r>
    </w:p>
    <w:p>
      <w:pPr>
        <w:pStyle w:val="BookText"/>
        <w:rPr/>
      </w:pPr>
      <w:r>
        <w:rPr>
          <w:rFonts w:ascii="Amiri" w:hAnsi="Amiri" w:eastAsia="Amiri" w:cs="Amiri"/>
          <w:color w:val="111111"/>
          <w:sz w:val="28"/>
          <w:sz w:val="28"/>
          <w:szCs w:val="28"/>
          <w:rtl w:val="true"/>
          <w:lang w:bidi="ar-SA"/>
        </w:rPr>
        <w:t>إذا قدّمت خاتمة الرزايا فقد عرّضت سوقك للكساد</w:t>
      </w:r>
    </w:p>
    <w:p>
      <w:pPr>
        <w:pStyle w:val="Heading2"/>
        <w:numPr>
          <w:ilvl w:val="1"/>
          <w:numId w:val="1"/>
        </w:numPr>
        <w:rPr/>
      </w:pPr>
      <w:bookmarkStart w:id="26" w:name="__RefHeading___Toc5284796_2320776876"/>
      <w:bookmarkStart w:id="27" w:name="_Toc9"/>
      <w:bookmarkEnd w:id="26"/>
      <w:r>
        <w:rPr>
          <w:rtl w:val="true"/>
        </w:rPr>
        <w:t>مکانته العلمیة</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مكانته العلمية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أطراه من عاصره من العلماء ومن تأخّر عنه ، وأثنوا عليه غاية </w:t>
      </w:r>
    </w:p>
    <w:p>
      <w:pPr>
        <w:pStyle w:val="BookText"/>
        <w:rPr/>
      </w:pPr>
      <w:r>
        <w:rPr>
          <w:rFonts w:ascii="Amiri" w:hAnsi="Amiri" w:eastAsia="Amiri" w:cs="Amiri"/>
          <w:color w:val="111111"/>
          <w:sz w:val="28"/>
          <w:sz w:val="28"/>
          <w:szCs w:val="28"/>
          <w:rtl w:val="true"/>
          <w:lang w:bidi="ar-SA"/>
        </w:rPr>
        <w:t>الثناء ، جاهدين في إظهار مكانته العلمية ، وإبراز قوّته الفقهيه ، وسطوته التحقيقية ، وتسلطه على الأصول والفروع ، محاولين بيان كمالاته المعنوية ، مشيرين إلى سائر أبعاد شخصيته وجوانب حياته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جمل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الزنوزي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عالم ، فاضل ، كامل ، تقي ، نقي ، زكي ، ذكي ، معاصر ؛ والآن انتهت رئاسة الإمامية إلى جنابه الشريف النجف الأشرف المنيف، وأوقاته مصروفة بقضاء حوائج المسلمين وكشف كربات المؤمنين ، أطال الله بقاءَه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سيدي ، وأستاذي ، ومَن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سبحانه وأوليائه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معوّلى واعتمادي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 العلّامة المعتبر ، المقدّس ، الحبر الأعظم ؛ الشيخ جعفر ، جعلني الله فداه ، وأطال الله تعالى للمؤمنين بقاه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علّامة العلماء ، فريد الدهر ، ووحيد العصر ، الشيخ جعفر حرسه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سيأتي في ترجمة الشيخ عبد علي بن اُميد علي الرشتي ، من تلامذة المؤلّف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الأستاذ السعيد والشيخ الأعظم ، الأعلم ، الأعصم، قدوة الأنام ، سيف الإسلام ، علم الأعلام ، علّامة العلماء الكرام ، خرّيت طريق التحقيق والتدقيق ، مالك أزمة الفضل بالنظر الدقيق ، مهذّب مسائل الدين الوثيق ، مقرّب مقاصد الشريعة من كل فجّ عميق ، وحيد العصر ، وفريد الدهر ، ومدار الفصل والوصل ، ومنار الفخر والفضل، خاتمة المجتهدين، وأسوة الأفاضل المعتمدين ، وحامي بيضة الدين ، وماحي آثار المفسدين، بدر النجوم ، بحر العلوم المؤيّد المسدّد من الحيّ القيّوم ، شيخي ، وأستاذي ، ومعتمدي ، واستنادي ، </w:t>
      </w:r>
    </w:p>
    <w:p>
      <w:pPr>
        <w:pStyle w:val="BookText"/>
        <w:rPr/>
      </w:pPr>
      <w:r>
        <w:rPr>
          <w:rFonts w:ascii="IRNazanin" w:hAnsi="IRNazanin" w:eastAsia="IRNazanin"/>
          <w:color w:val="111111"/>
          <w:sz w:val="28"/>
          <w:sz w:val="28"/>
          <w:szCs w:val="28"/>
          <w:rtl w:val="true"/>
          <w:lang w:bidi="fa-IR"/>
        </w:rPr>
        <w:t xml:space="preserve">وجدّ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 الأجلّ، الأكمل، الأفضل، الأورع ، الأجمل، الألمعي ، اللوذعي ، التقي ، النقي ، الرضي، المرضي ، الزكي ، الذكي ، الوفي ، الصفي ، الخائض المغمور في عواطف بحار لطف الله الجلي والخفي؛ الشيخ جعفر ابن المرحوم المبرور الشيخ خضر النجفي ، أدام الله ظلاله على رؤوس العالمين، وزيّن به كراسي العلم للعالمين ، وجزاه عنّي یوم الدین خير جزاء المحسنين والمعلّمين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تعداده مشايخه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أعظمهم شأناً ، وأرفعهم مكاناً ، وأقومهم برهاناً، قدوة الأنام ، شيخنا ، ومولانا ؛ الشيخ جعفر النجفي ، مدّ الله ظلّه على العالمين ، وأدام فضله على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فضّله على سائر مشايخه رغم وجود بعض الأكابر فيما بينهم ، فراجع بقية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ميرزا شفيع الجايلقي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أهل زمانه في الفقه ، لم يُر مثله مبسوط اليد في الفروع الفقهية ، والقواعد الکلية ، قويّ في التفريع غاية القوّة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السيد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رحمة الله عليه من أساتذة الفقه والكلام ، وجهابذة المعرفة بالأحكام ، معروفاً بالنبالة والإحكام ، منفّحاً لدروس شرائع الإسلام ، مفرّعاً لرؤوس مسائل الحلال والحرام، مروّجاً للمذهب الحق الإثني عشري كما هو حقه ، ومفرّجاً عن كل ما أشكل في الإدراك البشري ، وبيده رتقه وفتقه ، مقدّماً عند الخاصّ والعامّ، معظّماً في عيون الأعاظم والحكّام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مفوّقاً في الدنيا والدين على سائر أمثاله وأقرانه</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علم الأعلام ، وسيف الإسلام ، خرّيت طريق التحقيق والتدقيق ، مالك أزمة الفضل بالنظر الدقيق ، الشيخ </w:t>
      </w:r>
    </w:p>
    <w:p>
      <w:pPr>
        <w:pStyle w:val="BookText"/>
        <w:rPr/>
      </w:pPr>
      <w:r>
        <w:rPr>
          <w:rFonts w:ascii="Amiri" w:hAnsi="Amiri" w:eastAsia="Amiri" w:cs="Amiri"/>
          <w:color w:val="111111"/>
          <w:sz w:val="28"/>
          <w:sz w:val="28"/>
          <w:szCs w:val="28"/>
          <w:rtl w:val="true"/>
          <w:lang w:bidi="ar-SA"/>
        </w:rPr>
        <w:t xml:space="preserve">الأعظم، الأعلم ، الأعصم ؛ الشيخ جعفر ابن المرحوم الشيخ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آيات الله العجيبة التي تقصر عن دركها العقول ، وعن وصفها الألسن ، فإن نظرت إلى علمه فكتابه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الذي ألفه في سفره ينبئك عن أمر عظيم ، ومقام عليّ في مراتب العلوم الدينية أصولاً وفروعاً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الأعظم الأنصاري رحمه الله يقول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أتقن القواعد الأصولية التي أودعها الشيخ في كشفه فهو عندي مجتهد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السيد محمد بن هاشم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شيخ الطائفة في زمانه ، وحاله في الثقة ، والجلالة ، والعلم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الشيخ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الأعلام ، وسيف الإسلام،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المستدرك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ما تقدّم ذكره من الشيخ النوري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حرزالدين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المشهور، شيخ الطائفة في عصره عند الإمامية في الأقطار الإسلامية عامّة والعراق وإيران خاصّة ، العَلَم الذي استظل به المسلمون في أمر الدين والدنيا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المآثر الحميدة التي لا تُحصىٰ ، والأخلاق الفاضلة التي لا تليق إلّا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قُدّس سرُّه من العلم ، والتقوى ، والصلاح والزهد ، والعبادة ، والورع بمكان عظيم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انتهت إليه رئاسة الإمامية الدينية في عصره، والزمنية في قطره ، فهو الفقيه الأكبر ، مفتي الإمامية ، رجع إليه الناس وأخذوا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بعد وفاة شيخه السيد مهدي بحر العلوم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باعتدال السليقة في الفقه، وقوّة الاستنباط من الأدلّة، فكان أعجوبة فى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ولقوّة استنباطه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باب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جعفر عنده دليل زائد ، وهو دليل الشمّ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جعفر آل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يقف الكاتب أمام هيبته خاضعاً خاشعاً، ويتلعثم المفوّه اللّسن فيعود تمتاماً واجماً تجاه ما يُذكر له من غرر الخصال الحميدة، وسامي الخلال، فيرجع من نعته خاسئاً خاسراً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شيخ الطائفة ، الشهير بالشيخ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الإمامية الميمون ، ومرجعها الأعلى في عصره ، ومن فطاحل فقهاء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من الشخصيّات العلمية النادرة المثيل ، وإنّ القلم لقاصر عن وصفه وتحديد مكانته وإن بلغ الغاية في التحليل ، وفي شهرته وسطوع فضله غنىً عن إطراء الواصفين ، وقد ارتوى الكلّ من نمير فضله ، واعترف الجميع بغزارة علمه، وتقدّمه، وتبحّره، ورسوخ قدمه في الفقه ، ومآثره الجمّة كفيلة بالتدليل على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وحسبك هذا الإطراء من هؤلاء الأعلام للدلالة على مكانته العلمية ، بل يكشف عنها اتفاق الأكابر على تسنّمه مقام المرجعية الدينية ، وتقليده منصب زعامة الطائفة ، فإنه بعد عودته من سفره الثاني للحجّ عام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رافقه فيه الركب من علماء الإمامية،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الأعرجي ، والسيد محمد جواد العاملي، والشيخ محمد علي الأعسم أجمع العلماء كالسيد مهدي الطباطبائي بحر العلوم ، والشيخ حسين نجف ، علی أن يوزّعوا أمر التدريس والفتوى وإقامة صلاة الجماعة على المبرّزين من علماء ذلك العصر ، فجعلوا منبر الدرس للسيد بحر العلوم ، وأمر التقليد في سائر الأمصار للمترجم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السيد أمر أهله وعياله بتقليده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إقامة صلاة الجماعة للشيخ حسين نجف ، فكان العلماء جميعاً يأتمون به، </w:t>
      </w:r>
    </w:p>
    <w:p>
      <w:pPr>
        <w:pStyle w:val="BookText"/>
        <w:rPr/>
      </w:pPr>
      <w:r>
        <w:rPr>
          <w:rFonts w:ascii="Amiri" w:hAnsi="Amiri" w:eastAsia="Amiri" w:cs="Amiri"/>
          <w:color w:val="111111"/>
          <w:sz w:val="28"/>
          <w:sz w:val="28"/>
          <w:szCs w:val="28"/>
          <w:rtl w:val="true"/>
          <w:lang w:bidi="ar-SA"/>
        </w:rPr>
        <w:t xml:space="preserve">حتى السيد والمترجم له في أغلب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الأمر على ذلك حتى توفي السيد عام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 قلبي لا يستطيع اصطبارا وقراري أبى الغداة القرارا</w:t>
      </w:r>
    </w:p>
    <w:p>
      <w:pPr>
        <w:pStyle w:val="BookText"/>
        <w:rPr/>
      </w:pPr>
      <w:r>
        <w:rPr>
          <w:rFonts w:ascii="IRNazanin" w:hAnsi="IRNazanin" w:eastAsia="IRNazanin"/>
          <w:color w:val="111111"/>
          <w:sz w:val="28"/>
          <w:sz w:val="28"/>
          <w:szCs w:val="28"/>
          <w:rtl w:val="true"/>
          <w:lang w:bidi="fa-IR"/>
        </w:rPr>
        <w:t>غشی الناسَ حادثٌ فترى الناس سكارى وما هم بسكارى</w:t>
      </w:r>
    </w:p>
    <w:p>
      <w:pPr>
        <w:pStyle w:val="BookText"/>
        <w:rPr/>
      </w:pPr>
      <w:r>
        <w:rPr>
          <w:rFonts w:ascii="Amiri" w:hAnsi="Amiri" w:eastAsia="Amiri" w:cs="Amiri"/>
          <w:color w:val="111111"/>
          <w:sz w:val="28"/>
          <w:sz w:val="28"/>
          <w:szCs w:val="28"/>
          <w:rtl w:val="true"/>
          <w:lang w:bidi="ar-SA"/>
        </w:rPr>
        <w:t>غشيَتْهُم من الهموم غواش هشّمت أعظماً وقدّت فِقارا</w:t>
      </w:r>
    </w:p>
    <w:p>
      <w:pPr>
        <w:pStyle w:val="BookText"/>
        <w:rPr/>
      </w:pPr>
      <w:r>
        <w:rPr>
          <w:rFonts w:ascii="Amiri" w:hAnsi="Amiri" w:eastAsia="Amiri" w:cs="Amiri"/>
          <w:color w:val="111111"/>
          <w:sz w:val="28"/>
          <w:sz w:val="28"/>
          <w:szCs w:val="28"/>
          <w:rtl w:val="true"/>
          <w:lang w:bidi="ar-SA"/>
        </w:rPr>
        <w:t>لمصابٍ قد أورث الناس حزناً و صغاراً وذلّة وانكسارا</w:t>
      </w:r>
    </w:p>
    <w:p>
      <w:pPr>
        <w:pStyle w:val="BookText"/>
        <w:rPr/>
      </w:pPr>
      <w:r>
        <w:rPr>
          <w:rFonts w:ascii="Amiri" w:hAnsi="Amiri" w:eastAsia="Amiri" w:cs="Amiri"/>
          <w:color w:val="111111"/>
          <w:sz w:val="28"/>
          <w:sz w:val="28"/>
          <w:szCs w:val="28"/>
          <w:rtl w:val="true"/>
          <w:lang w:bidi="ar-SA"/>
        </w:rPr>
        <w:t>وكسا رونقَ النهار ظلاماً بعد ما كانت الليالى نهارا</w:t>
      </w:r>
    </w:p>
    <w:p>
      <w:pPr>
        <w:pStyle w:val="BookText"/>
        <w:rPr/>
      </w:pPr>
      <w:r>
        <w:rPr>
          <w:rFonts w:ascii="Amiri" w:hAnsi="Amiri" w:eastAsia="Amiri" w:cs="Amiri"/>
          <w:color w:val="111111"/>
          <w:sz w:val="28"/>
          <w:sz w:val="28"/>
          <w:szCs w:val="28"/>
          <w:rtl w:val="true"/>
          <w:lang w:bidi="ar-SA"/>
        </w:rPr>
        <w:t>تُلِمَ الدينُ ثلمة مالها سدّ وأولى العلوم جُرحاً جُبارا</w:t>
      </w:r>
    </w:p>
    <w:p>
      <w:pPr>
        <w:pStyle w:val="BookText"/>
        <w:rPr/>
      </w:pPr>
      <w:r>
        <w:rPr>
          <w:rFonts w:ascii="Amiri" w:hAnsi="Amiri" w:eastAsia="Amiri" w:cs="Amiri"/>
          <w:color w:val="111111"/>
          <w:sz w:val="28"/>
          <w:sz w:val="28"/>
          <w:szCs w:val="28"/>
          <w:rtl w:val="true"/>
          <w:lang w:bidi="ar-SA"/>
        </w:rPr>
        <w:t xml:space="preserve">لمصاب العلّامة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يُجارىٰ</w:t>
      </w:r>
    </w:p>
    <w:p>
      <w:pPr>
        <w:pStyle w:val="BookText"/>
        <w:rPr/>
      </w:pPr>
      <w:r>
        <w:rPr>
          <w:rFonts w:ascii="Amiri" w:hAnsi="Amiri" w:eastAsia="Amiri" w:cs="Amiri"/>
          <w:color w:val="111111"/>
          <w:sz w:val="28"/>
          <w:sz w:val="28"/>
          <w:szCs w:val="28"/>
          <w:rtl w:val="true"/>
          <w:lang w:bidi="ar-SA"/>
        </w:rPr>
        <w:t xml:space="preserve">وقد ذكر حفيد المترجم له الشيخ محمد حسين ابن الشيخ علي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كما ذكر الشيخ النوري منها تسعة أبيات، والسيد الأمين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فصار التدريس للمترجم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المؤرّخ السيد حسّون البُراقي ، المتوفى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دلالة أصرح وأيّ برهان أوضح على سموّ منزلته العلمية من تقديم الأعلام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السيد بحر العلوم والشيخ حسين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السيد يأمر عياله بتقليد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حقّاً لمنزلة تقصر عن دركها الأفهام، وتعجز عن اكتناهها الأذهان ، وتعيىٰ عن وصفها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يستهين بهذه المنزلة إلا القاصر عن معرفة علّو مقام السيد بحر العلوم والشيخ حسين نجف أو المقصّر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عظمة هذين العَلَمين ممّا لا يرقى إليه الطير فما بالك بمن قدّماه على نفسيهما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الشيخ الأعظم لم يجد عنواناً يليق أن يعبّر به عن المترجم له عند ذكره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نعته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مدلول هذه الكلمة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وهي تتكرر بهذا العدد صادرة</w:t>
      </w:r>
    </w:p>
    <w:p>
      <w:pPr>
        <w:pStyle w:val="BookText"/>
        <w:rPr/>
      </w:pPr>
      <w:r>
        <w:rPr>
          <w:rFonts w:ascii="Amiri" w:hAnsi="Amiri" w:eastAsia="Amiri" w:cs="Amiri"/>
          <w:color w:val="111111"/>
          <w:sz w:val="28"/>
          <w:sz w:val="28"/>
          <w:szCs w:val="28"/>
          <w:rtl w:val="true"/>
          <w:lang w:bidi="ar-SA"/>
        </w:rPr>
        <w:t xml:space="preserve">عن لسان فحل الفحول ، ومجدد علم الفروع والأصول ، الرجل الذي يظهر بكلّ وضوح وصراحة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وقف على مصنّفاته تمسكه الدقيق بالموضوعية البحتة في البحث العلمي، وتقييم آراء العلماء ، وتحفظه التامّ عن إطلاق النعوت والألقاب العلمية وحرصه الشديد فيها إلّا على الجدير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النعت لا يخلو من دلالة على كمالاته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الجانب الذي لم يتوان المترجم له عن نيل السامي من مراتبه ، والرفيع من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يتهجّد في أسحاره ، مفترشاً الأرض ، واضعاً خدّه على التراب ، متضرّعاً ، باكياً، متذكراً لأنعم الله عليه ، معاتباً نفسه على عدم القيام بشكرها ، معترفاً بالتقصير في أداء حقّ سابغها ، موبّخاً لها على ذلك قائلاً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الصغر تُسمّى جعيفراً، ثمّ صرت جعفراً، ثمّ سمّيت الشيخ جعفر ، ثمّ الشيخ على الإطلاق ، فإلى متى تعصي الله ولا تشكر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يا جعيفر يا قليل الحياء ، يا كثير الشقاء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عنه أنّه سمع بعض الباعة المتجوّلين يعرض بضاعته في وقت السحر ، فأخذ يخاطب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إنّ هذا الرجل من أجل أن بقروش قليلة قد ترك نومه وتحمّل البرد ، فلا تمنّ على الله بعبادتك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محمد تقي البرغاني ، أنّ المترجم له لمّا زار قزوين وحلّ ضيفاً في دار أخيه ، قام في غلس الليل يتهجد ببكاء وصراخ وأنين ، فتأثر بما رآه من أحوال الشيخ المترجم له في تلك الليلة ، ممّا جعله يواظب الى قيام الليل مدّة خمسة وعشرين سنة ، من هيبة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الشيخ الأعظم قد وصفه أيضاً تارةً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مشايخنا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ويغنيك عن كلّ هذا الإطراء والثناء ، وشهادات الأعلام، وتعظيمهم </w:t>
      </w:r>
    </w:p>
    <w:p>
      <w:pPr>
        <w:pStyle w:val="BookText"/>
        <w:rPr/>
      </w:pPr>
      <w:r>
        <w:rPr>
          <w:rFonts w:ascii="IRNazanin" w:hAnsi="IRNazanin" w:eastAsia="IRNazanin"/>
          <w:color w:val="111111"/>
          <w:sz w:val="28"/>
          <w:sz w:val="28"/>
          <w:szCs w:val="28"/>
          <w:rtl w:val="true"/>
          <w:lang w:bidi="fa-IR"/>
        </w:rPr>
        <w:t xml:space="preserve">له ؛ آثاره الحيّة ، فهى أدلّ دليل على مكانته العلمية المرموقة ، فهذا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 وقد تقدّمت كلمة الشيخ الأنصاري فيه ، فما بعدها 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شرحه على القواعد ، الذي أثراه بالتحقيقات الدقيقة ، وأظهر فيه قوّته الفقهية ، متمثلة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المبتكر، والكشف عن مغزى كلمات المتقدمين ، ومحاولة التمسك بالعمومات في الفروعات ، والاستغناء بها عن الأدلة الخاصّة ومتاعبها ، وقد أبدىٰ فى هذا الجانب براعة وقدرة فائقة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اتصف كتابه هذا بكثرة التفريع، واستقراء الوجوه والمحتملات للفرع الفقهي المطروح ، الذي هو حصيلة الفكر الجوّال ، والنظر الثاقب ، الملتفت إلى الخصوصيات الفارقة المؤثرة في تغيّر موضوع الحكم الشرعي وتبدّله ، و هی صفة لا تنفك عن سائر مؤلّفات المترجم له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بسط الكلام في هذه الجوانب ، وبيان مفرداتها ، لطال بنا الكلام، وضاق به المقام، ولكن نشير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الجانب الأوّل فيكفي فيه ملاحظة ما ذكره في مبحث المعاطاة ، ونقله الشيخ الأنصاري في مكاسبه ، أن القول بإفادتها الإباحة المجرّدة مع قصد المتعاطيين التمليك والبيع مستلزم لتأسيس قواعد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الجانب الثاني فيكفي فيه ملاحظة كلامه الذي نقله الشيخ الأنصاري في مسألة جواز الانتفاع بالنجس كالمتنجس في غير ما ثبتت حرمته ، فقد أبان الشيخ الأعظم في هذا المبحث الكفاءَة العالية والمقدرة الفائقة للشيخ المترجم له في الوصول إلى كنه فتاوى الفقهاء والنفوذ إلى عمق كلماتهم ، ممّا لم ينله غيره ممّن اقتحم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الجانب الثالث والرابع فهما ظاهران في أغلب الفروعات و المسائل المطروحة في الكتاب ، وكمثال علىٰ ذلك ما أفاده مسألة بیع الغاصب من مبحث الفضولي ، وقد نقل الشيخ الأنصاري رأيه في هذه </w:t>
      </w:r>
    </w:p>
    <w:p>
      <w:pPr>
        <w:pStyle w:val="BookText"/>
        <w:rPr/>
      </w:pPr>
      <w:r>
        <w:rPr>
          <w:rFonts w:ascii="Amiri" w:hAnsi="Amiri" w:eastAsia="Amiri" w:cs="Amiri"/>
          <w:color w:val="111111"/>
          <w:sz w:val="28"/>
          <w:sz w:val="28"/>
          <w:szCs w:val="28"/>
          <w:rtl w:val="true"/>
          <w:lang w:bidi="ar-SA"/>
        </w:rPr>
        <w:t xml:space="preserve">المسألة دون حكاية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عظمة المترجم له من الناحية الفقهية لا تكاد تُدْرَك إلا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الشيخ الأنصاري ، وتحليله لكلماته ، وتشريحه لمطالبه وآرائه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من اهتمام الشيخ بأفكاره وآرائه أنّه لا يكاد يخوض أيّ مسألة عويصة من مسائل البيع إلّا من خلال المرور برأي المترجم له ، ولا ينهي المسألة ما دام لم يتعرّض لقوله ويحوم حوله ، ولا يطمئن إلى النتيجة دون أن يستعين برأيه واتخاذه مؤيّداً ، أو هدمه بعد جهد جهيد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هذا الكتاب من المصادر الأساسية لمكاسب الشيخ الأعظم ، فهو واحد من مجموعة كتب شكّلت المادة الأوّلية لتحقيقات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وصارت مطالبها الميدان لصولاته وجولاته ، كما أنّه قد اقتبس منه بعض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عظمة المترجم له وركون الشيخ الأعظم إليه اعتماده عليه في دعوىٰ الإجماع في بعض الموارد التي ينفرد المترجم له بها كما في مبحث المعاطاة حيث ادعى المترجم له الإجماع على عدم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كان هذا الكتاب أحد المصادر المهمّة للعلمين الكبيرين ، تلميذي المؤلّف ، السيد العاملي والشيخ النجفي ، فإنّ كلّاً منها اعتمده في مباحثه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العاملي فتجده قد وزّع هذا الكتاب وقسمه على مباحث المتاجر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 فتارة ينقل عنه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العلّامة المعتبر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جرىٰ عليه في مباحث المكاسب المحرّمة من كتاب المتاجر ، ثم في المباحث اللاحقة تجده يأخذ عبارة الكتاب ويجعلها جزءً من كلامه، فهو يضمّن كتابه كلام استاذه ، بل قد يجعلها المحور ويدخل عليها زيادات وإيضاحات لكونها غامضة مغلقة ، </w:t>
      </w:r>
    </w:p>
    <w:p>
      <w:pPr>
        <w:pStyle w:val="BookText"/>
        <w:rPr/>
      </w:pPr>
      <w:r>
        <w:rPr>
          <w:rFonts w:ascii="Amiri" w:hAnsi="Amiri" w:eastAsia="Amiri" w:cs="Amiri"/>
          <w:color w:val="111111"/>
          <w:sz w:val="28"/>
          <w:sz w:val="28"/>
          <w:szCs w:val="28"/>
          <w:rtl w:val="true"/>
          <w:lang w:bidi="ar-SA"/>
        </w:rPr>
        <w:t xml:space="preserve">هذا مع الاحتفاظ لنفسه بحقّ المناقشة والنقد والنقض والإبرام ، فهو من أكابر الفقهاء والمجتهدين، وله رأيه بحسب ما يؤدّي إليه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أنّا إذا ما قمنا بتطبيق الكتاب على عبارات مباحث البيع من مفتاح الكرامة نجد أنّه ما من مسألة إلّا والسيد العاملي ناظر فيها إلى كلام اُستاذه ، أو ناقل رأيه فيها، أو مقتبس عبارته ومدخل لها في عبارته ، جاعلاً لها كالجزء من كلامه، وقد يجعلها محصّل البحث ويختم بها كلامه ، كما في بيع السلاح الأعداء الدين ،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الشيخ النجفي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جواهره ، فهو الآخر قد أعار هذا الكتاب أهمية فائقة ، وجعل مطالبه من مواد بحثه ، فهو في كثير من المسائل يتعرّض لرأي المؤلّف وينقل عباراته كاملة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أكل المارّة من الثمر ، وينهال عليها بالمناقشة تارة، وبالشرح والتوضيح أخرى ، أو اتخاذ رأي أستاذه مؤيداً وداعماً لما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تراه في جميع المسائل المهمة من كتاب التجارة متعرضاً لكلام استاذه ، حتى أنه اكتفى في بعض المسائل بذكر كلامه ، كما في آداب التجارة ، معبراً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مشايخنا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وأحياناً يصل إعجابه بما قاله اُستاذه مطلباً وعبارةً إلى حدّ التبنّي لذلك وجعل ذلك جزءً من كلامه وعبارة من عبارات كتابه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كلّ ما يعرف عن مقامه العلمي ، بل في هذا الباب أقاويل وحكايات كثيرة ، سيّما ما يرتبط منها بقوّة ذاكرته وحافظته </w:t>
      </w:r>
      <w:r>
        <w:rPr>
          <w:rStyle w:val="FootnoteAnchor"/>
          <w:rtl w:val="true"/>
        </w:rPr>
        <w:footnoteReference w:id="9"/>
      </w:r>
      <w:r>
        <w:rPr>
          <w:rFonts w:ascii="IRNazanin" w:hAnsi="IRNazanin" w:eastAsia="IRNazanin"/>
          <w:color w:val="111111"/>
          <w:sz w:val="28"/>
          <w:sz w:val="28"/>
          <w:szCs w:val="28"/>
          <w:rtl w:val="true"/>
          <w:lang w:bidi="fa-IR"/>
        </w:rPr>
        <w:t xml:space="preserve">، أعرضنا عن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243_271928"/>
      <w:bookmarkStart w:id="29" w:name="pg20243_271928"/>
      <w:bookmarkEnd w:id="29"/>
    </w:p>
    <w:p>
      <w:pPr>
        <w:pStyle w:val="BookText"/>
        <w:rPr/>
      </w:pPr>
      <w:bookmarkStart w:id="30" w:name="pg20243_271928"/>
      <w:bookmarkEnd w:id="30"/>
      <w:r>
        <w:rPr>
          <w:rFonts w:ascii="Amiri" w:hAnsi="Amiri" w:eastAsia="Amiri" w:cs="Amiri"/>
          <w:color w:val="111111"/>
          <w:sz w:val="28"/>
          <w:sz w:val="28"/>
          <w:szCs w:val="28"/>
          <w:rtl w:val="true"/>
          <w:lang w:bidi="ar-SA"/>
        </w:rPr>
        <w:t>ذكرها لعدم ورودها في المصادر المعتبرة ، وربّما اشتملت على ما لا يصدقه السامع ، ولا يتقبّله المطالع</w:t>
      </w:r>
    </w:p>
    <w:p>
      <w:pPr>
        <w:pStyle w:val="Heading2"/>
        <w:numPr>
          <w:ilvl w:val="1"/>
          <w:numId w:val="1"/>
        </w:numPr>
        <w:rPr/>
      </w:pPr>
      <w:bookmarkStart w:id="31" w:name="__RefHeading___Toc5284798_2320776876"/>
      <w:bookmarkStart w:id="32" w:name="_Toc10"/>
      <w:bookmarkEnd w:id="31"/>
      <w:r>
        <w:rPr>
          <w:rtl w:val="true"/>
        </w:rPr>
        <w:t>حرکته النشطة لدعم الاتجاه الاُصولی</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خاتمة الفقهاء من آل كاشف الغطاء </w:t>
      </w:r>
      <w:r>
        <w:rPr>
          <w:rStyle w:val="FootnoteAnchor"/>
          <w:rtl w:val="true"/>
        </w:rPr>
        <w:footnoteReference w:id="10"/>
      </w:r>
      <w:r>
        <w:rPr>
          <w:rFonts w:ascii="Amiri" w:hAnsi="Amiri" w:eastAsia="Amiri" w:cs="Amiri"/>
          <w:color w:val="111111"/>
          <w:sz w:val="28"/>
          <w:sz w:val="28"/>
          <w:szCs w:val="28"/>
          <w:rtl w:val="true"/>
          <w:lang w:bidi="ar-SA"/>
        </w:rPr>
        <w:t xml:space="preserve">، الشيخ علي ابن الشيخ محمّد رضا ابن الشيخ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العراق وإيران قام جدّنا الشيخ جعفر ، المتوفى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بمحاربة الجمود الفكري الفقهى ، علماً </w:t>
      </w:r>
      <w:r>
        <w:rPr>
          <w:rStyle w:val="FootnoteAnchor"/>
          <w:rtl w:val="true"/>
        </w:rPr>
        <w:footnoteReference w:id="11"/>
      </w:r>
      <w:r>
        <w:rPr>
          <w:rFonts w:ascii="Amiri" w:hAnsi="Amiri" w:eastAsia="Amiri" w:cs="Amiri"/>
          <w:color w:val="111111"/>
          <w:sz w:val="28"/>
          <w:sz w:val="28"/>
          <w:szCs w:val="28"/>
          <w:rtl w:val="true"/>
          <w:lang w:bidi="ar-SA"/>
        </w:rPr>
        <w:t xml:space="preserve">وعملاً </w:t>
      </w:r>
      <w:r>
        <w:rPr>
          <w:rStyle w:val="FootnoteAnchor"/>
          <w:rtl w:val="true"/>
        </w:rPr>
        <w:footnoteReference w:id="12"/>
      </w:r>
      <w:r>
        <w:rPr>
          <w:rFonts w:ascii="Amiri" w:hAnsi="Amiri" w:eastAsia="Amiri" w:cs="Amiri"/>
          <w:color w:val="111111"/>
          <w:sz w:val="28"/>
          <w:sz w:val="28"/>
          <w:szCs w:val="28"/>
          <w:rtl w:val="true"/>
          <w:lang w:bidi="ar-SA"/>
        </w:rPr>
        <w:t xml:space="preserve">، وقضى بجهود جبّارة على </w:t>
      </w:r>
      <w:bookmarkStart w:id="33" w:name="pg20243_271929"/>
    </w:p>
    <w:p>
      <w:pPr>
        <w:pStyle w:val="BookText"/>
        <w:rPr/>
      </w:pPr>
      <w:bookmarkEnd w:id="33"/>
      <w:r>
        <w:rPr>
          <w:rFonts w:ascii="IRNazanin" w:hAnsi="IRNazanin" w:eastAsia="IRNazanin"/>
          <w:color w:val="111111"/>
          <w:sz w:val="28"/>
          <w:sz w:val="28"/>
          <w:szCs w:val="28"/>
          <w:rtl w:val="true"/>
          <w:lang w:bidi="fa-IR"/>
        </w:rPr>
        <w:t xml:space="preserve">الدعوة للبقاء على تقليد الأموات، وعلى الدعوة للتقيّد بالرجوع لأصل واحد هو الأخبار، وعلى الدعوة لنبذ العمل بأصول الفقه من الکتاب والإجماع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ودعىٰ للعمل بأصول الفقه ، التي قام القطع والقطعى علىٰ حجيّتها ، وصحّة التمسّك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بذل قصارىٰ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على ذلك أشباله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تمصير النجف الأشرف ، وبناء السور لها، ونقل الدراسة الدينية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واستدعى العلماء في العلوم الإسلاميّة ، حتىٰ الطب والفلك والحساب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ودعىٰ العرب والعجم للدراسة الدينية فيها ، فولّد الحركة العلمية الفقهية ، حتىٰ أصبحت النجف الأشرف هي المركز العام للدراسة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بحمد الله باقية حتىٰ الآن</w:t>
      </w:r>
      <w:r>
        <w:rPr>
          <w:rFonts w:eastAsia="IRNazanin" w:cs="IRNazanin"/>
          <w:color w:val="111111"/>
          <w:sz w:val="28"/>
          <w:szCs w:val="28"/>
          <w:rtl w:val="true"/>
          <w:lang w:bidi="fa-IR"/>
        </w:rPr>
        <w:t>»</w:t>
      </w:r>
    </w:p>
    <w:p>
      <w:pPr>
        <w:pStyle w:val="Heading2"/>
        <w:numPr>
          <w:ilvl w:val="1"/>
          <w:numId w:val="1"/>
        </w:numPr>
        <w:rPr/>
      </w:pPr>
      <w:bookmarkStart w:id="34" w:name="__RefHeading___Toc5284800_2320776876"/>
      <w:bookmarkStart w:id="35" w:name="_Toc11"/>
      <w:bookmarkEnd w:id="34"/>
      <w:r>
        <w:rPr>
          <w:rtl w:val="true"/>
        </w:rPr>
        <w:t>مدرسته الفقهیة</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انحصر منبر التدريس به في الحوزة العملية في النجف الأشرف ، بعد وفاة السيد بحر العلوم عام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قبلها إبّان سفر السيد إلى مكّة المكرّمة ، وإقامته بها عامين ، فحضر عنده ورجعوا إليه ، للاغتراف من بحره الطامي ، فكان اُستاذَ رجال تلك الفترة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حضر درسه مَن هو مسلّم الاجتهاد والفقاهة ، كالشيخ حسين نجف</w:t>
      </w:r>
      <w:r>
        <w:rPr>
          <w:rStyle w:val="FootnoteAnchor"/>
          <w:rtl w:val="true"/>
        </w:rPr>
        <w:footnoteReference w:id="13"/>
      </w:r>
      <w:r>
        <w:rPr>
          <w:rFonts w:ascii="Amiri" w:hAnsi="Amiri" w:eastAsia="Amiri" w:cs="Amiri"/>
          <w:color w:val="111111"/>
          <w:sz w:val="28"/>
          <w:sz w:val="28"/>
          <w:szCs w:val="28"/>
          <w:rtl w:val="true"/>
          <w:lang w:bidi="ar-SA"/>
        </w:rPr>
        <w:t xml:space="preserve">، والشيخ قاسم محيى الدين ، وأمثالهما </w:t>
      </w:r>
      <w:bookmarkStart w:id="36" w:name="pg20243_271930"/>
    </w:p>
    <w:p>
      <w:pPr>
        <w:pStyle w:val="Heading2"/>
        <w:numPr>
          <w:ilvl w:val="1"/>
          <w:numId w:val="1"/>
        </w:numPr>
        <w:rPr/>
      </w:pPr>
      <w:bookmarkStart w:id="37" w:name="__RefHeading___Toc5284802_2320776876"/>
      <w:bookmarkStart w:id="38" w:name="_Toc12"/>
      <w:bookmarkEnd w:id="36"/>
      <w:bookmarkEnd w:id="37"/>
      <w:r>
        <w:rPr>
          <w:rtl w:val="true"/>
        </w:rPr>
        <w:t>المشاهیر من تلامذته</w:t>
      </w:r>
      <w:bookmarkEnd w:id="38"/>
    </w:p>
    <w:p>
      <w:pPr>
        <w:pStyle w:val="BookText"/>
        <w:rPr/>
      </w:pP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تتلمذ عليه الكثير من العلماء، حتىٰ أنّه مضى زمنٌ في إيران أنّ مَن عاصره ولم يحضر عليه لا يُقلَّد في إيران ، بل لا يكون مرجعاً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به كثير من الفقهاء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تخرّج عليه جمع من مشاهير الفقهاء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علي بن الشيخ محمد رضا ابن الشيخ هادي ، حفيد المترجم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المؤرّخون أنّه كان تحت منبره من المجتهدين ما لا يحصى عدده، فضلاً عن المراهقين للاجتهاد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لا تجد فقيهاً شيعياً أو مرجعاً للتقليد إماميّاً إلا وتنتهي سلسلة أساتذته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هذا فلا معنى للتصدّي لحصر تلامذته ، وخرّيجي مدرسته ، فهو اُستاذ الحوزة آنذاك على الإطلاق، وكلّ فحولها تلامذته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سجّلت كتب التراجم أسماء المشاهير منهم ،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أبناؤه الأجلّة الكرام ، مشايخ الإسلام ، والفقهاء الأعلام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وصفهم بذلك السيد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وأصهاره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ذكرهم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الأكبر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خلّاقاً للفقه ، بصيراً بقوانينه ، لم تبصر بنظيره الأيّام ، وكان أبوه يقدّمه في الفقه على مَن عدا المحقق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أساطين العلماء ، وجبال العلم، وأركان الدين ، والمرجع العام فى الدنيا والدين لعامّة أهل عصره من الأمراء والوزراء فضلاً العلماء والمقلّدين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محققاً ، مدققاً، متفنناً، طويل الباع ، كثير الاحتياط في الفتوى ، لا نظير له في الفقاهة ، وفاق كلّ أهل طبقته و سائر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عصره، هداه الله إلى طريق فهم المطالب، وتحقيق الحقائق ، وكشف الدقائق بما لم يعهد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ترجمان الفقهاء ، ولسان العلماء ، ومفتاح كل ما أشكل على العلماء، مع تبحّره في فقه الحديث ، ومهارة في معرفة لحن خطابات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الشيخ كاشف الغطاء كان في تلامذته وتلامذة السيد بحر العلوم علماء أجلّاء ، فتردد أمر الناس في تعيين الأعلم ، وبيناهم كذلك إذ ورد عليهم المحقق القمّي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 من قم زائراً ، فاجتمعوا عليه ، وطلبوا منه تعيين الأعلم ، والمرجع العام في التقليد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أكتب مسائل لجماعة خاصّة استعلم مقدار ما عليه من الفضل ، فكتب مسائل ونسخوها نسخاً، وأرسل لجماعة ، منهم الشيخ موسى ابن الشيخ جعفر ، فلمّا جاءَت الأجوبة أمر الميرزا أن ينادى بالناس جماعةً في الصحن الشريف ، فاجتمع الناس وصعد المنبر في الأيوان الشريف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ها أنا جالس بمحضر أمير المؤمنين علیه السلام وأشهد لكم بحضرته أنّ حجّة الله عليكم الشيخ موسى ابن الشيخ جعفر ، وأنّه أفضل الكل ، وأعلم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عامّة الناس إليه ، وطار ذكره ، وبعد صيته ، وانتهت إليه رئاسة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حكاية الميرزا القمّي بنحو آخر، وهو ما عن السيد حسّون البُراقي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الميرزا عزم في تلك السنة على الحجّ ، فجعل طريقه على النجف ، ليقرء فاتحة للشيخ ، ويعزّي أولاده، فلمّا حلّ هناك اجتمع عليه الفضلاء والناس ، وسألوه عن الشيخ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به ، ولكن أكتب لكم ثلاث مسائل من المشكلات فإن أجابني نظرت في جوابه ، وميّزت مقدار فضله، فكتب المسائل وبعثها إلى الشيخ موسى ، وكان قد قرب الغروب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 فيها ؟ وقد أمهلك في الجواب عشرة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مشغول باُمور مهمّة أقلقت فكري ، وشوشت ،بالى، والوقت 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يمهلك بتلك المهلة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عندي في ذلك بين الساعة والعشرة أيام، ولكن قفوا فخذوا ما تيسّر على العجلة ، ونادى أخاه الشيخ علي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اُملي عليك الجواب وأنت اكتب ، فجعل الشيخ موسى يملي والشيخ على يكتب ما يمليه ، فما كان إلّا نصف ساعة حتى تمّ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وصلت إليه وهو مشتغل بالوضوء ، فجعل يملي على الشيخ علي ، فما فرغ من الوضوء إلا وقد تمّت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بها إلى الميرزا ، وهو بعد لم يقم مكانه ، فقال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متى خرجتم ومتى راجع الشيخ المسائل ، ومتى كتب الأجوبة ، والوقت يضيق عن بعض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الأجوبة ، وهو يعتذر إليك من تشتت البال ، وضيق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خطير لا يكون إلّا للقادر القدير ، فأمهلوني اُراجع جوابه الليلة واُعطيكم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بكّروا عليه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الشيخ موسى عن اجتهادي، فقد شككني في أمري ، ولا أرى أن اُقلد مع وجود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إلى حديث السيد الصدر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مجلس درسه في أواخر أمره من طلبة العجم أواخر أمره من طلبة العجم ألف رجل، هاجروا من كربلاء بعد وفاة شريف العلماء ، ومنهم المير فتّاح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 فهي من مباحث الشيخ موسى، وتقریرات درسه ، ولمّا توفي الشيخ موسى أتمهّا المير فتاح من تقريرات درس أخيه الشيخ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من كتب التراجم أنّ مرجعيته كانت مزاحَمة في بادئ الأمر بمرجعية الشيخ أسد الله التستري ، وإنّما استتبت له بعد وفاة الأخير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طوال على الصعيد العلمي والسياسي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 ومصنّفات،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أبيه من أوّل الطهارة إلى آخر الصلاة في مجلّدين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ولده الآخر ،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السيد الصدر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شيخ الشيعة ، ومحيي الشريعة ، اُستاذ الشيوخ الفحول ، الذين منهم العلّامة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عمدة مشايخه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محققاً متبحراً،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 النظر ، جمع بين التحقيق وطول الباع إليه انتهت رئاسة الإمامية في عصره بعد موت أخيه الشيخ موسى ، وكان يحضر درسه ما يزيد علىٰ الألف من فضلاء العرب والعجم ، منهم المير فتّاح الذي جمع تقريرات شيخه المذكور في الدرس وسمّاها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وهي مشحونة بالتحقيق والتدقيق كما لا يخفى، وقلّ نظيره في تربية العلماء وتخريج الأفاضل من تحت منبره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عنه الشيخ حرز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انتهت الرئاسة الدينية ، والمرجعية العامة بعد وفاة أخيه الشيخ موسىٰ ، وبعد أن تردد أمر التقليد بين الشيخ محمد حسن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والمترجم له ، وفزعت الجماهير المؤمنة إلى العالم الزاهد العابد الشيخ خضر بن شلّال العفكاوي النجفي ، حيث كانت النفوس تسكن إليه بلا كلام علماً وتقىً ، لتعيين الأعلم والأورع منهما ، فعندئذ رجّح ابن شلّال المترجم له على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بقولة صريحة ، فانعطفت الجماهير إلى دار الشيخ علي يحيّونه بالمرجعية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 ترجمة الشيخ خضر بن شلّال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كلام مشهور مع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 حينما قال له الثاني في حرم أمير المؤمنين علیه السلام بعدما فرغا من الصلاة والزيارة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عقدها أهل 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فأجابه الشيخ خضر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عقدناها لعلي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 أمر التقليد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علي بن الشيخ محمد رضا ابن الشيخ هادي آل كاشف الغطاء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فصارت له المرجعية باجتماع العلماء في مسجد الهندي ، كالشيخ خضر شلّال ، والشيخ محسن خنفر ، وأمثالهم ، على تعيينه للمرجعية العامّة وتقليده، وجعلت العلماء تحضر درسه ، وینثر عليهم من العلوم ما لم يعهد مثله ، حتى سُمّي بالمحقق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درس الشيخ علي كان مشتملاً على ثمانماءة تلميذ ، كلّهم ما بين مجتهد ومراهق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آثار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الخيارات ، المبسوط الكبير ، وبعض مسائل البيوع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الثالث ،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بالحلّة بالطاعون الذي عمّ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النجف أيام أخيه الشيخ على ، ودفن في مقبرتهم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سبطه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كاملاً شهماً مهاباً مطاعاً ، كان المقدّم بعد أخويه الشيخ موسى والشيخ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هاجر إلى الحلّة ، ورأسَ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كريماً سخيّاً ، ذا همّة عالية ، وكانت رجال الحكومة يخشونه ويرجونه</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ولده الرابع ،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الخونساري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من سائر الفقهاء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أخويه الشيخ موسى والشيخ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وفقهاً ، وفهماً ، وذهناً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المتفرّد المشهور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علماء زماننا ، وكبراء نبلاء أواننا ، منتهياً إليه أمر الفقاهة في الدين، ورئاسة سلسلة العلماء والمجتهدين ، سهيماً لسميه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قد اُشير إليه من المراتب ، وقسيماً له في غالب ما اُقيم عليه من المناصب ، بل هو عند العرب الشيعة أكثر احتراماً، وأجلّ مقاماً، ويقيم الجماعة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والده المرحوم، ويصلّي خلفه الخلق الكثير ، ويدرّس الفقه في منزله المقدّس بالنجف الأقدس الأشرف بلسانه العربي المبين، ويذكر أيضاً أنّ حوزته الباهرة في هذه الأواخر أجمع وأوسع وأسدّ وأنفع من سائر مدارس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غاية تسلّطه في ومهارته العجيبة أنّه ليس يتأمل في مسألة كثيراً بل يمشي سريعاً، ويطوي مراحل الفقه بأهون ما يكون ، وأحسن ما يهون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النوري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العلماء الراسخين ، الزاهدين ، المواظبين على السنن والآداب ، ومعظّمى الشعائر ، الداعين إلى الله بالأقوال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المجلس الذي انعقد في دار الإمارة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فيه علماء الشيعة من المشهدَين ، وهو مقدّمهم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ورئيسهم ، وعلماء أهل السنّة ، بأمر الوالى لتحقيق حال الملحد الذي أرسله على محمّد الشيرازي الملقّب بالباب ليدعو الناس إلى مزخرفاته وملفقاته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 ويوم مشهود بيّض به وجوه الشيعة، وأقام به أعلام الشريعة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حرز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توفي أخوه الأكبر، رئيس الإمامية في عصره، اجتمع أهل الفضل والعلم عليه ، فكان الزعيم المطاع بالرغم من أنّ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 كان موجوداً في النجف، وكانت تأتيه المسائل من جميع الأقطار الإسلامية فيجيب عليها بالوقت نفسه لسعة إحاطته واستحضاره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علي ابن الشيخ محمد رضا ابن الشيخ هادي آل كاشف الغطاء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عظمة فضله أنّ المفتي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 في محضر جماعة من العلماء عن وجود نصّ في الكتاب العزيز على النهي عن تخلّف الناس عن خلافة أمير المؤمنين علیه السلام فأجابه المرحوم الشيخ حسن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فتعجّب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الشيخ حسن آیة المباهلة ، فقال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الدلالة فيها ؟ قال الشيخ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ما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لأهل المدينة ومَنْ حولهم من الأعراب أن يتخلّفوا عن رسول الله ولا يرغبوا بأنفسهم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لا الرسول صلی الله علیه و آله ، وإلّا 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أوجز، وأبلغ ، وأصرح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فيكون أهل المدينة بعد الرسول صلی الله علیه و آله قد فعلوا ما نُهوا عنه ، وهوالتخلّف عن نفس الرسول ، والرغبة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وينقل عن الشيخ محسن خنفر ،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في المتقدّمين والمتأخرين أفضل من الشيخ حسن ابن الشيخ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خدمات جليلة ، وآثار،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في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 كتابنا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الخونساري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ظفرت على بعض مجلّدات له من أبواب </w:t>
      </w:r>
    </w:p>
    <w:p>
      <w:pPr>
        <w:pStyle w:val="BookText"/>
        <w:rPr/>
      </w:pPr>
      <w:r>
        <w:rPr>
          <w:rFonts w:ascii="Amiri" w:hAnsi="Amiri" w:eastAsia="Amiri" w:cs="Amiri"/>
          <w:color w:val="111111"/>
          <w:sz w:val="28"/>
          <w:sz w:val="28"/>
          <w:szCs w:val="28"/>
          <w:rtl w:val="true"/>
          <w:lang w:bidi="ar-SA"/>
        </w:rPr>
        <w:t>المعاملات بأصبهان ، وكأنّ عيناً لم تر مثله في كثرة التفريع ، والإحاطة بنوادر الفقه ، والاستقامة في طريق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الكتب النفيسة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فتاواه عدم مفطرية التدخين ، وعبارته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بدخان التنباك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فهؤلاء أنجاله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يلى أصهاره الخمسة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أسد الله بن إسماعيل ، الدزفولي ، التستري ،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كلامه ضمن من أطرى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منه إجازة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فلمّا كان من النعم التي ساقها الله إلي ، وتلطّف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توفيقي لتربية قرّة عيني ، ومهجة فؤادي ، والأعزّ عليَّ من جميع أحبائي وأولادي، ومَن أفديه بطارفي وتلادي ، معدوم النظير والمثيل ، آقا أسد الله ، نجل مولانا العالم العامل ، الحاج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سلّمه الله قد قرء عَلىّ جملة من المصنفات، وطائفة من العلوم النقليات ، فرأيت ذهنه كشعلة مقباس ، وفكره لا يصل إليه فحول الناس ، وكانت ساعته بشهر و شهره بدهر، فما كمل سنه من السنين كمال الخمسة والعشرين حتىٰ وصل إلىٰ رتبة الفقهاء والمجتهدين ، فلو الإجازة في الفتوى مأثورة لأجزت له الفتيا بعد أن يبذل وسعه في الأدلّة ومقدوره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جرت عادة المشايخ والأكابر الماضين على إجازة من اعتمدوا علىٰ علمه وورعه التلامذة المؤمنين ، وكان بحمد الله جامعاً للصفتين ، حائزاً للشرفين والفضيلتين أجزت له أن يروي عنّي ، ويُسند إلىّ ما رويته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متتبعاً، من أهل التحقيق والفهم والمهارة في الفقه والأصول، وكان غالب تتلمذه على شيخ مشايخنا الآقا محمد باقر البهبهاني ، والسيد محمّد مهدي الطباطبائي والشيخ جعفر النجفي، ويعبّرعنه بكلماته بشيخي واُستادي وجدّ أولادي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لكونه صهراً للشيخ المذكور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تلمّذ أيضا على السيد علي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والميرزا مهدي الشهرستاني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أوّل مَن كشف القناع عن عدم حجّية الإجماع المنقول بخبر الواحد ، وصنّف في ذلك رسالة ، اشتهرت وتلقّاها العلماء بالقبول ، وكان العلماء إلىٰ ذلك العصر يعاملون الإجماع المنقول معاملة الخبر ، فيعارضون به الأخبار الصحيحة ، وكلمات أهل ذلك العصر مشحونة بذلك ،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عباراتهم المشهورة قولهم عند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بل الأصول ، وللإجماع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هو خطأ هذا القول ، وزيَّفه بأجلى بيان وأوضح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العلماء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المحقق الشيخ محمّد طه نجف إذا ذكر أحدٌ الإجماع المنقول ، يقول له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إجماع منقول بعد عصر الشيخ أسد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الشيخ حرزالدين والشيخ الطهراني رجوع الناس إليه في التقليد ، وصار المرجع العام للأحكام والفتيا ، بعد وفاة استاذه وأبي زوجته ،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ونفائس الأسرار في أحكام النبي أحكام النبي المختار وعترته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وجوه حجية الإجماع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بن محمّد رحيم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أصله ومسقط رأس والده المبرور قرية إيوان كيف المشهورة ، ثم انتقل هو في عنفوان الشباب إلى عتبات الأئمة الأطياب ، فاشتغل بها برهة من الزمان على أفاضل علمائها الأعيان مثل صهره المعظّم والفقيه الأفخم الشيخ جعفر بن خضر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اُجيز منه بالرواية والفتوى ، وتزوّج في حياته بابنته الجليلة المخدّرة العليا والمفضّلة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الأمير السيد محسن ابن سيد حسن الكاظمي الأصولي ، والأمير سيد علي ابن السيد محمّد علي الحائري الطباطبائي، وغير اولئك من أعاظم </w:t>
      </w:r>
    </w:p>
    <w:p>
      <w:pPr>
        <w:pStyle w:val="BookText"/>
        <w:rPr/>
      </w:pPr>
      <w:r>
        <w:rPr>
          <w:rFonts w:ascii="IRNazanin" w:hAnsi="IRNazanin" w:eastAsia="IRNazanin"/>
          <w:color w:val="111111"/>
          <w:sz w:val="28"/>
          <w:sz w:val="28"/>
          <w:szCs w:val="28"/>
          <w:rtl w:val="true"/>
          <w:lang w:bidi="fa-IR"/>
        </w:rPr>
        <w:t xml:space="preserve">شيوخ العراقين إلى أن فاز من العلم بالقدح المعلّىٰ، واستوفىٰ من مراتب الفضل نصيبه الأوفىٰ ، فأصبح أفضل أهل عصره في الفقه والأصول، بل أبصر أهل وقته بالمعقول والمنقول ، وصار كأنّه المجسّم من الأفكار الدقيقة، والمنظّم من الأنظار العميقة ؛ اُستاداً للكلّ في الكلّ ، وفي أصول الفقه على الخصوص، وجنّات الفضل الدائمة الأكل في مراتب المعقول والمنصوص ، فجعل أفئدة طلّاب العصر تصرف إليه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الشيخ محمد حسین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الفضل تطرب لديه ، بحيث لم ير في الدنيا مدرس أغص بأهله من مدرسه الشريف ، ولا مجلس أفيد لنهله من مجلسه المنيف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يحضر حلقة درسه لأصول الفقه في الجامع الأعظم الشاهي بأصبهان قريباً من ثلاثماءَة مشتغل من الفضلاء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إذ ذاك من جملة المتطفّلين لتك الحضرة المتعالية ، والمتعلّقين بتلك الدوحة المتباهية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الطهراني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رؤساء الطائفة ، ومحققي الإمامية المؤسسين في هذا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إلىٰ أصفهان فأقام بها ناشراً لأعلام العلم مربيّاً للعلماء، يحضر بحثه ما يقرب من أربعماءَة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آثار هامّة ، أشهرها حاشيته على مقدمة معالم الدين ،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المسترشدين في شرح أصول معالم الدين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محمّد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حرزالدين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 جبل عامل ، وهاجر إلى العراق صبياً مع والده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السنة التي اشتدّ بها جور الجائر أحمد باشا الجزّار على الشيعة هناك ، وأقام مع والده فى النجف ، وقرأ العلوم بها حتى صار يحضر دروس أعلام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اختص بالحضور على الشيخ الأكبر الشيخ جعفر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النجفي ، وأصبح المترجم له من محسوبي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أستاذه هذا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إيران ، وأقام مدّة في </w:t>
      </w:r>
    </w:p>
    <w:p>
      <w:pPr>
        <w:pStyle w:val="BookText"/>
        <w:rPr/>
      </w:pPr>
      <w:r>
        <w:rPr>
          <w:rFonts w:ascii="IRNazanin" w:hAnsi="IRNazanin" w:eastAsia="IRNazanin"/>
          <w:color w:val="111111"/>
          <w:sz w:val="28"/>
          <w:sz w:val="28"/>
          <w:szCs w:val="28"/>
          <w:rtl w:val="true"/>
          <w:lang w:bidi="fa-IR"/>
        </w:rPr>
        <w:t xml:space="preserve">أصفهان مدرّساً ، تحضر عليه أهل الفضل، وصار له شأن بها ووجاهة ، هكذا حدّث مشايخنا في الغري، ثمّ عنّ له الرجوع إلى النجف ، ويؤمئذ كان عالماً فقيهاً أصوليّاً محققاً محيطاً بعلم الحديث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بالنجف واُقبر في الصحن الغروي في الحجرة التي تكون على يمين الداخل إليه من باب الفرج مع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حفيده السيد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الشيخ الجليل الشيخ صادق ابن الشيخ محسن الأعسم النجفي الأعسم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محمد حسن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والشيخ حسن ابن شيخ الطائفة الشيخ جعفر ،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السيد صدر الدين من أصفهان إلى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يعاملانه معاملة الاستاذ ، ويجلسان بين يديه جلسة التلاميذ، وهما يومئذ شيخا الإسلام في النجف ، ولعلّهما ممّن تلمّذ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الخونساري فی تعداد تلامذة المؤلف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 صهري نفسه على ابنتيه الأعجميتن ، وهما الفقيهان الفاضلان السيد صدر الدين الموسوي العاملي ، والشيخ محمد تقي بن عبد الرحيم الرازي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المعالم الكبير 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وابنة الشيخ المؤلّف زوجته الأولى والثانية بنت السيد أبي الحسن خوش 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تصانيف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مقبولة عمر بن حنظلة ، في غاية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حجّية المظنّة، ردّ فيها دليل الانسداد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الأغا محمّد علي ابن الأغا باقر الهزار 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 النجف ، ونشأ فيها، وقرأ مقدّماته بها ، حتى حضر أبحاث العلماء ، وصار عالماً محققاً ، مدرّساً جليل القدر محترماً ، وكان من المؤلّفين المرموقين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الشيخ الأكبر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النجفي، وصار من مريديه والمختصّين به ، حتى أن كاشف الغطاء أحبّه حبّاً شديداً، وزوّجه إحدى بناته ، لفضله وتقاه ، وإنّه من سلالة طاهرة جليلة، وقد زوّج الشيخ بناته من أعلام علماء عصره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تتلمذ في الفقه والأصول على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النجفي ، والميرزا أبي القاسم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 والملّا أحمد النراقي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عدة آثار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البحر الزاخر ، في الفقه ، في عدّة مجلدات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ابن الشيخ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خضر ابن يحيى ،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الشيخ الطهراني في تلامذة المؤلّف وقال عنه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 فضله ، وعلوّ منزلته ، صاحب مزرعة في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صهر المؤلّف على ابنته من زوجته الفارسية ، وقد انجبت له فحل الفحول ، الفقيه التحرير ، الشيخ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راضي سبط المؤلّف ، وحفيد أخيه ، ووارث علمه ، فقد قال فيه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خاتمة الفقهاء الجعفريين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ماتت طريقة فقه الشيخ جعفر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سلك في الفقه مسلكهم، وأخذ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التفريع ، كعمّ أبيه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قوي الذاكرة ، جيد الفهم ، حلالاً للمشكلات الفقهية ، حاضر الجواب ، إذ سُئل في المسائل الفقهية أجاب عنها سريعاً مهما كانت ، فإذا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التسرّع في الفتوى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 كلّه نصب عيني ، لا أحتاج إلى مراجعته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 النجف ، ورأس بعد وفاة الشيخ مرتضى الأنصاري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حرزالدين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عليه وجوه أهل العلم والفضل ، وجُلّهم صاروا مراجع ، ورؤساء المذهب من العرب والعجم والترك ، منهم المحقق الشيخ محمّد كاظم الآخوند الخراساني،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الأصول، والسيد محمد كاظم الطباطبائي اليزدي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حدّثونا موثوقاً أن الشيخ راضي أورد على صاحب الجواهر ، في مجلس بحثه بمسألة ، وهو يدرّس ، فأجابه صاحب الجواهر عليها ، ثمّ أشكل عليه ثانياً وأجابه ، </w:t>
      </w:r>
    </w:p>
    <w:p>
      <w:pPr>
        <w:pStyle w:val="BookText"/>
        <w:rPr/>
      </w:pPr>
      <w:r>
        <w:rPr>
          <w:rFonts w:ascii="Amiri" w:hAnsi="Amiri" w:eastAsia="Amiri" w:cs="Amiri"/>
          <w:color w:val="111111"/>
          <w:sz w:val="28"/>
          <w:sz w:val="28"/>
          <w:szCs w:val="28"/>
          <w:rtl w:val="true"/>
          <w:lang w:bidi="ar-SA"/>
        </w:rPr>
        <w:t xml:space="preserve">وهكذا ، حتى انحلّ البحث وتفرّق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رفع الشيخ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أراد بذلك إفحامي فأخرجه من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 إجمالاً أنّ الشيخ راضي خرج من النجف في حياة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لمزرعته ، فقال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مؤسسا في الفقه ويرى حجية الأصل المثبت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استدلّ على مسألة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نريده مثبتاً لا 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الشيخ الطهراني ثناءً عطراً ، وأبان منزلته وعلوّ مقامه ، فراجع كلامه وأمّا باقى المشاهير من تلامذته ، فهم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جواد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السيد الخونساري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فضلاء هذه الأواخر ، ومتتبعي فقهائهم الأكابر ، وقد أذعن لكثرة اطلاعه، وطول ذراعه، وسعة باعه في الفقهيّات ؛ أكثر معاصرينا الذين أدركوا فيض صحبته ، بحيث نقل أنّ المحقق الميرزا أبا القاسم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 كان إذا أراد تشخيص المخالف يرجع إليه ، فيظفر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الطهراني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في شقراء من قرى جبل عامل ، ونشأ هناك، فقرأ بعض مقدّمات العلوم ، ثم هاجر إلى العراق ، ولمّا ورد کربلاء على عهد الوحيد البهبهاني ، حضر على السيد علي الطباطبائي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 ثم حضر على الأستاذ الوحيد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بحثهما مدّة ، حتى حصّل قسطاً وافراً من العلم، وعرف بالفضل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وأجيز من البهبهاني ، فجاء إلى النجف ، وحضر على السيد مهدي بحر العلوم ، والشيخ الأكبر كاشف الغطاء، والشيخ حسين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ملازماً لأبحاثهم زمناً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الموسوعة الفقهية الضخمة ، التي جعلها شرحاً القواعد العلّامة ،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الخونساري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 عين الزمان أبداً بمثله كتاباً مستوفياً لأقوال الفقهاء ، ومواقع الإجماعات ، وموارد </w:t>
      </w:r>
    </w:p>
    <w:p>
      <w:pPr>
        <w:pStyle w:val="BookText"/>
        <w:rPr/>
      </w:pPr>
      <w:r>
        <w:rPr>
          <w:rFonts w:ascii="Amiri" w:hAnsi="Amiri" w:eastAsia="Amiri" w:cs="Amiri"/>
          <w:color w:val="111111"/>
          <w:sz w:val="28"/>
          <w:sz w:val="28"/>
          <w:szCs w:val="28"/>
          <w:rtl w:val="true"/>
          <w:lang w:bidi="ar-SA"/>
        </w:rPr>
        <w:t xml:space="preserve">الاشتهارات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تفصيلات شرح تلميذه الشيخ محمد حسن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كتبه بأمر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امتثلتُ أمر سيدي واستاذي ، ومَن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سبحانه وأوليائه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معوَّلي واعتمادي ، الإمام ، العلّامة المعتبر ، المقدّس ، الحبر الأعظم ، الشيخ جعفر جعلني الله فداه ، وأطال الله تعالى للمؤمنين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حراسته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 أن تعمد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الإمام العلامة أعلى الله تعالى في الجنان مقامه ، فتنظر إلى كل مسألة اختلفت فيها كلمات الأصحاب ، وتنقل أقوالهم، وتضيف إلى ذلك نقل شهرتهم ، وإجماعهم ، وتذكر أسماء الكتب التي ذكر فيها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عثرت على دليل لم يذكروه ، فاذكره ، ومتنه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عند اختلاف الأخبار مذاهب العامة على وجه الاختصار، ليكمل نفعه، ويعظم وقعه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 الفائدة إلّا أنّه قد خلا عنه ذكر كثير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أمره الشريف ، ورجوته أن يسعفني بدعائه الصالح المقبول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الأعظم، ورئيس الإمامية في عصره، أستاذ العلماء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الدليل الواضح على مهارته في العلوم العقلية والنقلية بموسوعته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 بل دائرة معارف الفقه الجعفري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أركان الطائفة الجعفرية، وأكابر فقهاء الإمامية ، وأعاظم علماء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 وتخرّج في السطوح على الشيخ حسن والشيخ قاسم آل محيي الدين، والسيد حسين الشقرائي ، وغيرهم من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على السيد محمد جواد العاملي،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 والشيخ جعفر النجفي،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وولده الشيخ موسى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الرواية عن العاملي، والنجفي ، والشيخ أحمد الأحسائي ، </w:t>
      </w:r>
    </w:p>
    <w:p>
      <w:pPr>
        <w:pStyle w:val="BookText"/>
        <w:rPr/>
      </w:pPr>
      <w:r>
        <w:rPr>
          <w:rFonts w:ascii="Amiri" w:hAnsi="Amiri" w:eastAsia="Amiri" w:cs="Amiri"/>
          <w:color w:val="111111"/>
          <w:sz w:val="28"/>
          <w:sz w:val="28"/>
          <w:szCs w:val="28"/>
          <w:rtl w:val="true"/>
          <w:lang w:bidi="ar-SA"/>
        </w:rPr>
        <w:t>وغيرهم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العلم والفضل حتى بانت للملأ مكانته السامية ، وعلمه الكثير ، فانتهت إليه زعامة الشيعة ، ورئاسة المذهب الإمامي في سائر الأقطار ، ونهض بأعباء الخلافة ، وتكاليف الزعامة والإمامة ، وقد خضع له علماء عصره، وشهدوا له بالتفوّق والتقدم، وثنيت له الوسادة زمناً طويلاً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انتهت رئاسة الإمامية العرب منهم والعجم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 عدّ فقهاء ، مجلسه ، المسلّم لديه اجتهادهم ، يناهز ستين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وخير ما نختم به الكلام عنه ، ما نقله الشيخ حرز الدين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المشايخ من أسباطه الأجلاء أنّ الشيخ عزم أن يشرح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 فشرح منه صفحة واحدة ، ووافاه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درس لأهل العلم في علوّ الهمّة، وشدّة المثابرة ، وعدم الفتور في أداء الخدمة للطائفة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التي أتت على ثلاثين عاماً من عمره رغم تلامذته له في تبييضها وتصحيحها وتنظيمها ، كالشيخ حسن قفطان السعدي ، والشيخ محمد الخمايسي ، والشيخ حسين القمشئي ، كما ذكر الشيخ حرز الدين، 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بعض الأعلام أن ما يتعلّق بالمباحث العقلية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 هو من الشيخ ملا باقر التركي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محسن خَنْفَر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حرزالدین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الاستاذ الحاج ميزرا حسين الخليلي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عالم ، محقق ، فقيه أصولي بارع ، خبير ، متتبع لعلم الرجال والحديث ، بحّاثة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الرفيع أوسع وأسمى من أن يشرحه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حافظة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المنح التي خصه الله تعالى ومنحه بها أنّه كان يحفظ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في الطب ، لابن سينا ، وكان استاذاً في تدريسه وشرحه ، ويحفظ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في الأخبار للشيخ الحر العاملي، بأجزائها ، سنداً ، ومستنداً، مع التحقيق والغور العميق في فهم مطالبها ، حتى أنّه كان يضبط مواضع اشتباه العطف بالواو أو بالفاء </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أيضاً حدّثنا الرجالي السيد محمّد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اُعجوبة في قوّته وإحاطته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إحاطته أنّه يباحث ما يستفاد من ألفاظ النصّ أو الحديث الذي يستدل به على حكم فرعي أيّاماً ، وقد يكون اسبوعاً كاملاً، أوّل ما يبحث لغة النصّ، وما فيه من الحقيقة والمجاز ، والفصاحة والبلاغة ، ونسبته من الكتاب العزيز ، ورجال سنده ، ثمّ يذكر فقه الحديث ، وما يستفاد منه ومن جميع الأخبار ، إلى غير ذلك من التحقيق الواسع 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تتلمذ على الشيخ الأكبر الشيخ جعفر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النجفي ، وعلى ولده الشيخ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على نجله الثاني الشيخ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 علّامة ، فقيه، فهّامة ، محدّث كبير ، طويل الباع ، كثير الاطلاع ، متبحّر ، قلّ في المتأخرين نظيره إلا الشيخ أسد الله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تلاميذ الشيخ جعفر وابنه الشيخ موسى ، ولصعوبة مسلكه لم تحصل له مرجعية عامة ، إلى أن توفي صاحب الجواهر ، فرجع إليه أكثر العرب، ولم تطل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تلميذه الرجالي ، السيد محمّد الهندي ، أنّه كان ينكر فضيلة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الأساطين المشار إليه في كلام السيد الهندي ، هو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فيحكى عنه أنه 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جواهرك هذه لبائعي الفلفل والكمون يصرٌّون بها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نُسب إلى اعوجاج 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الجواهر ، كان يرميه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رميه </w:t>
      </w:r>
    </w:p>
    <w:p>
      <w:pPr>
        <w:pStyle w:val="BookText"/>
        <w:rPr/>
      </w:pPr>
      <w:r>
        <w:rPr>
          <w:rFonts w:ascii="Amiri" w:hAnsi="Amiri" w:eastAsia="Amiri" w:cs="Amiri"/>
          <w:color w:val="111111"/>
          <w:sz w:val="28"/>
          <w:sz w:val="28"/>
          <w:szCs w:val="28"/>
          <w:rtl w:val="true"/>
          <w:lang w:bidi="ar-SA"/>
        </w:rPr>
        <w:t xml:space="preserve">من علماء عصره باعوجاج السليقة لما كان يبديه من التحقيق ، ودقّة النظر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أنّه حجّ عن طريق نجد ، فزاره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وقال لبعض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هواء نجد ، الذي أجمع الناس كافة علىٰ حسنه ، حتى ذكرته الشعراء في أشعارها لتعلموا حال سليقته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 فذمّ هواء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مرّةً ، من باب المطايبة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للمجتهد جميع ما للإمام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بذلك ، 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لا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طلقت زوجة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في العبادات ، مقلّديه ،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النجاة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خضر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عنه الشيخ حرز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العلّامة العابد ، والتقىّ الزاهد الورع ، وممّن يُستسقى به الغمام إذا منعت السماء قطرها حريٌّ بأن يُوسَم بمعجز الشيعة ، وحافظ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الكثيرُ عنه الكرامات، وصفات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صحب السيد محمّد مهدي بحر العلوم الطباطبائي النجفي في بدء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أنّه من الصفوة الذين سافروا مع السيّد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عصره تردد الناس فی أمر التقليد بين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ابن الشيخ جعفر ، صاحب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الخيارات ، وبين الشيخ محمد حسن باقر،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المبرَّز في الرجوع إليه في تمييز الأعلم منهما ، وإنّه ثقة أهل الدين والجماهير ، ورجّح تقليد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كلام مشهور مع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 حينما قال له الثاني في حرم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فرغا من الصلاة والزيارة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عقدها أهل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الشيخ خضر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عقدناها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أمر التقليد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حضرعلى الشيخ جعفر الكبير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وكان من وجوه ،تلامذته، ويروي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الطهراني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أشهر مشاهير عصره في العلم 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علماء الشيعة في القرن الثالث عشر ، ومشاهيرهم بالبراعة في فقه آل محمد علیهم السلام ، وكان من أتقى أهل عصره، وأبرزهم في الزهد والصلاح وسلامة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كان مثلاً أعلى في التديّن والانقطاع إلى الله تعالى ، حتی أنّه يضرب به المثل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وتنسب إليه الكرامات والمقامات التي تدلّ على مكانة قدسيّة لا يصل إليها إلّا أفراد من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النجف الأشرف ، فتعلّم المبادئ ، وأتقن الأوّليات ، وجدّ في تحصيل العلم، في عصر السيد مهدي بحر العلوم ، وكان في صحبته في زيارة سامرّاء ، وصاحب سرّه ، وحضر على علماء عصره، وأفاضل المدرّسين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الأكبر جعفر كاشف الغطاء النجفي ، كما في إجازته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وتحدّث أستاذنا الحجّة المجاهد، شيخ الشريعة الأصفهاني ، المتوفى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أيّام دراستي ضعيف الحال ، وإذا احتجتُ إلى مراجعة كتاب لم أتمكن من شرائه ، أذهب إلى شيخنا الأستاذ الفقيه الأكبر ، الشيخ محمد حسين الكاظمي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البغية ، فاستعيره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مرَّة أن احتجت إلى بعض الكتب وكان الوقت بعد الظهر ، وفي أيّام الصيف، فقصدت دار الاُستاذ ، فلمّا مررت على مقبرة الشيخ خضر فكّرت في الأمر ، وخشيت أن يكون الشيخ الأستاذ نائماً، ، فوقفت عند القبر ، وقرأت سورة ياسين رجاءَ أن يفوت الوقت قليلاً ، ولئلا يكون رواحى في ذلك الوقت مزعجاً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انتهيت منها ، ذهبت إلى دار الأستاذ ، فطرقت الباب ، ولم يجبني أحد ، فتأخّرت قليلاً، ثمّ طرقتها من جديد ، وإذا بالشيخ الأستاذ نفسه وبيده الكتاب الذي أنا طالبه ، فاستغربت الحالة ، وقلت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أعلمك أنّي على الباب ؟ ومَن قال لک إنی أريد هذا الكتاب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فرأيت الشيخ خضر العفكاوي </w:t>
      </w:r>
    </w:p>
    <w:p>
      <w:pPr>
        <w:pStyle w:val="BookText"/>
        <w:rPr/>
      </w:pPr>
      <w:r>
        <w:rPr>
          <w:rFonts w:ascii="IRNazanin" w:hAnsi="IRNazanin" w:eastAsia="IRNazanin"/>
          <w:color w:val="111111"/>
          <w:sz w:val="28"/>
          <w:sz w:val="28"/>
          <w:szCs w:val="28"/>
          <w:rtl w:val="true"/>
          <w:lang w:bidi="fa-IR"/>
        </w:rPr>
        <w:t xml:space="preserve">فی عالم الرؤيا،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سيجيئك فلان، وهو بحاجة إلى الكتاب الكذائي ، فقم وهيئه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وذهبت إلى المكتبة فاحضرت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طرقت الباب فى المرّة الأولىٰ كنتُ اُفتّش عنه بين عنه بين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فذهلت ونقلت له ما كان من أمري مع الشيخ 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تزال مقبرته مزاراً مشهوراً يقصد للتبرّك وقراءَة الفاتحة ، وهو مجرّب</w:t>
      </w:r>
    </w:p>
    <w:p>
      <w:pPr>
        <w:pStyle w:val="BookText"/>
        <w:rPr/>
      </w:pPr>
      <w:r>
        <w:rPr>
          <w:rFonts w:ascii="Amiri" w:hAnsi="Amiri" w:eastAsia="Amiri" w:cs="Amiri"/>
          <w:color w:val="111111"/>
          <w:sz w:val="28"/>
          <w:sz w:val="28"/>
          <w:szCs w:val="28"/>
          <w:rtl w:val="true"/>
          <w:lang w:bidi="ar-SA"/>
        </w:rPr>
        <w:t xml:space="preserve">النذر ، فقراءَة الفاتحة له ، والإضاءَة على قبره مجرّبة لقضاء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تعسّر عليه أمرٌ قصده فنذر له شيئاً من قراءَة القرآن أو غيره ، وسرعان ما يسهل أمره ، وتقضى حاجته، وموضع قبره في محلة العمارة مقابل شارع 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آثاراً مهمّة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الغروية ،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كامل ، إلى كتاب الحجّ ، في عدّة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الجنان وبشائر الرضوان ، في الزيارات، وأعمال السنة ، وسائر الأحراز والأدعية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الشيخ خضر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محسن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فيه الشيخ حرز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الفضيلة البارزين، والعلماء المحققين ، فقيهاً جامعاً، وأصولياً بارعاً ، ومن المؤلّفين المنظورين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النجف إلى بغداد ، وجعلها محلّ إقامته باستدعاء ورغبة ملحّة من وجوه أهالي الزوراء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إمام البلد وعالمها سنين عديدة، يفتيهم الأحكام الشرعية ، </w:t>
      </w:r>
    </w:p>
    <w:p>
      <w:pPr>
        <w:pStyle w:val="BookText"/>
        <w:rPr/>
      </w:pPr>
      <w:r>
        <w:rPr>
          <w:rFonts w:ascii="IRNazanin" w:hAnsi="IRNazanin" w:eastAsia="IRNazanin"/>
          <w:color w:val="111111"/>
          <w:sz w:val="28"/>
          <w:sz w:val="28"/>
          <w:szCs w:val="28"/>
          <w:rtl w:val="true"/>
          <w:lang w:bidi="fa-IR"/>
        </w:rPr>
        <w:t xml:space="preserve">نافذ الحكم ، موجّهاً ومرشداً لأمور دينهم ودنياهم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مجلسه حافلاً بالعرفاء والأدباء والشعراء تتلمذ علىٰ أشهر علماء عصره الشيخ جعفر کاشف الغطاء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تتلمذ عليه الشيخ مشكور بن محمد الحولاوي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الظلام، شرح على كتاب شرائع الاسلام، غير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الأمين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 في ثمانية عشر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آخره أنّ ما فيه جامع لطرق الاحتياط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علي الأعسم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وصفه الشيخ حرز الدين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العامل ، المقدّس الورع ، والشاعر الأديب البارع ، صاحب المنظومة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ممّن عرضت عليه منظومة السيد محمد مهدي بحر العلوم ،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 الفقه على السيد محمد مهدي بحر العلوم ، كما أجازه أن يروي عنه ، وتتلمذ علىٰ الشيخ جعفر كاشف الغطاء النجفي ، وكان من خلّص أصحابه ومريديه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الشيخ استاذه بقصائد ، ومدح أنجاله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المنظومة في المواريث، والعدد ، والرضاع ، والديات ، وآداب الأطعمة والأشربة المستفادة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مراث في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السيد جواد شبّر عن الطليعة ، أنّه لمّا نظم الشيخ محمد علي الأعسم قصيدته في الحسين علیه السلام التي مطلعها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أوهنت جلدي الديار الخالية من أهلها ما للديار وماليه عرضها على ولده الشيخ عبد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قافية قاسية ، فتركها ناظمها تحت مصلّاه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أن طُرق البابُ سحراً ، وإذا بالخطيب الشيخ محمد علي القاري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ممتازاً بإنشاد الشعر الحسيني في محافل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البارحة كأني دخلت الروضة الحيدرية ، فرأيت أمير المؤمنين جالساً، فسلّمت عليه ، فأعطاني ورقة فيها قصيدة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لي هذه القصيدة في رثاء ولدي </w:t>
      </w:r>
    </w:p>
    <w:p>
      <w:pPr>
        <w:pStyle w:val="BookText"/>
        <w:rPr/>
      </w:pPr>
      <w:r>
        <w:rPr>
          <w:rFonts w:ascii="Amiri" w:hAnsi="Amiri" w:eastAsia="Amiri" w:cs="Amiri"/>
          <w:color w:val="111111"/>
          <w:sz w:val="28"/>
          <w:sz w:val="28"/>
          <w:szCs w:val="28"/>
          <w:rtl w:val="true"/>
          <w:lang w:bidi="ar-SA"/>
        </w:rPr>
        <w:t xml:space="preserve">الحسين ، فقرأتها ، وهو يبكي ، فانتبهت وأنا أحفظ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قست القلوب فلم تلن لهداية تبّاً لهاتيك القلوب القاسية</w:t>
      </w:r>
    </w:p>
    <w:p>
      <w:pPr>
        <w:pStyle w:val="BookText"/>
        <w:rPr/>
      </w:pPr>
      <w:r>
        <w:rPr>
          <w:rFonts w:ascii="IRNazanin" w:hAnsi="IRNazanin" w:eastAsia="IRNazanin"/>
          <w:color w:val="111111"/>
          <w:sz w:val="28"/>
          <w:sz w:val="28"/>
          <w:szCs w:val="28"/>
          <w:rtl w:val="true"/>
          <w:lang w:bidi="fa-IR"/>
        </w:rPr>
        <w:t xml:space="preserve">فبهت الشيخ ، وأخرج له الورقة التي تحت مصلّاه ، فدهش الشيخ محمّد علي القاري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نفس الورقة ، بل هي هي التي أعطانيها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 هذه القصيدة لولده الشيخ عبد الحسين ، الآتي ذكره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الحسين الأعسم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محمّد علي ، الآنف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الشيخ حرز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محقّق فقيه ، وشاعر أديب ، وكامل أريب سريع البديهة ، عربي 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جلَّ المعاصرين بالعلم ، ودقّة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واستمدّ كثيراً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الذرائع، بعضُ عظمائنا ممّن تأخر عنها من مؤلّفي الكتب المشهورة ، نقلاً وتحصيلاً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تتلمذ على الشيخ الأكبر ، الشيخ جعفر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وأدرك بحث السيد محمّد مهدي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ويظنّ أنّه تخرّج عليه، كما رواه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وتتلمذ على المحقق السيد محسن الأعرجي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آثار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ذرائع الأفهام إلى أحكام شرائع الإسلام، وهو فقه استدلالي مبسوط ، خرج منه ثلاث مجلّدات في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منظومة والده في المواريث، والأطعمة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ما شرحه خمسماءة بيت وثمانية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منسك حج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مراث في الحسين علیه السلام كثيرة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ابن الأمير معصوم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السيد الأمين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محمد حسن ابن الميرزا معصوم الرضوي المشهدي ، المعروف بالسيد محمّد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الرضوية في شرح اللّمعة الدمشقية ، وهو شرح 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إعلام الورى ،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أوّل الطهارة إلى آخر مسائل التيمم ، للسيد محمّد بن الأمير معصوم الرضوي المشهدي ، 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تلاميذ آية الله بحر العلوم ، 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والشيخ الأكبر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يوصف بالسيد محمّد القصير ، تمييزاً له عن سميّه المعاصر ، السيد محمد بن حبيب الله الرضوي المشهدي ،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الموصوف بالفقيه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ما زاد على هذا فيما لدي من المصادر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حرزالدين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ببغداد ، وكان من العلماء المحققين، والفقهاء المقدّسين الزاهدين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علمَه الجمَّ وجودُ أقطاب العلماء الأعلام ، ومراجع التقليد العظام، وكان أديباً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بيت الله الحرام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سفره مع العلماء الذين ساروا بركب الشيخ الأكبر ، الشيخ جعفر كاشف الغطاء، ومن العلماء السيد محمد جواد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 والشيخ محمد علي الأعسم ، ونظراؤهم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الأغا محمّد باقر البهباني ، وعلى السيد محمد مهدي بحر العلوم، والشيخ جعفر كاشف الغطاء النجفي ، وأجازه أن يروي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 فقيه ، أصولي ، محقق، مدقق، من أعلام العلماء في ذلك العصر، مؤلّف، مؤلّفاته مشهورة، وعباراته فى غاية الفصاحة والبلاغة ، وإذا كتب فكأنّه خطيب علىٰ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 عابد ، تقي ، ورع ، جليل القدر ،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وبأمره صنف أبو علي كتاب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بالتجارة إلى حدود الأربعين من عمره ، ثمّ هاجر إلى النجف للتحصيل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وبالمحقق الكاظمي ، والمحقق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بالكاظمية، ودفن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مؤلّفات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في </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اساتذتنا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أحسن ما كتب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إبراهيم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فيه الشيخ الطهراني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أعاظم عصره المشاهير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في أصفهان ،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العراق ، فأدرك الوحيد البهبهاني ، والسيد مهدي بحر العلوم، والشيخ کاشف الغطاء ، ومؤلّف الرياض ، والمقدّس الكاظمی ، فاشتغل عندهم ، وحضر عليهم مدّة طويلة ، ثم رجع إلى إيران، فحلّ في بلدة قم ، واشتغل بها علىٰ المحقق القمّي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 ثم سافر إلى كاشان ، فحضر على عالمها الشهير المولىٰ محمّد مهدي النراقى ، ثم عاد إلىٰ أصفهان ، فحفّت به طبقاتها ، وألقت إليه الرئاسة أزمّتها ، فإذا به مرجعها الجليل ، وزعيمها الروحي ، ورئيسها المطاع ، وقائدها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نهض بأعباء العلم مع شدّة الاحتياط والورع والتقى والصلاح ، وأشغل منصّة التدريس طيلة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يؤمّ الناس في مسجد الحكيم ، ويرقىٰ المنبر بعد الصلاة ، ويعظ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غاية التواضع ، وحسن الخلق ، وسلامة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عدّة مؤلفات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مفطرية شرب التتن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 قرية من قرى 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العراق لطلب العلم وهو ابن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في كربلاء علىٰ الأستاذ الأكبر محمد باقر البهبهاني أوّلاً ، ثمّ علىٰ السيد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 ثمّ تشرّف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علىٰ السيد مهدي بحر العلوم ، والشيخ الأكبر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إلىٰ الكاظمية ، فحضر علىٰ السيد محسن الأعرجي ، فقد قرأ عليه 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بها علىٰ المترجم في العراق ثمان سنين ، بلغ فيها درجة سامية ، ومكانة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قم أيّام </w:t>
      </w:r>
    </w:p>
    <w:p>
      <w:pPr>
        <w:pStyle w:val="BookText"/>
        <w:rPr/>
      </w:pPr>
      <w:r>
        <w:rPr>
          <w:rFonts w:ascii="IRNazanin" w:hAnsi="IRNazanin" w:eastAsia="IRNazanin"/>
          <w:color w:val="111111"/>
          <w:sz w:val="28"/>
          <w:sz w:val="28"/>
          <w:szCs w:val="28"/>
          <w:rtl w:val="true"/>
          <w:lang w:bidi="fa-IR"/>
        </w:rPr>
        <w:t xml:space="preserve">زعامة العلم المحقق الميرزا أبي القاسم القمّي،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 فتلّمذ عليه مدّة ، وسافر بعدها إلى كاشان ، فحضر على عالمها الفذّ ، الأخلاقي الشهير ، المولىٰ مهدي النراقي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أصفهان ، وعزم علىٰ السكنى بها ، فاجتمع عليه طلّاب العلم الأفاضل ، حتى عرف في وسطه ، وتألّق نجمه ، وطبق ذكره نوادي العلم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أكثرها وأعظمها 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اسمه على مرّ الزمن يزداد ذيوعاً حتىٰ احتّل مركزاً عظيماً ، وحصل رئاسة عامّة ، ومرجعيّة كبرىٰ ، وزعامة 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بينه وبين العالم الزعيم الحاج محمد إبراهيم الكلباسي صلّة متينة وصداقة تامّة من بدء أمرهما ، فقد كانا في النجف زمیلین کریمین ، تجمع بينهما معاهد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الله أن تنمو هذه المودّة شيئاً فشيئاً، ويبلغ كل منهما في الزعامة مبلغاً لم يحدث له في البال ، وأن يسكنا معاً بلدة أصفهان ، ويتزعما بها في وقت واحد، ولم تكن الرئاسة لتكدّر صفو الودّ الخالص أو تؤثّر مثقال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زعامة المترجم له مبلغاً عظيماً ، فكان يقيم الحدود الشرعية ، ويجريها بيده ، أو يد من يأمره بلا خشية ولا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يتفق لأحد من علماء الإمامية بعض ما حصل له من النفوذ وبسط اليد ، وذلك لحسن باطنه وسلامة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أساتذته وأعلام عصره كان لهم دخل في تركيزه ، فإنّ المحقق القمّي كان يروّجه ، والحاج الكلباسي يقدّمه ، فكل هذه الأمور كانت ترفع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تأليف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في 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والشهادات ، وهو ما كتبه من درس أستاذه السيد الأعرجي أيام حضوره عليه في الكاظمية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علي بن أميد علي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عنه السيد الأمين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 فاضل ، فقیه،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الطهارة من الشرايع ، شرحاً مزجيّاً، يدلّ على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بخطه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ظهرها تقريض وإجازة من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 و من السيد علي الطباطبائي،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ما كتبه الشيخ بعد البسملة والتحميد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وأفاد ، وجاء بما فوق المراد ، قرّة العين ، مهجة الفؤاد ، من نسبته إلىّ نسبة الأولاد إلى الآباء والأجداد ، العالم العلّامة ، والفاضل الفهّامة ، والورع التقي ، ذو القدر الجلي ، عالي الجناب ، الشيخ عبد العلي ، فياله من كتاب جامع ، ومصنَّف لطلّاب العلوم نافع ، قد شهد لمصنّفه بطول الباع ، ودقّة الفكر ، وكثرة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لي أن أجيز له أن يروي عنّي ما رويته من الأخبار المروية عن النبي وآله الأطهار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والفقيه ، والتهذيب، والاستبصار، وغيرها من الكتب المعتبرة كلّ الاعتبار بواسطة المشايخ الأعاظم الكبار ، خلفاً عن سلف ، عن إمام بعد إمام، إلى النبي المختار ، ثمّ عنه ، عن جبرائيل ، عن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يروي عنّي ما قررته ، وحررته ، وصنّفته ، وألفته ، من قواعد أصولية ، ومطالب شرعية ، مع المحافظة على الاحتياط، والاقتصار على الكتب المصحّحة ، السليمة من الأغلاط ، وأرجو أن لا ينساني من الدعاء لصلاح الدارين ، فإنّي أحد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بيده الراجي عفو ربِّه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صكّه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الصادق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ما كتبه السيد بعد البسملة ، والتحميد ، والتصلية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أجزته أدام الله تعالى توفيقه، كما أجازه أخونا علّامة العلماء ، فريد الدهر ، ووحيد العصر ، الشيخ جعفر حرسه الله ، ملتمساً منه الدعاء بالعافية ، وحسن العاقبة ، وكتب بيمناه الدائرة، رئي بيمينه كتابه في الآخرة ، فقير عفو الله الغني ، ابن محمّد علي ، علي الطباطبائي، تحريراً في شهر ربيع الثاني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وصورة صكّه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الملك الحقّ المبين على بن محمّد على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الشيخ عبد على أيضاً عن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الشيخ عبد علي بن أميد علي الجيلاني الغروي ، من الفقهاء </w:t>
      </w:r>
    </w:p>
    <w:p>
      <w:pPr>
        <w:pStyle w:val="BookText"/>
        <w:rPr/>
      </w:pPr>
      <w:r>
        <w:rPr>
          <w:rFonts w:ascii="Amiri" w:hAnsi="Amiri" w:eastAsia="Amiri" w:cs="Amiri"/>
          <w:color w:val="111111"/>
          <w:sz w:val="28"/>
          <w:sz w:val="28"/>
          <w:szCs w:val="28"/>
          <w:rtl w:val="true"/>
          <w:lang w:bidi="ar-SA"/>
        </w:rPr>
        <w:t xml:space="preserve">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تلامذة السيد مهدي بحر العلوم، والسيد علي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والشيخ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عنهم الإجازة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الشيخ مولى علي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حيّاً إلى عصر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وأدركه شيخنا العلّامة الميرزا حسين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نقف على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 أنّه دفن في حجرة الصحن الغروي المتصلة بالباب السلطاني عن يمين الداخل إلى الصحن الشريف</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على ابن السيد محمّد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 الكلام عن حياته حفيده السيد محسن الأمين ، وممّا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من فحول العلماء المحققين ، وعظماء الفقهاء المدققين ، انتهت إليه الرئاسة في البلاد العاملية، وجمع بين الرئاستين الدينية والدنيوية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زاهداً ، ،ورعاً ، تقيّاً، متواضعاً ، عالي النفس ، رفيع الهمّة ، مهيباً عند الحكّام ، عظيماً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في صغره النحو ، والصرف ، والمنطق ، وغيرها ، في جبل عامل، على علمائها ، ففاق أقرانه ، وظهرت عليه مخايل النباهة والنجابة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سافر إلى العراق مع أخيه السيد حسن ، واشتغلا بطلب العلوم ، حتى صارا ممّن يشار إليهما بالبنان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الجدّ في النجف على العلامة السيد جواد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وعلى السيد علي الطباطبائي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وعلىٰ الشيخ جعفر الجناجي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اتصال تام بالشيخ جعفر وأولاده، وعلى المحقق الشيخ أسد الله التستري الشهير، صهر الشيخ جعفر علىٰ ابنته، وعلىٰ السيد عبدالله شبّر، وعلىٰ غيرهم من فحول العلماء ، حتىٰ بلغ الغاية في جميع العلوم إلىٰ درجة الاجتهاد، فرجع إلى البلاد العاملية ، فعلا ذكره ، وانتشر صيته ، وصار مرجع الكلّ في الكلّ ، وقصدته طلاب العلم من كلّ صوب ، امتلأت شقراء </w:t>
      </w:r>
    </w:p>
    <w:p>
      <w:pPr>
        <w:pStyle w:val="BookText"/>
        <w:rPr/>
      </w:pPr>
      <w:r>
        <w:rPr>
          <w:rFonts w:ascii="Amiri" w:hAnsi="Amiri" w:eastAsia="Amiri" w:cs="Amiri"/>
          <w:color w:val="111111"/>
          <w:sz w:val="28"/>
          <w:sz w:val="28"/>
          <w:szCs w:val="28"/>
          <w:rtl w:val="true"/>
          <w:lang w:bidi="ar-SA"/>
        </w:rPr>
        <w:t>بطلّاب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منظومة بحر العلوم ، لم يكمل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 على الشرح الصغير، مختصر شرح الكبير المعروف بالرياض للسيد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جيّد ، منه قصيدته في رثاء اُستاذه المؤلّف ، تقدم ذكر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قاسم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سبطه الشيخ جواد في ملحق أمل الآمل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محدّثاً، جامعاً ورعاً،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العلّامة السيد مهدي بحر العلوم الطباطبائي ، وعلىٰ الشيخ الفقيه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وعلىٰ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عليه جماعة من أفاضل مشايخ عصرنا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والشيخ حسن ابن الشيخ جعفر ، والشيخ جواد ابن الشيخ تقي ابن ملّا كتاب ، والشيخ محسن خنفر ، والشيخ محسن الأعسم، وغيرهم من مشايخ علمائنا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بحسن التقرير ، كثير الجدّ والاشتغال ، له اليد الطولىٰ في علمي الأصول والرجال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الأنام في شرح شرائع الاسلام، خرج منه من أوّل الطهارة إلىٰ أوائل التيمم مستقلاً، ومن أوّل المتاجر إلىٰ بيع أمّ الولد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ولد في النجف، وتربّى فيها ، وصار يُعدّ من أهل الفضل البارزين ، والفقهاء المنظورين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أديباً شاعراً، يروى له شعر في الموعظة ، والعرفان ، والمديح ، قليل النظم ، سمعناه 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أنّه قرأ على الشيخ الأكبر الشيخ جعفر كاشف الغطاء، وسافر إلى جبل عامل بطلب من وجوه أهلها مع التماس العلماء في النجف ، لكي يصير هناك مرشداً مبلّغاً للرسالة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جامعاً للعلم والأدب، حيث أنّ البلد يتطلّب هذه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حلّ بينهم التفّوا حوله ، واهتدوا بعلومه ، وآدابه </w:t>
      </w:r>
    </w:p>
    <w:p>
      <w:pPr>
        <w:pStyle w:val="BookText"/>
        <w:rPr/>
      </w:pPr>
      <w:r>
        <w:rPr>
          <w:rFonts w:ascii="Amiri" w:hAnsi="Amiri" w:eastAsia="Amiri" w:cs="Amiri"/>
          <w:color w:val="111111"/>
          <w:sz w:val="28"/>
          <w:sz w:val="28"/>
          <w:szCs w:val="28"/>
          <w:rtl w:val="true"/>
          <w:lang w:bidi="ar-SA"/>
        </w:rPr>
        <w:t xml:space="preserve">الشرعية ، وصارت له المنزلة الرفعية عند الوجوه والأعيان ، وكانت له ذريّة هناك ، وأحفاداُدباء اُعيان ، ثمّ عاد إلىٰ العراق ، وتوفيٰ في بلد الكاظمية ، حيث أنّ الطاعون قد عمّ العراق في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بالسيد حسن الأصم من بيت العطّار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w:t>
      </w:r>
    </w:p>
    <w:p>
      <w:pPr>
        <w:pStyle w:val="BookText"/>
        <w:rPr/>
      </w:pPr>
      <w:r>
        <w:rPr>
          <w:rFonts w:ascii="Amiri" w:hAnsi="Amiri" w:eastAsia="Amiri" w:cs="Amiri"/>
          <w:color w:val="111111"/>
          <w:sz w:val="28"/>
          <w:sz w:val="28"/>
          <w:szCs w:val="28"/>
          <w:rtl w:val="true"/>
          <w:lang w:bidi="ar-SA"/>
        </w:rPr>
        <w:t>فاضلاً، أديباً ، شاعراً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محمّد الغلامي الموصلي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شمامة العنبر ، في التراجم ، وهي مخطوطة لم تطبع ، ووصفه بما يناسب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أديب، وشاعر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علم ، وفقه ، وأدب ، 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فيه غير واحد من أجلّاء العلماء ، وعباقرة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وشهرة رجالهم بالأدب والشعر أكثر منها في الفقه وعلوم الدين ، مع أنّ فيهم بعض الفقهاء المتبحّرين الذين لا يُستهان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العطّار لَحِقَ جدّهم السيد محمّد ، لسكناه في سوق العطّارين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المترجم له عالماً فاضلاً، وأديباً بارعاً، وشاعراً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من الراقي ، وكان يُعرف بالأصمّ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 على تلمّذه علىٰ المؤلّف حفيده الشيخ محمد حسين ابن الشيخ علي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إبراهيم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والد السيد حيدر ، الذي ينتسب إليه آل السيد حيدر ، الشهيرين ، القاطنين في الكاظمية وبغداد وهم أهل بيت علم وفضل وتقوى وحسن أخلاق، من مشاهير بيوتات العلم في مشاهير بيوتات العلم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المترجم له عالماً ،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قاطناً في بغداد ، وهاجر إلى النجف ، فقرأ على السيد مهدي بحر العلوم الطباطبائي، وسكن ولده السيد حيدر في الكاظمية ، وبقيت أسرته فيها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فقيهاً مشاركاً، وتقيّاً زاهداً ناسكاً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إلى أدب ، ومعرفة باللغة ، </w:t>
      </w:r>
    </w:p>
    <w:p>
      <w:pPr>
        <w:pStyle w:val="BookText"/>
        <w:rPr/>
      </w:pPr>
      <w:r>
        <w:rPr>
          <w:rFonts w:ascii="Amiri" w:hAnsi="Amiri" w:eastAsia="Amiri" w:cs="Amiri"/>
          <w:color w:val="111111"/>
          <w:sz w:val="28"/>
          <w:sz w:val="28"/>
          <w:szCs w:val="28"/>
          <w:rtl w:val="true"/>
          <w:lang w:bidi="ar-SA"/>
        </w:rPr>
        <w:t>ومحاضرات لأدباء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الشيخ الطهراني مختصراً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علماء زمانه الأعلام ، وأدبائه المشاهير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ذكره السيد الأمين ، ولكن جعل عام وفاته حدود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نصّ على تلمّذه على المؤلّف حفيده الشيخ محمد حسين ابن الشيخ علي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راضى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يظن أنّ وفاته سنة الطاعون العام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توفي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 الفقهاء ، الزهّاد، مرجوع إليه في أخذ الأحكام، لاسيّما من العشائر المعروفة بالشروقية؛ من أجلّاء تلاميذ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شريك في الدرس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بخطّه نسخة من كشف الغطاء 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الشيخ عبد الحسين الطهراني لمّا أراد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لذلك عدّة نسخ نسخ ، فلم يكن فيها نسخة صحيحة ، واجتهد في تحصيل نسخة صحيحة فلم يتهيأ له ، فرأى في منامه الشيخ جعفر ، فأخبره أن النسخة الصحيحة هي بخط الشيخ راضي نصار موجودة على رف حجرته في داره ، وقد ذرق عليها الحمام ، وأولاده لا يدرون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أتى من كربلاء إلى النجف، وجاء إلى دار الشيخ راضي ، فوجد النسخة على تلك الصفة،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فاضلاً ، ومرجعاً جليلاً في النجف وغيرها، لاسيّما للعشائر الشرقية، وكان من أهل التحقيق والبراعة فى الفقه ، ومن المشاهير بالزهد والورع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على الشيخ الأكبر جعفر كاشف الغطاء، وكان من المعاصرين للفقيه الشيخ محمد حسن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وشركائه في الدرس عند استاذه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آثاره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كتبها بخطّه وبالغ في تصحيحها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السيد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 قصة العثور على النسخة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في الطاعون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الشيخ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حرزالدين وفاته 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نعرف له مصنّفاً ولا مؤلّفاً ،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شهداء الطف ، جيد الترتيب ، مرتّب على مجالس عشرة لكلّ يوم من العشرة الأولى لشهر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يقرأه في مجلسه بدار الوقف في النجف ، تحضره العلماء الأعلام ، والصلحاء والتجّار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كتابه هذا بخطّه ، ثمّ فُقد الكتاب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في النجف على 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النجفي ، ولازمه حتى مات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له صحبة وروابط أكيدة مع السيد محمّد مهدي الطباطبائي ، الشهير ببحر العلوم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 مع الشيخ هذا حكاية تدلّ على زهد الشيخ ، وبرّ السيّد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باقر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عنه الشيخ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متبحّراً ، محققاً ، له اليد الطولى في علم الأخلاق والسلوك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حدّثنا الثقة الجليل الحافظ المؤرّخ الشيخ محمّد لائذ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جلس يوماً لتدريس تلاميذه، وهم مجتمعون حوله ، فرآهم في المناظرات العلمية والمذاكرات بينهم كأنّهم اُسود ضارية ، فلذلك ترك البحث ، وألزمهم باستماع دروس في علم الأخلاق ، ليلينوا في الكلام ثمّ يتفقهون، وبعد مدّة طويلة عاد إلى الموضع الذي تركه في وواصل بحثه، وهو عمّ الحجّة الكبرى السيد مهدي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مشاهير علماء عصره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أبطال العلم ، ورجال الدين الأتقياء الزهّاد ، والأبدال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عن خاله السيد مهدي بحر العلوم ، والشيخ جعفر كاشف الغطاء ، وله الرواية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الصلاح والصفاء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كرامات كثيرة يتناقلها الناس ، منها الإخبار بحدوث الطاعون الجارف الذي دهم العراق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آخر مَن يموت به ، وبوفاته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تفصيل ذلك شيخنا الحجّة </w:t>
      </w:r>
    </w:p>
    <w:p>
      <w:pPr>
        <w:pStyle w:val="BookText"/>
        <w:rPr/>
      </w:pPr>
      <w:r>
        <w:rPr>
          <w:rFonts w:ascii="IRNazanin" w:hAnsi="IRNazanin" w:eastAsia="IRNazanin"/>
          <w:color w:val="111111"/>
          <w:sz w:val="28"/>
          <w:sz w:val="28"/>
          <w:szCs w:val="28"/>
          <w:rtl w:val="true"/>
          <w:lang w:bidi="fa-IR"/>
        </w:rPr>
        <w:t xml:space="preserve">النوري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نقلاً عن السيد الأيِّد الثقة الصالح السيد مرتضى النجفي ، الذي كان شاهداً لتلك التفاصيل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استاذه السيد مهدي ابن أخ المترجم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أمير المؤمنين علیه السلام في المنام ، فأخبره بذلك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يختم بك يا ولدي ولمّا حلّ البلاء في الوقت الذي أخبر المترجم بنزوله فيه، كان هو قائماً باُمور المرضى، وتجهيز الأموات ، ودفن منهم ما ينوف على أربعين ألف نفر، حتى خفّت وطأة الطاعون شيئاً فشيئاً، وختم به كما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مؤلّفات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المشحون ، في أحوال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الرسائل ،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 على كشف اللثام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العلماء الأفاضل ، والسادة الأجلّة في النجف ، وهو والد الحجة السيد مهدي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النجف الأشرف ، تلمّذ على علماء عصر الشيخ الأكبر، جعفر كاشف الغطاء ، كالسيد حسين العاملي، الذي رأيت بخطه التعبير عنه بالأستاذ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ووالدة المترجم له شقيقة السيد مهدي بحر العلوم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 المترجم له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تلمّذه على المؤلّف ، حفيده الشيخ محمد حسين ابن الشيخ علي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الدكتور السيد جودت القزويني أنّ وفاته عام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إلمام بالعلوم الرياضية والهندسية</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تلامذة المؤلّف حفيده الشيخ محمّد حسين ابن الشيخ علي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السيد جودت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المجتهدين ، وهو اُستاذ السيد مهدي القزويني ، وقد أجازه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بالنجف ، ودفن بباب مسجد </w:t>
      </w:r>
    </w:p>
    <w:p>
      <w:pPr>
        <w:pStyle w:val="BookText"/>
        <w:rPr/>
      </w:pPr>
      <w:r>
        <w:rPr>
          <w:rFonts w:ascii="Amiri" w:hAnsi="Amiri" w:eastAsia="Amiri" w:cs="Amiri"/>
          <w:color w:val="111111"/>
          <w:sz w:val="28"/>
          <w:sz w:val="28"/>
          <w:szCs w:val="28"/>
          <w:rtl w:val="true"/>
          <w:lang w:bidi="ar-SA"/>
        </w:rPr>
        <w:t xml:space="preserve">الخضرة، كما ذكر ذلك السيد مهدي القزويني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شقيق السيدَين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الدكتور السيد جودت أنّ أكبرهم السيد حسن ، ثم السيد علي ، ثم السيد باقر ، وهم أولاد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 هي اُخت السيد محمد مهدي بحر العلوم ، 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بن يونس الشويهي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العنوان ذكره الشيخ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ونصّ على أنه تلميذ المؤلّف ، وذكر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العقول ، المؤلَّف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العقول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الخصام في أصول الأحكام ، كبير في مجلدين ، فرغ من الأوّل في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الثاني في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موجودان بخطه في كتب الشيخ علي في حسينية كاشف الغطاء، وعليهما تقريض استاذه 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السيد الأمين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يونس الحميدي ، وذكر له الكتب الثلاثة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مَن عثرتُ عليهم في كتب التراجم من مشاهير تلامذة المؤلّف ، وقد ذكر حفيده الشيخ محمد حسين ابن الشيخ علي، في ضمنهم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عيسىٰ ولد المؤلّف، وأخويه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محسن ، والشيخ محمّد ، كما أضاف السيد الأمين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لهم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الكلام ما ذكرناه أوّلاً من أن كل رجال العلم من المبتدئين والمتوسطين والمنتهين، من أهل تلك الفترة ؛ حضّار درسه وتلاميذه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حفيده الشيخ محمد حسین ابن الشيخ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سمعت من الشَّيَبة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منبره ما يزيد على الماءَة من العلماء الأشراف ، الذين هم فوق رتبة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الشيخ حرز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تتلمذ عليه الكثير من العلماء ، حتى أنّه مضى زمن في إيران أنّ مَن عاصره ولم يحضر عليه لا يُقلّد في إيران ، بل لا يكون مرجعاً عاماً ، حدثنا الأستاذ قدّس سرّه </w:t>
      </w:r>
      <w:bookmarkStart w:id="39" w:name="pg20243_271961"/>
    </w:p>
    <w:p>
      <w:pPr>
        <w:pStyle w:val="Heading2"/>
        <w:numPr>
          <w:ilvl w:val="1"/>
          <w:numId w:val="1"/>
        </w:numPr>
        <w:rPr/>
      </w:pPr>
      <w:bookmarkStart w:id="40" w:name="__RefHeading___Toc5284804_2320776876"/>
      <w:bookmarkStart w:id="41" w:name="_Toc13"/>
      <w:bookmarkEnd w:id="39"/>
      <w:bookmarkEnd w:id="40"/>
      <w:r>
        <w:rPr>
          <w:rtl w:val="true"/>
        </w:rPr>
        <w:t>مؤلفاته</w:t>
      </w:r>
      <w:bookmarkEnd w:id="41"/>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به كثير من الفقهاء المشاهير ، واتفق له ما لم يتفق لغيره من تقدير الكثرة في العلم ، والكفاءَة في ذرّيته إلى عشرة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بعض تلامذته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المأت من الفحول والدعائم والعمد والأركان أعلىٰ الله درجاتهم جميعاً، وجزاهم عن شريعة نبيّهم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حمل مشعل علمه من بعده تلاميذه ، حمله عقبه من بعده ، كما مرّ في كلام السيد الأمين ، وقال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توارث أولاده وأحفاده الزعامة كابراً عن كابر ، وقضوا دوراً مهماً خدمة الدين الإسلامي، ولهم خدمات سجلها لهم التأريخ بمداد الفخر ، وازدهت بها أرجاء النجف خاصّة ، وأكناف العراق عامّة ، وكلما خبا منهم نجمٌ نجمَ آخر ، ولم ينقطع العلم منهم إلى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وأحفاده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بسهم وافر في الزعامة ، والرئاسة ، والعلم ، والأدب ، ولهم مكانتهم في تأريخ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ترجم الشيخ جعفر محبوبة لستة وثلاثين منهم ما بين فقيه وأديب وشاعر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أثرى معاصريه ومَن أدركه بعلمه، وربّاهم على الفقاهة والاستنباط ، لم يترك الأجيال اللاحقة له محرومة من عطائه ، فقد تصدّىٰ للتأليف ليغذيّ الجميع بنتائج فكره الجوّال ، ونظره الثاقب ، وتدقيقاته الرائعة ، وتحقيقاته المبتكرة، فأتحف المكتبة الشيعية بعدد من المؤلّفات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وآثاره غرّة ناصعة في جبين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ضبط اسمه السيد الخونساري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خرج منه أبواب الأصولين، ومن الفقه ما تعلّق بالعبادات إلى أواخر أبواب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أحد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 به كتاب الوقف وتوابعه ، ينيف ما خرج منه </w:t>
      </w:r>
    </w:p>
    <w:p>
      <w:pPr>
        <w:pStyle w:val="BookText"/>
        <w:rPr/>
      </w:pPr>
      <w:r>
        <w:rPr>
          <w:rFonts w:ascii="Amiri" w:hAnsi="Amiri" w:eastAsia="Amiri" w:cs="Amiri"/>
          <w:color w:val="111111"/>
          <w:sz w:val="28"/>
          <w:sz w:val="28"/>
          <w:szCs w:val="28"/>
          <w:rtl w:val="true"/>
          <w:lang w:bidi="ar-SA"/>
        </w:rPr>
        <w:t xml:space="preserve">علىٰ أربعين ألف بيت ، إلّا أنّه فائق علىٰ كلّ ما تقدّمه من كتب الفن ، مع أنّه إنّما صنّفه في بعض الأسفار ، وهو في بيت السرير ، ولم يكن عنده من كتب الفقه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العلّامة ، كما نقله الثقات</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ينبئك عن أمر عظيم، ومقام عليّ في مراتب العلوم الدينية ، أصولاً وفروعاً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الأعظم الأنصاري يقول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أتقن القواعد الأصولية التي أودعها الشيخ في كشفه ، فهو عندي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الشيخ الأستاذ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لشيخي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أعرضتَ عن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ولم تؤدّ حق صاحبه ، وهو شيخك واستاذك ، وفي كتابه من المطالب العويصة، والعبارات المشكلة ما لا يُحصى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عجزان من أووات الشيخ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استنباط مدارك الفروع المذكورة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كذا أو كذا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وذكر هذا الكتاب له كل مَن ترجم له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في إيران على الحجر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وتصدّى أخيراً لتحقيقه وطبعه بالنمط الحديث قسم إحياء التراث من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الجزء الأول منه بتاريخ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السيد الأمين والشيخ الطهراني في الذريعة والطبقات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خفيّات مبهمات الشريعة الغرّا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الأخير 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أفرد الفنّ الأوّل الذريعة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أفرد الفنّ الأوّل منه في أصول الدين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الجعفرية في الكلام الذي شرحه أبو محمّد صدر الدين ، وسمّاه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الموسوية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والفنّ الثانى فى بعض المسائل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 الثالث في الفروع الفقهية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العنوان ، جاءَت في مقدّمة المؤلّف للكتاب فی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النسخة المحققة المطبوعة منه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المتقدّم ذكرها ، لم ترد فيها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اشتهر به ، ولُقّبت بعده ذرّيته وقد أهداه للسلطان فتح علي شاه القاجاري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ذكر لهذا الكتاب في الحديث عن شهرة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المؤلّف قد اختصره ، فقد ذكر السيد الأمين ، والشيخ محبوبة ، في ضمن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 عن السيد حسن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السيد الخونساري ذكر أنّ للمؤلّف رسالة فى أصول الدين ،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استظهر السيد الأمين أنّها الفنّ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وجزم بذلك الشيخ الطهراني كما تقدّم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الشيخ حرز الدين 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سهو القلم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الجعفرية ، محلّ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في معرفة المفروض والواجب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السيد الخونساري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عملية في الطهارة والصلاة ،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ذكر الشيخ حرز الدين ، والسيد الأمين ، والشيخ محبوبة ، وزاد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شرحها ولده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عملية ، اقتصر فيها على ذكر مجرد الفتاوى ، مرتبة على مطلبين، أولهما في أصول العقائد ، وثانيهما في فروع الأحكام ، خرج منه من أوّل الطهارة إلى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نسخاً كثيرة ،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أسس قواعد الأحكام ، ورفع دعائم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ابنه الشيخ حسن كتب لها تكملة ، فألحق بالكتاب أحكام الصوم والاعتكاف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ابنه الشيخ موسى مزجاً إلىٰ آخر صلاة الجماعة ، </w:t>
      </w:r>
    </w:p>
    <w:p>
      <w:pPr>
        <w:pStyle w:val="BookText"/>
        <w:rPr/>
      </w:pP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البغيةَ الشيخ أسد الله الدزفولي إلى الفارسية ،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الراغب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والتنفير فيما يتعلّق بالمقادير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الطهراني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في تحديد المقادير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خصائص يوم الجمعة للشهيد الثاني،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بارئ 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نتوجد منه نسخة في كتب الفاضل الشيخ قاسم محيى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المبين في تصويب المجتهدين وتخطئة جهّال الأخباريين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 ذكرها السيد الخونساري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المبين في الردّ على الأخباريين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ذكر الشيخ حرز الدين ، والشيخ محبوبة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وذكرها السيد الأمين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المبين في تصويب المجتهدين وتخطئة الأخباريين ومثله ذكر الشيخ الطهراني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والعنوان الذي أثبتناه ذكره الشيخ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ألّفه أصفهان لولده الشيخ علي بن جعفر ، وفرغ منه في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فيه حقيقة مذهب الطرفين ، وأن عقائدهما في أصول الدين متحدة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فروع الدين مرجعهما جميعاً ما رُوي عن الأئمة علیهم السلام، فالمجتهد أخباري ، والأخباري مجتهد ، وفضلاء الطرفين ناجون، والطاعنون هالكون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الإنسان وعلّمه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الحقّ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الشرعية ، الملحقة به ؛ في طهران في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الميرزا محمّد الأخباري ردّاً عليه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بالحقِّ علىٰ مَن ألحد وتزندق</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الصومية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الطهراني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الأنام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ولابنه الشيخ موسى تعليقات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نُسخ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عند الشيخ عبد الحسين الحلّي النجفي، على ظهرها خطّ السيد جواد بن محمّد العاملي، وهي بخط السيد جواد بن علي الأمين الحسني الحسيني في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 وعليها تملّكه فی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توجد منه نسخة بخط الشيخ أكبر الشيرازي في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متاجر الأستاذ الأكبر ، في مجموعة عند الشيخ محسن بن عبد الحسين الجصّان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كبير في الطهارة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له في الطهارة ، كتبه في مبادئ أمره ، لجمع عبائر الأصحاب ، والأحاديث الواردة في ذلك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السيد الأمين مثل ذلك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الطهارة إلى خشبة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الطهراني 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شرح مبسوط ، استقصى فيه كلام الفقهاء ، ووصل إلى مسألة خشبة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أحكم قواعد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موجز المقال محتو على معظم الأقوال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نسخ ، منها في مكتبة الشيخ علي كاشف الغطاء ، وأخرى في مكتبة الشيخ عبد الحسين شيخ العراقين الطهراني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هل جعل هذا الكتاب الكبير </w:t>
      </w:r>
    </w:p>
    <w:p>
      <w:pPr>
        <w:pStyle w:val="BookText"/>
        <w:rPr/>
      </w:pPr>
      <w:r>
        <w:rPr>
          <w:rFonts w:ascii="IRNazanin" w:hAnsi="IRNazanin" w:eastAsia="IRNazanin"/>
          <w:color w:val="111111"/>
          <w:sz w:val="28"/>
          <w:sz w:val="28"/>
          <w:szCs w:val="28"/>
          <w:rtl w:val="true"/>
          <w:lang w:bidi="fa-IR"/>
        </w:rPr>
        <w:t xml:space="preserve">فی الطهارة ، شرحاً لشرائع المحقق أم لقواعد العلّامة ؟ قال الشيخ حرز الدين والشيخ محبوبة بالأوّل ، وذهب إليه الشيخ الطهراني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نصّ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محبوبة أنّه وصل فيه إلى قول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وتطهر الأرض باطن القدم وأسفل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هنا قولاً لوالده ذكره في محلّ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الشيخ محبوبة هذا كتاباً آخر غير 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المسألة موقوف على مراجعة النسخ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المأمول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الشيخ حرز الدين ، والسيد الأمين ، وقال الشيخ الطهراني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نسبه إليه تلميذه الشيخ محمّد بن يونس الشويهي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العقول ، المؤلّف في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وعدّه من الكتب الأصولية الموجودة عنده وقت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عند الشيخ هادي ابن الشيخ عباس ابن الشيخ علي ابن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تمام مباحث الاُصول في مجلّد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فهرس مطالبه ، ولكنه كثير الغلط ، وكأنّه من أوائل تصانيفه كما كتب على ظهر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منه نسخة مصوّرة مثبتة على الآلات الحديثة، في ضمن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في أحكام الاجتهاد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له الشيخ الطهراني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كتبه بالتماس عباس میرزا بن فتح علي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كتابتها في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ووقفه في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المالك أدغم بقدرته كل متكبّر جاحد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نسخة سپهسالار ، أنّه قد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الحسام البتّار في قتال الكفّار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رسالة كتبها في الطعن على خصمه الميرزا محمّد الأخباري المقتول في مدينة الكاظمية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بعث بها إلى السلطان فتح علي شاه أثناء فترة تواجد الميرزا محمّد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له السيد الخونساري ، والشيخ حرز الدين ، والسيد الأمين، والشيخ محبوبة ، والشيخ الطهراني ، وقال الأخير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بارئ النسم ، ومشقق نور الوجود من ظلمة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سبعماءَة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الأوّل بعض المقاطع منها ، وذكر 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وتابعه في هذه التسمية السيد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ذكرها له الشيخ الطهراني ، في الذريعة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بخطّه ، في خزانة حفيده الشيخ هادي ابن الشيخ عباس ابن الشيخ علي ابن الشيخ فيها أوّلاً جملة من جوابات المسائل عن السيد المرتضى علم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فیها اوّلاً جملة من جوابات المسائل عن السید المرتضیٰ علم الهدىٰ ، متفرّقة ، ثمّ جملة من الفروع التى انتخبها من الناصريات ،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انتخبها من الفروع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 ثمّ المجلس الثاني عشر في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 الإمامية من مجالس الصدوق، ثمّ المسائل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الفقهية التي انتزعها واستخرجها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للعلّامة الحلّي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له الشيخ حرز الدين ، والسيد الأمين ، والشيخ محبوبة ،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الهداية للطباطبائي، خرج منه كتاب الطهارة ، والشيخ الطهراني ،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الطبقات ، و الذريعة ، فقال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المصابيح ، في شرح المصابيح ، الذي هو منثور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المصابيح في شرح منثور الدرّة ،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الهداية، تأليف آية الله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خزانة الشيخ علي بن محمّد رضا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الحاج شيخ عبد الحسين الطهراني ، وهو شرح مزج، مرتّب على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سنّ شرائع الإسلام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مرّة أخرىٰ ، في حرف الشين ،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مشكاة الهداية ، ممّا يوهم تعددهما لأوّل وهلة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رسالة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له السيد الخونساري ، والشيخ حرز الدين ، والسيد الأمين والشيخ محبوبة ، والشيخ الطهراني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الرشاد لمن أراد السداد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رسالة كتبها جواباً لكتاب ورده من ابن سعود إمام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الشيخ حرز الدين ، والسيد الأمين ، والشيخ محبوبة ، والشيخ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 وزاد الأخير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أوّل كتاب كتب في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آية في الابداع ، وسعة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حقائق علمية ، وحججاً دامغة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تفرّد بالوحدانية والقدم ، واشتق نور الوجود من ظلمة العدم، واسّس قواعد الشرع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فيه على الشيخ عبد العزيز بن سعود الوهّابي، وهو مشتمل على مقدّمة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خزانة الشيخ علي ابن الشيخ محمّد رضا آل كاشف الغطاء ، وطبع في سنة </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أخيراً مرّتين ، مرّة في قم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السيّد مهدي الرجائي ، وأخرى في بيروت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 بتحقيق الدكتور السيد جودت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الشيخ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الشيخ محبوبة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الشيخ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الشيخ محبوبة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الست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له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ألحقها الشيخ الأكبر ، الشيخ جعفر ،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آخره في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حفيده الشيخ موسى ابن الشيخ محمّد رضا ابن الشيخ موسى بن جعفر ؛ في سامراء أوان توقّفه بها 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له كلّ مَن 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معتبرين أنّه أهمّ مؤلّفاته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له على بعض أبواب المكاسب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العلّامة ؛ كبير ، مشتمل على قواعد فقهية ، وفقاهة إعجازية ، لم تر مثلها عين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حرزالدين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وشرحاً على بعض أبواب المكاسب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قواعد العلّامة ، في بعض أبواب المكاسب ، كبير ، مشتمل على قواعد فقهية، وفقاهة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منه مجلّداً في مكتبة الشيخ عبد الحسين الطهراني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في هذا الكتاب البيعَ إلى أوّل الخيارات بشرح 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وأتمّه ولده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أبواب المكاسب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العلّامة ، وهو كتاب كبير ، مشتمل على قواعد فقهية ، لم يُر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فيه إلى بيع الصرف</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الطهراني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كتاب البيع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وهو شرح مزجي ، مشحون 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فيه إلى أواخر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وتمّمه من الخيارات ابنه الشيخ حسن المتوفى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اشتق نور الوجود من ظلمة العدم، وجعل دين محمد في الأديان كنارٍ علىٰ علم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أضف إلى هذا الإطراء والثناء على هذا الكتاب من هؤلاء الأعلام ، ما تقدّم بيانه من اهتمام أكابر الفقهاء به ، وكونه أحد المصادر لعمالقة الفقه فی أبحاثهم الاستدلالية ، سيّما الشيخ الأنصاري في مكاسبه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رغم هذه الأهمية لم يطبع حتى الآن، وبقي في صورة نسخ مخطوطة قليلة متفرقة في مكتبات متباعدة، فتوكلت على اللّٰه تعالى وعزمت على تحقيقه ونشره بكيفية تليق به، ليأخذ محلّه المناسب في المكتبة الفقهية الجعفرية، مستعيناً به تعالىٰ، راجياً منه التوفيق لانجاز ذلك </w:t>
      </w:r>
      <w:r>
        <w:rPr>
          <w:rFonts w:eastAsia="Amiri" w:cs="Amiri" w:ascii="Amiri" w:hAnsi="Amiri"/>
          <w:color w:val="111111"/>
          <w:sz w:val="28"/>
          <w:szCs w:val="28"/>
          <w:rtl w:val="true"/>
          <w:lang w:bidi="ar-SA"/>
        </w:rPr>
        <w:t xml:space="preserve">. </w:t>
      </w:r>
      <w:bookmarkStart w:id="42" w:name="pg20243_271973"/>
    </w:p>
    <w:p>
      <w:pPr>
        <w:pStyle w:val="BookText"/>
        <w:rPr/>
      </w:pPr>
      <w:bookmarkEnd w:id="42"/>
      <w:r>
        <w:rPr>
          <w:rFonts w:eastAsia="Times New Roman" w:cs="Times New Roman" w:ascii="Times New Roman" w:hAnsi="Times New Roman"/>
          <w:color w:val="111111"/>
          <w:sz w:val="28"/>
          <w:szCs w:val="28"/>
          <w:lang w:val="en-US" w:bidi="en-US"/>
        </w:rPr>
        <w:t>69</w:t>
      </w:r>
    </w:p>
    <w:p>
      <w:pPr>
        <w:pStyle w:val="Heading2"/>
        <w:numPr>
          <w:ilvl w:val="1"/>
          <w:numId w:val="1"/>
        </w:numPr>
        <w:rPr/>
      </w:pPr>
      <w:bookmarkStart w:id="43" w:name="__RefHeading___Toc5284806_2320776876"/>
      <w:bookmarkStart w:id="44" w:name="_Toc14"/>
      <w:bookmarkEnd w:id="43"/>
      <w:r>
        <w:rPr>
          <w:rtl w:val="true"/>
        </w:rPr>
        <w:t>النسخ الخطیّة المعتمدة فی تحقیق الکتاب</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13092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بخط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منها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مرعشي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ابن المرحوم شيخ جعفر العم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خيرة النسخ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المشتهر بأبي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منها في النجف الأشرف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المدرسة الفيضية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شراره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مرعشي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والتأريخ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الشيخ علي ابن الشيخ محمّد رضا ابن الشيخ موسى ابن المؤلّف ،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والتأريخ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13535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الناسخ والتأريخ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والتأريخ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مؤسسة آل البيت علیهم السلام لإحياء التراث ،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وأخّرتُ ذكرها لما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والتأريخ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الشيخ علي ابن الشيخ محمّد رضا ابن الشيخ موسى ابن المؤلّف،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أحد أحفاد المؤلّف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بن العباس بن علي ابن الشيخ الأكبر الشيخ جعفر النجفي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مجهولة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الورقة الأولى منها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فيه العبد الآثم محمّد رضا آل كاشف الغطاء عُفي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ملاحظة هامّة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الوقوف على هذه النسخ ومقابلة بعضها ببعض ، وتسجيل موارد الاختلاف ؛ وجدت اختلافاً كلياً بينها في بعض المباحث ، أوقعني في الحيرة لأوّل وهلة، حيث ولّد عندي 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اتصفّح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الشيخ الأعظم، واتتبع ما نقل فيها من عبارات كتابنا هذا ، وبعد مقارنة ذلك مع النسخ المتقدّمة الذكر زالت الحيرة ، حيث ظهر لى أنّ تغييراً طرأ على الكتاب من قبل المؤلّف ، وأنّه قد أدخل على كتابه تعديلات، وقد شملت هذه التعديلات بعض المباحث بأكملها كما في بعض مباحث المكاسب المحرّمة ، واقتصرت في المباحث الأخر على تغيير بعض العبائر والجمل أو بإضافة كلمة أو حذفها ، ولكنّ المشكلة هي أنّ المؤلّف قام بالتغيير بعد انتشار الكتاب وتداول ما كتبه </w:t>
      </w:r>
    </w:p>
    <w:p>
      <w:pPr>
        <w:pStyle w:val="BookText"/>
        <w:rPr/>
      </w:pPr>
      <w:r>
        <w:rPr>
          <w:rFonts w:ascii="Amiri" w:hAnsi="Amiri" w:eastAsia="Amiri" w:cs="Amiri"/>
          <w:color w:val="111111"/>
          <w:sz w:val="28"/>
          <w:sz w:val="28"/>
          <w:szCs w:val="28"/>
          <w:rtl w:val="true"/>
          <w:lang w:bidi="ar-SA"/>
        </w:rPr>
        <w:t>وحرره أولاً ، واستنساخه من قبل أهل العلم، وعليه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المنتشرة لهذا الكتاب أخذ بعضها عن نسخة المؤلّف قبل التغيير ، وبعضها الآخر عنها بعد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والمؤسف أنّه لا يوجد ما يبّين لنا المتقدّم من المتأخّر ، فلم نجد في النسخ المعتمدة في التحقيق أيّ ذكر أو إشارة من نسّاخها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لنا إلى معرفة ما كتبه المؤلّف أوّلاً وما كتبه ثانياً وأخيراً ، وتمييز المعدول إليه من المعدول منه ، حتى أنّ ما نقل من عبارات الكتاب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 و مكاسب الشيخ الأعظم ، بعضها يوافق هذا وبعضها يوافق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النُسَخ المعتمدة في التحقيق على طائفتين ، طائفة أولى ، وهي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متطابقة فيما بينها إلّا الاختلافات الناشئة من اشتباه النسّاخ وسهوهم ، وطائفة ثانية ، وهي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عدة ملاحظات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النسخة الثالثة رغم أنّها من الطائفة الأولىٰ بصورة عامّة ، ولكنّها قد تطابق الطائفة الثانية في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ناسخها أو ناسخ النسخة المأخوذة عنها كانت عنده نسخة أو أكثر من کلتا الطائفتين</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السيد العاملي ينقل عبارات الكتاب مطابقة لما في الطائفة الثانية من النسخ ، والشيخ الأعظم ينقل ما يطابق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فينقل في الغالب ما يطابق الطائفة الأولىٰ ، ولكنّه في بعض الموارد نقل ما يوافق الطائفة الثانية ، ممّا يدل علىٰ وجود كلتا الطائفتين من النسخ عنده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النسخ المعتمدة في التحقيق قد سجّل عليها اختلاف </w:t>
      </w:r>
      <w:bookmarkStart w:id="45" w:name="pg20243_271976"/>
    </w:p>
    <w:p>
      <w:pPr>
        <w:pStyle w:val="BookText"/>
        <w:rPr/>
      </w:pPr>
      <w:bookmarkEnd w:id="45"/>
      <w:r>
        <w:rPr>
          <w:rFonts w:ascii="Amiri" w:hAnsi="Amiri" w:eastAsia="Amiri" w:cs="Amiri"/>
          <w:color w:val="111111"/>
          <w:sz w:val="28"/>
          <w:sz w:val="28"/>
          <w:szCs w:val="28"/>
          <w:rtl w:val="true"/>
          <w:lang w:bidi="ar-SA"/>
        </w:rPr>
        <w:t xml:space="preserve">النسخ ، ولكن خصوص ما كان من الاختلاف بقدر جملة أو كلمة أمّا الاختلاف الكبير الذي سيلاحظه القارئ في باب المكاسب المحرّمة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التغييرات المذكورة إنّما هي في بداية الكتاب ، الواقعة في الجزء الأوّل من تجزئتنا ، أمّا ما بعد ذلك فالاختلاف فيه قليل ، كما سوف يلاحظه القارئ إن وفقنا الله تعالى لإتمام الكتاب وطبع باقي الأجزاء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5284808_2320776876"/>
      <w:bookmarkStart w:id="47" w:name="_Toc15"/>
      <w:bookmarkEnd w:id="46"/>
      <w:r>
        <w:rPr>
          <w:rtl w:val="true"/>
        </w:rPr>
        <w:t>منهج التحقیق</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ما ورد في الطائفة الأولى من النسخ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الطائفة الثانية مخالفاً له فقد وضعته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الاختلافات بين الطائفة الأولىٰ من النسخ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من سهو النسّاخ وخطأهم فلم أشر إليه ، وما لم يكن من ذلك فقد ذكرته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أهملت ذكر ما اختلفت فيه النسخ تذكيراً وتأنيثاً، وما احتوته من أخطاء لغوية وإعرابية وإملائية ، فأوردت النصّ على وفق القواعد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الخط المعاصر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بتقطيع النص، ووضع علامات الترقيم ، وفقاً لما تمليه مادة البحث ، تسهيلاً للمراجعة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هوامش للكتاب تضمّنت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تخريج الآيات القرآنية الكريمة ، وذكر رقمها واسم السورة الواردة فيها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الشريفة، وذكر مصدرها وموضع وجودها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الأقوال الفقهية ، فإذا ما نقل المؤلّف قولاً لأحد الفقهاء ذكرت كتاب صاحب القول وموضع وجوده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أعثر علىٰ كتابه أو لم أعثر علىٰ القول المنقول فيه ذكرت الكتاب المتضّمن حكاية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تعدده أذكر الأقدم والأقرب إلىٰ عصر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ذكر المؤلّف قولاً من دون تعيين القائل ، بل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المسألة قول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القائل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موارد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استدل بالإجماع المنقول ذكرت مدعي الإجماع وناقله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عند نقله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تعدد الناقل أذكرهم جميعاً مقدماً الأسبق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مستند الحكم في الموارد اللازمة، فربّما ذكر المؤلّف حكماً دون بيان مستنده من آية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فتصديت للإشارة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يناسب ذكره من شروح وتعليقات على عبارات الكتاب ممّا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الشيخ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بعض الفقرات من كلمات شرّاح المتن في الموارد اللازمة، توضحياً لما أغلق من عبارات المتن أو الفاتاً إلى بعض الجهات والخصوصيات للمسألة ، ليحيط القارئ بأطراف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نقلنا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الماتن فخر المحققين، وابن اخته السيد عميد الدين ، والمحقق الكركي، والشهيد الثاني ، وغيرهم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المصادر اللغوية لما ينقله المؤلّف عن أهل اللغة ، ونقل كلامهم في الموارد اللازمة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في آخر الكتاب أسماء المصادر التي رجعت إليها في التحقيق ، وتعيين الطبعات التي اعتمدت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 وظاهراً وباطناً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محمد حسين ابن المرحوم العلّامة السيد علي نقي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الحجّة العَلَم صاحب الكرامات الباهرة</w:t>
      </w:r>
    </w:p>
    <w:p>
      <w:pPr>
        <w:pStyle w:val="BookText"/>
        <w:rPr/>
      </w:pPr>
      <w:r>
        <w:rPr>
          <w:rFonts w:ascii="Amiri" w:hAnsi="Amiri" w:eastAsia="Amiri" w:cs="Amiri"/>
          <w:color w:val="111111"/>
          <w:sz w:val="28"/>
          <w:sz w:val="28"/>
          <w:szCs w:val="28"/>
          <w:rtl w:val="true"/>
          <w:lang w:bidi="ar-SA"/>
        </w:rPr>
        <w:t>آية الله المقدّس الحاج السيد مرتضى الرضوي الكشميري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من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8" w:name="pg20243_271979"/>
    </w:p>
    <w:p>
      <w:pPr>
        <w:pStyle w:val="Heading2"/>
        <w:numPr>
          <w:ilvl w:val="1"/>
          <w:numId w:val="1"/>
        </w:numPr>
        <w:rPr/>
      </w:pPr>
      <w:bookmarkStart w:id="49" w:name="__RefHeading___Toc5284810_2320776876"/>
      <w:bookmarkStart w:id="50" w:name="_Toc16"/>
      <w:bookmarkEnd w:id="48"/>
      <w:bookmarkEnd w:id="49"/>
      <w:r>
        <w:rPr>
          <w:rtl w:val="true"/>
        </w:rPr>
        <w:t>نموذج من خطّ المؤلف</w:t>
      </w:r>
      <w:bookmarkEnd w:id="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0243_271981"/>
      <w:bookmarkStart w:id="52" w:name="pg20243_271981"/>
      <w:bookmarkEnd w:id="52"/>
    </w:p>
    <w:p>
      <w:pPr>
        <w:pStyle w:val="Heading2"/>
        <w:numPr>
          <w:ilvl w:val="1"/>
          <w:numId w:val="1"/>
        </w:numPr>
        <w:rPr/>
      </w:pPr>
      <w:bookmarkStart w:id="53" w:name="pg20243_271981"/>
      <w:bookmarkStart w:id="54" w:name="__RefHeading___Toc5284812_2320776876"/>
      <w:bookmarkStart w:id="55" w:name="_Toc17"/>
      <w:bookmarkEnd w:id="53"/>
      <w:bookmarkEnd w:id="54"/>
      <w:r>
        <w:rPr>
          <w:rtl w:val="true"/>
        </w:rPr>
        <w:t>مصادر المقدّمه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الطف ، للسيد جواد شبر ط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أدوار علم الفقه وأطواره ، للشيخ علي آل كاشف الغطاء ط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 لخير الدين الزركلي ط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للسيد محسن الأمين ط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 للسيد حسن الصدر بتحقيق السيد أحمد الحسيني طقم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 للسيد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ذكرما نقلنا عنه الشيخ جعفر محبوبة ، والشيخ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الحصون المنيعة ، للشيخ على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نقلنا عنه ولده الشيخ محمد حسين ، والشيخ جعفر محبوبة ، والشيخ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 للميرزا الشيخ حسين النوري ، بتحقيق مؤسسة آل البيت علیهم السلام ط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للشيخ محمّد محسن أغا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 أجزاء الكتاب في النجف وبعضها الآخر في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 للميرزا السيد محمّد باقر الموسوي الخونساري ط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 لميرزا شفيع الجايلقي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ما نقلناه </w:t>
      </w:r>
    </w:p>
    <w:p>
      <w:pPr>
        <w:pStyle w:val="BookText"/>
        <w:rPr/>
      </w:pPr>
      <w:r>
        <w:rPr>
          <w:rFonts w:ascii="Amiri" w:hAnsi="Amiri" w:eastAsia="Amiri" w:cs="Amiri"/>
          <w:color w:val="111111"/>
          <w:sz w:val="28"/>
          <w:sz w:val="28"/>
          <w:szCs w:val="28"/>
          <w:rtl w:val="true"/>
          <w:lang w:bidi="ar-SA"/>
        </w:rPr>
        <w:t>عنه الشيخ جعفر آل محبوبة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الجنّة ، للميرزا السيد محمّد حسن الحسيني الزنوزي ط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في القرن الثالث بعد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محسن أغا بزرگ الطهراني ط النجف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 للشيخ محمّد حسين كاشف الغطاء ، بتحقيق الدكتور السيد جودت القزويني ط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 للشيخ عباس القمّي ط صيدا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ماضي النجف وحاضرها للشيخ جعفر الشيخ باقر آل محبوبة ط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الأنوار في حلّ مشكلات الأخبار، للسيد عبدالله شبّر بتحقيق السيد على حفيد المؤلّف ط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 للشيخ محمّد حرزالدین ، نشره وعلّق عليه حفيده محمّد حسین ط النجف عام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الشرف، للسيد حسّون البُراقى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نقلناه عنه الشيخ محمد حسين كاشف الغطاء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 للسيد محمّد جواد العاملي ط 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للشيخ أسد الله التستري الدزفولي ط حجرية في ، إيران بلا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نجفيات، لعلي محمد علي دخيل ط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اللآل في معرفة الرجال، للسيد محمد بن هاشم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نقلناه عنه السيد محسن الأمين ، والشيخ الطهراني</w:t>
      </w:r>
      <w:r>
        <w:rPr>
          <w:rFonts w:eastAsia="Amiri" w:cs="Amiri" w:ascii="Amiri" w:hAnsi="Amiri"/>
          <w:color w:val="111111"/>
          <w:sz w:val="28"/>
          <w:szCs w:val="28"/>
          <w:rtl w:val="true"/>
          <w:lang w:bidi="ar-SA"/>
        </w:rPr>
        <w:t xml:space="preserve">) . </w:t>
      </w:r>
      <w:bookmarkStart w:id="56" w:name="pg20243_2719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5284814_2320776876"/>
      <w:bookmarkStart w:id="58" w:name="_Toc18"/>
      <w:bookmarkEnd w:id="56"/>
      <w:bookmarkEnd w:id="57"/>
      <w:r>
        <w:rPr>
          <w:rtl w:val="true"/>
        </w:rPr>
        <w:t>نماذج مصوّرة من النسخ الخطّیة المعتمدة فی تحقیق الکتاب</w:t>
      </w:r>
      <w:bookmarkEnd w:id="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20243_271997"/>
      <w:bookmarkStart w:id="60" w:name="pg20243_271997"/>
      <w:bookmarkEnd w:id="60"/>
    </w:p>
    <w:p>
      <w:pPr>
        <w:pStyle w:val="Heading2"/>
        <w:numPr>
          <w:ilvl w:val="1"/>
          <w:numId w:val="1"/>
        </w:numPr>
        <w:rPr/>
      </w:pPr>
      <w:bookmarkStart w:id="61" w:name="pg20243_271997"/>
      <w:bookmarkStart w:id="62" w:name="__RefHeading___Toc5284816_2320776876"/>
      <w:bookmarkStart w:id="63" w:name="_Toc19"/>
      <w:bookmarkEnd w:id="61"/>
      <w:bookmarkEnd w:id="62"/>
      <w:r>
        <w:rPr>
          <w:rtl w:val="true"/>
        </w:rPr>
        <w:t>بدایة الکتاب</w:t>
      </w:r>
      <w:bookmarkEnd w:id="63"/>
    </w:p>
    <w:p>
      <w:pPr>
        <w:pStyle w:val="BookText"/>
        <w:rPr/>
      </w:pPr>
      <w:r>
        <w:rPr>
          <w:rFonts w:ascii="IRNazanin" w:hAnsi="IRNazanin" w:eastAsia="IRNazanin"/>
          <w:color w:val="111111"/>
          <w:sz w:val="28"/>
          <w:sz w:val="28"/>
          <w:szCs w:val="28"/>
          <w:rtl w:val="true"/>
          <w:lang w:bidi="fa-IR"/>
        </w:rPr>
        <w:t>شرح القواعد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جعفر الجناجي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243_271999"/>
      <w:bookmarkStart w:id="65" w:name="pg20243_271999"/>
      <w:bookmarkEnd w:id="65"/>
    </w:p>
    <w:p>
      <w:pPr>
        <w:pStyle w:val="Heading2"/>
        <w:numPr>
          <w:ilvl w:val="1"/>
          <w:numId w:val="1"/>
        </w:numPr>
        <w:rPr/>
      </w:pPr>
      <w:bookmarkStart w:id="66" w:name="pg20243_271999"/>
      <w:bookmarkStart w:id="67" w:name="__RefHeading___Toc5284818_2320776876"/>
      <w:bookmarkStart w:id="68" w:name="_Toc20"/>
      <w:bookmarkEnd w:id="66"/>
      <w:bookmarkEnd w:id="67"/>
      <w:r>
        <w:rPr>
          <w:rtl w:val="true"/>
        </w:rPr>
        <w:t>مقدّمة المؤلّف</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اشتق نور الوجود من ظلمة العدم، وجعل دين محمد صلی اللّٰه علیه و آله بين الأديان كنار علىٰ عَلَم ، وأمّته وسطاً لتشهد علىٰ الخلائق من جميع الأمم، وصلى الله على نبيه وآله سادات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فإنّه كان يختلج في خاطري برهةً من الزمان السابق أن أشرح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العلّامة رحمه اللّٰه علیه، شرحاً بها لائق ، ولنظم عباراتها موافق ، فمنعتني صروف الحدثان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رمى الحدثان نسوة آل حرب بمقدار سمدن له سمودا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العيني عبارة عن الليل والنهار ، كأنه حسبه مثنى ، وإنما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نوازل الدهر وحوادثه راجع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الخوض بذلك ، حتى منّ اللّٰه تعالى عليّ بالرجوع من خراسان ، وسألني ذلك بعض الأعيان من أكابر المحصّلين من الإخوان ، فشرعت فيه معتمداً على الملك العلّام أن يمنّ علي بالتوفيق للإتمام </w:t>
      </w:r>
      <w:r>
        <w:rPr>
          <w:rFonts w:eastAsia="Amiri" w:cs="Amiri" w:ascii="Amiri" w:hAnsi="Amiri"/>
          <w:color w:val="111111"/>
          <w:sz w:val="28"/>
          <w:szCs w:val="28"/>
          <w:rtl w:val="true"/>
          <w:lang w:bidi="ar-SA"/>
        </w:rPr>
        <w:t>.</w:t>
      </w:r>
      <w:bookmarkStart w:id="69" w:name="pg20243_272000"/>
    </w:p>
    <w:p>
      <w:pPr>
        <w:pStyle w:val="Heading2"/>
        <w:numPr>
          <w:ilvl w:val="1"/>
          <w:numId w:val="1"/>
        </w:numPr>
        <w:rPr/>
      </w:pPr>
      <w:bookmarkStart w:id="70" w:name="__RefHeading___Toc5284820_2320776876"/>
      <w:bookmarkStart w:id="71" w:name="_Toc21"/>
      <w:bookmarkEnd w:id="69"/>
      <w:bookmarkEnd w:id="70"/>
      <w:r>
        <w:rPr>
          <w:rtl w:val="true"/>
        </w:rPr>
        <w:t>کتاب المعاملات</w:t>
      </w:r>
      <w:bookmarkEnd w:id="71"/>
    </w:p>
    <w:p>
      <w:pPr>
        <w:pStyle w:val="Heading3"/>
        <w:numPr>
          <w:ilvl w:val="2"/>
          <w:numId w:val="1"/>
        </w:numPr>
        <w:rPr/>
      </w:pPr>
      <w:bookmarkStart w:id="72" w:name="__RefHeading___Toc5284822_2320776876"/>
      <w:bookmarkStart w:id="73" w:name="_Toc22"/>
      <w:bookmarkEnd w:id="72"/>
      <w:r>
        <w:rPr>
          <w:rtl w:val="true"/>
        </w:rPr>
        <w:t>انقسام الفقه إلی أربعة أقسام و تعریفها</w:t>
      </w:r>
      <w:bookmarkEnd w:id="73"/>
    </w:p>
    <w:p>
      <w:pPr>
        <w:pStyle w:val="BookText"/>
        <w:rPr/>
      </w:pPr>
      <w:r>
        <w:rPr>
          <w:rFonts w:ascii="Amiri" w:hAnsi="Amiri" w:eastAsia="Amiri" w:cs="Amiri"/>
          <w:color w:val="111111"/>
          <w:sz w:val="28"/>
          <w:sz w:val="28"/>
          <w:szCs w:val="28"/>
          <w:rtl w:val="true"/>
          <w:lang w:bidi="ar-SA"/>
        </w:rPr>
        <w:t xml:space="preserve">وهو القسم الثاني من أقسام الفقه ، لأنّه ينقسم إلى أربعة أقسام </w:t>
      </w:r>
      <w:r>
        <w:rPr>
          <w:rStyle w:val="FootnoteAnchor"/>
          <w:rtl w:val="true"/>
        </w:rPr>
        <w:footnoteReference w:id="20"/>
      </w:r>
      <w:r>
        <w:rPr>
          <w:rFonts w:ascii="Amiri" w:hAnsi="Amiri" w:eastAsia="Amiri" w:cs="Amiri"/>
          <w:color w:val="111111"/>
          <w:sz w:val="28"/>
          <w:sz w:val="28"/>
          <w:szCs w:val="28"/>
          <w:rtl w:val="true"/>
          <w:lang w:bidi="ar-SA"/>
        </w:rPr>
        <w:t xml:space="preserve">عبادات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اشتُرِط في صحّته النيّة ، أو ما شُرّع للمصالح الأخروية ، أو ما كان فيه رجحانية شرعية أصلية ، أو ما تعمّ العارضية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معاملات ، تنقسم إلى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للألفاظ فيها مدخليّة ، ولها قسمان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إيجاب وقبول ، أو المشتملة على رضا الطرفين ، أو المتضمّنة لقصد من الجانبين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وإيقاعات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إيجابات، أو قصود، أو رضاً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أحكام أثبتها الشرع من غير توقيف على لفظ ، أو قصد، أو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التعريفات مدخولة في طردها وعكسها ، إلّا أن يراد الاستطراد في دخول آحادها في تعدادها واختلاف كلمتهم </w:t>
      </w:r>
      <w:r>
        <w:rPr>
          <w:rStyle w:val="FootnoteAnchor"/>
          <w:rtl w:val="true"/>
        </w:rPr>
        <w:footnoteReference w:id="23"/>
      </w:r>
      <w:r>
        <w:rPr>
          <w:rFonts w:ascii="Amiri" w:hAnsi="Amiri" w:eastAsia="Amiri" w:cs="Amiri"/>
          <w:color w:val="111111"/>
          <w:sz w:val="28"/>
          <w:sz w:val="28"/>
          <w:szCs w:val="28"/>
          <w:rtl w:val="true"/>
          <w:lang w:bidi="ar-SA"/>
        </w:rPr>
        <w:t>مبني على اختلاف</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مصطلحهم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كتب</w:t>
      </w:r>
      <w:r>
        <w:rPr>
          <w:rFonts w:eastAsia="Amiri" w:cs="Amiri" w:ascii="Amiri" w:hAnsi="Amiri"/>
          <w:color w:val="111111"/>
          <w:sz w:val="28"/>
          <w:szCs w:val="28"/>
          <w:rtl w:val="true"/>
          <w:lang w:bidi="ar-SA"/>
        </w:rPr>
        <w:t xml:space="preserve">: </w:t>
      </w:r>
      <w:bookmarkStart w:id="74" w:name="pg20243_272002"/>
    </w:p>
    <w:p>
      <w:pPr>
        <w:pStyle w:val="Heading2"/>
        <w:numPr>
          <w:ilvl w:val="1"/>
          <w:numId w:val="1"/>
        </w:numPr>
        <w:rPr/>
      </w:pPr>
      <w:bookmarkStart w:id="75" w:name="__RefHeading___Toc5284824_2320776876"/>
      <w:bookmarkStart w:id="76" w:name="_Toc23"/>
      <w:bookmarkEnd w:id="74"/>
      <w:bookmarkEnd w:id="75"/>
      <w:r>
        <w:rPr>
          <w:rtl w:val="true"/>
        </w:rPr>
        <w:t>کتاب المتاجر</w:t>
      </w:r>
      <w:bookmarkEnd w:id="76"/>
    </w:p>
    <w:p>
      <w:pPr>
        <w:pStyle w:val="Heading3"/>
        <w:numPr>
          <w:ilvl w:val="2"/>
          <w:numId w:val="1"/>
        </w:numPr>
        <w:rPr/>
      </w:pPr>
      <w:bookmarkStart w:id="77" w:name="__RefHeading___Toc5284826_2320776876"/>
      <w:bookmarkStart w:id="78" w:name="_Toc24"/>
      <w:bookmarkEnd w:id="77"/>
      <w:r>
        <w:rPr>
          <w:rtl w:val="true"/>
        </w:rPr>
        <w:t>تعریف المتاجر</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المتاجر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التجارات بالمعنى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اللّمعة </w:t>
      </w:r>
      <w:r>
        <w:rPr>
          <w:rStyle w:val="FootnoteAnchor"/>
          <w:rtl w:val="true"/>
        </w:rPr>
        <w:footnoteReference w:id="26"/>
      </w:r>
      <w:r>
        <w:rPr>
          <w:rFonts w:ascii="IRNazanin" w:hAnsi="IRNazanin" w:eastAsia="IRNazanin"/>
          <w:color w:val="111111"/>
          <w:sz w:val="28"/>
          <w:sz w:val="28"/>
          <w:szCs w:val="28"/>
          <w:rtl w:val="true"/>
          <w:lang w:bidi="fa-IR"/>
        </w:rPr>
        <w:t xml:space="preserve">، خلافاً للشرائع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في غير المراد </w:t>
      </w:r>
      <w:r>
        <w:rPr>
          <w:rStyle w:val="FootnoteAnchor"/>
          <w:rtl w:val="true"/>
        </w:rPr>
        <w:footnoteReference w:id="2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لحظ كلام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أصحاب آيات فقه القرآن ، وكلام الفقهاء ، وكلام أكثر أهل اللغة ؛ عرف أنّهم لم يتعرضوا إلّا للمعنىٰ المصدري ، ولم يلتفتوا إلىٰ معنىٰ الحرفة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يراد في مقامات أخر لمكان ظاهر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الأستاذ أدام الله حراسته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التجارة ظاهرة في غير المراد ، وهو الصناعات الداخلة في الملكات فلذلك ترك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التعبير بها في المقام ؛ كأنّه لم يصادف محزّه ، مع أنّه بعد ذلک اعترف بأنّ أظهر أفرادها المعاوضة لطلب الربح ، وأنّه ظاهر العرف واللغة ، فتأمل</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الصناعات الداخلة في الملكات ، أو محالّها ، لقيام احتمال المصدر الميمي واسم المكان في 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منهما ما يوافقه من الأقسام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معاً من باب عموم الاشتراك ، أو غيره ؛ ليصحّ التعلّق بالقسمين من دون اعتبار</w:t>
      </w:r>
    </w:p>
    <w:p>
      <w:pPr>
        <w:pStyle w:val="BookText"/>
        <w:rPr/>
      </w:pPr>
      <w:r>
        <w:rPr>
          <w:rFonts w:ascii="Amiri" w:hAnsi="Amiri" w:eastAsia="Amiri" w:cs="Amiri"/>
          <w:color w:val="111111"/>
          <w:sz w:val="28"/>
          <w:sz w:val="28"/>
          <w:szCs w:val="28"/>
          <w:rtl w:val="true"/>
          <w:lang w:bidi="ar-SA"/>
        </w:rPr>
        <w:t xml:space="preserve">الحيثية في تعلّق الأحكام في أكثر الأقسام ، اكتفاءً بإرادة الأعمّ في المقسم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المعنيُّ بها ما في الزكاة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ذلك كما سيأتي ، فكلامه هنا مخالف لقواعده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يوافق ظاهر العرف واللّغة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المعاوضة لطلب الربح زائداً على رأس المال، إذ ليس لها هنا خصوصية ، ولا ما يحصل الاكتساب به على أي حال كان ، كما في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لم يكن قسيماً للديون والإجارات ، ولا مطلق الاكتساب بالأعيان ، وإلّا دخل كثير من أبواب غير هذا الكتاب فيه ؛ فيراد البيع وتوابعه، على نحو ما في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فما ذكر في المقدّمات أو بعض المقامات من غير ذلك ؛ فمن الملحقات ، وليس من المقاصد الأصلية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79" w:name="pg20243_272004"/>
    </w:p>
    <w:p>
      <w:pPr>
        <w:pStyle w:val="Heading3"/>
        <w:numPr>
          <w:ilvl w:val="2"/>
          <w:numId w:val="1"/>
        </w:numPr>
        <w:rPr/>
      </w:pPr>
      <w:bookmarkStart w:id="80" w:name="__RefHeading___Toc5284828_2320776876"/>
      <w:bookmarkStart w:id="81" w:name="_Toc25"/>
      <w:bookmarkEnd w:id="79"/>
      <w:bookmarkEnd w:id="80"/>
      <w:r>
        <w:rPr>
          <w:rtl w:val="true"/>
        </w:rPr>
        <w:t>أقسام المتاجر</w:t>
      </w:r>
      <w:bookmarkEnd w:id="81"/>
    </w:p>
    <w:p>
      <w:pPr>
        <w:pStyle w:val="BookText"/>
        <w:rPr/>
      </w:pPr>
      <w:r>
        <w:rPr>
          <w:rFonts w:ascii="Amiri" w:hAnsi="Amiri" w:eastAsia="Amiri" w:cs="Amiri"/>
          <w:color w:val="111111"/>
          <w:sz w:val="28"/>
          <w:sz w:val="28"/>
          <w:szCs w:val="28"/>
          <w:rtl w:val="true"/>
          <w:lang w:bidi="ar-SA"/>
        </w:rPr>
        <w:t xml:space="preserve">وما ورد في الأخبار من مدح التجارة والتجّار </w:t>
      </w:r>
      <w:r>
        <w:rPr>
          <w:rStyle w:val="FootnoteAnchor"/>
          <w:rtl w:val="true"/>
        </w:rPr>
        <w:footnoteReference w:id="30"/>
      </w:r>
      <w:r>
        <w:rPr>
          <w:rFonts w:ascii="Amiri" w:hAnsi="Amiri" w:eastAsia="Amiri" w:cs="Amiri"/>
          <w:color w:val="111111"/>
          <w:sz w:val="28"/>
          <w:sz w:val="28"/>
          <w:szCs w:val="28"/>
          <w:rtl w:val="true"/>
          <w:lang w:bidi="ar-SA"/>
        </w:rPr>
        <w:t xml:space="preserve">فمحمول علىٰ ما اُريدَ 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مُطْلِقُها إذا تعلّق به شيء من أسباب الالتزام من عقد معاوضة أو نذر أو عهد أو يمين ، لأنّه المعنىٰ الظاهر عند الإطلاق ،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المقدّمات ، وفيه فصلان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مطلق المكاسب ولواحقها ممّا يعمّ الفعل والمحلّ ، استخداماً حيث نجعل المرجع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عممناه ، أو خصصناها ؛ فالضمير علىٰ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صيغاً ، أو نقلاً ، أو انتقالاً ، أو آثاراً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تنقسم بانقسام الأحكام الخمسة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واعلم أنّ هذا ليس من مقصود العقود ، لأنّ الفقيه يبحث عنها من حيث تصحّ وتفسد ومن حيث تحلّ وتحرم ، أمّا من حيث يكون متعلق الثواب أم لا فإنّ ذلك من غرض العبادة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الثلاثة بترك الواجب والمندوب كما في كلام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w:t>
      </w:r>
      <w:r>
        <w:rPr>
          <w:rStyle w:val="FootnoteAnchor"/>
          <w:rtl w:val="true"/>
        </w:rPr>
        <w:footnoteReference w:id="32"/>
      </w:r>
      <w:r>
        <w:rPr>
          <w:rFonts w:ascii="Amiri" w:hAnsi="Amiri" w:eastAsia="Amiri" w:cs="Amiri"/>
          <w:color w:val="111111"/>
          <w:sz w:val="28"/>
          <w:sz w:val="28"/>
          <w:szCs w:val="28"/>
          <w:rtl w:val="true"/>
          <w:lang w:bidi="ar-SA"/>
        </w:rPr>
        <w:t xml:space="preserve">، أو المباح والمكروه كما في كلام آخر </w:t>
      </w:r>
      <w:r>
        <w:rPr>
          <w:rStyle w:val="FootnoteAnchor"/>
          <w:rtl w:val="true"/>
        </w:rPr>
        <w:footnoteReference w:id="33"/>
      </w:r>
      <w:r>
        <w:rPr>
          <w:rFonts w:ascii="Amiri" w:hAnsi="Amiri" w:eastAsia="Amiri" w:cs="Amiri"/>
          <w:color w:val="111111"/>
          <w:sz w:val="28"/>
          <w:sz w:val="28"/>
          <w:szCs w:val="28"/>
          <w:rtl w:val="true"/>
          <w:lang w:bidi="ar-SA"/>
        </w:rPr>
        <w:t xml:space="preserve">، ولكلُّ وجهٌ ، غير أنّ أوّلها أولاها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2" w:name="pg20243_272006"/>
    </w:p>
    <w:p>
      <w:pPr>
        <w:pStyle w:val="Heading3"/>
        <w:numPr>
          <w:ilvl w:val="2"/>
          <w:numId w:val="1"/>
        </w:numPr>
        <w:rPr/>
      </w:pPr>
      <w:bookmarkStart w:id="83" w:name="__RefHeading___Toc5284830_2320776876"/>
      <w:bookmarkStart w:id="84" w:name="_Toc26"/>
      <w:bookmarkEnd w:id="82"/>
      <w:bookmarkEnd w:id="83"/>
      <w:r>
        <w:rPr>
          <w:rtl w:val="true"/>
        </w:rPr>
        <w:t>الواجب من المتاجر</w:t>
      </w:r>
      <w:bookmarkEnd w:id="84"/>
    </w:p>
    <w:p>
      <w:pPr>
        <w:pStyle w:val="BookText"/>
        <w:rPr/>
      </w:pPr>
      <w:r>
        <w:rPr>
          <w:rFonts w:ascii="Amiri" w:hAnsi="Amiri" w:eastAsia="Amiri" w:cs="Amiri"/>
          <w:color w:val="111111"/>
          <w:sz w:val="28"/>
          <w:sz w:val="28"/>
          <w:szCs w:val="28"/>
          <w:rtl w:val="true"/>
          <w:lang w:bidi="ar-SA"/>
        </w:rPr>
        <w:t xml:space="preserve">والانقسام مع إرادة الفعل في العنوان ظاهر ، لأنه متعلّق الأحكام، وينافيه ذكر الأعيان في عدّ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إرادة المكان يلزم الخروج عن 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الإشكال بالكلّية يحصل باعتبار الحيثية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تعييني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أو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الإنسان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منهما ؛ فحال هذا القسم كحال الأقسام الآتية ، محتمل للوجوه الثلاثة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القوته وقوت عياله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 أو بعض النفوس المحترمة ، أو لبعض الأمور الملتزمة ، إلى غير ذلك من الواجبات الموقوفة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أو استعفاء، أو تخلّص بطلاق ونحوه ؛ يدفع به الواجب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المتجر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عمّت </w:t>
      </w:r>
    </w:p>
    <w:p>
      <w:pPr>
        <w:pStyle w:val="BookText"/>
        <w:rPr/>
      </w:pPr>
      <w:r>
        <w:rPr>
          <w:rFonts w:ascii="Amiri" w:hAnsi="Amiri" w:eastAsia="Amiri" w:cs="Amiri"/>
          <w:color w:val="111111"/>
          <w:sz w:val="28"/>
          <w:sz w:val="28"/>
          <w:szCs w:val="28"/>
          <w:rtl w:val="true"/>
          <w:lang w:bidi="ar-SA"/>
        </w:rPr>
        <w:t xml:space="preserve">الوجوب استغنيت عن بعض القيود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كون الوجوب أصلياً </w:t>
      </w:r>
      <w:r>
        <w:rPr>
          <w:rStyle w:val="FootnoteAnchor"/>
          <w:rtl w:val="true"/>
        </w:rPr>
        <w:footnoteReference w:id="39"/>
      </w:r>
      <w:r>
        <w:rPr>
          <w:rFonts w:ascii="Amiri" w:hAnsi="Amiri" w:eastAsia="Amiri" w:cs="Amiri"/>
          <w:color w:val="111111"/>
          <w:sz w:val="28"/>
          <w:sz w:val="28"/>
          <w:szCs w:val="28"/>
          <w:rtl w:val="true"/>
          <w:lang w:bidi="ar-SA"/>
        </w:rPr>
        <w:t>تترتب عليه الآثار ويستحقّ على تركه دخول النار ، كما يظهر من الأخبار</w:t>
      </w:r>
      <w:r>
        <w:rPr>
          <w:rStyle w:val="FootnoteAnchor"/>
          <w:rtl w:val="true"/>
        </w:rPr>
        <w:footnoteReference w:id="40"/>
      </w:r>
      <w:r>
        <w:rPr>
          <w:rFonts w:ascii="Amiri" w:hAnsi="Amiri" w:eastAsia="Amiri" w:cs="Amiri"/>
          <w:color w:val="111111"/>
          <w:sz w:val="28"/>
          <w:sz w:val="28"/>
          <w:szCs w:val="28"/>
          <w:rtl w:val="true"/>
          <w:lang w:bidi="ar-SA"/>
        </w:rPr>
        <w:t>، لا تبعياً لا تترتب عليه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يخفى الفرق بين الأصلي والتبعي على الفطن الذكي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 أو مخيّر راجح في نفسه ، أو بالنسبة إلى غيره من أفراد الواجب أو المندوب المخيّرين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يقصد</w:t>
      </w:r>
      <w:r>
        <w:rPr>
          <w:rStyle w:val="FootnoteAnchor"/>
          <w:rtl w:val="true"/>
        </w:rPr>
        <w:footnoteReference w:id="41"/>
      </w:r>
      <w:r>
        <w:rPr>
          <w:rFonts w:ascii="Amiri" w:hAnsi="Amiri" w:eastAsia="Amiri" w:cs="Amiri"/>
          <w:color w:val="111111"/>
          <w:sz w:val="28"/>
          <w:sz w:val="28"/>
          <w:szCs w:val="28"/>
          <w:rtl w:val="true"/>
          <w:lang w:bidi="ar-SA"/>
        </w:rPr>
        <w:t>به التوسعة على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 أو أصل النفقة على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نفع المحاويج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 من الناس، أو غير ذلك من الأمور الراجحة ما لم تصل إلى حدّ الوجوب ، بأن تكون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w:t>
      </w:r>
      <w:r>
        <w:rPr>
          <w:rStyle w:val="FootnoteAnchor"/>
          <w:rtl w:val="true"/>
        </w:rPr>
        <w:footnoteReference w:id="44"/>
      </w:r>
      <w:r>
        <w:rPr>
          <w:rFonts w:ascii="Amiri" w:hAnsi="Amiri" w:eastAsia="Amiri" w:cs="Amiri"/>
          <w:color w:val="111111"/>
          <w:sz w:val="28"/>
          <w:sz w:val="28"/>
          <w:szCs w:val="28"/>
          <w:rtl w:val="true"/>
          <w:lang w:bidi="ar-SA"/>
        </w:rPr>
        <w:t>به الزيادة في المال لا غير ، مع الغنى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فالاكتساب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 لا رجحان فيه ، أو فيه رجحان لا ينقله إلىٰ الاستحباب الشرعي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الأدلّة ما يدلّ على رجحانه في ذاته شرعاً، ولا محيص عن العمل به ، كقول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 أفضلها طلب الحلال</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التجارة تزيد في العقل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التجارة فتهونوا</w:t>
      </w:r>
      <w:r>
        <w:rPr>
          <w:rFonts w:eastAsia="IRNazanin" w:cs="IRNazanin"/>
          <w:color w:val="111111"/>
          <w:sz w:val="28"/>
          <w:szCs w:val="28"/>
          <w:rtl w:val="true"/>
          <w:lang w:bidi="fa-IR"/>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دلّ من عقل أو نقل </w:t>
      </w:r>
      <w:r>
        <w:rPr>
          <w:rStyle w:val="FootnoteAnchor"/>
          <w:rtl w:val="true"/>
        </w:rPr>
        <w:footnoteReference w:id="48"/>
      </w:r>
      <w:r>
        <w:rPr>
          <w:rFonts w:ascii="IRNazanin" w:hAnsi="IRNazanin" w:eastAsia="IRNazanin"/>
          <w:color w:val="111111"/>
          <w:sz w:val="28"/>
          <w:sz w:val="28"/>
          <w:szCs w:val="28"/>
          <w:rtl w:val="true"/>
          <w:lang w:bidi="fa-IR"/>
        </w:rPr>
        <w:t xml:space="preserve">على رجحان الحزم والعزم </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والقدرة والتمكّن من المقاصد ، ومرجوحية التهاون والكسل والعجز ، وما دلّ من الكتاب </w:t>
      </w:r>
      <w:r>
        <w:rPr>
          <w:rStyle w:val="FootnoteAnchor"/>
          <w:rtl w:val="true"/>
        </w:rPr>
        <w:footnoteReference w:id="49"/>
      </w:r>
      <w:r>
        <w:rPr>
          <w:rFonts w:ascii="Amiri" w:hAnsi="Amiri" w:eastAsia="Amiri" w:cs="Amiri"/>
          <w:color w:val="111111"/>
          <w:sz w:val="28"/>
          <w:sz w:val="28"/>
          <w:szCs w:val="28"/>
          <w:rtl w:val="true"/>
          <w:lang w:bidi="ar-SA"/>
        </w:rPr>
        <w:t xml:space="preserve">والسنة </w:t>
      </w:r>
      <w:r>
        <w:rPr>
          <w:rStyle w:val="FootnoteAnchor"/>
          <w:rtl w:val="true"/>
        </w:rPr>
        <w:footnoteReference w:id="50"/>
      </w:r>
      <w:r>
        <w:rPr>
          <w:rFonts w:ascii="Amiri" w:hAnsi="Amiri" w:eastAsia="Amiri" w:cs="Amiri"/>
          <w:color w:val="111111"/>
          <w:sz w:val="28"/>
          <w:sz w:val="28"/>
          <w:szCs w:val="28"/>
          <w:rtl w:val="true"/>
          <w:lang w:bidi="ar-SA"/>
        </w:rPr>
        <w:t xml:space="preserve">علىٰ الأمر بالمشي والسعي في طلب الرزق ؛ ما يفيد الرجحانية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ويتضاعف الرجحان بتضاعف أسبابه ، ويقوىٰ بقوّتها ، عقلاً ونقلاً </w:t>
      </w:r>
      <w:r>
        <w:rPr>
          <w:rStyle w:val="FootnoteAnchor"/>
          <w:rtl w:val="true"/>
        </w:rPr>
        <w:footnoteReference w:id="51"/>
      </w:r>
      <w:r>
        <w:rPr>
          <w:rFonts w:ascii="IRNazanin" w:hAnsi="IRNazanin" w:eastAsia="IRNazanin"/>
          <w:color w:val="111111"/>
          <w:sz w:val="28"/>
          <w:sz w:val="28"/>
          <w:szCs w:val="28"/>
          <w:rtl w:val="true"/>
          <w:lang w:bidi="fa-IR"/>
        </w:rPr>
        <w:t xml:space="preserve">،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طلب الآخرة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الرزق في الدنيا استعفافاً عن الناس ، وسعياً على أهله، تعطفاً على جاره ؛ لقىٰ اللّٰه عزّ وجلّ يوم القيامة ووجهه مثل القمر ليلة البدر</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الدنيا </w:t>
      </w:r>
    </w:p>
    <w:p>
      <w:pPr>
        <w:pStyle w:val="BookText"/>
        <w:rPr/>
      </w:pPr>
      <w:r>
        <w:rPr>
          <w:rFonts w:ascii="Amiri" w:hAnsi="Amiri" w:eastAsia="Amiri" w:cs="Amiri"/>
          <w:color w:val="111111"/>
          <w:sz w:val="28"/>
          <w:sz w:val="28"/>
          <w:szCs w:val="28"/>
          <w:rtl w:val="true"/>
          <w:lang w:bidi="ar-SA"/>
        </w:rPr>
        <w:t xml:space="preserve">أعود بها علىٰ عيالي ، وذكر مرجّحات 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طلب الآخرة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وغير ذلك من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ومكروه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وجه نهى الشارع عنه نهي تنزيه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طريق العقل أو النقل ، ولو في واجب كفائي أو تخييري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الأثمان بالأثمان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الفرض والنفل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والطعام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الحبوب التي يقتات بها الناس</w:t>
      </w:r>
      <w:r>
        <w:rPr>
          <w:rStyle w:val="FootnoteAnchor"/>
          <w:rtl w:val="true"/>
        </w:rPr>
        <w:footnoteReference w:id="57"/>
      </w:r>
      <w:r>
        <w:rPr>
          <w:rFonts w:ascii="Amiri" w:hAnsi="Amiri" w:eastAsia="Amiri" w:cs="Amiri"/>
          <w:color w:val="111111"/>
          <w:sz w:val="28"/>
          <w:sz w:val="28"/>
          <w:szCs w:val="28"/>
          <w:rtl w:val="true"/>
          <w:lang w:bidi="ar-SA"/>
        </w:rPr>
        <w:t xml:space="preserve">لا مطلق المطعوم ، ولا خصوص الحنطة ، كما فُسّر بهما </w:t>
      </w:r>
      <w:r>
        <w:rPr>
          <w:rStyle w:val="FootnoteAnchor"/>
          <w:rtl w:val="true"/>
        </w:rPr>
        <w:footnoteReference w:id="58"/>
      </w:r>
      <w:bookmarkStart w:id="85" w:name="pg20243_272011"/>
    </w:p>
    <w:p>
      <w:pPr>
        <w:pStyle w:val="Heading2"/>
        <w:numPr>
          <w:ilvl w:val="1"/>
          <w:numId w:val="1"/>
        </w:numPr>
        <w:rPr/>
      </w:pPr>
      <w:bookmarkStart w:id="86" w:name="__RefHeading___Toc5284832_2320776876"/>
      <w:bookmarkStart w:id="87" w:name="_Toc27"/>
      <w:bookmarkEnd w:id="85"/>
      <w:bookmarkEnd w:id="86"/>
      <w:r>
        <w:rPr>
          <w:rtl w:val="true"/>
        </w:rPr>
        <w:t>بیع الرقیق</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معللاً في الأخبار </w:t>
      </w:r>
      <w:r>
        <w:rPr>
          <w:rStyle w:val="FootnoteAnchor"/>
          <w:rtl w:val="true"/>
        </w:rPr>
        <w:footnoteReference w:id="59"/>
      </w:r>
      <w:r>
        <w:rPr>
          <w:rFonts w:ascii="Amiri" w:hAnsi="Amiri" w:eastAsia="Amiri" w:cs="Amiri"/>
          <w:color w:val="111111"/>
          <w:sz w:val="28"/>
          <w:sz w:val="28"/>
          <w:szCs w:val="28"/>
          <w:rtl w:val="true"/>
          <w:lang w:bidi="ar-SA"/>
        </w:rPr>
        <w:t xml:space="preserve">بعدم الخلوّ من الربا، وتمنّي الوباء، وعدم </w:t>
      </w:r>
      <w:bookmarkStart w:id="88" w:name="pg20243_272012"/>
    </w:p>
    <w:p>
      <w:pPr>
        <w:pStyle w:val="Heading2"/>
        <w:numPr>
          <w:ilvl w:val="1"/>
          <w:numId w:val="1"/>
        </w:numPr>
        <w:rPr/>
      </w:pPr>
      <w:bookmarkStart w:id="89" w:name="__RefHeading___Toc5284834_2320776876"/>
      <w:bookmarkStart w:id="90" w:name="_Toc28"/>
      <w:bookmarkEnd w:id="88"/>
      <w:bookmarkEnd w:id="89"/>
      <w:r>
        <w:rPr>
          <w:rtl w:val="true"/>
        </w:rPr>
        <w:t>اتخاذ الذبح و النحر صنعة</w:t>
      </w:r>
      <w:bookmarkEnd w:id="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السلامة من الاحتكار، وأنّ شر الناس من باع الناس ؛ فتسرية الحكم إلى غير البيع من عقد أو معاطاة ، وإلىٰ جميع ما تجري فيه العلل كبيع الأمثال بالأمثال من المكيل والموزون ، والتكسب بالجريدتين والسدر والكافور والنعش وجميع ما یتعلّق بالموتی و النیابة فی العبادات، و جمیع ما تعمّ الحاجة به إلى القوت ويتعلّق به الاحتكار ؛ غير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عامّ الانتفاع من غير الأقوات، كالأقمشة ونحوها ؛ فلا يسري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واتخاذ الذبح والنحر صنعة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اعتبار ذلك في الجميع ، لما مرّ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1" w:name="pg20243_272013"/>
    </w:p>
    <w:p>
      <w:pPr>
        <w:pStyle w:val="Heading2"/>
        <w:numPr>
          <w:ilvl w:val="1"/>
          <w:numId w:val="1"/>
        </w:numPr>
        <w:rPr/>
      </w:pPr>
      <w:bookmarkStart w:id="92" w:name="__RefHeading___Toc5284836_2320776876"/>
      <w:bookmarkStart w:id="93" w:name="_Toc29"/>
      <w:bookmarkEnd w:id="91"/>
      <w:bookmarkEnd w:id="92"/>
      <w:r>
        <w:rPr>
          <w:rtl w:val="true"/>
        </w:rPr>
        <w:t>الحیاکة و النساجة</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والحياكة ، والنساجة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خُصّت الحياكة بالغليظ والنساجة بالرقيق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اللغويين لهما بالصناعة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p>
    <w:p>
      <w:pPr>
        <w:pStyle w:val="BookText"/>
        <w:rPr/>
      </w:pP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 ولد الحائك لا يَنْجُبُ إلى سبعة بطون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فيهما ما كان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خوص أوليف، لعدم انصراف الإطلاق إليه ، ولأنّه عمل الأنبياء علیهم السلام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لم يكن صنعة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أخبار المنع </w:t>
      </w:r>
      <w:r>
        <w:rPr>
          <w:rStyle w:val="FootnoteAnchor"/>
          <w:rtl w:val="true"/>
        </w:rPr>
        <w:footnoteReference w:id="65"/>
      </w:r>
      <w:r>
        <w:rPr>
          <w:rFonts w:ascii="Amiri" w:hAnsi="Amiri" w:eastAsia="Amiri" w:cs="Amiri"/>
          <w:color w:val="111111"/>
          <w:sz w:val="28"/>
          <w:sz w:val="28"/>
          <w:szCs w:val="28"/>
          <w:rtl w:val="true"/>
          <w:lang w:bidi="ar-SA"/>
        </w:rPr>
        <w:t xml:space="preserve">وأخبار الرخصة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بالحمل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الشرط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أخبار الشرط </w:t>
      </w:r>
      <w:r>
        <w:rPr>
          <w:rStyle w:val="FootnoteAnchor"/>
          <w:rtl w:val="true"/>
        </w:rPr>
        <w:footnoteReference w:id="68"/>
      </w:r>
      <w:r>
        <w:rPr>
          <w:rFonts w:ascii="Amiri" w:hAnsi="Amiri" w:eastAsia="Amiri" w:cs="Amiri"/>
          <w:color w:val="111111"/>
          <w:sz w:val="28"/>
          <w:sz w:val="28"/>
          <w:szCs w:val="28"/>
          <w:rtl w:val="true"/>
          <w:lang w:bidi="ar-SA"/>
        </w:rPr>
        <w:t xml:space="preserve">على شدّة الكراهة ، فتكون مكروهة مطلقاً ، كما ذهب إليه بعض أصحابنا </w:t>
      </w:r>
      <w:r>
        <w:rPr>
          <w:rStyle w:val="FootnoteAnchor"/>
          <w:rtl w:val="true"/>
        </w:rPr>
        <w:footnoteReference w:id="69"/>
      </w:r>
      <w:r>
        <w:rPr>
          <w:rFonts w:ascii="Amiri" w:hAnsi="Amiri" w:eastAsia="Amiri" w:cs="Amiri"/>
          <w:color w:val="111111"/>
          <w:sz w:val="28"/>
          <w:sz w:val="28"/>
          <w:szCs w:val="28"/>
          <w:rtl w:val="true"/>
          <w:lang w:bidi="ar-SA"/>
        </w:rPr>
        <w:t xml:space="preserve">، غير بعيد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الشرط من المحجوم مكروه ، كغيره من المستأجِرين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الحاجم علىٰ فعل المكروه لا يمنع الرجحان في حقّه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 المحجوم وسكت الحاجم فليس بمشترط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صرّح بالقبول كان مشترطاً على تردد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طلب المحجوم من غير شرط يرجع إلى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التعرّض لتعداد المحجمة ، والجروح ، وقدر الدم ؛ </w:t>
      </w:r>
      <w:bookmarkStart w:id="94" w:name="pg20243_272016"/>
    </w:p>
    <w:p>
      <w:pPr>
        <w:pStyle w:val="Heading2"/>
        <w:numPr>
          <w:ilvl w:val="1"/>
          <w:numId w:val="1"/>
        </w:numPr>
        <w:rPr/>
      </w:pPr>
      <w:bookmarkStart w:id="95" w:name="__RefHeading___Toc5284838_2320776876"/>
      <w:bookmarkStart w:id="96" w:name="_Toc30"/>
      <w:bookmarkEnd w:id="94"/>
      <w:bookmarkEnd w:id="95"/>
      <w:r>
        <w:rPr>
          <w:rtl w:val="true"/>
        </w:rPr>
        <w:t>تقبیل القابلة</w:t>
      </w:r>
      <w:bookmarkEnd w:id="96"/>
    </w:p>
    <w:p>
      <w:pPr>
        <w:pStyle w:val="BookText"/>
        <w:rPr/>
      </w:pPr>
      <w:r>
        <w:rPr>
          <w:rFonts w:ascii="Amiri" w:hAnsi="Amiri" w:eastAsia="Amiri" w:cs="Amiri"/>
          <w:color w:val="111111"/>
          <w:sz w:val="28"/>
          <w:sz w:val="28"/>
          <w:szCs w:val="28"/>
          <w:rtl w:val="true"/>
          <w:lang w:bidi="ar-SA"/>
        </w:rPr>
        <w:t xml:space="preserve">لا يقتضي الجهالة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القابلة معه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النقص فيها حينئذ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وأجرة الضراب للخبر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ذكر عدد العرد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الخيل والإبل ، والمدّة في الغنم فما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من التوابع ، فلا يلزم المعاوضة علىٰ النجس ، ولا كون متعلّق الإجارة عيناً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7" w:name="pg20243_272017"/>
    </w:p>
    <w:p>
      <w:pPr>
        <w:pStyle w:val="Heading2"/>
        <w:numPr>
          <w:ilvl w:val="1"/>
          <w:numId w:val="1"/>
        </w:numPr>
        <w:rPr/>
      </w:pPr>
      <w:bookmarkStart w:id="98" w:name="__RefHeading___Toc5284840_2320776876"/>
      <w:bookmarkStart w:id="99" w:name="_Toc31"/>
      <w:bookmarkEnd w:id="97"/>
      <w:bookmarkEnd w:id="98"/>
      <w:r>
        <w:rPr>
          <w:rtl w:val="true"/>
        </w:rPr>
        <w:t>کسب الصبیان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يبلغوا حدّ التكليف </w:t>
      </w:r>
      <w:r>
        <w:rPr>
          <w:rStyle w:val="FootnoteAnchor"/>
          <w:rtl w:val="true"/>
        </w:rPr>
        <w:footnoteReference w:id="77"/>
      </w:r>
      <w:r>
        <w:rPr>
          <w:rFonts w:ascii="Amiri" w:hAnsi="Amiri" w:eastAsia="Amiri" w:cs="Amiri"/>
          <w:color w:val="111111"/>
          <w:sz w:val="28"/>
          <w:sz w:val="28"/>
          <w:szCs w:val="28"/>
          <w:rtl w:val="true"/>
          <w:lang w:bidi="ar-SA"/>
        </w:rPr>
        <w:t xml:space="preserve">ولم يعلم أنّه بحيازة ونحوها ممّا يجوز من كسبهم ، أو بطريق غير جائز من معاملة لا تصحّ منهم، أو غصب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بلا كراهة في الأوّل ، ويحرم في لثاني </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5284842_2320776876"/>
      <w:bookmarkStart w:id="101" w:name="_Toc32"/>
      <w:bookmarkEnd w:id="100"/>
      <w:r>
        <w:rPr>
          <w:rtl w:val="true"/>
        </w:rPr>
        <w:t>کسب غیر المتجنب للحرام</w:t>
      </w:r>
      <w:bookmarkEnd w:id="1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المتجنّب للحرام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وتتفاوت الكراهة شدة وضعفاً بتفاوت </w:t>
      </w:r>
      <w:bookmarkStart w:id="102" w:name="pg20243_272018"/>
    </w:p>
    <w:p>
      <w:pPr>
        <w:pStyle w:val="BookText"/>
        <w:rPr/>
      </w:pPr>
      <w:bookmarkEnd w:id="102"/>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زوال كراهته مع انتقاله إلى أيدأخر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أخبر صاحب اليد بحرمة ما في يده قُبِل قوله وإنْ كان فاسقاً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5284844_2320776876"/>
      <w:bookmarkStart w:id="104" w:name="_Toc33"/>
      <w:bookmarkEnd w:id="103"/>
      <w:r>
        <w:rPr>
          <w:rtl w:val="true"/>
        </w:rPr>
        <w:t>اُجرة تعلیم القرآن</w:t>
      </w:r>
      <w:bookmarkEnd w:id="1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واُجرة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ما لم يدخل في الواجب عيناً أو كفاية ، كتعليمها للصلاة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بأخذها لتعليم القراءات وتلقين بعض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والنواهي عن اُجرة المعلّم </w:t>
      </w:r>
      <w:r>
        <w:rPr>
          <w:rStyle w:val="FootnoteAnchor"/>
          <w:rtl w:val="true"/>
        </w:rPr>
        <w:footnoteReference w:id="82"/>
      </w:r>
      <w:r>
        <w:rPr>
          <w:rFonts w:ascii="Amiri" w:hAnsi="Amiri" w:eastAsia="Amiri" w:cs="Amiri"/>
          <w:color w:val="111111"/>
          <w:sz w:val="28"/>
          <w:sz w:val="28"/>
          <w:szCs w:val="28"/>
          <w:rtl w:val="true"/>
          <w:lang w:bidi="ar-SA"/>
        </w:rPr>
        <w:t xml:space="preserve">معارضة بمثلها </w:t>
      </w:r>
      <w:r>
        <w:rPr>
          <w:rStyle w:val="FootnoteAnchor"/>
          <w:rtl w:val="true"/>
        </w:rPr>
        <w:footnoteReference w:id="83"/>
      </w:r>
      <w:r>
        <w:rPr>
          <w:rFonts w:ascii="IRNazanin" w:hAnsi="IRNazanin" w:eastAsia="IRNazanin"/>
          <w:color w:val="111111"/>
          <w:sz w:val="28"/>
          <w:sz w:val="28"/>
          <w:szCs w:val="28"/>
          <w:rtl w:val="true"/>
          <w:lang w:bidi="fa-IR"/>
        </w:rPr>
        <w:t xml:space="preserve">، </w:t>
      </w:r>
      <w:bookmarkStart w:id="105" w:name="pg20243_272019"/>
    </w:p>
    <w:p>
      <w:pPr>
        <w:pStyle w:val="BookText"/>
        <w:rPr/>
      </w:pPr>
      <w:bookmarkEnd w:id="105"/>
      <w:r>
        <w:rPr>
          <w:rFonts w:ascii="IRNazanin" w:hAnsi="IRNazanin" w:eastAsia="IRNazanin"/>
          <w:color w:val="111111"/>
          <w:sz w:val="28"/>
          <w:sz w:val="28"/>
          <w:szCs w:val="28"/>
          <w:rtl w:val="true"/>
          <w:lang w:bidi="fa-IR"/>
        </w:rPr>
        <w:t xml:space="preserve">وبالإجماع المنقول </w:t>
      </w:r>
      <w:r>
        <w:rPr>
          <w:rStyle w:val="FootnoteAnchor"/>
          <w:rtl w:val="true"/>
        </w:rPr>
        <w:footnoteReference w:id="84"/>
      </w:r>
      <w:r>
        <w:rPr>
          <w:rFonts w:ascii="Amiri" w:hAnsi="Amiri" w:eastAsia="Amiri" w:cs="Amiri"/>
          <w:color w:val="111111"/>
          <w:sz w:val="28"/>
          <w:sz w:val="28"/>
          <w:szCs w:val="28"/>
          <w:rtl w:val="true"/>
          <w:lang w:bidi="ar-SA"/>
        </w:rPr>
        <w:t xml:space="preserve">، فتحمل على التقيّة كما يظهر منها </w:t>
      </w:r>
      <w:r>
        <w:rPr>
          <w:rStyle w:val="FootnoteAnchor"/>
          <w:rtl w:val="true"/>
        </w:rPr>
        <w:footnoteReference w:id="85"/>
      </w:r>
      <w:r>
        <w:rPr>
          <w:rFonts w:ascii="Amiri" w:hAnsi="Amiri" w:eastAsia="Amiri" w:cs="Amiri"/>
          <w:color w:val="111111"/>
          <w:sz w:val="28"/>
          <w:sz w:val="28"/>
          <w:szCs w:val="28"/>
          <w:rtl w:val="true"/>
          <w:lang w:bidi="ar-SA"/>
        </w:rPr>
        <w:t xml:space="preserve">، أو الكراهة </w:t>
      </w:r>
      <w:r>
        <w:rPr>
          <w:rStyle w:val="FootnoteAnchor"/>
          <w:rtl w:val="true"/>
        </w:rPr>
        <w:footnoteReference w:id="86"/>
      </w:r>
      <w:r>
        <w:rPr>
          <w:rFonts w:ascii="IRNazanin" w:hAnsi="IRNazanin" w:eastAsia="IRNazanin"/>
          <w:color w:val="111111"/>
          <w:sz w:val="28"/>
          <w:sz w:val="28"/>
          <w:szCs w:val="28"/>
          <w:rtl w:val="true"/>
          <w:lang w:bidi="fa-IR"/>
        </w:rPr>
        <w:t xml:space="preserve">أو حال وجوبها </w:t>
      </w:r>
      <w:r>
        <w:rPr>
          <w:rStyle w:val="FootnoteAnchor"/>
          <w:rtl w:val="true"/>
        </w:rPr>
        <w:footnoteReference w:id="87"/>
      </w:r>
      <w:r>
        <w:rPr>
          <w:rStyle w:val="FootnoteAnchor"/>
          <w:rtl w:val="true"/>
        </w:rPr>
        <w:footnoteReference w:id="88"/>
      </w:r>
      <w:r>
        <w:rPr>
          <w:rFonts w:ascii="Amiri" w:hAnsi="Amiri" w:eastAsia="Amiri" w:cs="Amiri"/>
          <w:color w:val="111111"/>
          <w:sz w:val="28"/>
          <w:sz w:val="28"/>
          <w:szCs w:val="28"/>
          <w:rtl w:val="true"/>
          <w:lang w:bidi="ar-SA"/>
        </w:rPr>
        <w:t xml:space="preserve">وأما كتابته فسيجيء الكلام فيها بحول اللّٰه تعالى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5284846_2320776876"/>
      <w:bookmarkStart w:id="107" w:name="_Toc34"/>
      <w:bookmarkEnd w:id="106"/>
      <w:r>
        <w:rPr>
          <w:rtl w:val="true"/>
        </w:rPr>
        <w:t>تعشیر المصحف</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وتعشير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 السواد مطلقاً، للأخبار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تذهيب الأجزاء ، والأنصاف ، والأحزاب ، والجداول ، ونحوها ، بالتعشير ؛ غير بعيد </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5284848_2320776876"/>
      <w:bookmarkStart w:id="109" w:name="_Toc35"/>
      <w:bookmarkEnd w:id="108"/>
      <w:r>
        <w:rPr>
          <w:rtl w:val="true"/>
        </w:rPr>
        <w:t>الصیاغة</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لأنّ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يعالج غبن أمتي</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ولا بدّ هنا من ذكر ما أفاده المحدّث البحراني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يتعلّق بضبط متن الحديث وتفسيره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غبن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يفسد عليهم الدينار والدرهم ، فيكون منشأ الكراهة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يلهيهم بذلك عن الآخرة ، فيكون ذلك وجه الكراهة في 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مشايخنا في حواشيه على التهذيب أنه بالمهملة بخط الشيخ رحمه اللّٰه وأنه كتب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الطبع والختم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علىٰ قلوبهم حبّ الدنيا بحيث لا يستطيعون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شيخنا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النسخ بالزاي ، كما في العلل ، وهو أنسب انتهى</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0243_272020"/>
    </w:p>
    <w:p>
      <w:pPr>
        <w:pStyle w:val="Heading2"/>
        <w:numPr>
          <w:ilvl w:val="1"/>
          <w:numId w:val="1"/>
        </w:numPr>
        <w:rPr/>
      </w:pPr>
      <w:bookmarkStart w:id="111" w:name="__RefHeading___Toc5284850_2320776876"/>
      <w:bookmarkStart w:id="112" w:name="_Toc36"/>
      <w:bookmarkEnd w:id="110"/>
      <w:bookmarkEnd w:id="111"/>
      <w:r>
        <w:rPr>
          <w:rtl w:val="true"/>
        </w:rPr>
        <w:t>القصابة</w:t>
      </w:r>
      <w:bookmarkEnd w:id="1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على النحر أو الذبح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القصّاب يذبح حتى تذهب الرحمة من قلبه</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فترجع إلى ما مرّ إلا بتكلف </w:t>
      </w:r>
      <w:r>
        <w:rPr>
          <w:rStyle w:val="FootnoteAnchor"/>
          <w:rtl w:val="true"/>
        </w:rPr>
        <w:footnoteReference w:id="92"/>
      </w:r>
      <w:r>
        <w:rPr>
          <w:rFonts w:ascii="Amiri" w:hAnsi="Amiri" w:eastAsia="Amiri" w:cs="Amiri"/>
          <w:color w:val="111111"/>
          <w:sz w:val="28"/>
          <w:sz w:val="28"/>
          <w:szCs w:val="28"/>
          <w:rtl w:val="true"/>
          <w:lang w:bidi="ar-SA"/>
        </w:rPr>
        <w:t>والأقوى أن كراهة هذه الصنائع لا تعادل كراهة ترك الاكتساب</w:t>
      </w:r>
      <w:r>
        <w:rPr>
          <w:rStyle w:val="FootnoteAnchor"/>
          <w:rtl w:val="true"/>
        </w:rPr>
        <w:footnoteReference w:id="93"/>
      </w:r>
      <w:bookmarkStart w:id="113" w:name="pg20243_272021"/>
    </w:p>
    <w:p>
      <w:pPr>
        <w:pStyle w:val="Heading2"/>
        <w:numPr>
          <w:ilvl w:val="1"/>
          <w:numId w:val="1"/>
        </w:numPr>
        <w:rPr/>
      </w:pPr>
      <w:bookmarkStart w:id="114" w:name="__RefHeading___Toc5284852_2320776876"/>
      <w:bookmarkStart w:id="115" w:name="_Toc37"/>
      <w:bookmarkEnd w:id="113"/>
      <w:bookmarkEnd w:id="114"/>
      <w:r>
        <w:rPr>
          <w:rtl w:val="true"/>
        </w:rPr>
        <w:t>رکوب البحر</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المكروه وإنْ لم يكن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ذي الماء المالح ، أو مطلق الماء الكثير ، وهو المعنىٰ الثاني له </w:t>
      </w:r>
      <w:r>
        <w:rPr>
          <w:rStyle w:val="FootnoteAnchor"/>
          <w:rtl w:val="true"/>
        </w:rPr>
        <w:footnoteReference w:id="94"/>
      </w:r>
      <w:r>
        <w:rPr>
          <w:rFonts w:ascii="Amiri" w:hAnsi="Amiri" w:eastAsia="Amiri" w:cs="Amiri"/>
          <w:color w:val="111111"/>
          <w:sz w:val="28"/>
          <w:sz w:val="28"/>
          <w:szCs w:val="28"/>
          <w:rtl w:val="true"/>
          <w:lang w:bidi="ar-SA"/>
        </w:rPr>
        <w:t xml:space="preserve">، والمراد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للتجارة </w:t>
      </w:r>
      <w:r>
        <w:rPr>
          <w:rStyle w:val="FootnoteAnchor"/>
          <w:rtl w:val="true"/>
        </w:rPr>
        <w:footnoteReference w:id="95"/>
      </w:r>
      <w:r>
        <w:rPr>
          <w:rFonts w:ascii="Amiri" w:hAnsi="Amiri" w:eastAsia="Amiri" w:cs="Amiri"/>
          <w:color w:val="111111"/>
          <w:sz w:val="28"/>
          <w:sz w:val="28"/>
          <w:szCs w:val="28"/>
          <w:rtl w:val="true"/>
          <w:lang w:bidi="ar-SA"/>
        </w:rPr>
        <w:t xml:space="preserve">أو لشيء من أغراض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ظنّ السلامة ، وإِلّا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كراهة ركوبه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5284854_2320776876"/>
      <w:bookmarkStart w:id="117" w:name="_Toc38"/>
      <w:bookmarkEnd w:id="116"/>
      <w:r>
        <w:rPr>
          <w:rtl w:val="true"/>
        </w:rPr>
        <w:t>خصاء الحیوان</w:t>
      </w:r>
      <w:bookmarkEnd w:id="1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وخصاء الحيوان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بأيّ نحو كان </w:t>
      </w:r>
      <w:r>
        <w:rPr>
          <w:rStyle w:val="FootnoteAnchor"/>
          <w:rtl w:val="true"/>
        </w:rPr>
        <w:footnoteReference w:id="98"/>
      </w:r>
      <w:r>
        <w:rPr>
          <w:rFonts w:ascii="Amiri" w:hAnsi="Amiri" w:eastAsia="Amiri" w:cs="Amiri"/>
          <w:color w:val="111111"/>
          <w:sz w:val="28"/>
          <w:sz w:val="28"/>
          <w:szCs w:val="28"/>
          <w:rtl w:val="true"/>
          <w:lang w:bidi="ar-SA"/>
        </w:rPr>
        <w:t xml:space="preserve">؛ لكراهة 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الإنسان فحرمته غنيّة عن البيان </w:t>
      </w:r>
      <w:r>
        <w:rPr>
          <w:rFonts w:eastAsia="Amiri" w:cs="Amiri" w:ascii="Amiri" w:hAnsi="Amiri"/>
          <w:color w:val="111111"/>
          <w:sz w:val="28"/>
          <w:szCs w:val="28"/>
          <w:rtl w:val="true"/>
          <w:lang w:bidi="ar-SA"/>
        </w:rPr>
        <w:t xml:space="preserve">. </w:t>
      </w:r>
      <w:bookmarkStart w:id="118" w:name="pg20243_272022"/>
    </w:p>
    <w:p>
      <w:pPr>
        <w:pStyle w:val="Heading2"/>
        <w:numPr>
          <w:ilvl w:val="1"/>
          <w:numId w:val="1"/>
        </w:numPr>
        <w:rPr/>
      </w:pPr>
      <w:bookmarkStart w:id="119" w:name="__RefHeading___Toc5284856_2320776876"/>
      <w:bookmarkStart w:id="120" w:name="_Toc39"/>
      <w:bookmarkEnd w:id="118"/>
      <w:bookmarkEnd w:id="119"/>
      <w:r>
        <w:rPr>
          <w:rtl w:val="true"/>
        </w:rPr>
        <w:t>معاملة الظالمین</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ومعاملة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لظلمهم </w:t>
      </w:r>
      <w:r>
        <w:rPr>
          <w:rStyle w:val="FootnoteAnchor"/>
          <w:rtl w:val="true"/>
        </w:rPr>
        <w:footnoteReference w:id="100"/>
      </w:r>
      <w:r>
        <w:rPr>
          <w:rFonts w:ascii="IRNazanin" w:hAnsi="IRNazanin" w:eastAsia="IRNazanin"/>
          <w:color w:val="111111"/>
          <w:sz w:val="28"/>
          <w:sz w:val="28"/>
          <w:szCs w:val="28"/>
          <w:rtl w:val="true"/>
          <w:lang w:bidi="fa-IR"/>
        </w:rPr>
        <w:t xml:space="preserve">، أو لحصول الشبهة في أموالهم ،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 xml:space="preserve">» </w:t>
      </w:r>
      <w:r>
        <w:rPr>
          <w:rStyle w:val="FootnoteAnchor"/>
          <w:rtl w:val="true"/>
        </w:rPr>
        <w:footnoteReference w:id="101"/>
      </w:r>
    </w:p>
    <w:p>
      <w:pPr>
        <w:pStyle w:val="Heading2"/>
        <w:numPr>
          <w:ilvl w:val="1"/>
          <w:numId w:val="1"/>
        </w:numPr>
        <w:rPr/>
      </w:pPr>
      <w:bookmarkStart w:id="121" w:name="__RefHeading___Toc5284858_2320776876"/>
      <w:bookmarkStart w:id="122" w:name="_Toc40"/>
      <w:bookmarkEnd w:id="121"/>
      <w:r>
        <w:rPr>
          <w:rtl w:val="true"/>
        </w:rPr>
        <w:t>معاملة السفلة و الأدنین</w:t>
      </w:r>
      <w:bookmarkEnd w:id="1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والسَفَلَة والأدنين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يحاسبون على الشيء الدون ، أو مَنْ لا يسرّه الإحسان ولا تسوؤه الإساءَة، أو مَنْ لا يبالي بما قال ولا ما قيل له </w:t>
      </w:r>
      <w:r>
        <w:rPr>
          <w:rStyle w:val="FootnoteAnchor"/>
          <w:rtl w:val="true"/>
        </w:rPr>
        <w:footnoteReference w:id="103"/>
      </w:r>
      <w:r>
        <w:rPr>
          <w:rFonts w:ascii="Amiri" w:hAnsi="Amiri" w:eastAsia="Amiri" w:cs="Amiri"/>
          <w:color w:val="111111"/>
          <w:sz w:val="28"/>
          <w:sz w:val="28"/>
          <w:szCs w:val="28"/>
          <w:rtl w:val="true"/>
          <w:lang w:bidi="ar-SA"/>
        </w:rPr>
        <w:t xml:space="preserve">وفى الفقيه نسبة التفاسير الثلاثة إلى الأخبار </w:t>
      </w:r>
      <w:r>
        <w:rPr>
          <w:rStyle w:val="FootnoteAnchor"/>
          <w:rtl w:val="true"/>
        </w:rPr>
        <w:footnoteReference w:id="104"/>
      </w:r>
      <w:r>
        <w:rPr>
          <w:rFonts w:ascii="Amiri" w:hAnsi="Amiri" w:eastAsia="Amiri" w:cs="Amiri"/>
          <w:color w:val="111111"/>
          <w:sz w:val="28"/>
          <w:sz w:val="28"/>
          <w:szCs w:val="28"/>
          <w:rtl w:val="true"/>
          <w:lang w:bidi="ar-SA"/>
        </w:rPr>
        <w:t xml:space="preserve">، فالعمل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ومخالطة السَفَلة ، فإنّ السَفَلَة لا يؤول إلى خير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يبارَك لهم</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معاملة أرباب </w:t>
      </w:r>
      <w:bookmarkStart w:id="123" w:name="pg20243_272023"/>
    </w:p>
    <w:p>
      <w:pPr>
        <w:pStyle w:val="BookText"/>
        <w:rPr/>
      </w:pPr>
      <w:bookmarkEnd w:id="123"/>
      <w:r>
        <w:rPr>
          <w:rFonts w:ascii="Amiri" w:hAnsi="Amiri" w:eastAsia="Amiri" w:cs="Amiri"/>
          <w:color w:val="111111"/>
          <w:sz w:val="28"/>
          <w:sz w:val="28"/>
          <w:szCs w:val="28"/>
          <w:rtl w:val="true"/>
          <w:lang w:bidi="ar-SA"/>
        </w:rPr>
        <w:t xml:space="preserve">الحظوظ تزيد في الحظ </w:t>
      </w:r>
      <w:r>
        <w:rPr>
          <w:rStyle w:val="FootnoteAnchor"/>
          <w:rtl w:val="true"/>
        </w:rPr>
        <w:footnoteReference w:id="107"/>
      </w:r>
    </w:p>
    <w:p>
      <w:pPr>
        <w:pStyle w:val="Heading2"/>
        <w:numPr>
          <w:ilvl w:val="1"/>
          <w:numId w:val="1"/>
        </w:numPr>
        <w:rPr/>
      </w:pPr>
      <w:bookmarkStart w:id="124" w:name="__RefHeading___Toc5284860_2320776876"/>
      <w:bookmarkStart w:id="125" w:name="_Toc41"/>
      <w:bookmarkEnd w:id="124"/>
      <w:r>
        <w:rPr>
          <w:rtl w:val="true"/>
        </w:rPr>
        <w:t>معاملة ذوی العاهات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وذوى العاهات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للنهى عن معاملتهم </w:t>
      </w:r>
      <w:r>
        <w:rPr>
          <w:rStyle w:val="FootnoteAnchor"/>
          <w:rtl w:val="true"/>
        </w:rPr>
        <w:footnoteReference w:id="109"/>
      </w:r>
    </w:p>
    <w:p>
      <w:pPr>
        <w:pStyle w:val="Heading2"/>
        <w:numPr>
          <w:ilvl w:val="1"/>
          <w:numId w:val="1"/>
        </w:numPr>
        <w:rPr/>
      </w:pPr>
      <w:bookmarkStart w:id="126" w:name="__RefHeading___Toc5284862_2320776876"/>
      <w:bookmarkStart w:id="127" w:name="_Toc42"/>
      <w:bookmarkEnd w:id="126"/>
      <w:r>
        <w:rPr>
          <w:rtl w:val="true"/>
        </w:rPr>
        <w:t>معاملة الأکراد</w:t>
      </w:r>
      <w:bookmarkEnd w:id="1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 جدُّهم كرد بن عمرو </w:t>
      </w:r>
      <w:r>
        <w:rPr>
          <w:rStyle w:val="FootnoteAnchor"/>
          <w:rtl w:val="true"/>
        </w:rPr>
        <w:footnoteReference w:id="110"/>
      </w:r>
      <w:r>
        <w:rPr>
          <w:rFonts w:ascii="Amiri" w:hAnsi="Amiri" w:eastAsia="Amiri" w:cs="Amiri"/>
          <w:color w:val="111111"/>
          <w:sz w:val="28"/>
          <w:sz w:val="28"/>
          <w:szCs w:val="28"/>
          <w:rtl w:val="true"/>
          <w:lang w:bidi="ar-SA"/>
        </w:rPr>
        <w:t xml:space="preserve">، والمدار في معرفتهم على صدق الاسم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ومجالستهم ، ومناكحتهم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ومخالطتهم </w:t>
      </w:r>
      <w:r>
        <w:rPr>
          <w:rStyle w:val="FootnoteAnchor"/>
          <w:rtl w:val="true"/>
        </w:rPr>
        <w:footnoteReference w:id="111"/>
      </w:r>
      <w:r>
        <w:rPr>
          <w:rFonts w:ascii="Amiri" w:hAnsi="Amiri" w:eastAsia="Amiri" w:cs="Amiri"/>
          <w:color w:val="111111"/>
          <w:sz w:val="28"/>
          <w:sz w:val="28"/>
          <w:szCs w:val="28"/>
          <w:rtl w:val="true"/>
          <w:lang w:bidi="ar-SA"/>
        </w:rPr>
        <w:t xml:space="preserve">،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الجنّ كشف اللّٰه عنهم الغطاء فلا تخالطوهم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البعد عن أهل الضلال بعدٌ عن الركون إليهم ، وفي </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بمجوسي ولو بأخذ قوائم شاتك</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وكراهة الاكتساب بمجرّدها لا تستلزم كراهة الأعواض ، دون العكس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العوضين 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الأدلّة ما يعطي كراهة الانتفاع باُجرة الحجّام في غير مصرف حيوان</w:t>
      </w:r>
      <w:r>
        <w:rPr>
          <w:rStyle w:val="FootnoteAnchor"/>
          <w:rtl w:val="true"/>
        </w:rPr>
        <w:footnoteReference w:id="115"/>
      </w:r>
      <w:r>
        <w:rPr>
          <w:rFonts w:ascii="IRNazanin" w:hAnsi="IRNazanin" w:eastAsia="IRNazanin"/>
          <w:color w:val="111111"/>
          <w:sz w:val="28"/>
          <w:sz w:val="28"/>
          <w:szCs w:val="28"/>
          <w:rtl w:val="true"/>
          <w:lang w:bidi="fa-IR"/>
        </w:rPr>
        <w:t>أو عبد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المكروه ما سيجيء في الآداب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ومحظور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وجه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العمل أو الاستعمال ، أو في قصد بعض الجهات والأحوال ، أو في المعاملة عليه بمال أو بغير مال ، أو ما تركّب من المذكورات ، أو كسب اشتمل </w:t>
      </w:r>
      <w:r>
        <w:rPr>
          <w:rStyle w:val="FootnoteAnchor"/>
          <w:rtl w:val="true"/>
        </w:rPr>
        <w:footnoteReference w:id="117"/>
      </w:r>
      <w:r>
        <w:rPr>
          <w:rFonts w:ascii="Amiri" w:hAnsi="Amiri" w:eastAsia="Amiri" w:cs="Amiri"/>
          <w:color w:val="111111"/>
          <w:sz w:val="28"/>
          <w:sz w:val="28"/>
          <w:szCs w:val="28"/>
          <w:rtl w:val="true"/>
          <w:lang w:bidi="ar-SA"/>
        </w:rPr>
        <w:t xml:space="preserve">؛ فيغني عن التقسيمات </w:t>
      </w:r>
      <w:r>
        <w:rPr>
          <w:rStyle w:val="FootnoteAnchor"/>
          <w:rtl w:val="true"/>
        </w:rPr>
        <w:footnoteReference w:id="118"/>
      </w:r>
      <w:r>
        <w:rPr>
          <w:rFonts w:ascii="Amiri" w:hAnsi="Amiri" w:eastAsia="Amiri" w:cs="Amiri"/>
          <w:color w:val="111111"/>
          <w:sz w:val="28"/>
          <w:sz w:val="28"/>
          <w:szCs w:val="28"/>
          <w:rtl w:val="true"/>
          <w:lang w:bidi="ar-SA"/>
        </w:rPr>
        <w:t xml:space="preserve">، سواء كان ممّا يهتدي إليه العقل بنفسه ، أو بإرشاد الشرع </w:t>
      </w:r>
      <w:bookmarkStart w:id="128" w:name="pg20243_272025"/>
    </w:p>
    <w:p>
      <w:pPr>
        <w:pStyle w:val="BookText"/>
        <w:rPr/>
      </w:pPr>
      <w:bookmarkEnd w:id="128"/>
      <w:r>
        <w:rPr>
          <w:rFonts w:ascii="Amiri" w:hAnsi="Amiri" w:eastAsia="Amiri" w:cs="Amiri"/>
          <w:color w:val="111111"/>
          <w:sz w:val="28"/>
          <w:sz w:val="28"/>
          <w:szCs w:val="28"/>
          <w:rtl w:val="true"/>
          <w:lang w:bidi="ar-SA"/>
        </w:rPr>
        <w:t xml:space="preserve">إليه </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Heading2"/>
        <w:numPr>
          <w:ilvl w:val="1"/>
          <w:numId w:val="1"/>
        </w:numPr>
        <w:rPr/>
      </w:pPr>
      <w:bookmarkStart w:id="129" w:name="__RefHeading___Toc5284864_2320776876"/>
      <w:bookmarkStart w:id="130" w:name="_Toc43"/>
      <w:bookmarkEnd w:id="129"/>
      <w:r>
        <w:rPr>
          <w:rtl w:val="true"/>
        </w:rPr>
        <w:t>الأوّل کل نجس لا یقبل التطهیر</w:t>
      </w:r>
      <w:bookmarkEnd w:id="1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نجس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أو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للثاني حقيقةً </w:t>
      </w:r>
      <w:r>
        <w:rPr>
          <w:rStyle w:val="FootnoteAnchor"/>
          <w:rtl w:val="true"/>
        </w:rPr>
        <w:footnoteReference w:id="121"/>
      </w:r>
      <w:r>
        <w:rPr>
          <w:rFonts w:ascii="IRNazanin" w:hAnsi="IRNazanin" w:eastAsia="IRNazanin"/>
          <w:color w:val="111111"/>
          <w:sz w:val="28"/>
          <w:sz w:val="28"/>
          <w:szCs w:val="28"/>
          <w:rtl w:val="true"/>
          <w:lang w:bidi="fa-IR"/>
        </w:rPr>
        <w:t xml:space="preserve">أو بنحو من المجاز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 التطهير بغير الاستحالة أو الانتقال </w:t>
      </w:r>
      <w:r>
        <w:rPr>
          <w:rStyle w:val="FootnoteAnchor"/>
          <w:rtl w:val="true"/>
        </w:rPr>
        <w:footnoteReference w:id="123"/>
      </w:r>
      <w:r>
        <w:rPr>
          <w:rFonts w:ascii="Amiri" w:hAnsi="Amiri" w:eastAsia="Amiri" w:cs="Amiri"/>
          <w:color w:val="111111"/>
          <w:sz w:val="28"/>
          <w:sz w:val="28"/>
          <w:szCs w:val="28"/>
          <w:rtl w:val="true"/>
          <w:lang w:bidi="ar-SA"/>
        </w:rPr>
        <w:t xml:space="preserve">، كالإسلام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المرتدّ الفطري على أصح القولين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بالنقص ، أو بالاتصال ، أو غيرها ؛ لم يدخل في المنع انتفاعاً </w:t>
      </w:r>
    </w:p>
    <w:p>
      <w:pPr>
        <w:pStyle w:val="BookText"/>
        <w:rPr/>
      </w:pPr>
      <w:r>
        <w:rPr>
          <w:rFonts w:ascii="Amiri" w:hAnsi="Amiri" w:eastAsia="Amiri" w:cs="Amiri"/>
          <w:color w:val="111111"/>
          <w:sz w:val="28"/>
          <w:sz w:val="28"/>
          <w:szCs w:val="28"/>
          <w:rtl w:val="true"/>
          <w:lang w:bidi="ar-SA"/>
        </w:rPr>
        <w:t xml:space="preserve">ولا اكتساباً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كان من المائعات يقبل ظاهره التطهير مع الجمود ، ولا تمسّ الحاجة إلى باطنه في المنفعة الغالبة ، كالفضّة والذهب والزجاج ونحوها ، بخلاف الصابون ونحوه ، أو مع قابليته لها ظهراً وبطناً لنفوذ الماء فيه من غير انقلاب ، كالعجين في وجه </w:t>
      </w:r>
      <w:r>
        <w:rPr>
          <w:rStyle w:val="FootnoteAnchor"/>
          <w:rtl w:val="true"/>
        </w:rPr>
        <w:footnoteReference w:id="125"/>
      </w:r>
      <w:r>
        <w:rPr>
          <w:rFonts w:ascii="Amiri" w:hAnsi="Amiri" w:eastAsia="Amiri" w:cs="Amiri"/>
          <w:color w:val="111111"/>
          <w:sz w:val="28"/>
          <w:sz w:val="28"/>
          <w:szCs w:val="28"/>
          <w:rtl w:val="true"/>
          <w:lang w:bidi="ar-SA"/>
        </w:rPr>
        <w:t xml:space="preserve">والطين ونحوهما، بخلاف الدهن والدبس 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منع من التكسّب بالصفات </w:t>
      </w:r>
      <w:r>
        <w:rPr>
          <w:rStyle w:val="FootnoteAnchor"/>
          <w:rtl w:val="true"/>
        </w:rPr>
        <w:footnoteReference w:id="1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الانتفاع بالأعيان النجسة والمتنجسة في غير ما ورد النصّ بمنعه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كالميتة النجسة </w:t>
      </w:r>
      <w:r>
        <w:rPr>
          <w:rStyle w:val="FootnoteAnchor"/>
          <w:rtl w:val="true"/>
        </w:rPr>
        <w:footnoteReference w:id="127"/>
      </w:r>
      <w:r>
        <w:rPr>
          <w:rFonts w:ascii="Amiri" w:hAnsi="Amiri" w:eastAsia="Amiri" w:cs="Amiri"/>
          <w:color w:val="111111"/>
          <w:sz w:val="28"/>
          <w:sz w:val="28"/>
          <w:szCs w:val="28"/>
          <w:rtl w:val="true"/>
          <w:lang w:bidi="ar-SA"/>
        </w:rPr>
        <w:t xml:space="preserve">التي لا يجوز الانتفاع بها فيما يعدّ استعمالاً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w:t>
      </w:r>
      <w:r>
        <w:rPr>
          <w:rStyle w:val="FootnoteAnchor"/>
          <w:rtl w:val="true"/>
        </w:rPr>
        <w:footnoteReference w:id="129"/>
      </w:r>
      <w:r>
        <w:rPr>
          <w:rFonts w:ascii="IRNazanin" w:hAnsi="IRNazanin" w:eastAsia="IRNazanin"/>
          <w:color w:val="111111"/>
          <w:sz w:val="28"/>
          <w:sz w:val="28"/>
          <w:szCs w:val="28"/>
          <w:rtl w:val="true"/>
          <w:lang w:bidi="fa-IR"/>
        </w:rPr>
        <w:t xml:space="preserve">، والإجماع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الاستصباح بالدهن المتنجس تحت </w:t>
      </w:r>
    </w:p>
    <w:p>
      <w:pPr>
        <w:pStyle w:val="BookText"/>
        <w:rPr/>
      </w:pPr>
      <w:r>
        <w:rPr>
          <w:rFonts w:ascii="Amiri" w:hAnsi="Amiri" w:eastAsia="Amiri" w:cs="Amiri"/>
          <w:color w:val="111111"/>
          <w:sz w:val="28"/>
          <w:sz w:val="28"/>
          <w:szCs w:val="28"/>
          <w:rtl w:val="true"/>
          <w:lang w:bidi="ar-SA"/>
        </w:rPr>
        <w:t xml:space="preserve">الظلال سيجيء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منع الانتفاع بالنجس والمتنجس </w:t>
      </w:r>
      <w:r>
        <w:rPr>
          <w:rStyle w:val="FootnoteAnchor"/>
          <w:rtl w:val="true"/>
        </w:rPr>
        <w:footnoteReference w:id="131"/>
      </w:r>
      <w:r>
        <w:rPr>
          <w:rFonts w:ascii="Amiri" w:hAnsi="Amiri" w:eastAsia="Amiri" w:cs="Amiri"/>
          <w:color w:val="111111"/>
          <w:sz w:val="28"/>
          <w:sz w:val="28"/>
          <w:szCs w:val="28"/>
          <w:rtl w:val="true"/>
          <w:lang w:bidi="ar-SA"/>
        </w:rPr>
        <w:t xml:space="preserve">مخصوص أو منزّل على الانتفاع الدالّ علىٰ عدم الاكتراث بالدين، وعدم المبالاة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استعمله ليغسله فغير مشمول للأدلّة ، ويبقىٰ علىٰ حكم الأصل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يتعلّق بما لا يقبل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عدا بعض أقسام الكلب ، وبعض أفراد الدهن ، الآتي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مطلقاً ، ولا بالأعيان منها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النجس بالعارض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الملك لا ينافي ثبوت الاختصاص فيما له مدفوع بالتحقيق الدقيق الرائع الذي قام به الشيخ الأنصاري أعلى اللّٰه مقامه في المسألة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تحقيقه المذكور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للإحاطة بما ذكرنا اختار بعض الأساطين في شرحه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 جواز الانتفاع بالنجس كالمتنجس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ساق عبارة الشارح هنا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وبالإحاطة بكلامه وفهم مراده تتضح عظمته وعظمة الشارح ونيلهما مقاصد الفقهاء المتقدّمين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منفعة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شيء من المال لافتكاكه ؛ يُشَكُ في دخوله تحت الاكتساب المحظور ، فيبقى على أصل الجواز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المكاسب وأعواضها متساوية في المنع ، لما مرَّ </w:t>
      </w:r>
      <w:r>
        <w:rPr>
          <w:rStyle w:val="FootnoteAnchor"/>
          <w:rtl w:val="true"/>
        </w:rPr>
        <w:footnoteReference w:id="134"/>
      </w:r>
      <w:r>
        <w:rPr>
          <w:rFonts w:ascii="IRNazanin" w:hAnsi="IRNazanin" w:eastAsia="IRNazanin"/>
          <w:color w:val="111111"/>
          <w:sz w:val="28"/>
          <w:sz w:val="28"/>
          <w:szCs w:val="28"/>
          <w:rtl w:val="true"/>
          <w:lang w:bidi="fa-IR"/>
        </w:rPr>
        <w:t xml:space="preserve">، ولما دلّ من الأخبار على تحريم أعواض الحرام ، كما رواه ابن عباس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شيئاً حرّم ثمنه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ونحوه، ولما نقل من الإجماع </w:t>
      </w:r>
      <w:r>
        <w:rPr>
          <w:rStyle w:val="FootnoteAnchor"/>
          <w:rtl w:val="true"/>
        </w:rPr>
        <w:footnoteReference w:id="1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w:t>
      </w:r>
      <w:r>
        <w:rPr>
          <w:rStyle w:val="FootnoteAnchor"/>
          <w:rtl w:val="true"/>
        </w:rPr>
        <w:footnoteReference w:id="137"/>
      </w:r>
      <w:r>
        <w:rPr>
          <w:rFonts w:ascii="IRNazanin" w:hAnsi="IRNazanin" w:eastAsia="IRNazanin"/>
          <w:color w:val="111111"/>
          <w:sz w:val="28"/>
          <w:sz w:val="28"/>
          <w:szCs w:val="28"/>
          <w:rtl w:val="true"/>
          <w:lang w:bidi="fa-IR"/>
        </w:rPr>
        <w:t>في تحريم أعواض أمور مخصوصة كالخمر ونحوه ، مع القطع بإلغاء الخصوصية فيها ، كإلغائها في خصوص البيع في مثل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اليهود حُرّمت عليهم الشحوم فباعوها</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والنهي في باب الاكتساب يتعلّق بالصيغة مع قصد النقل ، وبه ولومع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كان النقل المقصود أو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وبالانتفاع بالأعواض ، كما </w:t>
      </w:r>
    </w:p>
    <w:p>
      <w:pPr>
        <w:pStyle w:val="BookText"/>
        <w:rPr/>
      </w:pPr>
      <w:r>
        <w:rPr>
          <w:rFonts w:ascii="Amiri" w:hAnsi="Amiri" w:eastAsia="Amiri" w:cs="Amiri"/>
          <w:color w:val="111111"/>
          <w:sz w:val="28"/>
          <w:sz w:val="28"/>
          <w:szCs w:val="28"/>
          <w:rtl w:val="true"/>
          <w:lang w:bidi="ar-SA"/>
        </w:rPr>
        <w:t xml:space="preserve">يظهر من الروايات </w:t>
      </w:r>
      <w:r>
        <w:rPr>
          <w:rStyle w:val="FootnoteAnchor"/>
          <w:rtl w:val="true"/>
        </w:rPr>
        <w:footnoteReference w:id="139"/>
      </w:r>
      <w:r>
        <w:rPr>
          <w:rFonts w:ascii="IRNazanin" w:hAnsi="IRNazanin" w:eastAsia="IRNazanin"/>
          <w:color w:val="111111"/>
          <w:sz w:val="28"/>
          <w:sz w:val="28"/>
          <w:szCs w:val="28"/>
          <w:rtl w:val="true"/>
          <w:lang w:bidi="fa-IR"/>
        </w:rPr>
        <w:t xml:space="preserve">ومنقول الإجماعات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المعاملة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بالملازمة العقلية بينه وبين النهي عنها ، ولا بالدلالة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لغوية ولا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من ظهور النهي في الإرشاد فيها ، أو من حال الناهي ، أو من الأصل مع منع شمول الأدلّة لها ، من الإجماع على حمل النهى على الفساد حكماً مطلقاً ، أو حيث يتوجّه إلى حقيقة المعاملة حيث لا دليل على خلافه أو إرادته حيث وقع النهي وإن لم يستعمل فيه على أحد النحوين السابقين ، أو ممّا دلّ على عدم الملك </w:t>
      </w:r>
      <w:r>
        <w:rPr>
          <w:rStyle w:val="FootnoteAnchor"/>
          <w:rtl w:val="true"/>
        </w:rPr>
        <w:footnoteReference w:id="142"/>
      </w:r>
      <w:r>
        <w:rPr>
          <w:rFonts w:ascii="Amiri" w:hAnsi="Amiri" w:eastAsia="Amiri" w:cs="Amiri"/>
          <w:color w:val="111111"/>
          <w:sz w:val="28"/>
          <w:sz w:val="28"/>
          <w:szCs w:val="28"/>
          <w:rtl w:val="true"/>
          <w:lang w:bidi="ar-SA"/>
        </w:rPr>
        <w:t xml:space="preserve">، أو ما دلّ على حرمة الأعواض </w:t>
      </w:r>
      <w:r>
        <w:rPr>
          <w:rStyle w:val="FootnoteAnchor"/>
          <w:rtl w:val="true"/>
        </w:rPr>
        <w:footnoteReference w:id="143"/>
      </w:r>
      <w:r>
        <w:rPr>
          <w:rStyle w:val="FootnoteAnchor"/>
          <w:rtl w:val="true"/>
        </w:rPr>
        <w:footnoteReference w:id="144"/>
      </w:r>
      <w:bookmarkStart w:id="131" w:name="pg20243_272032"/>
    </w:p>
    <w:p>
      <w:pPr>
        <w:pStyle w:val="Heading2"/>
        <w:numPr>
          <w:ilvl w:val="1"/>
          <w:numId w:val="1"/>
        </w:numPr>
        <w:rPr/>
      </w:pPr>
      <w:bookmarkStart w:id="132" w:name="__RefHeading___Toc5284866_2320776876"/>
      <w:bookmarkStart w:id="133" w:name="_Toc44"/>
      <w:bookmarkEnd w:id="131"/>
      <w:bookmarkEnd w:id="132"/>
      <w:r>
        <w:rPr>
          <w:rtl w:val="true"/>
        </w:rPr>
        <w:t>الخمر</w:t>
      </w:r>
      <w:bookmarkEnd w:id="133"/>
    </w:p>
    <w:p>
      <w:pPr>
        <w:pStyle w:val="BookText"/>
        <w:rPr/>
      </w:pPr>
      <w:r>
        <w:rPr>
          <w:rFonts w:ascii="Amiri" w:hAnsi="Amiri" w:eastAsia="Amiri" w:cs="Amiri"/>
          <w:color w:val="111111"/>
          <w:sz w:val="28"/>
          <w:sz w:val="28"/>
          <w:szCs w:val="28"/>
          <w:rtl w:val="true"/>
          <w:lang w:bidi="ar-SA"/>
        </w:rPr>
        <w:t xml:space="preserve">ثم حكم المنع جارٍ في كل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نجاسته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النجاسات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تَخْمُرُ العقل وتغمره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من العنب ، فيراد المثال ، أو الأعم منها ومن باقي المسكرات المائعات بالأصالة كالنقيع من الزبيب</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 والبِتَع من العسل ، والمِزْر والجِعَة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الشعير ، وغيرها ؛ ويكون من عطف الخاص على العام </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5284868_2320776876"/>
      <w:bookmarkStart w:id="135" w:name="_Toc45"/>
      <w:bookmarkEnd w:id="134"/>
      <w:r>
        <w:rPr>
          <w:rtl w:val="true"/>
        </w:rPr>
        <w:t>الفقّاع</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الشعير يساويها في الحكم وإن لم يساوها في السكر </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5284870_2320776876"/>
      <w:bookmarkStart w:id="137" w:name="_Toc46"/>
      <w:bookmarkEnd w:id="136"/>
      <w:r>
        <w:rPr>
          <w:rtl w:val="true"/>
        </w:rPr>
        <w:t>المیتة</w:t>
      </w:r>
      <w:bookmarkEnd w:id="1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نجس العين ، وأجزائها مطلقاً </w:t>
      </w:r>
      <w:r>
        <w:rPr>
          <w:rStyle w:val="FootnoteAnchor"/>
          <w:rtl w:val="true"/>
        </w:rPr>
        <w:footnoteReference w:id="146"/>
      </w:r>
      <w:r>
        <w:rPr>
          <w:rFonts w:ascii="Amiri" w:hAnsi="Amiri" w:eastAsia="Amiri" w:cs="Amiri"/>
          <w:color w:val="111111"/>
          <w:sz w:val="28"/>
          <w:sz w:val="28"/>
          <w:szCs w:val="28"/>
          <w:rtl w:val="true"/>
          <w:lang w:bidi="ar-SA"/>
        </w:rPr>
        <w:t xml:space="preserve">، ومن طاهر العين ذي </w:t>
      </w:r>
      <w:bookmarkStart w:id="138" w:name="pg20243_272033"/>
    </w:p>
    <w:p>
      <w:pPr>
        <w:pStyle w:val="BookText"/>
        <w:rPr/>
      </w:pPr>
      <w:bookmarkEnd w:id="138"/>
      <w:r>
        <w:rPr>
          <w:rFonts w:ascii="Amiri" w:hAnsi="Amiri" w:eastAsia="Amiri" w:cs="Amiri"/>
          <w:color w:val="111111"/>
          <w:sz w:val="28"/>
          <w:sz w:val="28"/>
          <w:szCs w:val="28"/>
          <w:rtl w:val="true"/>
          <w:lang w:bidi="ar-SA"/>
        </w:rPr>
        <w:t xml:space="preserve">النفس السائلة ، وأجزائها التي تحلّها الحياة دون ما لا تحلّه الحياة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ما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في أقسام النجاسة</w:t>
      </w:r>
    </w:p>
    <w:p>
      <w:pPr>
        <w:pStyle w:val="Heading2"/>
        <w:numPr>
          <w:ilvl w:val="1"/>
          <w:numId w:val="1"/>
        </w:numPr>
        <w:rPr/>
      </w:pPr>
      <w:bookmarkStart w:id="139" w:name="__RefHeading___Toc5284872_2320776876"/>
      <w:bookmarkStart w:id="140" w:name="_Toc47"/>
      <w:bookmarkEnd w:id="139"/>
      <w:r>
        <w:rPr>
          <w:rtl w:val="true"/>
        </w:rPr>
        <w:t>الدم</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تقييدهما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النجس منهما إنْ حصل فيه منع فلجهاتٍ أخر </w:t>
      </w:r>
      <w:r>
        <w:rPr>
          <w:rStyle w:val="FootnoteAnchor"/>
          <w:rtl w:val="true"/>
        </w:rPr>
        <w:footnoteReference w:id="148"/>
      </w:r>
    </w:p>
    <w:p>
      <w:pPr>
        <w:pStyle w:val="Heading2"/>
        <w:numPr>
          <w:ilvl w:val="1"/>
          <w:numId w:val="1"/>
        </w:numPr>
        <w:rPr/>
      </w:pPr>
      <w:bookmarkStart w:id="141" w:name="__RefHeading___Toc5284874_2320776876"/>
      <w:bookmarkStart w:id="142" w:name="_Toc48"/>
      <w:bookmarkEnd w:id="141"/>
      <w:r>
        <w:rPr>
          <w:rtl w:val="true"/>
        </w:rPr>
        <w:t>أبوال و أوراث ما لا یؤکل لحمه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خروجها بالأصل أو بالعارض ، من ذوات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وأرواثها</w:t>
      </w:r>
      <w:r>
        <w:rPr>
          <w:rFonts w:eastAsia="Amiri" w:cs="Amiri" w:ascii="Amiri" w:hAnsi="Amiri"/>
          <w:color w:val="111111"/>
          <w:sz w:val="28"/>
          <w:szCs w:val="28"/>
          <w:rtl w:val="true"/>
          <w:lang w:bidi="ar-SA"/>
        </w:rPr>
        <w:t>) .</w:t>
      </w:r>
    </w:p>
    <w:p>
      <w:pPr>
        <w:pStyle w:val="Heading2"/>
        <w:numPr>
          <w:ilvl w:val="1"/>
          <w:numId w:val="1"/>
        </w:numPr>
        <w:rPr/>
      </w:pPr>
      <w:bookmarkStart w:id="143" w:name="__RefHeading___Toc5284876_2320776876"/>
      <w:bookmarkStart w:id="144" w:name="_Toc49"/>
      <w:bookmarkEnd w:id="143"/>
      <w:r>
        <w:rPr>
          <w:rtl w:val="true"/>
        </w:rPr>
        <w:t>الکلب و الخنزیر</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سنذكره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وأجزائهما</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5284878_2320776876"/>
      <w:bookmarkStart w:id="146" w:name="_Toc50"/>
      <w:bookmarkEnd w:id="145"/>
      <w:r>
        <w:rPr>
          <w:rtl w:val="true"/>
        </w:rPr>
        <w:t>المائعات النجسة التی لا تقبل التطهیر</w:t>
      </w:r>
      <w:bookmarkEnd w:id="1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عرضية كالمائعات النجسة التي لا تقبل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استحالة ، أو استهلاك يشبهها </w:t>
      </w:r>
      <w:r>
        <w:rPr>
          <w:rFonts w:eastAsia="Amiri" w:cs="Amiri" w:ascii="Amiri" w:hAnsi="Amiri"/>
          <w:color w:val="111111"/>
          <w:sz w:val="28"/>
          <w:szCs w:val="28"/>
          <w:rtl w:val="true"/>
          <w:lang w:bidi="ar-SA"/>
        </w:rPr>
        <w:t>. *</w:t>
      </w:r>
      <w:r>
        <w:rPr>
          <w:rStyle w:val="FootnoteAnchor"/>
          <w:rtl w:val="true"/>
        </w:rPr>
        <w:footnoteReference w:id="150"/>
      </w:r>
      <w:r>
        <w:rPr>
          <w:rFonts w:ascii="Amiri" w:hAnsi="Amiri" w:eastAsia="Amiri" w:cs="Amiri"/>
          <w:color w:val="111111"/>
          <w:sz w:val="28"/>
          <w:sz w:val="28"/>
          <w:szCs w:val="28"/>
          <w:rtl w:val="true"/>
          <w:lang w:bidi="ar-SA"/>
        </w:rPr>
        <w:t xml:space="preserve">فإنّه لا يجوز المعاوضة عليها حال انفرادها وامتيازها ، ولا حال ، اختلاطها واشتباهها مع حصرها لا مع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في حقّه، </w:t>
      </w:r>
    </w:p>
    <w:p>
      <w:pPr>
        <w:pStyle w:val="BookText"/>
        <w:rPr/>
      </w:pPr>
      <w:r>
        <w:rPr>
          <w:rFonts w:ascii="Amiri" w:hAnsi="Amiri" w:eastAsia="Amiri" w:cs="Amiri"/>
          <w:color w:val="111111"/>
          <w:sz w:val="28"/>
          <w:sz w:val="28"/>
          <w:szCs w:val="28"/>
          <w:rtl w:val="true"/>
          <w:lang w:bidi="ar-SA"/>
        </w:rPr>
        <w:t xml:space="preserve">لمخالفته الناقل في الاجتهاد أو لتقليده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 الكافر ، مستحلاً أو لا، محترم المال أو لا ، لظاهر الكتاب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والآيات عدّة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التحريم بالأعيان يعمّ جميع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التكسب بها بالبيع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المنافع المقصودة كالأكل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دلّت علىٰ وجوب اجتناب كلّ رجس، وهو نجس العين ، ولا يتحقق الاجتناب عنها مع التصرف فيها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القذر ، كما عن الجوهري والقاموس ، بل هو المناسب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تفسير على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والمحكوم بنجاسته شرعاً خبيث قذر ، فيجب هجره بمقتضى الأمر الذي هو من التكاليف المشتركة دون الخواص، والتصرف بالتجارة والبيع والشراء خلاف الهجر المأمور به ، فيكون محرّماً</w:t>
      </w:r>
    </w:p>
    <w:p>
      <w:pPr>
        <w:pStyle w:val="BookText"/>
        <w:rPr/>
      </w:pPr>
      <w:r>
        <w:rPr>
          <w:rFonts w:ascii="Amiri" w:hAnsi="Amiri" w:eastAsia="Amiri" w:cs="Amiri"/>
          <w:color w:val="111111"/>
          <w:sz w:val="28"/>
          <w:sz w:val="28"/>
          <w:szCs w:val="28"/>
          <w:rtl w:val="true"/>
          <w:lang w:bidi="ar-SA"/>
        </w:rPr>
        <w:t>والسنّة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النبى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 اللّٰه اليهود حرّمت عليهم الشحوم فباعوها ، وقوله صلی اللّٰه علیه و آله إنّ اللّٰه إذا حرّم شيئاً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ذكر مصادرهما في الهامش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ابن شعبة في تحف العقول ، والسيد المرتضىٰ في رسالة المحكم والمتشابه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شيء من وجوه النجس ، فهذا كلّه حرام ومحرم ، لأنّ ذلك كلّه منهي عن أكله وشربه ولبسه وملكه وإمساكه والتقلّب فيه ، فجميع تقلّبه في ذلك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يكتسب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حرمة أعواض أمور مخصوصة ، وأنّها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 قال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الميتة ، وثمن الكلب ، وثمن الخمر ، ومهر البغي ، والرشوة في الحكم، وأجر الكاهن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التجارة 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يكتسب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 مأمور به ممّا هو منّ علىٰ العباد وقوام لهم في اُمورهم من وجوه الصلاح الذي لا يقيمهم غيره، وممّا يأكلون ويشربون ويلبسون وينكحون ويملكون ويستعملون ؛ فهذا كلّه حلال بيعه وشراؤه وهبته وعاريته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أمر يكون فيه الفساد ممّا قد نهى عنه من جهة أكله وشربه ولبسه ونكاحه وإمساكه لوجه الفساد ، مثل الميتة والدم ولحم الخنزير والربا وجميع الفواحش ولحوم السباع والخمر وما أشبه ذلك ؛ فحرام ضارّ للجسم وفساد للنفس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الشيعة كتاب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يكتسب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من البيوع كلّ ما هو حلال من المأكول والمشروب وغير ذلك ممّا هو قوام للناس وصلاح ، ومباح لهم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محرّماً أصله منهياً عنه ؛ لم يجز بيعه ولا شراؤه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يكتسب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والإجماعات المنقولة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وجه العموم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من الأخبار في جواز بيع المخلوط من الميتة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والمذكّى على المستحلّ </w:t>
      </w:r>
      <w:r>
        <w:rPr>
          <w:rStyle w:val="FootnoteAnchor"/>
          <w:rtl w:val="true"/>
        </w:rPr>
        <w:footnoteReference w:id="153"/>
      </w:r>
      <w:r>
        <w:rPr>
          <w:rFonts w:ascii="Amiri" w:hAnsi="Amiri" w:eastAsia="Amiri" w:cs="Amiri"/>
          <w:color w:val="111111"/>
          <w:sz w:val="28"/>
          <w:sz w:val="28"/>
          <w:szCs w:val="28"/>
          <w:rtl w:val="true"/>
          <w:lang w:bidi="ar-SA"/>
        </w:rPr>
        <w:t xml:space="preserve">محمول على التقيّة أو على 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يوجد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متروك مطروح ؛ لأنّه حيث اتضح من الأدلّة أنّ الكافر مكلّف بالفروع ، كان في بيعه إعانة علىٰ الإثم ، ومنافاة للنهي عن المنكر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العجين النجس من بيعه كذلك </w:t>
      </w:r>
      <w:r>
        <w:rPr>
          <w:rStyle w:val="FootnoteAnchor"/>
          <w:rtl w:val="true"/>
        </w:rPr>
        <w:footnoteReference w:id="155"/>
      </w:r>
      <w:r>
        <w:rPr>
          <w:rFonts w:ascii="Amiri" w:hAnsi="Amiri" w:eastAsia="Amiri" w:cs="Amiri"/>
          <w:color w:val="111111"/>
          <w:sz w:val="28"/>
          <w:sz w:val="28"/>
          <w:szCs w:val="28"/>
          <w:rtl w:val="true"/>
          <w:lang w:bidi="ar-SA"/>
        </w:rPr>
        <w:t xml:space="preserve">ففيه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بقابليته التطهير بعد الجفاف جاز بيعه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أمر بائع الخمر بالتصدّق بثمنه </w:t>
      </w:r>
      <w:r>
        <w:rPr>
          <w:rStyle w:val="FootnoteAnchor"/>
          <w:rtl w:val="true"/>
        </w:rPr>
        <w:footnoteReference w:id="156"/>
      </w:r>
      <w:r>
        <w:rPr>
          <w:rFonts w:ascii="Amiri" w:hAnsi="Amiri" w:eastAsia="Amiri" w:cs="Amiri"/>
          <w:color w:val="111111"/>
          <w:sz w:val="28"/>
          <w:sz w:val="28"/>
          <w:szCs w:val="28"/>
          <w:rtl w:val="true"/>
          <w:lang w:bidi="ar-SA"/>
        </w:rPr>
        <w:t xml:space="preserve">ليس صريحاً في صحة المعاملة عليه </w:t>
      </w:r>
      <w:r>
        <w:rPr>
          <w:rStyle w:val="FootnoteAnchor"/>
          <w:rtl w:val="true"/>
        </w:rPr>
        <w:footnoteReference w:id="157"/>
      </w:r>
      <w:r>
        <w:rPr>
          <w:rFonts w:ascii="Amiri" w:hAnsi="Amiri" w:eastAsia="Amiri" w:cs="Amiri"/>
          <w:color w:val="111111"/>
          <w:sz w:val="28"/>
          <w:sz w:val="28"/>
          <w:szCs w:val="28"/>
          <w:rtl w:val="true"/>
          <w:lang w:bidi="ar-SA"/>
        </w:rPr>
        <w:t xml:space="preserve">وليس من المائع المتنجس بعد الماء باقياً على الميعان شيء يقبل التطهير من غير استحالة أو استهلاك ، دهناً أو غيره ؛ لظاهر الإجماعات المنقولة </w:t>
      </w:r>
      <w:r>
        <w:rPr>
          <w:rStyle w:val="FootnoteAnchor"/>
          <w:rtl w:val="true"/>
        </w:rPr>
        <w:footnoteReference w:id="158"/>
      </w:r>
      <w:r>
        <w:rPr>
          <w:rFonts w:ascii="IRNazanin" w:hAnsi="IRNazanin" w:eastAsia="IRNazanin"/>
          <w:color w:val="111111"/>
          <w:sz w:val="28"/>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w:t>
      </w:r>
      <w:r>
        <w:rPr>
          <w:rStyle w:val="FootnoteAnchor"/>
          <w:rtl w:val="true"/>
        </w:rPr>
        <w:footnoteReference w:id="159"/>
      </w:r>
      <w:r>
        <w:rPr>
          <w:rFonts w:ascii="Amiri" w:hAnsi="Amiri" w:eastAsia="Amiri" w:cs="Amiri"/>
          <w:color w:val="111111"/>
          <w:sz w:val="28"/>
          <w:sz w:val="28"/>
          <w:szCs w:val="28"/>
          <w:rtl w:val="true"/>
          <w:lang w:bidi="ar-SA"/>
        </w:rPr>
        <w:t xml:space="preserve">ولأنّها مع الانقلاب تخرج عن حقائقها ، وبدونه لا يستولي الماء على أجزائها </w:t>
      </w:r>
      <w:r>
        <w:rPr>
          <w:rStyle w:val="FootnoteAnchor"/>
          <w:rtl w:val="true"/>
        </w:rPr>
        <w:footnoteReference w:id="160"/>
      </w:r>
      <w:r>
        <w:rPr>
          <w:rFonts w:ascii="Amiri" w:hAnsi="Amiri" w:eastAsia="Amiri" w:cs="Amiri"/>
          <w:color w:val="111111"/>
          <w:sz w:val="28"/>
          <w:sz w:val="28"/>
          <w:szCs w:val="28"/>
          <w:rtl w:val="true"/>
          <w:lang w:bidi="ar-SA"/>
        </w:rPr>
        <w:t>، فمن ادعى إمكان تطهيرها بكلّها</w:t>
      </w:r>
      <w:r>
        <w:rPr>
          <w:rStyle w:val="FootnoteAnchor"/>
          <w:rtl w:val="true"/>
        </w:rPr>
        <w:footnoteReference w:id="161"/>
      </w:r>
      <w:r>
        <w:rPr>
          <w:rFonts w:ascii="IRNazanin" w:hAnsi="IRNazanin" w:eastAsia="IRNazanin"/>
          <w:color w:val="111111"/>
          <w:sz w:val="28"/>
          <w:sz w:val="28"/>
          <w:szCs w:val="28"/>
          <w:rtl w:val="true"/>
          <w:lang w:bidi="fa-IR"/>
        </w:rPr>
        <w:t xml:space="preserve">، أو خصوص الدهن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62"/>
      </w:r>
      <w:r>
        <w:rPr>
          <w:rFonts w:ascii="Amiri" w:hAnsi="Amiri" w:eastAsia="Amiri" w:cs="Amiri"/>
          <w:color w:val="111111"/>
          <w:sz w:val="28"/>
          <w:sz w:val="28"/>
          <w:szCs w:val="28"/>
          <w:rtl w:val="true"/>
          <w:lang w:bidi="ar-SA"/>
        </w:rPr>
        <w:t xml:space="preserve">، أو خصوص غيره </w:t>
      </w:r>
      <w:r>
        <w:rPr>
          <w:rStyle w:val="FootnoteAnchor"/>
          <w:rtl w:val="true"/>
        </w:rPr>
        <w:footnoteReference w:id="163"/>
      </w:r>
      <w:r>
        <w:rPr>
          <w:rFonts w:ascii="Amiri" w:hAnsi="Amiri" w:eastAsia="Amiri" w:cs="Amiri"/>
          <w:color w:val="111111"/>
          <w:sz w:val="28"/>
          <w:sz w:val="28"/>
          <w:szCs w:val="28"/>
          <w:rtl w:val="true"/>
          <w:lang w:bidi="ar-SA"/>
        </w:rPr>
        <w:t xml:space="preserve">؛ مردود بذلك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بمنع التكسّب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بقابلية التطهير </w:t>
      </w:r>
      <w:r>
        <w:rPr>
          <w:rStyle w:val="FootnoteAnchor"/>
          <w:rtl w:val="true"/>
        </w:rPr>
        <w:footnoteReference w:id="164"/>
      </w:r>
      <w:r>
        <w:rPr>
          <w:rFonts w:ascii="IRNazanin" w:hAnsi="IRNazanin" w:eastAsia="IRNazanin"/>
          <w:color w:val="111111"/>
          <w:sz w:val="28"/>
          <w:sz w:val="28"/>
          <w:szCs w:val="28"/>
          <w:rtl w:val="true"/>
          <w:lang w:bidi="fa-IR"/>
        </w:rPr>
        <w:t xml:space="preserve">؛ لظاهر الأخبار وما نقل من الإجماع </w:t>
      </w:r>
      <w:r>
        <w:rPr>
          <w:rStyle w:val="FootnoteAnchor"/>
          <w:rtl w:val="true"/>
        </w:rPr>
        <w:footnoteReference w:id="165"/>
      </w:r>
      <w:r>
        <w:rPr>
          <w:rFonts w:ascii="Amiri" w:hAnsi="Amiri" w:eastAsia="Amiri" w:cs="Amiri"/>
          <w:color w:val="111111"/>
          <w:sz w:val="28"/>
          <w:sz w:val="28"/>
          <w:szCs w:val="28"/>
          <w:rtl w:val="true"/>
          <w:lang w:bidi="ar-SA"/>
        </w:rPr>
        <w:t xml:space="preserve">، وإن كانا واردين في خصوص بعضها ، للإجماع علىٰ عدم الفرق فيما حكم الشارع بعدم قابليته ، فمَن بنىٰ المنع علىٰ عدم إمكان التطهير </w:t>
      </w:r>
      <w:r>
        <w:rPr>
          <w:rStyle w:val="FootnoteAnchor"/>
          <w:rtl w:val="true"/>
        </w:rPr>
        <w:footnoteReference w:id="166"/>
      </w:r>
      <w:r>
        <w:rPr>
          <w:rFonts w:ascii="Amiri" w:hAnsi="Amiri" w:eastAsia="Amiri" w:cs="Amiri"/>
          <w:color w:val="111111"/>
          <w:sz w:val="28"/>
          <w:sz w:val="28"/>
          <w:szCs w:val="28"/>
          <w:rtl w:val="true"/>
          <w:lang w:bidi="ar-SA"/>
        </w:rPr>
        <w:t xml:space="preserve">فمحجوج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الانتفاع بشيء منها ومن سائر المحرّمات في الجهة المحظورة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يقم دليل على جوازه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بالدفع إلى غير مكلّف </w:t>
      </w:r>
    </w:p>
    <w:p>
      <w:pPr>
        <w:pStyle w:val="BookText"/>
        <w:rPr/>
      </w:pPr>
      <w:r>
        <w:rPr>
          <w:rFonts w:ascii="Amiri" w:hAnsi="Amiri" w:eastAsia="Amiri" w:cs="Amiri"/>
          <w:color w:val="111111"/>
          <w:sz w:val="28"/>
          <w:sz w:val="28"/>
          <w:szCs w:val="28"/>
          <w:rtl w:val="true"/>
          <w:lang w:bidi="ar-SA"/>
        </w:rPr>
        <w:t xml:space="preserve">لنقص أو سهو أو جهل ، ما لم يكن مضطراً ، وإلّا جاز دفعه إلى عياله وأقاربه وأصدقائه مع جهلهم وأطفاله وأطفالهم ، فلا يبقىٰ فرق بينه وبين الحلال إلّا فى أمر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جواز الاستعمال في الوجه الحلال بين ما يستلزم الاستعمال</w:t>
      </w:r>
      <w:r>
        <w:rPr>
          <w:rStyle w:val="FootnoteAnchor"/>
          <w:rtl w:val="true"/>
        </w:rPr>
        <w:footnoteReference w:id="168"/>
      </w:r>
      <w:r>
        <w:rPr>
          <w:rFonts w:ascii="Amiri" w:hAnsi="Amiri" w:eastAsia="Amiri" w:cs="Amiri"/>
          <w:color w:val="111111"/>
          <w:sz w:val="28"/>
          <w:sz w:val="28"/>
          <w:szCs w:val="28"/>
          <w:rtl w:val="true"/>
          <w:lang w:bidi="ar-SA"/>
        </w:rPr>
        <w:t xml:space="preserve">أو المباشرة أو التلويث أو غيرها فيما عدا ما دلّ الدليل علىٰ منعه، وقد سبق بيانه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منقول في تسميد الخضر والمزارع </w:t>
      </w:r>
      <w:r>
        <w:rPr>
          <w:rStyle w:val="FootnoteAnchor"/>
          <w:rtl w:val="true"/>
        </w:rPr>
        <w:footnoteReference w:id="170"/>
      </w:r>
      <w:r>
        <w:rPr>
          <w:rFonts w:ascii="IRNazanin" w:hAnsi="IRNazanin" w:eastAsia="IRNazanin"/>
          <w:color w:val="111111"/>
          <w:sz w:val="28"/>
          <w:sz w:val="28"/>
          <w:szCs w:val="28"/>
          <w:rtl w:val="true"/>
          <w:lang w:bidi="fa-IR"/>
        </w:rPr>
        <w:t xml:space="preserve">، والمراد فيه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بين جواز الاستعمال وجواز الاكتساب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الانتفاع بها في الجهة المحظورة مع الاضطرار ، لحفظ البدن التلف كدفع العطش والجوع المهلكين ، أو التداوي لدفع المرض بشرط كونه ضاراً وكون الطبيب حاذقاً والدواء في نظره منحصراً وليس غيره يداوي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حينئذٍ بين الخمر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فُقِد شرط من الشروط بقيت الحرمة ، ودخل تحت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في حرام من شفاء</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يجعل في شيء ممّا حرّم دواءً ولا 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الأطعمة والأشربة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bookmarkStart w:id="147" w:name="pg20243_272042"/>
    </w:p>
    <w:p>
      <w:pPr>
        <w:pStyle w:val="Heading2"/>
        <w:numPr>
          <w:ilvl w:val="1"/>
          <w:numId w:val="1"/>
        </w:numPr>
        <w:rPr/>
      </w:pPr>
      <w:bookmarkStart w:id="148" w:name="__RefHeading___Toc5284880_2320776876"/>
      <w:bookmarkStart w:id="149" w:name="_Toc51"/>
      <w:bookmarkEnd w:id="147"/>
      <w:bookmarkEnd w:id="148"/>
      <w:r>
        <w:rPr>
          <w:rtl w:val="true"/>
        </w:rPr>
        <w:t>استثناء الدهن المتنجس للأستصباح به تحت السماء</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بالعارض القابل للإسراج ، فإنّه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لفائدة الاستصباح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فلو لم يكن له قابلية الاستصباح علىٰ النحو المألوف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قصدها شرطاً مع وجودها، فلو لم يقصدها أو قصد غيرها من الوجوه السائغة فلا مانع ولو قصد الحرام فسيأتي فيه الكلام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الانتفاع به في الوجه الحلال ، كطلى الأجرب به وجعله صابوناً ونحوهما ، إلّا الاستصباح به تحت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الجواز 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مكشوفاً ، غير محجوب ، لا بساتر ولا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الأخبار </w:t>
      </w:r>
      <w:r>
        <w:rPr>
          <w:rStyle w:val="FootnoteAnchor"/>
          <w:rtl w:val="true"/>
        </w:rPr>
        <w:footnoteReference w:id="173"/>
      </w:r>
      <w:r>
        <w:rPr>
          <w:rFonts w:ascii="Amiri" w:hAnsi="Amiri" w:eastAsia="Amiri" w:cs="Amiri"/>
          <w:color w:val="111111"/>
          <w:sz w:val="28"/>
          <w:sz w:val="28"/>
          <w:szCs w:val="28"/>
          <w:rtl w:val="true"/>
          <w:lang w:bidi="ar-SA"/>
        </w:rPr>
        <w:t xml:space="preserve">فيه مضعف بمخالفة الشهرة </w:t>
      </w:r>
      <w:r>
        <w:rPr>
          <w:rStyle w:val="FootnoteAnchor"/>
          <w:rtl w:val="true"/>
        </w:rPr>
        <w:footnoteReference w:id="174"/>
      </w:r>
      <w:r>
        <w:rPr>
          <w:rFonts w:ascii="Amiri" w:hAnsi="Amiri" w:eastAsia="Amiri" w:cs="Amiri"/>
          <w:color w:val="111111"/>
          <w:sz w:val="28"/>
          <w:sz w:val="28"/>
          <w:szCs w:val="28"/>
          <w:rtl w:val="true"/>
          <w:lang w:bidi="ar-SA"/>
        </w:rPr>
        <w:t xml:space="preserve">، ومقيّد بالإجماعات المنقولة </w:t>
      </w:r>
      <w:r>
        <w:rPr>
          <w:rStyle w:val="FootnoteAnchor"/>
          <w:rtl w:val="true"/>
        </w:rPr>
        <w:footnoteReference w:id="1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والمرسلة </w:t>
      </w:r>
      <w:r>
        <w:rPr>
          <w:rStyle w:val="FootnoteAnchor"/>
          <w:rtl w:val="true"/>
        </w:rPr>
        <w:footnoteReference w:id="176"/>
      </w:r>
      <w:r>
        <w:rPr>
          <w:rFonts w:ascii="Amiri" w:hAnsi="Amiri" w:eastAsia="Amiri" w:cs="Amiri"/>
          <w:color w:val="111111"/>
          <w:sz w:val="28"/>
          <w:sz w:val="28"/>
          <w:szCs w:val="28"/>
          <w:rtl w:val="true"/>
          <w:lang w:bidi="ar-SA"/>
        </w:rPr>
        <w:t xml:space="preserve">في المبسوط </w:t>
      </w:r>
      <w:r>
        <w:rPr>
          <w:rStyle w:val="FootnoteAnchor"/>
          <w:rtl w:val="true"/>
        </w:rPr>
        <w:footnoteReference w:id="177"/>
      </w:r>
      <w:r>
        <w:rPr>
          <w:rFonts w:ascii="Amiri" w:hAnsi="Amiri" w:eastAsia="Amiri" w:cs="Amiri"/>
          <w:color w:val="111111"/>
          <w:sz w:val="28"/>
          <w:sz w:val="28"/>
          <w:szCs w:val="28"/>
          <w:rtl w:val="true"/>
          <w:lang w:bidi="ar-SA"/>
        </w:rPr>
        <w:t xml:space="preserve">، المنجبرة بعمل الأصحاب ، وإسنادها إليهم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المنع من جهة نجاسة الدخان </w:t>
      </w:r>
      <w:r>
        <w:rPr>
          <w:rStyle w:val="FootnoteAnchor"/>
          <w:rtl w:val="true"/>
        </w:rPr>
        <w:footnoteReference w:id="178"/>
      </w:r>
      <w:r>
        <w:rPr>
          <w:rFonts w:ascii="Amiri" w:hAnsi="Amiri" w:eastAsia="Amiri" w:cs="Amiri"/>
          <w:color w:val="111111"/>
          <w:sz w:val="28"/>
          <w:sz w:val="28"/>
          <w:szCs w:val="28"/>
          <w:rtl w:val="true"/>
          <w:lang w:bidi="ar-SA"/>
        </w:rPr>
        <w:t xml:space="preserve">، للقدح في مقدّمتي البرهان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المنفعة الغالبة هي الاستصباح ، وامتنع تحت </w:t>
      </w:r>
    </w:p>
    <w:p>
      <w:pPr>
        <w:pStyle w:val="BookText"/>
        <w:rPr/>
      </w:pPr>
      <w:r>
        <w:rPr>
          <w:rFonts w:ascii="Amiri" w:hAnsi="Amiri" w:eastAsia="Amiri" w:cs="Amiri"/>
          <w:color w:val="111111"/>
          <w:sz w:val="28"/>
          <w:sz w:val="28"/>
          <w:szCs w:val="28"/>
          <w:rtl w:val="true"/>
          <w:lang w:bidi="ar-SA"/>
        </w:rPr>
        <w:t xml:space="preserve">الظلال ؛ انحصر ما يجوز له الاكتساب بقابليته تحت السماء ، فلو كان في زمان أو مكان لا تحصل المنفعة الغالبة فيه إلّا بالاستصباح تحت الظل ، ولا يمكن تحويله ولا تأخيره ؛ فلا تجوز المعاوضة فيه، للأصل المستفاد من عمومات منع المعاملة على النجس والحرام </w:t>
      </w:r>
      <w:r>
        <w:rPr>
          <w:rStyle w:val="FootnoteAnchor"/>
          <w:rtl w:val="true"/>
        </w:rPr>
        <w:footnoteReference w:id="180"/>
      </w:r>
      <w:r>
        <w:rPr>
          <w:rFonts w:ascii="Amiri" w:hAnsi="Amiri" w:eastAsia="Amiri" w:cs="Amiri"/>
          <w:color w:val="111111"/>
          <w:sz w:val="28"/>
          <w:sz w:val="28"/>
          <w:szCs w:val="28"/>
          <w:rtl w:val="true"/>
          <w:lang w:bidi="ar-SA"/>
        </w:rPr>
        <w:t xml:space="preserve">، وخصوص الإجماع المنقول في هذا المقام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جواز بيعه لمن يعمله صابوناً </w:t>
      </w:r>
      <w:r>
        <w:rPr>
          <w:rStyle w:val="FootnoteAnchor"/>
          <w:rtl w:val="true"/>
        </w:rPr>
        <w:footnoteReference w:id="182"/>
      </w:r>
      <w:r>
        <w:rPr>
          <w:rFonts w:ascii="Amiri" w:hAnsi="Amiri" w:eastAsia="Amiri" w:cs="Amiri"/>
          <w:color w:val="111111"/>
          <w:sz w:val="28"/>
          <w:sz w:val="28"/>
          <w:szCs w:val="28"/>
          <w:rtl w:val="true"/>
          <w:lang w:bidi="ar-SA"/>
        </w:rPr>
        <w:t xml:space="preserve">مطروح ، أو محمول على الافتكاك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الإعلام شرطاً في صحّة العقد وإنْ وجب الخيار مع الجهل ، لكنّه واجب على الدافع الإخبار كما يجب علىٰ دافع الحرام في كلّ مقام ، وفي النصوص ما يدلّ علىٰ هذا المقام بالخصوص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أخبر وجب قبول خبره ؛ لكونه ذا يد ، أصيلاً كان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بوجوب التأسي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يدفعه لم يجب عليه الإعلام ؛ للأصل ، وظاهر الأخبار</w:t>
      </w:r>
      <w:r>
        <w:rPr>
          <w:rStyle w:val="FootnoteAnchor"/>
          <w:rtl w:val="true"/>
        </w:rPr>
        <w:footnoteReference w:id="18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نجاسة الدهن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كالألية </w:t>
      </w:r>
      <w:r>
        <w:rPr>
          <w:rStyle w:val="FootnoteAnchor"/>
          <w:rtl w:val="true"/>
        </w:rPr>
        <w:footnoteReference w:id="185"/>
      </w:r>
      <w:r>
        <w:rPr>
          <w:rFonts w:ascii="Amiri" w:hAnsi="Amiri" w:eastAsia="Amiri" w:cs="Amiri"/>
          <w:color w:val="111111"/>
          <w:sz w:val="28"/>
          <w:sz w:val="28"/>
          <w:szCs w:val="28"/>
          <w:rtl w:val="true"/>
          <w:lang w:bidi="ar-SA"/>
        </w:rPr>
        <w:t xml:space="preserve">المقطوعة من الميتة أو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الاستصباح به ولا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من الانتفاعات الموقوفة على الاستعمال مع المباشرة والتلويث ، للإجماع المنقول عن جماعة </w:t>
      </w:r>
      <w:r>
        <w:rPr>
          <w:rStyle w:val="FootnoteAnchor"/>
          <w:rtl w:val="true"/>
        </w:rPr>
        <w:footnoteReference w:id="186"/>
      </w:r>
      <w:r>
        <w:rPr>
          <w:rFonts w:ascii="Amiri" w:hAnsi="Amiri" w:eastAsia="Amiri" w:cs="Amiri"/>
          <w:color w:val="111111"/>
          <w:sz w:val="28"/>
          <w:sz w:val="28"/>
          <w:szCs w:val="28"/>
          <w:rtl w:val="true"/>
          <w:lang w:bidi="ar-SA"/>
        </w:rPr>
        <w:t xml:space="preserve">، والروايات الدالّة على منع الانتفاع بالميتة وأجزائها التي تحلّها الحياة </w:t>
      </w:r>
      <w:r>
        <w:rPr>
          <w:rStyle w:val="FootnoteAnchor"/>
          <w:rtl w:val="true"/>
        </w:rPr>
        <w:footnoteReference w:id="187"/>
      </w:r>
      <w:r>
        <w:rPr>
          <w:rFonts w:ascii="Amiri" w:hAnsi="Amiri" w:eastAsia="Amiri" w:cs="Amiri"/>
          <w:color w:val="111111"/>
          <w:sz w:val="28"/>
          <w:sz w:val="28"/>
          <w:szCs w:val="28"/>
          <w:rtl w:val="true"/>
          <w:lang w:bidi="ar-SA"/>
        </w:rPr>
        <w:t xml:space="preserve">، ولما دلّ علىٰ المنع من إسراج المقطوع من الحي فضلاً عن الميت </w:t>
      </w:r>
      <w:r>
        <w:rPr>
          <w:rStyle w:val="FootnoteAnchor"/>
          <w:rtl w:val="true"/>
        </w:rPr>
        <w:footnoteReference w:id="188"/>
      </w:r>
      <w:r>
        <w:rPr>
          <w:rFonts w:ascii="Amiri" w:hAnsi="Amiri" w:eastAsia="Amiri" w:cs="Amiri"/>
          <w:color w:val="111111"/>
          <w:sz w:val="28"/>
          <w:sz w:val="28"/>
          <w:szCs w:val="28"/>
          <w:rtl w:val="true"/>
          <w:lang w:bidi="ar-SA"/>
        </w:rPr>
        <w:t xml:space="preserve">؛ فليس للخبر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المعارضة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الانتفاع بلا مباشرة ولا تلويث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كدفعه لسباعه من كلب أو سُنَّوْر أو طير وكجعله بَوّاً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 ، أوجههما الجواز ؛ لعدم شمول الدليل ، فيبقى على الأصل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المعاوضة عليه فمنعها ظاهر ، لعدم المنفعة الغالبة ، وللعمومات الواردة في الأعيان النجسة ممّا لا يقبل التطهير </w:t>
      </w:r>
      <w:r>
        <w:rPr>
          <w:rStyle w:val="FootnoteAnchor"/>
          <w:rtl w:val="true"/>
        </w:rPr>
        <w:footnoteReference w:id="191"/>
      </w:r>
      <w:r>
        <w:rPr>
          <w:rFonts w:ascii="Amiri" w:hAnsi="Amiri" w:eastAsia="Amiri" w:cs="Amiri"/>
          <w:color w:val="111111"/>
          <w:sz w:val="28"/>
          <w:sz w:val="28"/>
          <w:szCs w:val="28"/>
          <w:rtl w:val="true"/>
          <w:lang w:bidi="ar-SA"/>
        </w:rPr>
        <w:t xml:space="preserve">، وللإجماع فيها </w:t>
      </w:r>
      <w:r>
        <w:rPr>
          <w:rStyle w:val="FootnoteAnchor"/>
          <w:rtl w:val="true"/>
        </w:rPr>
        <w:footnoteReference w:id="192"/>
      </w:r>
      <w:r>
        <w:rPr>
          <w:rFonts w:ascii="Amiri" w:hAnsi="Amiri" w:eastAsia="Amiri" w:cs="Amiri"/>
          <w:color w:val="111111"/>
          <w:sz w:val="28"/>
          <w:sz w:val="28"/>
          <w:szCs w:val="28"/>
          <w:rtl w:val="true"/>
          <w:lang w:bidi="ar-SA"/>
        </w:rPr>
        <w:t xml:space="preserve">وفي خصوص الميتات </w:t>
      </w:r>
      <w:r>
        <w:rPr>
          <w:rStyle w:val="FootnoteAnchor"/>
          <w:rtl w:val="true"/>
        </w:rPr>
        <w:footnoteReference w:id="19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بيع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دون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المتنجسات القابلة للتطهير على نحو باقي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لقبوله الطهارة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50" w:name="pg20243_272047"/>
    </w:p>
    <w:p>
      <w:pPr>
        <w:pStyle w:val="BookText"/>
        <w:rPr/>
      </w:pPr>
      <w:bookmarkEnd w:id="150"/>
      <w:r>
        <w:rPr>
          <w:rFonts w:ascii="IRNazanin" w:hAnsi="IRNazanin" w:eastAsia="IRNazanin"/>
          <w:color w:val="111111"/>
          <w:sz w:val="28"/>
          <w:sz w:val="28"/>
          <w:szCs w:val="28"/>
          <w:rtl w:val="true"/>
          <w:lang w:bidi="fa-IR"/>
        </w:rPr>
        <w:t xml:space="preserve">باتصاله بالمعتصم منه أو بنقصه </w:t>
      </w:r>
      <w:r>
        <w:rPr>
          <w:rStyle w:val="FootnoteAnchor"/>
          <w:rtl w:val="true"/>
        </w:rPr>
        <w:footnoteReference w:id="195"/>
      </w:r>
      <w:r>
        <w:rPr>
          <w:rFonts w:ascii="Amiri" w:hAnsi="Amiri" w:eastAsia="Amiri" w:cs="Amiri"/>
          <w:color w:val="111111"/>
          <w:sz w:val="28"/>
          <w:sz w:val="28"/>
          <w:szCs w:val="28"/>
          <w:rtl w:val="true"/>
          <w:lang w:bidi="ar-SA"/>
        </w:rPr>
        <w:t xml:space="preserve">، كما جاز بيع الكافر قبل الإسلام، والعصير قبل التطهير علىٰ الأقوىٰ ، فيخرج بذلك عن أدلّة المنع ويدخل في عمومات العقود جنساً وأنواعاً ، وللإجماع المحصّل من حصرهم المنع بما لا يقبل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 فيه أو نذكر عدم صحّة الملك أو التمليك ؛ يجري في حقّ المسلمين وغير المستحلّين من الكفار، دون المستحلّين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بترتّب الآثار ولا ملك ولا تمليك كغيرهم ؛ لم يكن بعيداً</w:t>
      </w:r>
    </w:p>
    <w:p>
      <w:pPr>
        <w:pStyle w:val="Heading2"/>
        <w:numPr>
          <w:ilvl w:val="1"/>
          <w:numId w:val="1"/>
        </w:numPr>
        <w:rPr/>
      </w:pPr>
      <w:bookmarkStart w:id="151" w:name="__RefHeading___Toc5284882_2320776876"/>
      <w:bookmarkStart w:id="152" w:name="_Toc52"/>
      <w:bookmarkEnd w:id="151"/>
      <w:r>
        <w:rPr>
          <w:rtl w:val="true"/>
        </w:rPr>
        <w:t>حرمة أبول ما یؤکل لحمه</w:t>
      </w:r>
      <w:bookmarkEnd w:id="1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 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خروجها، المحكوم بطهارتها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 ، للاستخباث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 لمفهوم آيات تعليق التحليل بالطيبات </w:t>
      </w:r>
      <w:r>
        <w:rPr>
          <w:rStyle w:val="FootnoteAnchor"/>
          <w:rtl w:val="true"/>
        </w:rPr>
        <w:footnoteReference w:id="196"/>
      </w:r>
      <w:r>
        <w:rPr>
          <w:rFonts w:ascii="Amiri" w:hAnsi="Amiri" w:eastAsia="Amiri" w:cs="Amiri"/>
          <w:color w:val="111111"/>
          <w:sz w:val="28"/>
          <w:sz w:val="28"/>
          <w:szCs w:val="28"/>
          <w:rtl w:val="true"/>
          <w:lang w:bidi="ar-SA"/>
        </w:rPr>
        <w:t>، ومنطوق ما دلّ على تحريم الخبائث من كتاب</w:t>
      </w:r>
      <w:r>
        <w:rPr>
          <w:rStyle w:val="FootnoteAnchor"/>
          <w:rtl w:val="true"/>
        </w:rPr>
        <w:footnoteReference w:id="197"/>
      </w:r>
      <w:r>
        <w:rPr>
          <w:rFonts w:ascii="Amiri" w:hAnsi="Amiri" w:eastAsia="Amiri" w:cs="Amiri"/>
          <w:color w:val="111111"/>
          <w:sz w:val="28"/>
          <w:sz w:val="28"/>
          <w:szCs w:val="28"/>
          <w:rtl w:val="true"/>
          <w:lang w:bidi="ar-SA"/>
        </w:rPr>
        <w:t xml:space="preserve">أو سنة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وهل هو محرّم لذاته، فيبقى حكمه وإنْ زالت صفته ، أو لا؟ وجهان ، أوجههما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حرم ؛ حرم الاكتساب به ، لقوله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إذْ ليس المراد منهما أنّ ما حرم منه جهة حرم بيعه من كلّ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الوجوه ، وإلّا لما جاز بيع شيء أبداً ، فالمراد بيعه بقصد الجهة المحظورة، أو حيث تكون المحلّلة نادرة ، ولعلّه المراد هنا ، فيدخل فيما لا نفع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أروائه فلا بأس بالمعاملة عليها للأصل، والسيرة، والإجماع ظاهراً ، </w:t>
      </w:r>
      <w:r>
        <w:rPr>
          <w:rStyle w:val="FootnoteAnchor"/>
          <w:rtl w:val="true"/>
        </w:rPr>
        <w:footnoteReference w:id="201"/>
      </w:r>
      <w:bookmarkStart w:id="153" w:name="pg20243_272050"/>
    </w:p>
    <w:p>
      <w:pPr>
        <w:pStyle w:val="BookText"/>
        <w:rPr/>
      </w:pPr>
      <w:bookmarkEnd w:id="153"/>
      <w:r>
        <w:rPr>
          <w:rFonts w:ascii="Amiri" w:hAnsi="Amiri" w:eastAsia="Amiri" w:cs="Amiri"/>
          <w:color w:val="111111"/>
          <w:sz w:val="28"/>
          <w:sz w:val="28"/>
          <w:szCs w:val="28"/>
          <w:rtl w:val="true"/>
          <w:lang w:bidi="ar-SA"/>
        </w:rPr>
        <w:t xml:space="preserve">وعن المرتضى صريحاً </w:t>
      </w:r>
      <w:r>
        <w:rPr>
          <w:rStyle w:val="FootnoteAnchor"/>
          <w:rtl w:val="true"/>
        </w:rPr>
        <w:footnoteReference w:id="202"/>
      </w:r>
      <w:r>
        <w:rPr>
          <w:rFonts w:ascii="Amiri" w:hAnsi="Amiri" w:eastAsia="Amiri" w:cs="Amiri"/>
          <w:color w:val="111111"/>
          <w:sz w:val="28"/>
          <w:sz w:val="28"/>
          <w:szCs w:val="28"/>
          <w:rtl w:val="true"/>
          <w:lang w:bidi="ar-SA"/>
        </w:rPr>
        <w:t xml:space="preserve">، وشموله الأبوال لا يمنع الاستدلال </w:t>
      </w:r>
      <w:r>
        <w:rPr>
          <w:rStyle w:val="FootnoteAnchor"/>
          <w:rtl w:val="true"/>
        </w:rPr>
        <w:footnoteReference w:id="203"/>
      </w:r>
    </w:p>
    <w:p>
      <w:pPr>
        <w:pStyle w:val="Heading2"/>
        <w:numPr>
          <w:ilvl w:val="1"/>
          <w:numId w:val="1"/>
        </w:numPr>
        <w:rPr/>
      </w:pPr>
      <w:bookmarkStart w:id="154" w:name="__RefHeading___Toc5284884_2320776876"/>
      <w:bookmarkStart w:id="155" w:name="_Toc53"/>
      <w:bookmarkEnd w:id="154"/>
      <w:r>
        <w:rPr>
          <w:rtl w:val="true"/>
        </w:rPr>
        <w:t>استثناء بول الإبل للاستشفاء</w:t>
      </w:r>
      <w:bookmarkEnd w:id="1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يبلغ حدّ الضرورة ، مع انحصار الدواء وعدمه، وهو منفعة غالبة مقصودة للعقلاء ، فجازت </w:t>
      </w:r>
      <w:bookmarkStart w:id="156" w:name="pg20243_272051"/>
    </w:p>
    <w:p>
      <w:pPr>
        <w:pStyle w:val="BookText"/>
        <w:rPr/>
      </w:pPr>
      <w:bookmarkEnd w:id="156"/>
      <w:r>
        <w:rPr>
          <w:rFonts w:ascii="Amiri" w:hAnsi="Amiri" w:eastAsia="Amiri" w:cs="Amiri"/>
          <w:color w:val="111111"/>
          <w:sz w:val="28"/>
          <w:sz w:val="28"/>
          <w:szCs w:val="28"/>
          <w:rtl w:val="true"/>
          <w:lang w:bidi="ar-SA"/>
        </w:rPr>
        <w:t xml:space="preserve">المعاملة عليه مع دخوله في قصد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خلوّهما أو خلوّ أحدهما عن القصد وجهان ، أوجههما الجواز في الأخير حيث يكون القصد حاصلاً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 في الجواز على مقدار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وجوازالاستشفاء مع الضرورة بأبوال غيرها لا يُعدّ من المنفعة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سواها، فلا يجوز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معرفة الداء وما به الاستشفاء إلى التجربة ، وقول الطبيب</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284886_2320776876"/>
      <w:bookmarkStart w:id="158" w:name="_Toc54"/>
      <w:bookmarkEnd w:id="157"/>
      <w:r>
        <w:rPr>
          <w:rtl w:val="true"/>
        </w:rPr>
        <w:t>جواز بیع الکلاب الأربعة</w:t>
      </w:r>
      <w:bookmarkEnd w:id="1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جواز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الأربعة والاكتساب بها، لا يزاد عليها كلب الدار </w:t>
      </w:r>
      <w:r>
        <w:rPr>
          <w:rStyle w:val="FootnoteAnchor"/>
          <w:rtl w:val="true"/>
        </w:rPr>
        <w:footnoteReference w:id="204"/>
      </w:r>
      <w:r>
        <w:rPr>
          <w:rFonts w:ascii="Amiri" w:hAnsi="Amiri" w:eastAsia="Amiri" w:cs="Amiri"/>
          <w:color w:val="111111"/>
          <w:sz w:val="28"/>
          <w:sz w:val="28"/>
          <w:szCs w:val="28"/>
          <w:rtl w:val="true"/>
          <w:lang w:bidi="ar-SA"/>
        </w:rPr>
        <w:t xml:space="preserve">، ولا يقتصر منها على أوّلها على وجه الانحصار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التعميم، وإن كان من الأسوَد البهيم ، غير مخصوص بالسلوقي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كلاب قرية سلوق باليمن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الاسكافي تخصيص الجواز بغير البهيم </w:t>
      </w:r>
      <w:r>
        <w:rPr>
          <w:rStyle w:val="FootnoteAnchor"/>
          <w:rtl w:val="true"/>
        </w:rPr>
        <w:footnoteReference w:id="207"/>
      </w:r>
      <w:r>
        <w:rPr>
          <w:rFonts w:ascii="Amiri" w:hAnsi="Amiri" w:eastAsia="Amiri" w:cs="Amiri"/>
          <w:color w:val="111111"/>
          <w:sz w:val="28"/>
          <w:sz w:val="28"/>
          <w:szCs w:val="28"/>
          <w:rtl w:val="true"/>
          <w:lang w:bidi="ar-SA"/>
        </w:rPr>
        <w:t xml:space="preserve">، والشيخين بالسلوقي </w:t>
      </w:r>
      <w:r>
        <w:rPr>
          <w:rStyle w:val="FootnoteAnchor"/>
          <w:rtl w:val="true"/>
        </w:rPr>
        <w:footnoteReference w:id="208"/>
      </w:r>
      <w:r>
        <w:rPr>
          <w:rFonts w:ascii="Amiri" w:hAnsi="Amiri" w:eastAsia="Amiri" w:cs="Amiri"/>
          <w:color w:val="111111"/>
          <w:sz w:val="28"/>
          <w:sz w:val="28"/>
          <w:szCs w:val="28"/>
          <w:rtl w:val="true"/>
          <w:lang w:bidi="ar-SA"/>
        </w:rPr>
        <w:t xml:space="preserve">وهم محجوجون بإطلاق الروايات، ومنقول الإجماعات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المواشي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بغير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الصفتين أو الصفات أدعى إلى جواز الاكتساب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والمنع في الأوّل قول متروك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يعلق خلاف الأقرب به لذلك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الانتفاع والتكسّب بكلب الصيد مطلقاً مدلول الإجماعات </w:t>
      </w:r>
      <w:r>
        <w:rPr>
          <w:rStyle w:val="FootnoteAnchor"/>
          <w:rtl w:val="true"/>
        </w:rPr>
        <w:footnoteReference w:id="212"/>
      </w:r>
      <w:r>
        <w:rPr>
          <w:rFonts w:ascii="Amiri" w:hAnsi="Amiri" w:eastAsia="Amiri" w:cs="Amiri"/>
          <w:color w:val="111111"/>
          <w:sz w:val="28"/>
          <w:sz w:val="28"/>
          <w:szCs w:val="28"/>
          <w:rtl w:val="true"/>
          <w:lang w:bidi="ar-SA"/>
        </w:rPr>
        <w:t xml:space="preserve">والروايات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الصيدية وغيرها من الصفات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فيها النيّة ، فلو غفل عن القصد، أو قصد غيرها من الجهات </w:t>
      </w:r>
    </w:p>
    <w:p>
      <w:pPr>
        <w:pStyle w:val="BookText"/>
        <w:rPr/>
      </w:pPr>
      <w:r>
        <w:rPr>
          <w:rFonts w:ascii="IRNazanin" w:hAnsi="IRNazanin" w:eastAsia="IRNazanin"/>
          <w:color w:val="111111"/>
          <w:sz w:val="28"/>
          <w:sz w:val="28"/>
          <w:szCs w:val="28"/>
          <w:rtl w:val="true"/>
          <w:lang w:bidi="fa-IR"/>
        </w:rPr>
        <w:t>المملّکة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وعدم جواز التكسّب بما عدا الأربعة مقطوع به ، للإجماعات المنقولة والروايات ، الدالّة علىٰ منع التكسب بالمحرّمات والنجاسات </w:t>
      </w:r>
      <w:r>
        <w:rPr>
          <w:rStyle w:val="FootnoteAnchor"/>
          <w:rtl w:val="true"/>
        </w:rPr>
        <w:footnoteReference w:id="214"/>
      </w:r>
      <w:r>
        <w:rPr>
          <w:rFonts w:ascii="Amiri" w:hAnsi="Amiri" w:eastAsia="Amiri" w:cs="Amiri"/>
          <w:color w:val="111111"/>
          <w:sz w:val="28"/>
          <w:sz w:val="28"/>
          <w:szCs w:val="28"/>
          <w:rtl w:val="true"/>
          <w:lang w:bidi="ar-SA"/>
        </w:rPr>
        <w:t>، وخصوص السباع على ما قيل</w:t>
      </w:r>
      <w:r>
        <w:rPr>
          <w:rStyle w:val="FootnoteAnchor"/>
          <w:rtl w:val="true"/>
        </w:rPr>
        <w:footnoteReference w:id="215"/>
      </w:r>
      <w:r>
        <w:rPr>
          <w:rFonts w:ascii="Amiri" w:hAnsi="Amiri" w:eastAsia="Amiri" w:cs="Amiri"/>
          <w:color w:val="111111"/>
          <w:sz w:val="28"/>
          <w:sz w:val="28"/>
          <w:szCs w:val="28"/>
          <w:rtl w:val="true"/>
          <w:lang w:bidi="ar-SA"/>
        </w:rPr>
        <w:t xml:space="preserve">، وعلى المنع في خصوص ما عدا الأربعة المذكورة </w:t>
      </w:r>
      <w:r>
        <w:rPr>
          <w:rStyle w:val="FootnoteAnchor"/>
          <w:rtl w:val="true"/>
        </w:rPr>
        <w:footnoteReference w:id="216"/>
      </w:r>
      <w:r>
        <w:rPr>
          <w:rFonts w:ascii="Amiri" w:hAnsi="Amiri" w:eastAsia="Amiri" w:cs="Amiri"/>
          <w:color w:val="111111"/>
          <w:sz w:val="28"/>
          <w:sz w:val="28"/>
          <w:szCs w:val="28"/>
          <w:rtl w:val="true"/>
          <w:lang w:bidi="ar-SA"/>
        </w:rPr>
        <w:t xml:space="preserve">، وما دلّ على اشتراط غلبة الانتفاع في الجهة المحللة وليست فيما عداهن </w:t>
      </w:r>
      <w:r>
        <w:rPr>
          <w:rStyle w:val="FootnoteAnchor"/>
          <w:rtl w:val="true"/>
        </w:rPr>
        <w:footnoteReference w:id="2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فيبقى الخلاف في الثلاثة الأخيرة ؛ فللمانع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السابقة ، خرج الصيود بالدليل ، وبقي الباقي ، وما دلّ على المنع في الكلاب ما عدا الصيود وهو عدة روايات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الجواز </w:t>
      </w:r>
      <w:r>
        <w:rPr>
          <w:rStyle w:val="FootnoteAnchor"/>
          <w:rtl w:val="true"/>
        </w:rPr>
        <w:footnoteReference w:id="219"/>
      </w:r>
      <w:r>
        <w:rPr>
          <w:rFonts w:ascii="Amiri" w:hAnsi="Amiri" w:eastAsia="Amiri" w:cs="Amiri"/>
          <w:color w:val="111111"/>
          <w:sz w:val="28"/>
          <w:sz w:val="28"/>
          <w:szCs w:val="28"/>
          <w:rtl w:val="true"/>
          <w:lang w:bidi="ar-SA"/>
        </w:rPr>
        <w:t xml:space="preserve">مردودة بالإرسال ، وأصلهم مقطوع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مرّ من ضروب الاستدلال</w:t>
      </w:r>
      <w:r>
        <w:rPr>
          <w:rStyle w:val="FootnoteAnchor"/>
          <w:rtl w:val="true"/>
        </w:rPr>
        <w:footnoteReference w:id="220"/>
      </w:r>
      <w:r>
        <w:rPr>
          <w:rFonts w:ascii="Amiri" w:hAnsi="Amiri" w:eastAsia="Amiri" w:cs="Amiri"/>
          <w:color w:val="111111"/>
          <w:sz w:val="28"/>
          <w:sz w:val="28"/>
          <w:szCs w:val="28"/>
          <w:rtl w:val="true"/>
          <w:lang w:bidi="ar-SA"/>
        </w:rPr>
        <w:t xml:space="preserve">، وتضعف الشهرة بوقوع الاختلاف في عباراتهم، إذ هم بين جامع بين ثلاثتهن </w:t>
      </w:r>
      <w:r>
        <w:rPr>
          <w:rStyle w:val="FootnoteAnchor"/>
          <w:rtl w:val="true"/>
        </w:rPr>
        <w:footnoteReference w:id="221"/>
      </w:r>
      <w:r>
        <w:rPr>
          <w:rFonts w:ascii="Amiri" w:hAnsi="Amiri" w:eastAsia="Amiri" w:cs="Amiri"/>
          <w:color w:val="111111"/>
          <w:sz w:val="28"/>
          <w:sz w:val="28"/>
          <w:szCs w:val="28"/>
          <w:rtl w:val="true"/>
          <w:lang w:bidi="ar-SA"/>
        </w:rPr>
        <w:t xml:space="preserve">، ومقتصر على الحائط ، مع الماشية على نحو المرسلة </w:t>
      </w:r>
      <w:r>
        <w:rPr>
          <w:rStyle w:val="FootnoteAnchor"/>
          <w:rtl w:val="true"/>
        </w:rPr>
        <w:footnoteReference w:id="222"/>
      </w:r>
      <w:r>
        <w:rPr>
          <w:rFonts w:ascii="IRNazanin" w:hAnsi="IRNazanin" w:eastAsia="IRNazanin"/>
          <w:color w:val="111111"/>
          <w:sz w:val="28"/>
          <w:sz w:val="28"/>
          <w:szCs w:val="28"/>
          <w:rtl w:val="true"/>
          <w:lang w:bidi="fa-IR"/>
        </w:rPr>
        <w:t xml:space="preserve">، أو الزرع معها فقط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بالدّيات </w:t>
      </w:r>
      <w:r>
        <w:rPr>
          <w:rStyle w:val="FootnoteAnchor"/>
          <w:rtl w:val="true"/>
        </w:rPr>
        <w:footnoteReference w:id="224"/>
      </w:r>
      <w:r>
        <w:rPr>
          <w:rFonts w:ascii="Amiri" w:hAnsi="Amiri" w:eastAsia="Amiri" w:cs="Amiri"/>
          <w:color w:val="111111"/>
          <w:sz w:val="28"/>
          <w:sz w:val="28"/>
          <w:szCs w:val="28"/>
          <w:rtl w:val="true"/>
          <w:lang w:bidi="ar-SA"/>
        </w:rPr>
        <w:t xml:space="preserve">مردود بأنّها إن لم تكن ظاهرة في عدم الملك </w:t>
      </w:r>
      <w:r>
        <w:rPr>
          <w:rStyle w:val="FootnoteAnchor"/>
          <w:rtl w:val="true"/>
        </w:rPr>
        <w:footnoteReference w:id="225"/>
      </w:r>
      <w:r>
        <w:rPr>
          <w:rFonts w:ascii="Amiri" w:hAnsi="Amiri" w:eastAsia="Amiri" w:cs="Amiri"/>
          <w:color w:val="111111"/>
          <w:sz w:val="28"/>
          <w:sz w:val="28"/>
          <w:szCs w:val="28"/>
          <w:rtl w:val="true"/>
          <w:lang w:bidi="ar-SA"/>
        </w:rPr>
        <w:t xml:space="preserve">فليست ظاهرة فيه ، وثبوت الغرامة أعمّ من الدية ، وجواز الإجارة محلّ تأمّل </w:t>
      </w:r>
      <w:r>
        <w:rPr>
          <w:rStyle w:val="FootnoteAnchor"/>
          <w:rtl w:val="true"/>
        </w:rPr>
        <w:footnoteReference w:id="226"/>
      </w:r>
      <w:r>
        <w:rPr>
          <w:rFonts w:ascii="Amiri" w:hAnsi="Amiri" w:eastAsia="Amiri" w:cs="Amiri"/>
          <w:color w:val="111111"/>
          <w:sz w:val="28"/>
          <w:sz w:val="28"/>
          <w:szCs w:val="28"/>
          <w:rtl w:val="true"/>
          <w:lang w:bidi="ar-SA"/>
        </w:rPr>
        <w:t xml:space="preserve">مع أنه لا ملازمة بين </w:t>
      </w:r>
    </w:p>
    <w:p>
      <w:pPr>
        <w:pStyle w:val="BookText"/>
        <w:rPr/>
      </w:pPr>
      <w:r>
        <w:rPr>
          <w:rFonts w:ascii="Amiri" w:hAnsi="Amiri" w:eastAsia="Amiri" w:cs="Amiri"/>
          <w:color w:val="111111"/>
          <w:sz w:val="28"/>
          <w:sz w:val="28"/>
          <w:szCs w:val="28"/>
          <w:rtl w:val="true"/>
          <w:lang w:bidi="ar-SA"/>
        </w:rPr>
        <w:t xml:space="preserve">الملك وجواز التمليك ، ولا بين الغرامة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أقصىٰ ما تفيد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ملك المنفعة ولا جواز تمليكها وبين ملك العين، فضلاً عن تمليكها ، كما في منفعة الحرّ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جاز بيعها جازت المعاملة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ورهانتها ،وإعارتها ، وإهداؤها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،وهبتها وتربيتها؛ للعمومات من آيات أو روايات تدلّ علىٰ جواز التصرّف بالملك والمعاملة عليه كيف شاء مالكه </w:t>
      </w:r>
      <w:r>
        <w:rPr>
          <w:rStyle w:val="FootnoteAnchor"/>
          <w:rtl w:val="true"/>
        </w:rPr>
        <w:footnoteReference w:id="227"/>
      </w:r>
      <w:r>
        <w:rPr>
          <w:rFonts w:ascii="Amiri" w:hAnsi="Amiri" w:eastAsia="Amiri" w:cs="Amiri"/>
          <w:color w:val="111111"/>
          <w:sz w:val="28"/>
          <w:sz w:val="28"/>
          <w:szCs w:val="28"/>
          <w:rtl w:val="true"/>
          <w:lang w:bidi="ar-SA"/>
        </w:rPr>
        <w:t xml:space="preserve">، إلّا ما قام الدليل علىٰ منعه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هلكت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خرب الحائط أو هلك الزرع فلا يزول الحكم ؛ للأصل ، وبقاء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المبدأ فى صدق الصفة الفعل ، بل القابلية ، فلا يكون ممّا مبدؤه الفعل كالصائد والحارس ونحوهما من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يجز الاقتناء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والتربية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يتوصل إلىٰ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ضعف عن المنفعة لكبر ، أو مرض لا يُرجىٰ زواله ، أو كسر لا يُرجىٰ انجباره ، أو غيره ؛ جاء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يدخل ما عداها في ملك ، ولا حرمة لها ؛ فيجوز إتلافها ، كسائر النجاسات والمؤذيات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بثبوت الحرمة لما كان نافعاً منها نفعاً محلّلاً ككلب الدار ؛ لم يكن بعيداً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اقتناء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والمتنجسة التي لا تقبل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لفوائده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لتربية الزرع ، والخمر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والعسل ونحوه لأكل النحل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قصد فائدة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استعمالها على نحو استعمال </w:t>
      </w:r>
    </w:p>
    <w:p>
      <w:pPr>
        <w:pStyle w:val="BookText"/>
        <w:rPr/>
      </w:pP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الخلوّ عن القصد لا يبعد الجواز أيضاً ؛ كلّ ذلك لما يظهر من الجمع بين الأخبار، وبين كلمات الفقهاء وإجماعاتهم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يحرم اقتناء المؤذيات ، كالحيّات 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الإيذاء أو رجائه ، لما دلّ من الإجماع والأخبار علىٰ وجوب إتلاف ما فيه ضرب من ضروب الفساد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وأما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مستفادة من دعوىٰ الإجماع علىٰ حرمة الانتفاع بها ، فقد قال الفاضل المقداد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محرّمة الانتفاع ، وكل محرّم الانتفاع لا يصح بيعه ، أمّا الصغرىٰ فإجماعية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السيد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ذلك عن فخر المحقيقن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الشارح قدّس سرّه ناظر في ذلك إلى أدلة الأمر بالمعروف والنهي عن المنكر ، فقد استدل بها المولىٰ النراقي علىٰ وجوب إهراق الخمر كفايةً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الاكتساب بها، لحظر منفعتها الغالبة وندرة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غيرها ، فيلحق بما لا نفع فيه ، وسيجيء تمام الكلام فيه 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من شأنه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المقصود منه حراماً، كالات اللهو كالعود ، وآلات القمار كالشطرنج ، وهياكل العبادة كالصنم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وأواني الذهب والفضّة، وكذا الدراهم الخارجية ، وبعض التغليطات في الجواهر والأقمشة ، إلىٰ غير ذلك ، ممّا جُعل للتوصلّ إلىٰ الحرام وفيه </w:t>
      </w:r>
    </w:p>
    <w:p>
      <w:pPr>
        <w:pStyle w:val="BookText"/>
        <w:rPr/>
      </w:pPr>
      <w:r>
        <w:rPr>
          <w:rFonts w:ascii="IRNazanin" w:hAnsi="IRNazanin" w:eastAsia="IRNazanin"/>
          <w:color w:val="111111"/>
          <w:sz w:val="28"/>
          <w:sz w:val="28"/>
          <w:szCs w:val="28"/>
          <w:rtl w:val="true"/>
          <w:lang w:bidi="fa-IR"/>
        </w:rPr>
        <w:t xml:space="preserve">الفساد العام </w:t>
      </w:r>
      <w:r>
        <w:rPr>
          <w:rStyle w:val="FootnoteAnchor"/>
          <w:rtl w:val="true"/>
        </w:rPr>
        <w:footnoteReference w:id="231"/>
      </w:r>
      <w:r>
        <w:rPr>
          <w:rFonts w:ascii="Amiri" w:hAnsi="Amiri" w:eastAsia="Amiri" w:cs="Amiri"/>
          <w:color w:val="111111"/>
          <w:sz w:val="28"/>
          <w:sz w:val="28"/>
          <w:szCs w:val="28"/>
          <w:rtl w:val="true"/>
          <w:lang w:bidi="ar-SA"/>
        </w:rPr>
        <w:t xml:space="preserve">، فإنّه لا يجوز عمله، ولا استعماله ، ولا الانتفاع به ، ولا إبقاؤه ، ولا الاكتساب به بجميع وجوهه، من غير فرق بين قصد الجهة المحلَّلة ،وغيرها ولا بين قصد المادة وقصد الصورة ؛ لظاهر الإجماع </w:t>
      </w:r>
      <w:r>
        <w:rPr>
          <w:rStyle w:val="FootnoteAnchor"/>
          <w:rtl w:val="true"/>
        </w:rPr>
        <w:footnoteReference w:id="232"/>
      </w:r>
      <w:r>
        <w:rPr>
          <w:rFonts w:ascii="IRNazanin" w:hAnsi="IRNazanin" w:eastAsia="IRNazanin"/>
          <w:color w:val="111111"/>
          <w:sz w:val="28"/>
          <w:sz w:val="28"/>
          <w:szCs w:val="28"/>
          <w:rtl w:val="true"/>
          <w:lang w:bidi="fa-IR"/>
        </w:rPr>
        <w:t xml:space="preserve">والأخبار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ذكر مصدرها في الهامش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تدل عليه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ورواية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المتقدم ذكرهما فى نفس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روايات وردت في خصوص بعض ما ذكر ، 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88/14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الصورة في ملك المسلم وغير المستحلّ من</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المستحلّ ما مرّ من الوجهين وأمّا المادّة فالأقوىٰ ملكيتها ، لكنّها لا تضمن لو توقّف إتلاف الصورة علىٰ إتلافها، بل لا يبعد عدم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بيعها من قسم بيع المتغايرين في صفقة حتى يصحّ في البعض دون البعض، بل هما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تجرّدت عن الصورة كانت كسائر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اشتراك الصورة بين الحلال والحرام يتّبع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دخلت صفة الحرام في معاملة أفسدتها ، فلا يصحّ بيع المغنّي والكاهن والساحر والمقامر والنائح بالباطل والعارف بطرق اللّعب واللهو والمؤذي مع ملاحظة صفاتهم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إلىٰ الكافر الحربي لأخذ ماله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حرمة المال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المجتهدان أو مقلداهما في الحكم اختصّ كلّ بحكمه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بهذا القسم المعاملة مع أهل الباطل علىٰ ما يقوّيهم علىٰ أهل الحقّ حال قيام الحرب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الدين أو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ما يُتّخذ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خصوص الحديد كان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مطلق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إسلام أو مذهب أصل أو فرع ، قصد به المساعدة أولا </w:t>
      </w:r>
      <w:r>
        <w:rPr>
          <w:rStyle w:val="FootnoteAnchor"/>
          <w:rtl w:val="true"/>
        </w:rPr>
        <w:footnoteReference w:id="235"/>
      </w:r>
      <w:r>
        <w:rPr>
          <w:rFonts w:ascii="Amiri" w:hAnsi="Amiri" w:eastAsia="Amiri" w:cs="Amiri"/>
          <w:color w:val="111111"/>
          <w:sz w:val="28"/>
          <w:sz w:val="28"/>
          <w:szCs w:val="28"/>
          <w:rtl w:val="true"/>
          <w:lang w:bidi="ar-SA"/>
        </w:rPr>
        <w:t xml:space="preserve">مع قيام الحرب بين الظالمين والمظلومين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انتفاعهم به في تلك الحرب ؛ للإجماع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 الأخبار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قيام الحرب لا يحرم إلّا مع القصد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لو كان أحد المتعاملين مسلماً أو كافراً غير 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مستحلّين لم تبعد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ذلك بناء القناطر، وإصلاح الطريق الموصل إلىٰ المسلمين، وتهيأة الدواب وأسباب السفر، والسعي في تقويتهم بقلم أو شعر أو استمالة الخلق،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حصلت المعاملة لجهل بالحال ، أو تقيّة ؛ فسدت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زعم موضوع الحرام ، والواقع خلافه ؛ صحّت وإنْ كان عاصياً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الحكم هنا معلولاً لمظنّة ترتّب الحرام ، إذ لا تصلح للعلّية ؛ بل لقيام الحجّة علىٰ 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جهة الحرام بين الأصلیة الوضعیة والمقارنة الغالبية وبين المأخوذة في النيّة ولو مع ندرتها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السفن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والمراكب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للمحرّمات ، وبيع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صليباً أو آلة لهو أو نحوها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إجارتها لمن يحمل أو يضع فيها أو عليها شيئاً من المحرّمات لا بقصد الصرف في الوجه الحرام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بيعهما علىٰ من يعمله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التقييد بعدم الشرطية أنّه لا بأس به مع النيّة ، أو التصريح بالعلّية ، أو العلم اليقيني فضلاً عن الظنّي ، مع أنّه لا ينبغي التأمّل في تحريم القسمين الأوّلين ؛ للإجماع المنقول </w:t>
      </w:r>
      <w:r>
        <w:rPr>
          <w:rStyle w:val="FootnoteAnchor"/>
          <w:rtl w:val="true"/>
        </w:rPr>
        <w:footnoteReference w:id="239"/>
      </w:r>
      <w:r>
        <w:rPr>
          <w:rFonts w:ascii="IRNazanin" w:hAnsi="IRNazanin" w:eastAsia="IRNazanin"/>
          <w:color w:val="111111"/>
          <w:sz w:val="28"/>
          <w:sz w:val="28"/>
          <w:szCs w:val="28"/>
          <w:rtl w:val="true"/>
          <w:lang w:bidi="fa-IR"/>
        </w:rPr>
        <w:t xml:space="preserve">، وظاهر الأخبار </w:t>
      </w:r>
      <w:r>
        <w:rPr>
          <w:rStyle w:val="FootnoteAnchor"/>
          <w:rtl w:val="true"/>
        </w:rPr>
        <w:footnoteReference w:id="240"/>
      </w:r>
      <w:r>
        <w:rPr>
          <w:rFonts w:ascii="Amiri" w:hAnsi="Amiri" w:eastAsia="Amiri" w:cs="Amiri"/>
          <w:color w:val="111111"/>
          <w:sz w:val="28"/>
          <w:sz w:val="28"/>
          <w:szCs w:val="28"/>
          <w:rtl w:val="true"/>
          <w:lang w:bidi="ar-SA"/>
        </w:rPr>
        <w:t xml:space="preserve">، ولأنّ فيه منافاة للنهي عن المنكر ، بل إعانة على الإثم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بالشرط ما يعمّ العلّة، منويّة أو مصرّحة ؛ لم يكن بعيداً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ليعمل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 سيجيء من قوله في الذمّي المستأجر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أجره لذلك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العلم اليقيني ، أو الظنّي ؛ فلا يبعث على التحريم في غير الدماء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 النهي عن المنكر مع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المستفاد من العموم في أجناس العقود وأنواعها ، والأخبار الكثيرة </w:t>
      </w:r>
      <w:r>
        <w:rPr>
          <w:rStyle w:val="FootnoteAnchor"/>
          <w:rtl w:val="true"/>
        </w:rPr>
        <w:footnoteReference w:id="241"/>
      </w:r>
      <w:r>
        <w:rPr>
          <w:rFonts w:ascii="Amiri" w:hAnsi="Amiri" w:eastAsia="Amiri" w:cs="Amiri"/>
          <w:color w:val="111111"/>
          <w:sz w:val="28"/>
          <w:sz w:val="28"/>
          <w:szCs w:val="28"/>
          <w:rtl w:val="true"/>
          <w:lang w:bidi="ar-SA"/>
        </w:rPr>
        <w:t xml:space="preserve">المشتملة على الصحاح وغيرها </w:t>
      </w:r>
    </w:p>
    <w:p>
      <w:pPr>
        <w:pStyle w:val="BookText"/>
        <w:rPr/>
      </w:pPr>
      <w:r>
        <w:rPr>
          <w:rFonts w:ascii="Amiri" w:hAnsi="Amiri" w:eastAsia="Amiri" w:cs="Amiri"/>
          <w:color w:val="111111"/>
          <w:sz w:val="28"/>
          <w:sz w:val="28"/>
          <w:szCs w:val="28"/>
          <w:rtl w:val="true"/>
          <w:lang w:bidi="ar-SA"/>
        </w:rPr>
        <w:t xml:space="preserve">ولقضاء سيرة المسلمين بجوازه ، إذ عادتهم المعاملة الملوك والأمراء فيما يعلمون صرفه في تقوية الجند والعساكر المساعدين لهم على الظلم والباطل ، وفي إجارة الدور والمساكن والمراكب لهم لذلك وبيع المطاعم والمشارب للكفّار في نهار شهر رمضان مع علمهم بأكلهم فيه ، وبيع بساتين العنب منهم مع العلم العادي بجعل بعضه خمراً، وبيع القرطاس منهم مع العلم بأنّ منه ما يُتخذ كتب الضلال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العلم اليقيني غير ممكن الحصول إلّا نادراً ، لأنّ العوارض لا تضبط ولا يعلم الغيب إلا اللّٰه ، ومن هذا يظهر أنّ فساد المعاملة مقصور علىٰ الشرطية ، لأنّ العلّية من طرف المشتري معلومة ، إذْ العلم إنّما يتعلّق بقصده غالباً، فلو فسد العقد من جانبه فسد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التحريم بين قصد جهة الحرام منفردة أو منضمة إلىٰ جهة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الوكيل المتصرّف مؤثّرة في المنع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الوكيل علىٰ مجرّد إجراء الصيغة، فإنّ المدار علىٰ قصد 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بل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الأصيل أو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وأضرابها من المحرّمات والنجاسات وجميع المعاملات المتعلّقة بها من مسلم أو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حربياً ، إذْ سلطان الوكيل تابع لسلطان موكّله ، الموقوف علىٰ الملك ، وعدم 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للمسلم منع الذمّى المستأجر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سفينته أو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المحرّمات المحلّلة في مذهبه ممّا لا يقدح في شرائط الذمّة ، في الدار ، أو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سفينته ، أو على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علىٰ المسلم إذا خلا عن </w:t>
      </w:r>
      <w:bookmarkStart w:id="159" w:name="pg20243_272066"/>
    </w:p>
    <w:p>
      <w:pPr>
        <w:pStyle w:val="BookText"/>
        <w:rPr/>
      </w:pPr>
      <w:bookmarkEnd w:id="159"/>
      <w:r>
        <w:rPr>
          <w:rFonts w:ascii="Amiri" w:hAnsi="Amiri" w:eastAsia="Amiri" w:cs="Amiri"/>
          <w:color w:val="111111"/>
          <w:sz w:val="28"/>
          <w:sz w:val="28"/>
          <w:szCs w:val="28"/>
          <w:rtl w:val="true"/>
          <w:lang w:bidi="ar-SA"/>
        </w:rPr>
        <w:t xml:space="preserve">النية والعليّة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أو 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يشترطه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سفينة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المحرّمات أو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إنْ كان للتخليل أو 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من الوجوه المحلّلة ، ولم ينضمّ إليها جهة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حرم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ببيع ما يكنّ من آلة السلاح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كالدرع والبيضة ولو علىٰ أعداء الدين، ما لم يكن حين الحرب باعثاً علىٰ جرأتهم علىٰ قتال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باعثاً علىٰ جرأتهم، وقوّة شوكتهم ، واستضعاف المسلمين ، ومقاتلتهم ؛ فإنّه حرام ولو تعلّق بالمطعوم والمشروب والمركوب وغيرها </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5284888_2320776876"/>
      <w:bookmarkStart w:id="161" w:name="_Toc55"/>
      <w:bookmarkEnd w:id="160"/>
      <w:r>
        <w:rPr>
          <w:rtl w:val="true"/>
        </w:rPr>
        <w:t>الثالث</w:t>
      </w:r>
      <w:r>
        <w:rPr>
          <w:rtl w:val="true"/>
        </w:rPr>
        <w:t xml:space="preserve">: </w:t>
      </w:r>
      <w:r>
        <w:rPr>
          <w:rtl w:val="true"/>
        </w:rPr>
        <w:t>بیع ما لا ینتفع به</w:t>
      </w:r>
      <w:bookmarkEnd w:id="161"/>
    </w:p>
    <w:p>
      <w:pPr>
        <w:pStyle w:val="Heading3"/>
        <w:numPr>
          <w:ilvl w:val="2"/>
          <w:numId w:val="1"/>
        </w:numPr>
        <w:rPr/>
      </w:pPr>
      <w:bookmarkStart w:id="162" w:name="__RefHeading___Toc5284890_2320776876"/>
      <w:bookmarkStart w:id="163" w:name="_Toc56"/>
      <w:bookmarkEnd w:id="162"/>
      <w:r>
        <w:rPr>
          <w:rtl w:val="true"/>
        </w:rPr>
        <w:t>اشارة</w:t>
      </w:r>
      <w:bookmarkEnd w:id="1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المعاملة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نفعاً معتبراً عادةً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أريد ما يعمّ الشرعي أغنىٰ عن كثير من القسمين الأوّلين ، فلو فقد المنفعة الغالبة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لحرمته أو لخِسّته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ملك ولا تمليك ، لا مجّاناً ولا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وفاقدها لقلّته قد يصادف الملك مع امتناع التمليك مطلقاً، أو التمليك مطلقاً، أو مع التعويض خاصّة كلّ ذلك لما فُهِم من الأخبار </w:t>
      </w:r>
      <w:r>
        <w:rPr>
          <w:rStyle w:val="FootnoteAnchor"/>
          <w:rtl w:val="true"/>
        </w:rPr>
        <w:footnoteReference w:id="243"/>
      </w:r>
      <w:r>
        <w:rPr>
          <w:rFonts w:ascii="Amiri" w:hAnsi="Amiri" w:eastAsia="Amiri" w:cs="Amiri"/>
          <w:color w:val="111111"/>
          <w:sz w:val="28"/>
          <w:sz w:val="28"/>
          <w:szCs w:val="28"/>
          <w:rtl w:val="true"/>
          <w:lang w:bidi="ar-SA"/>
        </w:rPr>
        <w:t xml:space="preserve">وكلام الأصحاب </w:t>
      </w:r>
      <w:r>
        <w:rPr>
          <w:rStyle w:val="FootnoteAnchor"/>
          <w:rtl w:val="true"/>
        </w:rPr>
        <w:footnoteReference w:id="244"/>
      </w:r>
      <w:r>
        <w:rPr>
          <w:rFonts w:ascii="Amiri" w:hAnsi="Amiri" w:eastAsia="Amiri" w:cs="Amiri"/>
          <w:color w:val="111111"/>
          <w:sz w:val="28"/>
          <w:sz w:val="28"/>
          <w:szCs w:val="28"/>
          <w:rtl w:val="true"/>
          <w:lang w:bidi="ar-SA"/>
        </w:rPr>
        <w:t xml:space="preserve">بل ظاهر الكتاب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أنّ جمیع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عباداتها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شرّعت لمصالح الناس وفوائدهم الدنيوية أو الاُخروية ممّا تسمّىٰ مصلحة وفائدة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الشكّ في دليل الصحّة قاضٍ بالفساد ، مضافاً إلىٰ الإجماع </w:t>
      </w:r>
      <w:r>
        <w:rPr>
          <w:rStyle w:val="FootnoteAnchor"/>
          <w:rtl w:val="true"/>
        </w:rPr>
        <w:footnoteReference w:id="246"/>
      </w:r>
      <w:r>
        <w:rPr>
          <w:rFonts w:ascii="Amiri" w:hAnsi="Amiri" w:eastAsia="Amiri" w:cs="Amiri"/>
          <w:color w:val="111111"/>
          <w:sz w:val="28"/>
          <w:sz w:val="28"/>
          <w:szCs w:val="28"/>
          <w:rtl w:val="true"/>
          <w:lang w:bidi="ar-SA"/>
        </w:rPr>
        <w:t xml:space="preserve">والأخبار عامة وخاصّة </w:t>
      </w:r>
      <w:r>
        <w:rPr>
          <w:rStyle w:val="FootnoteAnchor"/>
          <w:rtl w:val="true"/>
        </w:rPr>
        <w:footnoteReference w:id="24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دوابّ الأرض وصغار هوامها ، أو هوامها مطلقاً التي هي عبارة عن المخوف كالحيّات ونحوها ، أو ما لا يعقل من الحيوان ، أو ما لا يحتاج إلى الماء وشمّ الهواء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ففي </w:t>
      </w:r>
    </w:p>
    <w:p>
      <w:pPr>
        <w:pStyle w:val="BookText"/>
        <w:rPr/>
      </w:pPr>
      <w:r>
        <w:rPr>
          <w:rFonts w:ascii="Amiri" w:hAnsi="Amiri" w:eastAsia="Amiri" w:cs="Amiri"/>
          <w:color w:val="111111"/>
          <w:sz w:val="28"/>
          <w:sz w:val="28"/>
          <w:szCs w:val="28"/>
          <w:rtl w:val="true"/>
          <w:lang w:bidi="ar-SA"/>
        </w:rPr>
        <w:t xml:space="preserve">التفصيل عطف خاصّ علىٰ عامّ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والفأر</w:t>
      </w:r>
      <w:r>
        <w:rPr>
          <w:rStyle w:val="FootnoteAnchor"/>
          <w:rtl w:val="true"/>
        </w:rPr>
        <w:footnoteReference w:id="249"/>
      </w:r>
      <w:r>
        <w:rPr>
          <w:rFonts w:ascii="Amiri" w:hAnsi="Amiri" w:eastAsia="Amiri" w:cs="Amiri"/>
          <w:color w:val="111111"/>
          <w:sz w:val="28"/>
          <w:sz w:val="28"/>
          <w:szCs w:val="28"/>
          <w:rtl w:val="true"/>
          <w:lang w:bidi="ar-SA"/>
        </w:rPr>
        <w:t>والحيات والخنافس والعقارب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جميع الدوابّ الصغار الخالية عن النفع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ما لا نفع فيه ، كالمنفصل من الإنسان من شعر أو ظفر أو عرق أو بصاق أو نخامة ونحو ذلك ، فليس المانع الكون من الحشار أو الدوابّ الصغار ، بل المدار علىٰ النفع وعدمه، فما كان منها نافعاً بنفسه كالعلق بيع علىٰ حاله ، أو مع التركيب بغيره بيع حين تركيبه ، بل لو اشتهر تركيبه بيع منفرداً أيضاً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ذي المنفعة الغالبة قصدها حين المعاملة ، حتىٰ لو خلىٰ عن القصد أو قصد النادرة فسدت ، أو لا؟ وجهان ، أقواهما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الانتفاع بها في جميع الوجوه المحلّلة ما لم يدخل في حكم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بينه وبين جواز الاكتساب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جملة الخالي عن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سبع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المفترس من الحيوان،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ناب أو مخلاب يفترس به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يصلح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يفترس بنابه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رَخَمَة، طائر يأكل العذرة ، يُعَدّ من الخبائث ، حرام أكله ، يشبه النسر في الخلق ، لكنه يضعف عن الاصطياد وإنْ عُدّ السباع </w:t>
      </w:r>
      <w:r>
        <w:rPr>
          <w:rStyle w:val="FootnoteAnchor"/>
          <w:rtl w:val="true"/>
        </w:rPr>
        <w:footnoteReference w:id="2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يُعَدّ من سباع الطير</w:t>
      </w:r>
      <w:r>
        <w:rPr>
          <w:rStyle w:val="FootnoteAnchor"/>
          <w:rtl w:val="true"/>
        </w:rPr>
        <w:footnoteReference w:id="252"/>
      </w:r>
      <w:r>
        <w:rPr>
          <w:rFonts w:ascii="Amiri" w:hAnsi="Amiri" w:eastAsia="Amiri" w:cs="Amiri"/>
          <w:color w:val="111111"/>
          <w:sz w:val="28"/>
          <w:sz w:val="28"/>
          <w:szCs w:val="28"/>
          <w:rtl w:val="true"/>
          <w:lang w:bidi="ar-SA"/>
        </w:rPr>
        <w:t xml:space="preserve">، والأسود الأكل </w:t>
      </w:r>
    </w:p>
    <w:p>
      <w:pPr>
        <w:pStyle w:val="BookText"/>
        <w:rPr/>
      </w:pPr>
      <w:r>
        <w:rPr>
          <w:rFonts w:ascii="Amiri" w:hAnsi="Amiri" w:eastAsia="Amiri" w:cs="Amiri"/>
          <w:color w:val="111111"/>
          <w:sz w:val="28"/>
          <w:sz w:val="28"/>
          <w:szCs w:val="28"/>
          <w:rtl w:val="true"/>
          <w:lang w:bidi="ar-SA"/>
        </w:rPr>
        <w:t xml:space="preserve">للجيف الساكن 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الأبقع </w:t>
      </w:r>
      <w:r>
        <w:rPr>
          <w:rStyle w:val="FootnoteAnchor"/>
          <w:rtl w:val="true"/>
        </w:rPr>
        <w:footnoteReference w:id="253"/>
      </w:r>
      <w:r>
        <w:rPr>
          <w:rFonts w:ascii="Amiri" w:hAnsi="Amiri" w:eastAsia="Amiri" w:cs="Amiri"/>
          <w:color w:val="111111"/>
          <w:sz w:val="28"/>
          <w:sz w:val="28"/>
          <w:szCs w:val="28"/>
          <w:rtl w:val="true"/>
          <w:lang w:bidi="ar-SA"/>
        </w:rPr>
        <w:t xml:space="preserve">الأكل للجيف أيضاً من 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فيحرمان لذلك إجماعاً </w:t>
      </w:r>
      <w:r>
        <w:rPr>
          <w:rStyle w:val="FootnoteAnchor"/>
          <w:rtl w:val="true"/>
        </w:rPr>
        <w:footnoteReference w:id="254"/>
      </w:r>
      <w:r>
        <w:rPr>
          <w:rFonts w:ascii="IRNazanin" w:hAnsi="IRNazanin" w:eastAsia="IRNazanin"/>
          <w:color w:val="111111"/>
          <w:sz w:val="28"/>
          <w:sz w:val="28"/>
          <w:szCs w:val="28"/>
          <w:rtl w:val="true"/>
          <w:lang w:bidi="fa-IR"/>
        </w:rPr>
        <w:t xml:space="preserve">، ولا اعتبار بالقول النادر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غراب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أغبر اللون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فليسا من السباع، لكنّهما حرام ، للإجماع المنقول </w:t>
      </w:r>
      <w:r>
        <w:rPr>
          <w:rStyle w:val="FootnoteAnchor"/>
          <w:rtl w:val="true"/>
        </w:rPr>
        <w:footnoteReference w:id="257"/>
      </w:r>
      <w:r>
        <w:rPr>
          <w:rFonts w:ascii="Amiri" w:hAnsi="Amiri" w:eastAsia="Amiri" w:cs="Amiri"/>
          <w:color w:val="111111"/>
          <w:sz w:val="28"/>
          <w:sz w:val="28"/>
          <w:szCs w:val="28"/>
          <w:rtl w:val="true"/>
          <w:lang w:bidi="ar-SA"/>
        </w:rPr>
        <w:t xml:space="preserve">والأخبار الدالّة علىٰ حرمة الغراب بعمومه وخصوصه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يساويها في التحريم ، لأنّ المتولّد من الحرام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المعاوضة عليها ، لأنّها لا نفع فيها فتدخل تحت الإجماعات والأخبار المانعة منها فيما لا نفع فيه </w:t>
      </w:r>
      <w:r>
        <w:rPr>
          <w:rStyle w:val="FootnoteAnchor"/>
          <w:rtl w:val="true"/>
        </w:rPr>
        <w:footnoteReference w:id="260"/>
      </w:r>
      <w:r>
        <w:rPr>
          <w:rFonts w:ascii="Amiri" w:hAnsi="Amiri" w:eastAsia="Amiri" w:cs="Amiri"/>
          <w:color w:val="111111"/>
          <w:sz w:val="28"/>
          <w:sz w:val="28"/>
          <w:szCs w:val="28"/>
          <w:rtl w:val="true"/>
          <w:lang w:bidi="ar-SA"/>
        </w:rPr>
        <w:t xml:space="preserve">، وللإجماع المنقول في الأسد والذئب والنمر </w:t>
      </w:r>
      <w:r>
        <w:rPr>
          <w:rStyle w:val="FootnoteAnchor"/>
          <w:rtl w:val="true"/>
        </w:rPr>
        <w:footnoteReference w:id="261"/>
      </w:r>
      <w:r>
        <w:rPr>
          <w:rFonts w:ascii="Amiri" w:hAnsi="Amiri" w:eastAsia="Amiri" w:cs="Amiri"/>
          <w:color w:val="111111"/>
          <w:sz w:val="28"/>
          <w:sz w:val="28"/>
          <w:szCs w:val="28"/>
          <w:rtl w:val="true"/>
          <w:lang w:bidi="ar-SA"/>
        </w:rPr>
        <w:t xml:space="preserve">، والمناط منقّح ، ولأنّها نجسة </w:t>
      </w:r>
      <w:r>
        <w:rPr>
          <w:rStyle w:val="FootnoteAnchor"/>
          <w:rtl w:val="true"/>
        </w:rPr>
        <w:footnoteReference w:id="262"/>
      </w:r>
      <w:r>
        <w:rPr>
          <w:rFonts w:ascii="IRNazanin" w:hAnsi="IRNazanin" w:eastAsia="IRNazanin"/>
          <w:color w:val="111111"/>
          <w:sz w:val="28"/>
          <w:sz w:val="28"/>
          <w:szCs w:val="28"/>
          <w:rtl w:val="true"/>
          <w:lang w:bidi="fa-IR"/>
        </w:rPr>
        <w:t xml:space="preserve">فتدخل </w:t>
      </w:r>
    </w:p>
    <w:p>
      <w:pPr>
        <w:pStyle w:val="BookText"/>
        <w:rPr/>
      </w:pPr>
      <w:r>
        <w:rPr>
          <w:rFonts w:ascii="Amiri" w:hAnsi="Amiri" w:eastAsia="Amiri" w:cs="Amiri"/>
          <w:color w:val="111111"/>
          <w:sz w:val="28"/>
          <w:sz w:val="28"/>
          <w:szCs w:val="28"/>
          <w:rtl w:val="true"/>
          <w:lang w:bidi="ar-SA"/>
        </w:rPr>
        <w:t xml:space="preserve">في النجس ، ولقوله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اليهود حُرّمت عليهم الشحوم فباعوها</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ونحوهما ، ولحومها حرام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أقصىٰ ما يستند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في محلّ المنع ، لوجود النفع الغالب بالجلود والوَبَر ونحوهما في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المنقول والخبران تضعف بالشهرة ، ولا تقاوم العمومات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w:t>
      </w:r>
      <w:r>
        <w:rPr>
          <w:rStyle w:val="FootnoteAnchor"/>
          <w:rtl w:val="true"/>
        </w:rPr>
        <w:footnoteReference w:id="26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 من الخبرين تحريم الجهة الغالبة أو مع القصد، وإلّا فليس في الوجود ما يحلّ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بالنجاسة مردود بالإجماع </w:t>
      </w:r>
      <w:r>
        <w:rPr>
          <w:rStyle w:val="FootnoteAnchor"/>
          <w:rtl w:val="true"/>
        </w:rPr>
        <w:footnoteReference w:id="266"/>
      </w:r>
      <w:r>
        <w:rPr>
          <w:rFonts w:ascii="IRNazanin" w:hAnsi="IRNazanin" w:eastAsia="IRNazanin"/>
          <w:color w:val="111111"/>
          <w:sz w:val="28"/>
          <w:sz w:val="28"/>
          <w:szCs w:val="28"/>
          <w:rtl w:val="true"/>
          <w:lang w:bidi="fa-IR"/>
        </w:rPr>
        <w:t xml:space="preserve">والأخبار </w:t>
      </w:r>
      <w:r>
        <w:rPr>
          <w:rStyle w:val="FootnoteAnchor"/>
          <w:rtl w:val="true"/>
        </w:rPr>
        <w:footnoteReference w:id="267"/>
      </w:r>
      <w:r>
        <w:rPr>
          <w:rFonts w:ascii="IRNazanin" w:hAnsi="IRNazanin" w:eastAsia="IRNazanin"/>
          <w:color w:val="111111"/>
          <w:sz w:val="28"/>
          <w:sz w:val="28"/>
          <w:szCs w:val="28"/>
          <w:rtl w:val="true"/>
          <w:lang w:bidi="fa-IR"/>
        </w:rPr>
        <w:t xml:space="preserve">وما دلّ على جواز استعمال جلود السباع مطلقاً أو جلود النمر </w:t>
      </w:r>
    </w:p>
    <w:p>
      <w:pPr>
        <w:pStyle w:val="BookText"/>
        <w:rPr/>
      </w:pPr>
      <w:r>
        <w:rPr>
          <w:rFonts w:ascii="Amiri" w:hAnsi="Amiri" w:eastAsia="Amiri" w:cs="Amiri"/>
          <w:color w:val="111111"/>
          <w:sz w:val="28"/>
          <w:sz w:val="28"/>
          <w:szCs w:val="28"/>
          <w:rtl w:val="true"/>
          <w:lang w:bidi="ar-SA"/>
        </w:rPr>
        <w:t xml:space="preserve">المدبوغة من إجماع منقول </w:t>
      </w:r>
      <w:r>
        <w:rPr>
          <w:rStyle w:val="FootnoteAnchor"/>
          <w:rtl w:val="true"/>
        </w:rPr>
        <w:footnoteReference w:id="268"/>
      </w:r>
      <w:r>
        <w:rPr>
          <w:rFonts w:ascii="IRNazanin" w:hAnsi="IRNazanin" w:eastAsia="IRNazanin"/>
          <w:color w:val="111111"/>
          <w:sz w:val="28"/>
          <w:sz w:val="28"/>
          <w:szCs w:val="28"/>
          <w:rtl w:val="true"/>
          <w:lang w:bidi="fa-IR"/>
        </w:rPr>
        <w:t xml:space="preserve">وأخبار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الإجماع المنقول علىٰ جواز بيع فراء السباع وجلودها </w:t>
      </w:r>
      <w:r>
        <w:rPr>
          <w:rStyle w:val="FootnoteAnchor"/>
          <w:rtl w:val="true"/>
        </w:rPr>
        <w:footnoteReference w:id="270"/>
      </w:r>
      <w:r>
        <w:rPr>
          <w:rFonts w:ascii="Amiri" w:hAnsi="Amiri" w:eastAsia="Amiri" w:cs="Amiri"/>
          <w:color w:val="111111"/>
          <w:sz w:val="28"/>
          <w:sz w:val="28"/>
          <w:szCs w:val="28"/>
          <w:rtl w:val="true"/>
          <w:lang w:bidi="ar-SA"/>
        </w:rPr>
        <w:t xml:space="preserve">و بیع الهرّ </w:t>
      </w:r>
      <w:r>
        <w:rPr>
          <w:rStyle w:val="FootnoteAnchor"/>
          <w:rtl w:val="true"/>
        </w:rPr>
        <w:footnoteReference w:id="271"/>
      </w:r>
      <w:r>
        <w:rPr>
          <w:rFonts w:ascii="Amiri" w:hAnsi="Amiri" w:eastAsia="Amiri" w:cs="Amiri"/>
          <w:color w:val="111111"/>
          <w:sz w:val="28"/>
          <w:sz w:val="28"/>
          <w:szCs w:val="28"/>
          <w:rtl w:val="true"/>
          <w:lang w:bidi="ar-SA"/>
        </w:rPr>
        <w:t xml:space="preserve">أبين شاهد علىٰ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وبيع بيعه لجلده بيعاً لجلده حتىٰ تلزم الجهالة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مجرّد السبعية ، أو مع عدم الصيدية ، ليس له في تحريم المعاملة مدخلية ، فليس المدار إلّا علىٰ النفع وعدمه، كما يستفاد من صدر العنوان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السباع 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المحوّلة من صورة إلى أقبح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التي حُوّل الإنسان إليها ومواليدها وصورها معاً ، أو صورها فقط بناءً على عدم بقائها أكثر من ثلاثة أيام وعدم توالدها </w:t>
      </w:r>
      <w:r>
        <w:rPr>
          <w:rStyle w:val="FootnoteAnchor"/>
          <w:rtl w:val="true"/>
        </w:rPr>
        <w:footnoteReference w:id="272"/>
      </w:r>
      <w:r>
        <w:rPr>
          <w:rFonts w:ascii="Amiri" w:hAnsi="Amiri" w:eastAsia="Amiri" w:cs="Amiri"/>
          <w:color w:val="111111"/>
          <w:sz w:val="28"/>
          <w:sz w:val="28"/>
          <w:szCs w:val="28"/>
          <w:rtl w:val="true"/>
          <w:lang w:bidi="ar-SA"/>
        </w:rPr>
        <w:t xml:space="preserve">واعتبار الجميع مسوخاً أو مواليدها خلاف البديهة ، للعلم بسبق أنواعها كلّاً أو جُلاً على المسخ ، وعدم انقطاع مواليدها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سباعاً كانت المسوخ أو لا، نجسة العين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تتعدّد الجهات المانعة من الاكتساب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كالقرد وإنْ قصد به حفظ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والخنزير والكلب البريين أو مطلقاً ، والفيل ، والذئب ، والفأرة ، والضبّ ، والأرنب ، والطاووس، والوطواط ، وهو الخطاف أو الخفّاش ، والنقعاء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بها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طائر عظيم ، معروف الاسم مجهول الجسم ، لا يراه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طير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غريب يبيض بيضاً كالجبال ، وسُمّيت بذلك لأنّ فى عنقها بياضاً كالطوق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عند مغرب الشمس ، ولذا قيل عنقاء مغرب</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 ، واليربوع ، والقنفذ ، والطافي، وهو قسم من الحيّات، والعقرب ، والزنبور ، والوزغ ، والدبا والمهرجل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نوعان من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والعنكبوت ،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لا ذَنَب لها ، ولها مثل ألية الخروف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بنات عرس ، والوَرَل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على خلقة الضبّ ، والبعوض ، والقمّل ، وسهيل ، 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لإلحاقهم لها في كتاب الحجّ بالصيد الحلال ، وإلحاق بيضها ببيضه ، وقضاء السيرة بأكله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بحرية كالجرّي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الجرّيث أو نوع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والدعموص ، دويبة سوداء تغوص في الماء وتكون في الغدران </w:t>
      </w:r>
      <w:r>
        <w:rPr>
          <w:rStyle w:val="FootnoteAnchor"/>
          <w:rtl w:val="true"/>
        </w:rPr>
        <w:footnoteReference w:id="275"/>
      </w:r>
      <w:r>
        <w:rPr>
          <w:rFonts w:ascii="Amiri" w:hAnsi="Amiri" w:eastAsia="Amiri" w:cs="Amiri"/>
          <w:color w:val="111111"/>
          <w:sz w:val="28"/>
          <w:sz w:val="28"/>
          <w:szCs w:val="28"/>
          <w:rtl w:val="true"/>
          <w:lang w:bidi="ar-SA"/>
        </w:rPr>
        <w:t xml:space="preserve">، والسرطان ، وهو عقرب الماء ، له ثمانية أرجل ، وعيناه في كتفه وصدره ، يمشى على جانب واحد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اللّٰه يا مذنبون </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والزمير والمارماهي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مسخ سبعماءَة أُمّة فأخذ أربعماءة براً وثلاثماءة بحراً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وحيث إنّا لا نرى للمسخ من حيث هو أثراً في ترتّب الحكم ؛ لم يحسن منّا البحث فيما صحّ من الروايات الواردة في التعداد أو ضَعُف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منها من نجس العين كالكلب والخنزير أو من الحشرات والدوابّ الصغار كالوزغ والعقرب ، أو من السباع كالذئب ؛ تجري فيه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خرج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خلا عن الفائدة المعتبرة فلا تصحّ المعاوضة عليه ، لما تقدّم في صدر البحث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ينتفع به كالفيل المنتفع بعظمه المسمّى بالعاج ، والثعالب والأرانب المنتفع بجلودهما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الدباغ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العماملة عليه والجلد ، والبيع للجلد والعظم غير بيع الجلد والعظم ، فلا غرر ، فيصحّ المعاملة عليهما مطلقاً مع الانفصال ؛ للإجماع </w:t>
      </w:r>
      <w:r>
        <w:rPr>
          <w:rStyle w:val="FootnoteAnchor"/>
          <w:rtl w:val="true"/>
        </w:rPr>
        <w:footnoteReference w:id="278"/>
      </w:r>
      <w:r>
        <w:rPr>
          <w:rFonts w:ascii="Amiri" w:hAnsi="Amiri" w:eastAsia="Amiri" w:cs="Amiri"/>
          <w:color w:val="111111"/>
          <w:sz w:val="28"/>
          <w:sz w:val="28"/>
          <w:szCs w:val="28"/>
          <w:rtl w:val="true"/>
          <w:lang w:bidi="ar-SA"/>
        </w:rPr>
        <w:t xml:space="preserve">،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 </w:t>
      </w:r>
    </w:p>
    <w:p>
      <w:pPr>
        <w:pStyle w:val="BookText"/>
        <w:rPr/>
      </w:pPr>
      <w:r>
        <w:rPr>
          <w:rFonts w:ascii="IRNazanin" w:hAnsi="IRNazanin" w:eastAsia="IRNazanin"/>
          <w:color w:val="111111"/>
          <w:sz w:val="28"/>
          <w:sz w:val="28"/>
          <w:szCs w:val="28"/>
          <w:rtl w:val="true"/>
          <w:lang w:bidi="fa-IR"/>
        </w:rPr>
        <w:t xml:space="preserve">بالنادر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روي عن أبي إبراهيم علیه السلام من الاستدلال علىٰ جواز بيع العاج بأنّه كان عند أبيه منه أمشاط </w:t>
      </w:r>
      <w:r>
        <w:rPr>
          <w:rStyle w:val="FootnoteAnchor"/>
          <w:rtl w:val="true"/>
        </w:rPr>
        <w:footnoteReference w:id="279"/>
      </w:r>
      <w:r>
        <w:rPr>
          <w:rFonts w:ascii="Amiri" w:hAnsi="Amiri" w:eastAsia="Amiri" w:cs="Amiri"/>
          <w:color w:val="111111"/>
          <w:sz w:val="28"/>
          <w:sz w:val="28"/>
          <w:szCs w:val="28"/>
          <w:rtl w:val="true"/>
          <w:lang w:bidi="ar-SA"/>
        </w:rPr>
        <w:t xml:space="preserve">، وخصوص الصلح ونحوه مع الاتصال ، فإطلاق المنع فيها </w:t>
      </w:r>
      <w:r>
        <w:rPr>
          <w:rStyle w:val="FootnoteAnchor"/>
          <w:rtl w:val="true"/>
        </w:rPr>
        <w:footnoteReference w:id="280"/>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وسلّار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لعدم الانتفاع ؛ لا وجه له ، لقيام الإجماع علىٰ جواز الانتفاع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والأخبار كادت تبلغ التواتر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المدّعى في الخلاف والمبسوط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وظاهر الغنية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عدم جواز بيعها بقول مطلق ؛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نجاستها معارض بالإجماع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الشاهدة علىٰ جواز الانتفاع بجلودها الموقوف علىٰ تذكيتها ، الموقوفة على طهارتها ، وبأنّ كثيراً منها ممّا لا نفس ،له ، الطاهرة ميتته ودمه وبوله</w:t>
      </w:r>
    </w:p>
    <w:p>
      <w:pPr>
        <w:pStyle w:val="BookText"/>
        <w:rPr/>
      </w:pPr>
      <w:r>
        <w:rPr>
          <w:rFonts w:ascii="IRNazanin" w:hAnsi="IRNazanin" w:eastAsia="IRNazanin"/>
          <w:color w:val="111111"/>
          <w:sz w:val="28"/>
          <w:sz w:val="28"/>
          <w:szCs w:val="28"/>
          <w:rtl w:val="true"/>
          <w:lang w:bidi="fa-IR"/>
        </w:rPr>
        <w:t xml:space="preserve">وخرؤه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أنّه ليس للحشارية ، والسبعية ، والمسخية في ذواتها تأثير في مانعية الاكتساب ، وإنّما ذلك في خصوص صفة النجاسة ، وصنعة الحرام ، وفعله ، وآلآته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عداها المدار علىٰ النفع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يجتمع أكثر الروايات وكلام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بجواز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 أجمع ، لفائدة الانتفاع بذكاتها إنْ كانت ممّا تقع عليها الذكاة كان حسناً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الثمرة المعتبرة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دود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يشبه الحشار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الحيوانات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معهما قزّ وعسل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قابليتهما لترتّب النفع المراد منهما عليهما بشرط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المشاهدة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للجهالة ظاهراً المانعة منه في البيع ، وفي المعاملات الأخر ما يشترط </w:t>
      </w:r>
      <w:bookmarkStart w:id="164" w:name="pg20243_272076"/>
    </w:p>
    <w:p>
      <w:pPr>
        <w:pStyle w:val="BookText"/>
        <w:rPr/>
      </w:pPr>
      <w:bookmarkEnd w:id="164"/>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وإمكان الانتفاع به ، وإلّا فلا ، والعلم بهما حذراً من لزوم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قصد الانتقاع به أو عدم قصد خلافه وجهان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284892_2320776876"/>
      <w:bookmarkStart w:id="166" w:name="_Toc57"/>
      <w:bookmarkEnd w:id="165"/>
      <w:r>
        <w:rPr>
          <w:rtl w:val="true"/>
        </w:rPr>
        <w:t>جواز بیع الماء و التراب و الحجارة</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الراكد، والنابع الواقف كماء البئر ، والجاري منفرداً ومع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بما ظهر منه وتسليمه كاف في العلم والتسليم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الوزن فيما يُوزن منها ، والكيل فيما يُكال ، والعدّ فيما يُعدّ ، والجزاف فيما يباع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المعاملات الاُخر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الثلاثة مانع من جهة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حصول النفع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خلت عن النفع بالمرّة لم تصلح للمعاملة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284894_2320776876"/>
      <w:bookmarkStart w:id="168" w:name="_Toc58"/>
      <w:bookmarkEnd w:id="167"/>
      <w:r>
        <w:rPr>
          <w:rtl w:val="true"/>
        </w:rPr>
        <w:t>حرمة بیع التریاق</w:t>
      </w:r>
      <w:bookmarkEnd w:id="1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بيع الترياق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مكسور التاء ، مرادف الدرياق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 بل مطلق المعاوضة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الاشتماله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ولحوم الأفاعي</w:t>
      </w:r>
      <w:r>
        <w:rPr>
          <w:rFonts w:eastAsia="Amiri" w:cs="Amiri" w:ascii="Amiri" w:hAnsi="Amiri"/>
          <w:color w:val="111111"/>
          <w:sz w:val="28"/>
          <w:szCs w:val="28"/>
          <w:rtl w:val="true"/>
          <w:lang w:bidi="ar-SA"/>
        </w:rPr>
        <w:t xml:space="preserve">) </w:t>
      </w:r>
      <w:r>
        <w:rPr>
          <w:rStyle w:val="FootnoteAnchor"/>
          <w:rtl w:val="true"/>
        </w:rPr>
        <w:footnoteReference w:id="283"/>
      </w:r>
      <w:r>
        <w:rPr>
          <w:rStyle w:val="FootnoteAnchor"/>
          <w:rtl w:val="true"/>
        </w:rPr>
        <w:footnoteReference w:id="284"/>
      </w:r>
      <w:r>
        <w:rPr>
          <w:rFonts w:ascii="Amiri" w:hAnsi="Amiri" w:eastAsia="Amiri" w:cs="Amiri"/>
          <w:color w:val="111111"/>
          <w:sz w:val="28"/>
          <w:sz w:val="28"/>
          <w:szCs w:val="28"/>
          <w:rtl w:val="true"/>
          <w:lang w:bidi="ar-SA"/>
        </w:rPr>
        <w:t xml:space="preserve">إن كانت من ذوات النفوس </w:t>
      </w:r>
      <w:r>
        <w:rPr>
          <w:rStyle w:val="FootnoteAnchor"/>
          <w:rtl w:val="true"/>
        </w:rPr>
        <w:footnoteReference w:id="285"/>
      </w:r>
      <w:r>
        <w:rPr>
          <w:rFonts w:ascii="Amiri" w:hAnsi="Amiri" w:eastAsia="Amiri" w:cs="Amiri"/>
          <w:color w:val="111111"/>
          <w:sz w:val="28"/>
          <w:sz w:val="28"/>
          <w:szCs w:val="28"/>
          <w:rtl w:val="true"/>
          <w:lang w:bidi="ar-SA"/>
        </w:rPr>
        <w:t xml:space="preserve">، أو نجس ومتنجّس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لامتزاجه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التطهير ، أو نجس ومحرّم ليس فيه نفع غالب إنْ لم يكن منها ، لأنّه من الحشار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جواز الانتفاع به في غير جهة الحرام واقتنائه لذلك ، وبذل المال في استخلاصه </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شربه للتداوي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لغيره كسائر المشروبات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الوقوع في مشقّة تزيد علىٰ الوسع ، مع الشرائط المذكورة سابقاً </w:t>
      </w:r>
      <w:bookmarkStart w:id="169" w:name="pg20243_272077"/>
    </w:p>
    <w:p>
      <w:pPr>
        <w:pStyle w:val="BookText"/>
        <w:rPr/>
      </w:pPr>
      <w:bookmarkEnd w:id="169"/>
      <w:r>
        <w:rPr>
          <w:rFonts w:ascii="Amiri" w:hAnsi="Amiri" w:eastAsia="Amiri" w:cs="Amiri"/>
          <w:color w:val="111111"/>
          <w:sz w:val="28"/>
          <w:sz w:val="28"/>
          <w:szCs w:val="28"/>
          <w:rtl w:val="true"/>
          <w:lang w:bidi="ar-SA"/>
        </w:rPr>
        <w:t xml:space="preserve">ممّا يندفع بها المحذور من المحرّمات كشرب الخمور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284896_2320776876"/>
      <w:bookmarkStart w:id="171" w:name="_Toc59"/>
      <w:bookmarkEnd w:id="170"/>
      <w:r>
        <w:rPr>
          <w:rtl w:val="true"/>
        </w:rPr>
        <w:t>حکم بیع السمّ من الحشائش</w:t>
      </w:r>
      <w:bookmarkEnd w:id="17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السمّ من الحشائش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النباتات اليابسة التي لا ساق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لما له ساق ، ومن المعادن ؛ فلا مانع من الاكتساب به إلّا من جهة عدم الانتفاع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والاكتساب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ممّا ينتفع به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الحيوان فيشترط فيه مع ذلك عدم المنع من جهة الحيوان الذي اتخذ منه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284898_2320776876"/>
      <w:bookmarkStart w:id="173" w:name="_Toc60"/>
      <w:bookmarkEnd w:id="172"/>
      <w:r>
        <w:rPr>
          <w:rtl w:val="true"/>
        </w:rPr>
        <w:t>جواز بیع لبن الآدمیات</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الآدميات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حرائر وإماء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المعاوضة عليه فيما لا يشترط فيه العلم مع انفصاله أو بقائه في الثدي حيث تتعلّق به المعاملة لا بعمل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 أقربه الجواز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لطهارته ، وإمكان الانتفاع به نفعاً معتبراً، سواء أبحناه علىٰ الإطلاق أو لخصوص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بالفضلات ، كالبصاق ، والنخامة</w:t>
      </w:r>
      <w:r>
        <w:rPr>
          <w:rStyle w:val="FootnoteAnchor"/>
          <w:rtl w:val="true"/>
        </w:rPr>
        <w:footnoteReference w:id="288"/>
      </w:r>
      <w:r>
        <w:rPr>
          <w:rFonts w:ascii="Amiri" w:hAnsi="Amiri" w:eastAsia="Amiri" w:cs="Amiri"/>
          <w:color w:val="111111"/>
          <w:sz w:val="28"/>
          <w:sz w:val="28"/>
          <w:szCs w:val="28"/>
          <w:rtl w:val="true"/>
          <w:lang w:bidi="ar-SA"/>
        </w:rPr>
        <w:t xml:space="preserve">؛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يملك فوائده كما يملك منافعه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ذلك في جميع الحيوانات المحلّلة من مأكول اللحم عادة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الإجماع </w:t>
      </w:r>
      <w:r>
        <w:rPr>
          <w:rStyle w:val="FootnoteAnchor"/>
          <w:rtl w:val="true"/>
        </w:rPr>
        <w:footnoteReference w:id="289"/>
      </w:r>
      <w:r>
        <w:rPr>
          <w:rFonts w:ascii="Amiri" w:hAnsi="Amiri" w:eastAsia="Amiri" w:cs="Amiri"/>
          <w:color w:val="111111"/>
          <w:sz w:val="28"/>
          <w:sz w:val="28"/>
          <w:szCs w:val="28"/>
          <w:rtl w:val="true"/>
          <w:lang w:bidi="ar-SA"/>
        </w:rPr>
        <w:t xml:space="preserve">على جواز بيع لبن الاُتن </w:t>
      </w:r>
      <w:r>
        <w:rPr>
          <w:rStyle w:val="FootnoteAnchor"/>
          <w:rtl w:val="true"/>
        </w:rPr>
        <w:footnoteReference w:id="290"/>
      </w:r>
      <w:r>
        <w:rPr>
          <w:rFonts w:ascii="IRNazanin" w:hAnsi="IRNazanin" w:eastAsia="IRNazanin"/>
          <w:color w:val="111111"/>
          <w:sz w:val="28"/>
          <w:sz w:val="28"/>
          <w:szCs w:val="28"/>
          <w:rtl w:val="true"/>
          <w:lang w:bidi="fa-IR"/>
        </w:rPr>
        <w:t xml:space="preserve">مع حصول الانتفاع </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حرام اللّحم من الحيوانات الطاهرة ؛ فلا مانع من تعلّق المعاملة بلبنه مع الانتفاع ، لو فرض حصوله علىٰ النحو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والاُجرة لو جعلت في مقابلة العمل دون اللّبن لم تضرّ حرمته علىٰ المكلّف ولا نجاسته من جعلها لغيره ، وبذلك صحّ استئجار اليهودية للإرضاع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وسائل الشيعة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بالاستئجار علىٰ رضاع إنسان من إنسان، أو حيوان من حيوان ؛ لأنّ اللبن حكم التابع ، فلا يلزم تعلّق الإجارة بالأعيان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فحرمة عملها ، واستعمالها ، ونقلها ، وانتقالها ، وإجارتها ، وإعارتها ، ونحو ذلك بقصد الجهة المحظورة التي وضعت لها ؛ معلومة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فقد التكليف في أحد الطرفين يتعلق الحكم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الانتفاع بها في غير الجهة المحظورة ، واقتناؤها ، والمعاملة علىٰ مادتها دون صورتها ، فالظاهر منعها ما دامت الصورة باقية ؛ لإطلاق المنع في الروايات ، ومنقول الإجماعات ، وظاهر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من قسم بيع الحلال والحرام معاً ، حتىٰ يصحّ في ما يصحّ ويبطل في ما يبطل ؛ لأنّ تكيف المادة بالصورة جعلها شيئاً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 الصورة في ملك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دخول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هتكت حرمتها عند الإتلاف بسبب الصورة فلا تضمن إذا توقف الإتلاف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يقال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دخولهما معاً في ملك الكفّار المستحلّين 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المسلم لها إلىٰ الكافر لأخذ ماله حرام ، للإعانة علىٰ الإثم بل لا يبعد تحريم المال عليه ، ووجوب ردّه إلى واليٰ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لأعداد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إسلام أو مذهب أصل أو فرع ، قصد به المساعدة أو لا، مع قيام الحرب بين الظالمين والمظلومين والمحقين والمبطلين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العلم بأنّه لا ينتفع به في ذلك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فساد المعاملة حيث يكون أحد الطرفين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معاملة الكفار المستحلين بينهم فلا يبعد صحتها ، وإنْ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تقم الحرب لم تحرم ، إلّا مع الشرط ، أو القصد أنه لا بأس ببيع ما لم يكن سلاحاً ، بل جنة ووقاية ، كالدرع والبيضة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تحريم جميع ما يقتضي زيادة قوتهم وشوكتهم واستقامتهم حتىٰ المطعوم والمشروب، مع اشتعال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حصلت معاملة لم يتعلق بها نهي ، لجهل ، أو تقيّة ؛ فالظاهر 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انعكس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زعم العداوة أو الحرب وليس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الصحة ، وإنْ عصىٰ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بذلك بيع ملاحظة صفة الغناء ، ، وبيع أواني الذهب والفضة وتحوهما ، ممّا يكون للفعل الحرام أو صفته شطر من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أن تكون جهة الحرام مقوّمة لمحل المعاملة كما مرّ ، أو يكون القصد منه الحرام وإنْ لم يكن معدّاً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إجارة السفن والمساكن أو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للمحرّمات، وبيع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ليعمل خمراً ، والخشب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ليعمل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إجارتها لمن يحمّلها ، أو يجعل فيها شيئاً من المحرمات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غيرهما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يعملهما من غير 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وظاهره الاختصاص بالشرطية ، وأنّه لا مانع من النيّة ، ولا العلّية ، ولا العلوم اليقينية فضلاً عن الظنيّة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يعمّم معنىٰ الشرطية علىٰ وجه یعمّ العلية ، كما يؤذن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للمحرمات، ليعمل خمراً ، ليعمل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يدخل فيها النيّة وإنْ بعُد عن ظاهر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كلام في تحريم القسمين الأوّلين ، لخلّوه فى جانب المستأجر مثلاً عن قصد المنفعة، لأنّ المحظورة كالمعدومة ، ولد خوله في وجوه الفساد المنهي عنها ، وللإجماع المنقول في التصريح بالعلّية وفي النيّة ظاهراً ، ولما دلّ علىٰ لزوم النهي عن المنكر الدال بظاهره أو بفحواه علىٰ تحريم ذلك ، مضافاً إلىٰ الأخبار الصريحة في المنع عمّا اشتمل علىٰ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دخل تحت العلمية اليقينية فلا بحث في تحريم ما يتعلّق منها بالدماء والأعراض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ويقوىٰ جواز الانتفاع والاكتساب فيما عدا ذلك من المحرمات ، وإنْ وجب النهي عن الغايات قبل المعاملة أو بعدها ، مع حصول شرائط النهي عن المنكر ؛ للأصل المستفاد من عمومات العقود وأنواعها الخاصّة ، والأخبار الكثيرة المشتملة علىٰ الصحاح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فحصول العلم واليقين في غاية الإشكال ، لأنّه لا يعلم الغيب إلا اللّٰه ، والعوارض لا تنضبط ، فلا يتعلق العلم غالباً إلّا بالقصد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أكثر مع الامراء والملوك ، مع العلم العلم بأنّ مصرفهم إنما هو في الجنود والعساكر المساعدين لهم علىٰ باطلهم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إجارة الدور لهم، وبيع البساتين المشتملة على العنب الكثير علىٰ مستحلّي الخمر ، فالنهي بالنسبة إليهما معاً مخصوص بالشرطية ، والعلية ، والنية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المعاملة مقصور علىٰ القسم الأوّل ، وإلّا للزم الفساد المعاملات مع العلم دائماً أو غالباً ، لعدم خلّوه من النيّة والعلّية من أحد الطرفين ، فيحرم بالنسبة إليه ، والفساد من قبله يقضي بالفساد من الجانبين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فرق بين انفراد نيّة المحرَّم أو علّيته أو شرطيته وبين انضمامها مع غيرها من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ونيّة الوكيل المتصرّف مؤثرة في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وكيلاً علىٰ مجرّد إيقاع الصيغة لا اعتبار بقصده ، إنّما المدار علىٰ قصد موكله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بل يفسد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الأصيل ، أو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وأضرابها من المحرّمات ، والنجاسات ، وسائر المحظورات ، وجميع المعاملات المتعلّقة بها من مسلم أو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حربيّاً ، إذْ سلطان الوكيل تابع لسلطان موكله الموقوف علىٰ الملك ، وعدم المانع من حجر أو نحوه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للمسلم منع الذمّي المستأجر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سفينته ، أو دابته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 أو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سفينته ، أو علىٰ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جهراً ، ولا بأس علىٰ المسلم إذا خلا عن النيّة والعلّية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آجره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بالعلّية ، أو مع 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يشترطه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يؤذن بإلحاق العلّية بالشرطية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وتنزيل الشرطية علىٰ العموم أقرب من أخذ العلّية بمعنىٰ الشرطية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استأجر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سفينة ،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لسائر المحرّمات ، أو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إنْ كان للتخليل أوالإراقة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من الوجوه المحلّلة ، ولم ينضم إليها جهة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ببيع ما يكنّ من اَلة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كالدرع ، والبيضة ، ولو علىٰ أعداء الدين ، وقد مرّ الكلام فيه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ما لا ينتفع به شرعاً أو عقلاً أو عادة ، عامّاً في جميع الأحوال أو غالباً فيها ، لخسّته ، أو قلّته ، أو نجاسته ، أو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تجتمع الجهتان أو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ما يخصّ العلّتين الأوليين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يحتاج إلىٰ الماء وشمّ الهواء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كالفأر ، والحيّات ، والخنافس ، والعقارب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الدواب الصغار، وما ينفصل من الإنسان من شعر أو ظفر أو بصاق ونحوها ، للأصل ، مع عدم الدخول في أدلّة المكاسب ، والإجماع المنقول عاماً أو خاصاً ، وعليه المدار في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والجميع مدخول ، فلم يبق سوىٰ الاحتجاج بعدم النفع لدلالة الأخبار والإجماع علىٰ اعتباره ، وهو إنّما يجري في بعض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ما يعطي قصر المعاملة علىٰ ما فيه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غلب نفعه ولم يقصد ، أو قصد خلافه ، أو كان نفعاً لا يسوّغ البذل عند الباذل ؛ فالظاهر إلحاقه ببعض الأدوية ، والعقاقير ، والعَلَق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 ذلك أنه لا بأس بالاكتساب بما يغلب النفع به لنفسه ، كالعَلَق ، ونحوها ؛ لقيام السيرة ، وظهور الأدلّة في 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بین الملك وجواز التمليك ، ولو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يجوز المجاني فقط في بعض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الانتفاع بما قلّ نفعه ، ولم تجز المعاوضة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 ممّا لا يصلح للصيد ، كالأسد ، والذئب ، والرخم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يأكل 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أسوده ساكن الجبال وآكل الجيف وأبقعه ، وهما من السباع ، فيدخلان في المحرّم إجماعاً ، ورواية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زاغه وغدافه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 ، للإجماع المنقول ، وظاهر الأخبار ، وإنْ خرجا عن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والمستند بعد ذلك إلىٰ الخلوّ عن النفع ، فيدخل تحت الإجماعات والأخبار المانعة من المعاوضة على ما لا نفع فيه ، وللإجماع في خصوص الأسد والنمر والذئب والمناط فيها منقّح ، ولأنّها نجسة فتدخل في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مردود ، لوجود النفع الغالب بجلودها ووبرها وغير ذلك ، والبيع لأجل الجلد غير بيع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مردود فيما كانت الشهرة علىٰ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والتحريم إنّما يمنع حيث يعمّ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بالنجاسة ضعيف، والإجماع والأخبار المتواترة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المعاملات في الكتاب والسنة ، والإجماع والنصوص الدالة بالخصوص علىٰ جواز استعمال جلود السباع مطلقاً ، أو جلود النمر المدبوغة ، وعلىٰ جواز بيع الفراء والجلود من السباع ، وظهور نقل الإجماع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 ودلالة الأخبار علىٰ جواز بيع الهرّة ؛ شاهدة علىٰ جواز الانتفاع والاكتساب بها ، فظهر أنّ مجرّد السبعية ، أو مع عدم الصيدية ؛ ليس لها مدخلية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وصورها ، أو صورها فقط بناءً على عدم بقائها أكثر من ثلاثة أيام وعدم توالدها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الجميع مسوخاً خلاف البديهة ، لسبق أنواعها بكلّها أو جلّها علىٰ المسخ ، وبقاء مواليدها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سباعاً أو لا ، نجسة العين أو لا ، إذْ قد تجتمع جهتان أو جهات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كالقرد وإنْ قصد به حفظ المتاع ، والدبّ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والخنزير والكلب البرّيان أو مطلقاً ، والفيل والذئب ، والفأرة ، والضبّ ، والأرنب ، والطاووس ، والوطواط وهو الخطاف أو الخفاش ، والنقعاء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بها العنقاء ، وهي طائر عظيم معروف الإسم مجهول الجسم لا يراه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طير أبابيل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غريب يبيض بيضاً كالجبال ، وسمّيت بذلك لأنّ في عنقها بياضاً كالطوق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عند مغرب الشمس ، ولذا قيل عنقاء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والثعلب ، واليربوع ، والقنفذ ، والطافي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قسم من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كذلك ، لإلحاقهم لها في كتاب الحج بالصيد المحلل وبيضها ببيضه ، وقضاء السيرة بأكله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بحريّة كالجرّي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الجريث أو نوع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والدعموص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دويبة سوداء ، تغوص في الماء ، وتكون في الغدران ، والسرطان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الماء ، له ثمانية أرجل ، وعيناه في كتفه وصدره ، يمشي علىٰ جانب واحد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اللّٰه يا مذنبون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بالمسوخ العقرب ، والزنبور ، والوزغ ، والدبا ، والمهرجل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من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وسهيل ، وزهرة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والعنكبوت ، والوَبْر ، والورل ، والزمّير ، والمارماهي ، والبعوض ، والقمّل ، وهو ما نقل بخصوصه بطريق أو غير ها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مسخ سبعماءَة أُمّة فأخذ أربعماءَة برّاً وثلاثماءَة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في جواز بيع بعض أقسام الكلاب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جواز الانتفاع بعظام الفيل المسمّاة بالعاج ، ولا بجلود الثعالب والأرانب مع التذكية ، بشرط الدباغ أو مطلقاً 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دالة علىٰ 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ذكر مع الأصل أبين شاهد علىٰ طهارتها فيما عدا المستثنىٰ ، ووقوع التذكية عليها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والسيرة القاطعة ، والإجماع المحصّل ؛ شاهدان علىٰ جواز بیع جلودها منفصلة ، والتكسب بها ، فتجوز المعاوضة عليها بطريق الصلح متصلة ، وبيعها لا يزيد علىٰ ذلك إلّا باختلاف القصد ، ولا مدار عليه بحسب الظاهر ، والتكسب بها في الجملة ، فما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 وظاهر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الغنية ، من الإجماع علىٰ عدم جواز بيع شيء ء منها ، وما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 وأطعمة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من الحكم بنجاستها بجملتها ، وما في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 من نقل الإجماع علىٰ عدم جواز بيعها وإجارتها والانتفاع بها واقتنائها ؛ إنْ لم يُأول لم يكن عليه 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يتصوّر القول بنجاسة ما قام الإجماع علىٰ جواز استعمال جلودها ، مع أنّه يلزم منه استعمال جلود الميتة وبنجاسة غير ذوات النفوس منها من البرّي والبحري، مع أنّا نحكم بطهارة ميتتها ودمها وبولها وروثها ، فالحق الحقيق بالاتباع أنّ المدار في غير النجس منها علىٰ الانتفاع المعتبر وعدمه، وأنّه لا مانع من جهة نفسه ، فالمسخ من حيث هو مسخ فى المعاملة عليه كغيره ، إنّما المانع النجاسة في بعض ، وعدم الانتفاع 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قيل بجواز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 أجمع لفائدة الانتفاع بذكاتها إن كانت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تقع عليها الذكاة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كالثعلب والأرنب ، دون ما لا تقع عليها كبعض الحشار ونجس العين لخلوّها عن النفع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المذهب ، وعليه المعوّل الفيل ، والهرّة ، وما يصلح للصيد 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 ولحصول الفائدة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دود القزّ ،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معهما قزّ وعسل ، مع بقاء قابليتهما لترتب النفع المراد منهما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الرافعة للجهالة المانعة من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صورة المعاوضات الأخر يعتبر فيها ما سيذكر في محالها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 وإلّا لغت المعاملة وارتفعت الفائدة ، فيدخل تحت ما لا ينتفع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الراكد والنابع ، الواقف والجاري ، منفرداً ومع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وتكفي الرؤية في جميع أقسام المعاملات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الوزن فيما يوزن ، أو الجزاف فیما یباع جزافاً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فی جمیع أفرادها، مع حصول الفائدة وقصدها في جميع فإنّه قد تحصل الفائدة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كثر وجودها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والحاصل أنّه لا مانع من جهة ذاتهما ، نعم لو خليا عن النفع بطل الاكتساب بهما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ويحرم بيع الترياق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الدرياق الفاروق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 ولحوم الأفاعي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 أو نجس ومحرّم لا ينتفع به ، من الحشار ، وكذا جميع الاكتسابات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جواز الانتفاع به في غير الجهة الحرام ، وفيها مع الاضطرار ، واقتناؤه لذلك ، وبذل شيء من المال في استخلاصه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يجوز شربه للتداوي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المشروبات من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خوف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الشرائط المذكورة آنفاً في التداوي بالمحرمات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السمّ من الحشائش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النباتات اليابسة التي لا ساق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لما له ساق ، والمعادن ؛ فلا تدخل في شيء من موانع الاكتساب إلّامن جهة الانتفاع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فيجوز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والاكتساب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مما ينتفع والا فلا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كان من الحيوان فتابع له في الحكم جوازاً ومنعاً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جواز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الآدميات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حرائر وإماء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ومطلق المعاوضة عليه انفصاله ، أو بقائه في الثدي حيث تكون المعاملة عليه لا على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الرضاع فلا بأس به حتى في الكافرة حيث يجوز الرضاع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 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لطهارته، وإمكان الانتفاع به نفعاً مقصوداً للعقلاء، سواء أبحناه مطلقاً أو لخصوص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يملك فوائده كما يملك منافعه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وإلحاقه بالفضلات من البصاق ، والمخاط ، والعرق ، ونحوها ؛ 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ويقصر المنع على البيع فيما بقي في الثدي لجهالته ، مع إمكان عدمه في بعض المدة إذا 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بإيقاع عقد الصلح عليه كغيره من لبن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بالاستئجار على رضاع إنسان من إنسان أو حيوان ، أو حيوان من مثله ، لأنّ اللبن في حكم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ولبن المأكول اللحم من المعتاد ومن غيره سواء في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الإجماع على جواز بيع لبن الأتن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عقار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حمّاماً أو بستاناً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 ولا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يُتسوّر منه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Style w:val="FootnoteAnchor"/>
          <w:rtl w:val="true"/>
        </w:rPr>
        <w:footnoteReference w:id="2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واحتمال الحظر بعدم الانتفاع مدفوع بإمكانه بإذن الجار ، وشراء الدار الداخلة في الجوار،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 لإقدامه حينئذ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علمه بالعيب ، ما لم يُسقط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اليأس من جميع الوجوه دخل تحت العبث المنكر عند العقلاء ، غير أنّ </w:t>
      </w:r>
      <w:bookmarkStart w:id="174" w:name="pg20243_272090"/>
    </w:p>
    <w:p>
      <w:pPr>
        <w:pStyle w:val="BookText"/>
        <w:rPr/>
      </w:pPr>
      <w:bookmarkEnd w:id="174"/>
      <w:r>
        <w:rPr>
          <w:rFonts w:ascii="Amiri" w:hAnsi="Amiri" w:eastAsia="Amiri" w:cs="Amiri"/>
          <w:color w:val="111111"/>
          <w:sz w:val="28"/>
          <w:sz w:val="28"/>
          <w:szCs w:val="28"/>
          <w:rtl w:val="true"/>
          <w:lang w:bidi="ar-SA"/>
        </w:rPr>
        <w:t xml:space="preserve">ذلك فرض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ملك صدّ عنه صاددٌ يُرجى زواله ، ويُؤمل أن مآله ؛ فحاله في الجواز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تمام التحقيق في كتاب البيع إن 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5284900_2320776876"/>
      <w:bookmarkStart w:id="176" w:name="_Toc61"/>
      <w:bookmarkEnd w:id="175"/>
      <w:r>
        <w:rPr>
          <w:rtl w:val="true"/>
        </w:rPr>
        <w:t>الرابع</w:t>
      </w:r>
      <w:r>
        <w:rPr>
          <w:rtl w:val="true"/>
        </w:rPr>
        <w:t xml:space="preserve">: </w:t>
      </w:r>
      <w:r>
        <w:rPr>
          <w:rtl w:val="true"/>
        </w:rPr>
        <w:t>ما نصّ الشارع علی تحریمه عیناً</w:t>
      </w:r>
      <w:bookmarkEnd w:id="176"/>
    </w:p>
    <w:p>
      <w:pPr>
        <w:pStyle w:val="Heading3"/>
        <w:numPr>
          <w:ilvl w:val="2"/>
          <w:numId w:val="1"/>
        </w:numPr>
        <w:rPr/>
      </w:pPr>
      <w:bookmarkStart w:id="177" w:name="__RefHeading___Toc5284902_2320776876"/>
      <w:bookmarkStart w:id="178" w:name="_Toc62"/>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الشارع علىٰ تحريمه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 لا لنجاسته ، ولا لغايته ، ولا لعبثيته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فيها أغنى عن القيد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الظلّ ، وأمّا غيرها فلا بأس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المجسّمة إمّا لمجسّم أو غيره، حيواني أو غيره ، وغيرها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والمحظور واحد من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 تصوير الصورة إلى تصوير المصوَّر فالحرام إثنان منها ، أو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زدت الوهمي تضاعفت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المتيقّن فيما خالف الأصل، وهو الصورة المجسّمة الحيوانية ، لصغير أو كبير ، حيّ أو ميّت ، تامّ أو ناقص</w:t>
      </w:r>
      <w:r>
        <w:rPr>
          <w:rStyle w:val="FootnoteAnchor"/>
          <w:rtl w:val="true"/>
        </w:rPr>
        <w:footnoteReference w:id="294"/>
      </w:r>
      <w:r>
        <w:rPr>
          <w:rFonts w:ascii="Amiri" w:hAnsi="Amiri" w:eastAsia="Amiri" w:cs="Amiri"/>
          <w:color w:val="111111"/>
          <w:sz w:val="28"/>
          <w:sz w:val="28"/>
          <w:szCs w:val="28"/>
          <w:rtl w:val="true"/>
          <w:lang w:bidi="ar-SA"/>
        </w:rPr>
        <w:t xml:space="preserve">، مع صدق الاسم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المجسّمة للحيوان ففيها قولان، أقواهما الجواز ؛ للأصل ، </w:t>
      </w:r>
    </w:p>
    <w:p>
      <w:pPr>
        <w:pStyle w:val="BookText"/>
        <w:rPr/>
      </w:pPr>
      <w:r>
        <w:rPr>
          <w:rFonts w:ascii="Amiri" w:hAnsi="Amiri" w:eastAsia="Amiri" w:cs="Amiri"/>
          <w:color w:val="111111"/>
          <w:sz w:val="28"/>
          <w:sz w:val="28"/>
          <w:szCs w:val="28"/>
          <w:rtl w:val="true"/>
          <w:lang w:bidi="ar-SA"/>
        </w:rPr>
        <w:t>وإطلاق الآيات والروايات في الاكتساب والمشي في طلب الرزق بأيّ نحو كان</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الأخبار من الصور والمثال والتمثال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ينهىٰ عن التماثيل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المساكن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الصلاة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في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في بعضها صورة 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وصورة 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وتمثال جسد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المجسّمة ، لأنّ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غيّرت رؤوسها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الأخبار الكثيرة المعلّلة بنفخ</w:t>
      </w:r>
    </w:p>
    <w:p>
      <w:pPr>
        <w:pStyle w:val="BookText"/>
        <w:rPr/>
      </w:pPr>
      <w:r>
        <w:rPr>
          <w:rFonts w:ascii="IRNazanin" w:hAnsi="IRNazanin" w:eastAsia="IRNazanin"/>
          <w:color w:val="111111"/>
          <w:sz w:val="28"/>
          <w:sz w:val="28"/>
          <w:szCs w:val="28"/>
          <w:rtl w:val="true"/>
          <w:lang w:bidi="fa-IR"/>
        </w:rPr>
        <w:t xml:space="preserve">الروح </w:t>
      </w:r>
      <w:r>
        <w:rPr>
          <w:rStyle w:val="FootnoteAnchor"/>
          <w:rtl w:val="true"/>
        </w:rPr>
        <w:footnoteReference w:id="297"/>
      </w:r>
      <w:r>
        <w:rPr>
          <w:rFonts w:ascii="IRNazanin" w:hAnsi="IRNazanin" w:eastAsia="IRNazanin"/>
          <w:color w:val="111111"/>
          <w:sz w:val="28"/>
          <w:sz w:val="28"/>
          <w:szCs w:val="28"/>
          <w:rtl w:val="true"/>
          <w:lang w:bidi="fa-IR"/>
        </w:rPr>
        <w:t xml:space="preserve">إشعار بذلك، وأنّ الصورة حيوان لا ينقص منه شيء سوىٰ الروح ، مع أن الظاهر في أنّ الظاهر في ذلك صنعها علىٰ نحو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المناهي عن الصادق علیه السلام ، عن النبي صلی اللّٰه علیه و آله بعد النهي عن التصوير ، وأنّ المصوِّر يُكلَّف بنفخ الروح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أن يُنقش شيء من الحيوان علىٰ الخاتم</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وظاهر المقابلة يعطي خروج ما لم يكن جسماً عن اسم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فهم المشهور من الصور خصوص المجسّمة </w:t>
      </w:r>
      <w:r>
        <w:rPr>
          <w:rStyle w:val="FootnoteAnchor"/>
          <w:rtl w:val="true"/>
        </w:rPr>
        <w:footnoteReference w:id="299"/>
      </w:r>
      <w:r>
        <w:rPr>
          <w:rFonts w:ascii="IRNazanin" w:hAnsi="IRNazanin" w:eastAsia="IRNazanin"/>
          <w:color w:val="111111"/>
          <w:sz w:val="28"/>
          <w:sz w:val="28"/>
          <w:szCs w:val="28"/>
          <w:rtl w:val="true"/>
          <w:lang w:bidi="fa-IR"/>
        </w:rPr>
        <w:t xml:space="preserve">والأخبار المجوّزة للتماثيل علىٰ الفرش والوسائد ، الدالّة علىٰ استعمال الأئمة علیهم السلام ،لها ، المستثنية لما نُصب علىٰ الحائط والسرير </w:t>
      </w:r>
      <w:r>
        <w:rPr>
          <w:rStyle w:val="FootnoteAnchor"/>
          <w:rtl w:val="true"/>
        </w:rPr>
        <w:footnoteReference w:id="300"/>
      </w:r>
      <w:r>
        <w:rPr>
          <w:rFonts w:ascii="Amiri" w:hAnsi="Amiri" w:eastAsia="Amiri" w:cs="Amiri"/>
          <w:color w:val="111111"/>
          <w:sz w:val="28"/>
          <w:sz w:val="28"/>
          <w:szCs w:val="28"/>
          <w:rtl w:val="true"/>
          <w:lang w:bidi="ar-SA"/>
        </w:rPr>
        <w:t xml:space="preserve">؛ مرشدة إلىٰ ذلك وإن لم تكن صريحة فيه، لأن حرمة الابتداء لا تستلزم حرمة الاستدامة، لكن استعمالهم لها وكثرة وجودها في منازلهم يرشد إلىٰ ذلك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الأخبار ما يدلّ علىٰ منع الاستدامة أيضاً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فليس في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ما يصلح للاستدلال به علىٰ تحريم الصور الغير المجسمة للحيوان </w:t>
      </w:r>
      <w:r>
        <w:rPr>
          <w:rStyle w:val="FootnoteAnchor"/>
          <w:rtl w:val="true"/>
        </w:rPr>
        <w:footnoteReference w:id="302"/>
      </w:r>
      <w:r>
        <w:rPr>
          <w:rFonts w:ascii="Amiri" w:hAnsi="Amiri" w:eastAsia="Amiri" w:cs="Amiri"/>
          <w:color w:val="111111"/>
          <w:sz w:val="28"/>
          <w:sz w:val="28"/>
          <w:szCs w:val="28"/>
          <w:rtl w:val="true"/>
          <w:lang w:bidi="ar-SA"/>
        </w:rPr>
        <w:t xml:space="preserve">وأمّا تصوير غير الحيوانات من الجمادات والأشجار والنباتات صوراً مجسّمة أو غير مجسّمة فلا مانع منه ؛ للأصل ، والأخبار </w:t>
      </w:r>
      <w:r>
        <w:rPr>
          <w:rStyle w:val="FootnoteAnchor"/>
          <w:rtl w:val="true"/>
        </w:rPr>
        <w:footnoteReference w:id="303"/>
      </w:r>
      <w:r>
        <w:rPr>
          <w:rFonts w:ascii="IRNazanin" w:hAnsi="IRNazanin" w:eastAsia="IRNazanin"/>
          <w:color w:val="111111"/>
          <w:sz w:val="28"/>
          <w:sz w:val="28"/>
          <w:szCs w:val="28"/>
          <w:rtl w:val="true"/>
          <w:lang w:bidi="fa-IR"/>
        </w:rPr>
        <w:t xml:space="preserve">المنجبرة بالشهرة التی كادت أن تكون إجماعاً </w:t>
      </w:r>
      <w:r>
        <w:rPr>
          <w:rStyle w:val="FootnoteAnchor"/>
          <w:rtl w:val="true"/>
        </w:rPr>
        <w:footnoteReference w:id="304"/>
      </w:r>
      <w:r>
        <w:rPr>
          <w:rFonts w:ascii="IRNazanin" w:hAnsi="IRNazanin" w:eastAsia="IRNazanin"/>
          <w:color w:val="111111"/>
          <w:sz w:val="28"/>
          <w:sz w:val="28"/>
          <w:szCs w:val="28"/>
          <w:rtl w:val="true"/>
          <w:lang w:bidi="fa-IR"/>
        </w:rPr>
        <w:t xml:space="preserve">والمانع </w:t>
      </w:r>
      <w:r>
        <w:rPr>
          <w:rStyle w:val="FootnoteAnchor"/>
          <w:rtl w:val="true"/>
        </w:rPr>
        <w:footnoteReference w:id="305"/>
      </w:r>
      <w:r>
        <w:rPr>
          <w:rFonts w:ascii="Amiri" w:hAnsi="Amiri" w:eastAsia="Amiri" w:cs="Amiri"/>
          <w:color w:val="111111"/>
          <w:sz w:val="28"/>
          <w:sz w:val="28"/>
          <w:szCs w:val="28"/>
          <w:rtl w:val="true"/>
          <w:lang w:bidi="ar-SA"/>
        </w:rPr>
        <w:t xml:space="preserve">مردود بضعف دليله عن مقاومة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السابقة ، والسيرة المألوفة ؛ فلابدّ من طرحه ، أو حمله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صورة الحيوان علىٰ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 البعض مع عدم صدقه عليه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الصنع من اثنين دفعةً كانا مصوّرين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التدريج المدار علىٰ الأخير ، والتعلّق بالأوّل أيضاً مع النيّة قوي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التفريق يتعلّق الحكم بالجامع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اشتركت الصورة بين الحيوان وغيره اتّبع القصد إن لم يكن لأحدهما ظهور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بيع الصورة، واقتنائها ، واستعمالها ، والانتفاع بها، والنظر مع بقائها على حالها ؛ وجهان ، أقربهما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w:t>
      </w:r>
      <w:r>
        <w:rPr>
          <w:rStyle w:val="FootnoteAnchor"/>
          <w:rtl w:val="true"/>
        </w:rPr>
        <w:footnoteReference w:id="307"/>
      </w:r>
      <w:r>
        <w:rPr>
          <w:rFonts w:ascii="Amiri" w:hAnsi="Amiri" w:eastAsia="Amiri" w:cs="Amiri"/>
          <w:color w:val="111111"/>
          <w:sz w:val="28"/>
          <w:sz w:val="28"/>
          <w:szCs w:val="28"/>
          <w:rtl w:val="true"/>
          <w:lang w:bidi="ar-SA"/>
        </w:rPr>
        <w:t xml:space="preserve">ما يدلّ علىٰ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الأصل ، وظاهر الأكثر </w:t>
      </w:r>
      <w:r>
        <w:rPr>
          <w:rStyle w:val="FootnoteAnchor"/>
          <w:rtl w:val="true"/>
        </w:rPr>
        <w:footnoteReference w:id="308"/>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ممّا صنع للحرام حتىٰ يلزم إتلافه ، بل من الصنع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المحظور تصوير البيضة ، والعلقة ، والمضغة ، وبزر القزّ </w:t>
      </w:r>
      <w:r>
        <w:rPr>
          <w:rFonts w:eastAsia="Amiri" w:cs="Amiri" w:ascii="Amiri" w:hAnsi="Amiri"/>
          <w:color w:val="111111"/>
          <w:sz w:val="28"/>
          <w:szCs w:val="28"/>
          <w:rtl w:val="true"/>
          <w:lang w:bidi="ar-SA"/>
        </w:rPr>
        <w:t xml:space="preserve">. </w:t>
      </w:r>
      <w:bookmarkStart w:id="179" w:name="pg20243_272095"/>
    </w:p>
    <w:p>
      <w:pPr>
        <w:pStyle w:val="BookText"/>
        <w:rPr/>
      </w:pPr>
      <w:bookmarkEnd w:id="179"/>
      <w:r>
        <w:rPr>
          <w:rFonts w:ascii="Amiri" w:hAnsi="Amiri" w:eastAsia="Amiri" w:cs="Amiri"/>
          <w:color w:val="111111"/>
          <w:sz w:val="28"/>
          <w:sz w:val="28"/>
          <w:szCs w:val="28"/>
          <w:rtl w:val="true"/>
          <w:lang w:bidi="ar-SA"/>
        </w:rPr>
        <w:t xml:space="preserve">والأقوى إلحاق صورة الملّك والجنّي بالحيوان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منع الصبيان عنه لا يخلو من قوّة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284904_2320776876"/>
      <w:bookmarkStart w:id="181" w:name="_Toc63"/>
      <w:bookmarkEnd w:id="180"/>
      <w:r>
        <w:rPr>
          <w:rtl w:val="true"/>
        </w:rPr>
        <w:t>الغناء</w:t>
      </w:r>
      <w:bookmarkEnd w:id="1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الأصوات كما يظهر من كثير من اللغويين والفقهاء ، أو من كيفياتها كما يظهر من كيفياتها كما يظهر من الأكثر من الجانبين ، 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اختلاف كلامهم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w:t>
      </w:r>
      <w:r>
        <w:rPr>
          <w:rStyle w:val="FootnoteAnchor"/>
          <w:rtl w:val="true"/>
        </w:rPr>
        <w:footnoteReference w:id="309"/>
      </w:r>
      <w:r>
        <w:rPr>
          <w:rFonts w:ascii="Amiri" w:hAnsi="Amiri" w:eastAsia="Amiri" w:cs="Amiri"/>
          <w:color w:val="111111"/>
          <w:sz w:val="28"/>
          <w:sz w:val="28"/>
          <w:szCs w:val="28"/>
          <w:rtl w:val="true"/>
          <w:lang w:bidi="ar-SA"/>
        </w:rPr>
        <w:t xml:space="preserve">، أو ترجيعه </w:t>
      </w:r>
      <w:r>
        <w:rPr>
          <w:rStyle w:val="FootnoteAnchor"/>
          <w:rtl w:val="true"/>
        </w:rPr>
        <w:footnoteReference w:id="310"/>
      </w:r>
      <w:r>
        <w:rPr>
          <w:rFonts w:ascii="IRNazanin" w:hAnsi="IRNazanin" w:eastAsia="IRNazanin"/>
          <w:color w:val="111111"/>
          <w:sz w:val="28"/>
          <w:sz w:val="28"/>
          <w:szCs w:val="28"/>
          <w:rtl w:val="true"/>
          <w:lang w:bidi="fa-IR"/>
        </w:rPr>
        <w:t xml:space="preserve">، أو إطرابه </w:t>
      </w:r>
      <w:r>
        <w:rPr>
          <w:rStyle w:val="FootnoteAnchor"/>
          <w:rtl w:val="true"/>
        </w:rPr>
        <w:footnoteReference w:id="311"/>
      </w:r>
      <w:r>
        <w:rPr>
          <w:rFonts w:ascii="Amiri" w:hAnsi="Amiri" w:eastAsia="Amiri" w:cs="Amiri"/>
          <w:color w:val="111111"/>
          <w:sz w:val="28"/>
          <w:sz w:val="28"/>
          <w:szCs w:val="28"/>
          <w:rtl w:val="true"/>
          <w:lang w:bidi="ar-SA"/>
        </w:rPr>
        <w:t xml:space="preserve">، أو تحسينه </w:t>
      </w:r>
      <w:r>
        <w:rPr>
          <w:rStyle w:val="FootnoteAnchor"/>
          <w:rtl w:val="true"/>
        </w:rPr>
        <w:footnoteReference w:id="312"/>
      </w:r>
      <w:r>
        <w:rPr>
          <w:rFonts w:ascii="IRNazanin" w:hAnsi="IRNazanin" w:eastAsia="IRNazanin"/>
          <w:color w:val="111111"/>
          <w:sz w:val="28"/>
          <w:sz w:val="28"/>
          <w:szCs w:val="28"/>
          <w:rtl w:val="true"/>
          <w:lang w:bidi="fa-IR"/>
        </w:rPr>
        <w:t xml:space="preserve">، أو رفعه وموالاته </w:t>
      </w:r>
      <w:r>
        <w:rPr>
          <w:rStyle w:val="FootnoteAnchor"/>
          <w:rtl w:val="true"/>
        </w:rPr>
        <w:footnoteReference w:id="313"/>
      </w:r>
      <w:r>
        <w:rPr>
          <w:rFonts w:ascii="Amiri" w:hAnsi="Amiri" w:eastAsia="Amiri" w:cs="Amiri"/>
          <w:color w:val="111111"/>
          <w:sz w:val="28"/>
          <w:sz w:val="28"/>
          <w:szCs w:val="28"/>
          <w:rtl w:val="true"/>
          <w:lang w:bidi="ar-SA"/>
        </w:rPr>
        <w:t xml:space="preserve">، أو مدّه وتحسينه </w:t>
      </w:r>
      <w:r>
        <w:rPr>
          <w:rStyle w:val="FootnoteAnchor"/>
          <w:rtl w:val="true"/>
        </w:rPr>
        <w:footnoteReference w:id="314"/>
      </w:r>
      <w:r>
        <w:rPr>
          <w:rFonts w:ascii="Amiri" w:hAnsi="Amiri" w:eastAsia="Amiri" w:cs="Amiri"/>
          <w:color w:val="111111"/>
          <w:sz w:val="28"/>
          <w:sz w:val="28"/>
          <w:szCs w:val="28"/>
          <w:rtl w:val="true"/>
          <w:lang w:bidi="ar-SA"/>
        </w:rPr>
        <w:t xml:space="preserve">، أو مدّه وترجيعه </w:t>
      </w:r>
      <w:r>
        <w:rPr>
          <w:rStyle w:val="FootnoteAnchor"/>
          <w:rtl w:val="true"/>
        </w:rPr>
        <w:footnoteReference w:id="315"/>
      </w:r>
      <w:r>
        <w:rPr>
          <w:rFonts w:ascii="Amiri" w:hAnsi="Amiri" w:eastAsia="Amiri" w:cs="Amiri"/>
          <w:color w:val="111111"/>
          <w:sz w:val="28"/>
          <w:sz w:val="28"/>
          <w:szCs w:val="28"/>
          <w:rtl w:val="true"/>
          <w:lang w:bidi="ar-SA"/>
        </w:rPr>
        <w:t xml:space="preserve">، أو تحسينه وترقيقه </w:t>
      </w:r>
      <w:r>
        <w:rPr>
          <w:rStyle w:val="FootnoteAnchor"/>
          <w:rtl w:val="true"/>
        </w:rPr>
        <w:footnoteReference w:id="316"/>
      </w:r>
      <w:r>
        <w:rPr>
          <w:rFonts w:ascii="Amiri" w:hAnsi="Amiri" w:eastAsia="Amiri" w:cs="Amiri"/>
          <w:color w:val="111111"/>
          <w:sz w:val="28"/>
          <w:sz w:val="28"/>
          <w:szCs w:val="28"/>
          <w:rtl w:val="true"/>
          <w:lang w:bidi="ar-SA"/>
        </w:rPr>
        <w:t>، أو ترجيعه وإطرابه</w:t>
      </w:r>
      <w:r>
        <w:rPr>
          <w:rStyle w:val="FootnoteAnchor"/>
          <w:rtl w:val="true"/>
        </w:rPr>
        <w:footnoteReference w:id="317"/>
      </w:r>
      <w:r>
        <w:rPr>
          <w:rFonts w:ascii="Amiri" w:hAnsi="Amiri" w:eastAsia="Amiri" w:cs="Amiri"/>
          <w:color w:val="111111"/>
          <w:sz w:val="28"/>
          <w:sz w:val="28"/>
          <w:szCs w:val="28"/>
          <w:rtl w:val="true"/>
          <w:lang w:bidi="ar-SA"/>
        </w:rPr>
        <w:t xml:space="preserve">، أو مدّه وترجيعه وإطرابه </w:t>
      </w:r>
      <w:r>
        <w:rPr>
          <w:rStyle w:val="FootnoteAnchor"/>
          <w:rtl w:val="true"/>
        </w:rPr>
        <w:footnoteReference w:id="318"/>
      </w:r>
      <w:r>
        <w:rPr>
          <w:rFonts w:ascii="Amiri" w:hAnsi="Amiri" w:eastAsia="Amiri" w:cs="Amiri"/>
          <w:color w:val="111111"/>
          <w:sz w:val="28"/>
          <w:sz w:val="28"/>
          <w:szCs w:val="28"/>
          <w:rtl w:val="true"/>
          <w:lang w:bidi="ar-SA"/>
        </w:rPr>
        <w:t xml:space="preserve">، إلى غير ذلك ، أو الصوت مقيداً بالطرب </w:t>
      </w:r>
      <w:r>
        <w:rPr>
          <w:rStyle w:val="FootnoteAnchor"/>
          <w:rtl w:val="true"/>
        </w:rPr>
        <w:footnoteReference w:id="319"/>
      </w:r>
      <w:r>
        <w:rPr>
          <w:rFonts w:ascii="IRNazanin" w:hAnsi="IRNazanin" w:eastAsia="IRNazanin"/>
          <w:color w:val="111111"/>
          <w:sz w:val="28"/>
          <w:sz w:val="28"/>
          <w:szCs w:val="28"/>
          <w:rtl w:val="true"/>
          <w:lang w:bidi="fa-IR"/>
        </w:rPr>
        <w:t xml:space="preserve">، أو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الرفع والموالاة</w:t>
      </w:r>
      <w:r>
        <w:rPr>
          <w:rStyle w:val="FootnoteAnchor"/>
          <w:rtl w:val="true"/>
        </w:rPr>
        <w:footnoteReference w:id="320"/>
      </w:r>
      <w:r>
        <w:rPr>
          <w:rFonts w:ascii="Amiri" w:hAnsi="Amiri" w:eastAsia="Amiri" w:cs="Amiri"/>
          <w:color w:val="111111"/>
          <w:sz w:val="28"/>
          <w:sz w:val="28"/>
          <w:szCs w:val="28"/>
          <w:rtl w:val="true"/>
          <w:lang w:bidi="ar-SA"/>
        </w:rPr>
        <w:t xml:space="preserve">، أو الترجيع والإطراب </w:t>
      </w:r>
      <w:r>
        <w:rPr>
          <w:rStyle w:val="FootnoteAnchor"/>
          <w:rtl w:val="true"/>
        </w:rPr>
        <w:footnoteReference w:id="321"/>
      </w:r>
      <w:r>
        <w:rPr>
          <w:rFonts w:ascii="Amiri" w:hAnsi="Amiri" w:eastAsia="Amiri" w:cs="Amiri"/>
          <w:color w:val="111111"/>
          <w:sz w:val="28"/>
          <w:sz w:val="28"/>
          <w:szCs w:val="28"/>
          <w:rtl w:val="true"/>
          <w:lang w:bidi="ar-SA"/>
        </w:rPr>
        <w:t xml:space="preserve">، إلىٰ غير ذلك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التعارض حتىٰ ينظر في التعادل ويرجّح الأكثر أو الأبصر ، أو علىٰ الجمع فيؤخذ بالجامع للصفات لأنّه المتيقّن والأصل جواز ما عداه ، أو الجميع عملاً بقول المثبت فيما أثبته ورداً للنافي فيما نفاه ، بل إنّما 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مارس كلامهم في بيانهم لمعاني الألفاظ الشائعة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حول العرف والإشارة إليه ، وبيان المعنىٰ العام ليحترز عن إدخاله جنس آخر ، كبيان أنّ الغناء من مقولة الأصوات أو كيفياتها ، وسعدانة من مقولة النبات ونحو ذلك ، ولذا لا ترى بينهم معركة ونزاعاً مع اختلاف العبارات وتفاوت الكلمات، فلم يبق سوىٰ الرجوع إلىٰ العرف الذي هو المرجع والمفزع في فهم المعاني من المباني</w:t>
      </w:r>
      <w:r>
        <w:rPr>
          <w:rStyle w:val="FootnoteAnchor"/>
          <w:rtl w:val="true"/>
        </w:rPr>
        <w:footnoteReference w:id="323"/>
      </w:r>
      <w:r>
        <w:rPr>
          <w:rFonts w:ascii="IRNazanin" w:hAnsi="IRNazanin" w:eastAsia="IRNazanin"/>
          <w:color w:val="111111"/>
          <w:sz w:val="28"/>
          <w:sz w:val="28"/>
          <w:szCs w:val="28"/>
          <w:rtl w:val="true"/>
          <w:lang w:bidi="fa-IR"/>
        </w:rPr>
        <w:t xml:space="preserve">، وهو لا يكال بمكيال ولا یوزن بميزان ، فقد تراه يرىٰ تحقّق الغناء في صوت خال عن الحسن والرقة مشتمل علىٰ الخشونة والغلظة ، وفي خالٍ عن المدّ مشتمل علىٰ التقطيع والتكسير ، وفي خال عن الترجيع متّصف بالخفاء ، وفي مهيّج للطرب بمعنىٰ الخفّة المقرونة بالانشراح واللذّة ، وفي مقرِّح للفؤاد مهيّج علىٰ البكاء للعشّاق ، إلى غير ذلك ، فليس للفقيه الماهر سوىٰ الرجوع إليه والتعويل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ثبوت المعنىٰ اللّغوي فالعرف مقدّم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أشكلت </w:t>
      </w:r>
    </w:p>
    <w:p>
      <w:pPr>
        <w:pStyle w:val="BookText"/>
        <w:rPr/>
      </w:pPr>
      <w:r>
        <w:rPr>
          <w:rFonts w:ascii="Amiri" w:hAnsi="Amiri" w:eastAsia="Amiri" w:cs="Amiri"/>
          <w:color w:val="111111"/>
          <w:sz w:val="28"/>
          <w:sz w:val="28"/>
          <w:szCs w:val="28"/>
          <w:rtl w:val="true"/>
          <w:lang w:bidi="ar-SA"/>
        </w:rPr>
        <w:t xml:space="preserve">عليه الأمور ، لاضطرابه ؛ رجع إلى أصل إباحته إنْ كان من أهلها ، أو إلىٰ الأخذ بحائطته إنْ كان من أهلها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 لا بجنسه وفصله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صفته أو لا، دون مجرّد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حرام لنفسه ، إجماعاً محصّلاً ومنقولاً نقلاً متواتراً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العزيز والسنّة المتواترة شاهدان عليه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حرّمه لأجل الملاهى ودخول الرجال على النساء ونحوهما، قائلاً بإباحته لنفسه </w:t>
      </w:r>
      <w:r>
        <w:rPr>
          <w:rStyle w:val="FootnoteAnchor"/>
          <w:rtl w:val="true"/>
        </w:rPr>
        <w:footnoteReference w:id="326"/>
      </w:r>
      <w:r>
        <w:rPr>
          <w:rFonts w:ascii="Amiri" w:hAnsi="Amiri" w:eastAsia="Amiri" w:cs="Amiri"/>
          <w:color w:val="111111"/>
          <w:sz w:val="28"/>
          <w:sz w:val="28"/>
          <w:szCs w:val="28"/>
          <w:rtl w:val="true"/>
          <w:lang w:bidi="ar-SA"/>
        </w:rPr>
        <w:t xml:space="preserve">؛ مخالف للإجماع بل الضرورة من المذهب ، لأنّ حاله كحال الزنا عند الإمامية والاستناد إلى أخبار </w:t>
      </w:r>
      <w:r>
        <w:rPr>
          <w:rStyle w:val="FootnoteAnchor"/>
          <w:rtl w:val="true"/>
        </w:rPr>
        <w:footnoteReference w:id="327"/>
      </w:r>
      <w:r>
        <w:rPr>
          <w:rFonts w:ascii="Amiri" w:hAnsi="Amiri" w:eastAsia="Amiri" w:cs="Amiri"/>
          <w:color w:val="111111"/>
          <w:sz w:val="28"/>
          <w:sz w:val="28"/>
          <w:szCs w:val="28"/>
          <w:rtl w:val="true"/>
          <w:lang w:bidi="ar-SA"/>
        </w:rPr>
        <w:t xml:space="preserve">يُطعن في أسانيد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أكثرها وفي دلالتها ، ضعيفة بمعارضة الشهرة بل الإجماع ، موافقة للعامّة</w:t>
      </w:r>
      <w:r>
        <w:rPr>
          <w:rStyle w:val="FootnoteAnchor"/>
          <w:rtl w:val="true"/>
        </w:rPr>
        <w:footnoteReference w:id="328"/>
      </w:r>
      <w:r>
        <w:rPr>
          <w:rFonts w:ascii="Amiri" w:hAnsi="Amiri" w:eastAsia="Amiri" w:cs="Amiri"/>
          <w:color w:val="111111"/>
          <w:sz w:val="28"/>
          <w:sz w:val="28"/>
          <w:szCs w:val="28"/>
          <w:rtl w:val="true"/>
          <w:lang w:bidi="ar-SA"/>
        </w:rPr>
        <w:t xml:space="preserve">، مقابلة بأقوىٰ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هذا الباب وفي بيع المغنّيات وفي أجرهن وفي استماعه وتعليمه</w:t>
      </w:r>
      <w:r>
        <w:rPr>
          <w:rStyle w:val="FootnoteAnchor"/>
          <w:rtl w:val="true"/>
        </w:rPr>
        <w:footnoteReference w:id="329"/>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القرآن </w:t>
      </w:r>
      <w:r>
        <w:rPr>
          <w:rStyle w:val="FootnoteAnchor"/>
          <w:rtl w:val="true"/>
        </w:rPr>
        <w:footnoteReference w:id="330"/>
      </w:r>
      <w:r>
        <w:rPr>
          <w:rFonts w:ascii="Amiri" w:hAnsi="Amiri" w:eastAsia="Amiri" w:cs="Amiri"/>
          <w:color w:val="111111"/>
          <w:sz w:val="28"/>
          <w:sz w:val="28"/>
          <w:szCs w:val="28"/>
          <w:rtl w:val="true"/>
          <w:lang w:bidi="ar-SA"/>
        </w:rPr>
        <w:t xml:space="preserve">لأخبارٍ </w:t>
      </w:r>
      <w:r>
        <w:rPr>
          <w:rStyle w:val="FootnoteAnchor"/>
          <w:rtl w:val="true"/>
        </w:rPr>
        <w:footnoteReference w:id="331"/>
      </w:r>
      <w:r>
        <w:rPr>
          <w:rFonts w:ascii="Amiri" w:hAnsi="Amiri" w:eastAsia="Amiri" w:cs="Amiri"/>
          <w:color w:val="111111"/>
          <w:sz w:val="28"/>
          <w:sz w:val="28"/>
          <w:szCs w:val="28"/>
          <w:rtl w:val="true"/>
          <w:lang w:bidi="ar-SA"/>
        </w:rPr>
        <w:t xml:space="preserve">ليس عليها مدار ، موافقة لآراء المخالفين والمتصوّفة ، معارضة بأقوىٰ منها من الأدلّة العامة والخاصّة، وكذا استثناء التعزية الحسينية لرواية مرسلة لا نعرف مأخذها </w:t>
      </w:r>
      <w:r>
        <w:rPr>
          <w:rStyle w:val="FootnoteAnchor"/>
          <w:rtl w:val="true"/>
        </w:rPr>
        <w:footnoteReference w:id="332"/>
      </w:r>
      <w:r>
        <w:rPr>
          <w:rFonts w:ascii="IRNazanin" w:hAnsi="IRNazanin" w:eastAsia="IRNazanin"/>
          <w:color w:val="111111"/>
          <w:sz w:val="28"/>
          <w:sz w:val="28"/>
          <w:szCs w:val="28"/>
          <w:rtl w:val="true"/>
          <w:lang w:bidi="fa-IR"/>
        </w:rPr>
        <w:t>ممّا لا وجه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ادعى </w:t>
      </w:r>
    </w:p>
    <w:p>
      <w:pPr>
        <w:pStyle w:val="BookText"/>
        <w:rPr/>
      </w:pPr>
      <w:r>
        <w:rPr>
          <w:rFonts w:ascii="Amiri" w:hAnsi="Amiri" w:eastAsia="Amiri" w:cs="Amiri"/>
          <w:color w:val="111111"/>
          <w:sz w:val="28"/>
          <w:sz w:val="28"/>
          <w:szCs w:val="28"/>
          <w:rtl w:val="true"/>
          <w:lang w:bidi="ar-SA"/>
        </w:rPr>
        <w:t xml:space="preserve">من السيرة </w:t>
      </w:r>
      <w:r>
        <w:rPr>
          <w:rStyle w:val="FootnoteAnchor"/>
          <w:rtl w:val="true"/>
        </w:rPr>
        <w:footnoteReference w:id="333"/>
      </w:r>
      <w:r>
        <w:rPr>
          <w:rFonts w:ascii="Amiri" w:hAnsi="Amiri" w:eastAsia="Amiri" w:cs="Amiri"/>
          <w:color w:val="111111"/>
          <w:sz w:val="28"/>
          <w:sz w:val="28"/>
          <w:szCs w:val="28"/>
          <w:rtl w:val="true"/>
          <w:lang w:bidi="ar-SA"/>
        </w:rPr>
        <w:t xml:space="preserve">مبني علىٰ عدم الفرق بين الغناء والنوح ، وسيجيء بيانه إنْ شاء اللّٰه تعالى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ما سمعت ما استند إليه بعض الفضلاء </w:t>
      </w:r>
      <w:r>
        <w:rPr>
          <w:rStyle w:val="FootnoteAnchor"/>
          <w:rtl w:val="true"/>
        </w:rPr>
        <w:footnoteReference w:id="334"/>
      </w:r>
      <w:r>
        <w:rPr>
          <w:rFonts w:ascii="IRNazanin" w:hAnsi="IRNazanin" w:eastAsia="IRNazanin"/>
          <w:color w:val="111111"/>
          <w:sz w:val="28"/>
          <w:sz w:val="28"/>
          <w:szCs w:val="28"/>
          <w:rtl w:val="true"/>
          <w:lang w:bidi="fa-IR"/>
        </w:rPr>
        <w:t xml:space="preserve">من العموم من وجه بین ما دلّ علىٰ استحباب قراءة القرآن والتعزية مثلاً وبين تحريم الغناء ، والرخصة أوفق بالأصل ؛ إذ يلزم عليه أنّ جميع أدلّة المحرّمات معارضة بأدلّة ،السنن ، حتىٰ الزنا واللواط والغيبة والكذب والسبّ والشتم ونحوها حيث تقع بالتماس المؤمن ومع العلم بإدخال السرور عليه ، فلو حكمت أدلّة السنن بتأييدها بأصالة الإباحة علىٰ أدلّة التحريم ؛ لم يبق </w:t>
      </w:r>
    </w:p>
    <w:p>
      <w:pPr>
        <w:pStyle w:val="BookText"/>
        <w:rPr/>
      </w:pPr>
      <w:r>
        <w:rPr>
          <w:rFonts w:ascii="IRNazanin" w:hAnsi="IRNazanin" w:eastAsia="IRNazanin"/>
          <w:color w:val="111111"/>
          <w:sz w:val="28"/>
          <w:sz w:val="28"/>
          <w:szCs w:val="28"/>
          <w:rtl w:val="true"/>
          <w:lang w:bidi="fa-IR"/>
        </w:rPr>
        <w:t xml:space="preserve">حرام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من أدلّة تحريم الغناء أنّه قبيح لا يقبل التخصيص ، لجعله من قول الزور ولهو الحديث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ورد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الحرام والحلال إلّا وغلب الحرام الحلال</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 علىٰ أنّ ذلك جارٍ في صلى اللّٰه التعزية ، ومدح النبي صلی اللّٰه علیه و آله والأئمة علیهم السلام ، ومدح كلّ مَن يستحقّ المدح وذمّ كلّ مَن يستحقّ الذمّ ، والأذكار ، والدعوات ، وقراءة الصلاة ، والمناجاة ، بل في مطلق ما يجري من الكلام علىٰ اللّسان من الطاعات وغيرها إذا حصل فيها وجه رجحان بأيّ نحو كان علىٰ أنّ التعارض يثبت حيث نجعل الغناء من الأصوات ، أمّا لو جعلناه من الكيفيات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معارضة ؛ إذْ لا مناقضة ، لعدم وحدة الموضوع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هذا كلّه وقوع بعض العلماء </w:t>
      </w:r>
      <w:r>
        <w:rPr>
          <w:rStyle w:val="FootnoteAnchor"/>
          <w:rtl w:val="true"/>
        </w:rPr>
        <w:footnoteReference w:id="338"/>
      </w:r>
      <w:r>
        <w:rPr>
          <w:rFonts w:ascii="Amiri" w:hAnsi="Amiri" w:eastAsia="Amiri" w:cs="Amiri"/>
          <w:color w:val="111111"/>
          <w:sz w:val="28"/>
          <w:sz w:val="28"/>
          <w:szCs w:val="28"/>
          <w:rtl w:val="true"/>
          <w:lang w:bidi="ar-SA"/>
        </w:rPr>
        <w:t xml:space="preserve">في الاشتباه من جهة غلط عرف العوام حيث لا يطلقون الغناء إلّا على ما لا يُسمّىٰ قراءة أو مدحاً أو </w:t>
      </w:r>
    </w:p>
    <w:p>
      <w:pPr>
        <w:pStyle w:val="BookText"/>
        <w:rPr/>
      </w:pPr>
      <w:r>
        <w:rPr>
          <w:rFonts w:ascii="Amiri" w:hAnsi="Amiri" w:eastAsia="Amiri" w:cs="Amiri"/>
          <w:color w:val="111111"/>
          <w:sz w:val="28"/>
          <w:sz w:val="28"/>
          <w:szCs w:val="28"/>
          <w:rtl w:val="true"/>
          <w:lang w:bidi="ar-SA"/>
        </w:rPr>
        <w:t xml:space="preserve">ذكراً أو مناجاة أو ما لا يكون بلسان الفصحاء والبلغاء، مع أنّهم علموا وسمعوا أنّ الغناء في أيام العباسيين والاُمويين لا يكون إلّا من ذلك القبيل غالباً ، وهو عمل إبراهيم شيخ المغنّين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منکم عُلّیَّةُ أم منهم وكان لكم شيخ المغنين إبراهيم أم لهم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شافية أبي فراس في مناقب آل الرسول ومثالب بني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منهم مَن زعم أنّ حسن الصوت يستلزم الغناء </w:t>
      </w:r>
      <w:r>
        <w:rPr>
          <w:rStyle w:val="FootnoteAnchor"/>
          <w:rtl w:val="true"/>
        </w:rPr>
        <w:footnoteReference w:id="34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أخذ الروايات الدالة علىٰ حسن صوت داوود علیه السلام بحيث يسقط له الطير </w:t>
      </w:r>
      <w:r>
        <w:rPr>
          <w:rStyle w:val="FootnoteAnchor"/>
          <w:rtl w:val="true"/>
        </w:rPr>
        <w:footnoteReference w:id="341"/>
      </w:r>
      <w:r>
        <w:rPr>
          <w:rFonts w:ascii="IRNazanin" w:hAnsi="IRNazanin" w:eastAsia="IRNazanin"/>
          <w:color w:val="111111"/>
          <w:sz w:val="28"/>
          <w:sz w:val="28"/>
          <w:szCs w:val="28"/>
          <w:rtl w:val="true"/>
          <w:lang w:bidi="fa-IR"/>
        </w:rPr>
        <w:t>، وصوت زين العابدين وسيد الساجدين علیه السلام حتى نُقل سقوط بعض المارّین</w:t>
      </w:r>
      <w:r>
        <w:rPr>
          <w:rStyle w:val="FootnoteAnchor"/>
          <w:rtl w:val="true"/>
        </w:rPr>
        <w:footnoteReference w:id="342"/>
      </w:r>
      <w:r>
        <w:rPr>
          <w:rFonts w:ascii="Amiri" w:hAnsi="Amiri" w:eastAsia="Amiri" w:cs="Amiri"/>
          <w:color w:val="111111"/>
          <w:sz w:val="28"/>
          <w:sz w:val="28"/>
          <w:szCs w:val="28"/>
          <w:rtl w:val="true"/>
          <w:lang w:bidi="ar-SA"/>
        </w:rPr>
        <w:t xml:space="preserve">، حجّة علىٰ جواز الغناء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ذلك عدم الفرق بين الحسن الذي هو من عطاء الرحمٰن والتحسين الناشيء من الترجيع الناشيء من دعوة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التشبيه بامرأة ذات حسن وجمال ، وأخرىٰ متحلّية متحسّنة لترغيب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أنه متىٰ حصل الاشتباه لشخص في أمر ؛ خيّل في نفسه الحقّ والباطل ورأىٰ أنّه إلىٰ أيّ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الأمرين أقرب حتى يلحقه به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البصير الخبير بأحوال الشرع يعلم أنّ أصل الفساد ورأسه فيما يتعلّق بالعفّة وضدّها من الزنا واللواط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عليهما الشهوة الخبيثة والمحرّك لها النظر إلى محاسن الأجنبيات ، وأشدّ منه أصوات المغنّين والمغنيّات، وسماعها يهيّج الأشواق ، ويحرّك شهوة العشّاق ، ويتعاظم الهمّ بتذكّر الفراق ، ويزداد الشوق إلى حصول التلاق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زعمه المتصوّفة من أنّ ما أصابهم من عشق الحضرة القدسية ؛ زور وافتراء على ربّ البريّة، وإنّما هو من شدّة الميل إلى الزنا بالنساء الحسان، واللواط بالمرد من الولدان ، وإلّا فكيف تقع الجنابة حينئذ منهم كما روى جمع من الثقات ذلك عنهم وعلى كلّ حال فالذي يقع في نظري أنّ الغناء في باب الطاعات كقراءَة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الغناء في غيرها في العصيان ؛ لزيادة الذنب الفضيع بازدياد معصية التشريع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وردت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بطريق صحيح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إباحة 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أنّ المغنّيات لا بأس بكسبهن وبأجرهن </w:t>
      </w:r>
      <w:r>
        <w:rPr>
          <w:rStyle w:val="FootnoteAnchor"/>
          <w:rtl w:val="true"/>
        </w:rPr>
        <w:footnoteReference w:id="345"/>
      </w:r>
      <w:r>
        <w:rPr>
          <w:rFonts w:ascii="Amiri" w:hAnsi="Amiri" w:eastAsia="Amiri" w:cs="Amiri"/>
          <w:color w:val="111111"/>
          <w:sz w:val="28"/>
          <w:sz w:val="28"/>
          <w:szCs w:val="28"/>
          <w:rtl w:val="true"/>
          <w:lang w:bidi="ar-SA"/>
        </w:rPr>
        <w:t xml:space="preserve">، لا نفي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البأس عن غنائهن ولا عن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نفي البأس عن أجره يشكل التعلّق به في إباحته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 كثير</w:t>
      </w:r>
      <w:r>
        <w:rPr>
          <w:rStyle w:val="FootnoteAnchor"/>
          <w:rtl w:val="true"/>
        </w:rPr>
        <w:footnoteReference w:id="346"/>
      </w:r>
      <w:r>
        <w:rPr>
          <w:rFonts w:ascii="Amiri" w:hAnsi="Amiri" w:eastAsia="Amiri" w:cs="Amiri"/>
          <w:color w:val="111111"/>
          <w:sz w:val="28"/>
          <w:sz w:val="28"/>
          <w:szCs w:val="28"/>
          <w:rtl w:val="true"/>
          <w:lang w:bidi="ar-SA"/>
        </w:rPr>
        <w:t xml:space="preserve">حتى ظُنّ أنّه المشهور </w:t>
      </w:r>
      <w:r>
        <w:rPr>
          <w:rStyle w:val="FootnoteAnchor"/>
          <w:rtl w:val="true"/>
        </w:rPr>
        <w:footnoteReference w:id="347"/>
      </w:r>
      <w:r>
        <w:rPr>
          <w:rFonts w:ascii="Amiri" w:hAnsi="Amiri" w:eastAsia="Amiri" w:cs="Amiri"/>
          <w:color w:val="111111"/>
          <w:sz w:val="28"/>
          <w:sz w:val="28"/>
          <w:szCs w:val="28"/>
          <w:rtl w:val="true"/>
          <w:lang w:bidi="ar-SA"/>
        </w:rPr>
        <w:t xml:space="preserve">، وهو المتعلّق بالنكاح ولو بالمنقطع دون ملك اليمين ، اقتصاراً علىٰ محلّ اليقين ، ودون الختان وغيره من أسباب الفرح ، مع الاقتصار علىٰ المعتاد أو الأقل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تتكلم بالباطل ، ولم تلعب بالملاهي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علىٰ المتيقّن فيما خالف العمومات من الكتاب والسنّة والإجماعات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الرخصة في الصحيح </w:t>
      </w:r>
      <w:r>
        <w:rPr>
          <w:rStyle w:val="FootnoteAnchor"/>
          <w:rtl w:val="true"/>
        </w:rPr>
        <w:footnoteReference w:id="349"/>
      </w:r>
      <w:r>
        <w:rPr>
          <w:rFonts w:ascii="Amiri" w:hAnsi="Amiri" w:eastAsia="Amiri" w:cs="Amiri"/>
          <w:color w:val="111111"/>
          <w:sz w:val="28"/>
          <w:sz w:val="28"/>
          <w:szCs w:val="28"/>
          <w:rtl w:val="true"/>
          <w:lang w:bidi="ar-SA"/>
        </w:rPr>
        <w:t xml:space="preserve">بالتي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الرجال عليها </w:t>
      </w:r>
      <w:r>
        <w:rPr>
          <w:rStyle w:val="FootnoteAnchor"/>
          <w:rtl w:val="true"/>
        </w:rPr>
        <w:footnoteReference w:id="3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القيدين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مرّ أنه لا ينبغي صدور الاستثناء من أهل النظر ، كيف لا؟ وتحريم الغناء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كتحريم الزنا ، أخباره متواترة، وأدلّته متكاثرة ، عُبّر عنه بقول الزور ولهو الحديث في القرآن </w:t>
      </w:r>
      <w:r>
        <w:rPr>
          <w:rStyle w:val="FootnoteAnchor"/>
          <w:rtl w:val="true"/>
        </w:rPr>
        <w:footnoteReference w:id="351"/>
      </w:r>
      <w:r>
        <w:rPr>
          <w:rFonts w:ascii="Amiri" w:hAnsi="Amiri" w:eastAsia="Amiri" w:cs="Amiri"/>
          <w:color w:val="111111"/>
          <w:sz w:val="28"/>
          <w:sz w:val="28"/>
          <w:szCs w:val="28"/>
          <w:rtl w:val="true"/>
          <w:lang w:bidi="ar-SA"/>
        </w:rPr>
        <w:t xml:space="preserve">، ونادت الأخبار بأنّه المحرّك على الفجور والعصيان </w:t>
      </w:r>
      <w:r>
        <w:rPr>
          <w:rStyle w:val="FootnoteAnchor"/>
          <w:rtl w:val="true"/>
        </w:rPr>
        <w:footnoteReference w:id="352"/>
      </w:r>
      <w:r>
        <w:rPr>
          <w:rFonts w:ascii="Amiri" w:hAnsi="Amiri" w:eastAsia="Amiri" w:cs="Amiri"/>
          <w:color w:val="111111"/>
          <w:sz w:val="28"/>
          <w:sz w:val="28"/>
          <w:szCs w:val="28"/>
          <w:rtl w:val="true"/>
          <w:lang w:bidi="ar-SA"/>
        </w:rPr>
        <w:t xml:space="preserve">، فكان تحريمه من الأمور العقلية التي لا تقبل تقييداً ولا تخصيصاً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يخطر بالبال أو يجري في الخيال أنْ يقع مثل هذا الكلام من سادات الأنام ، الأمرين بترك الشبهات خوفاً من الوقوع في المحرّمات؟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مع أنّه مؤذن بجواز ما فيه معظم اللهو عن ذكر المعاد ، ومدنٍ إلىٰ الزنا واللواط اللذين هما رأس الفساد ، علىٰ أنّ في ضعف دلالة تلك الأخبار ما يخرجها عن محلّ الاعتبار، وموافقتها للتقيّة </w:t>
      </w:r>
      <w:r>
        <w:rPr>
          <w:rStyle w:val="FootnoteAnchor"/>
          <w:rtl w:val="true"/>
        </w:rPr>
        <w:footnoteReference w:id="354"/>
      </w:r>
      <w:r>
        <w:rPr>
          <w:rFonts w:ascii="Amiri" w:hAnsi="Amiri" w:eastAsia="Amiri" w:cs="Amiri"/>
          <w:color w:val="111111"/>
          <w:sz w:val="28"/>
          <w:sz w:val="28"/>
          <w:szCs w:val="28"/>
          <w:rtl w:val="true"/>
          <w:lang w:bidi="ar-SA"/>
        </w:rPr>
        <w:t xml:space="preserve">يرفع اعتبارها في مقابلة ما مرّ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غاية الكثرة ما عادلت ، أنّها في نهاية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فُرِّق بين الحقّ والباطل لرأيته من القسم الثاني بديهة </w:t>
      </w:r>
      <w:r>
        <w:rPr>
          <w:rStyle w:val="FootnoteAnchor"/>
          <w:rtl w:val="true"/>
        </w:rPr>
        <w:footnoteReference w:id="355"/>
      </w:r>
      <w:r>
        <w:rPr>
          <w:rFonts w:ascii="Amiri" w:hAnsi="Amiri" w:eastAsia="Amiri" w:cs="Amiri"/>
          <w:color w:val="111111"/>
          <w:sz w:val="28"/>
          <w:sz w:val="28"/>
          <w:szCs w:val="28"/>
          <w:rtl w:val="true"/>
          <w:lang w:bidi="ar-SA"/>
        </w:rPr>
        <w:t xml:space="preserve">، وربّما كان قبحه في غير الأعراس أقلّ منه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القول بالتحريم هو المشهور علىٰ الظاهر ، لأنّ كلّ مَن حرّم الغناء ولم يستثن </w:t>
      </w:r>
      <w:r>
        <w:rPr>
          <w:rStyle w:val="FootnoteAnchor"/>
          <w:rtl w:val="true"/>
        </w:rPr>
        <w:footnoteReference w:id="356"/>
      </w:r>
      <w:r>
        <w:rPr>
          <w:rFonts w:ascii="Amiri" w:hAnsi="Amiri" w:eastAsia="Amiri" w:cs="Amiri"/>
          <w:color w:val="111111"/>
          <w:sz w:val="28"/>
          <w:sz w:val="28"/>
          <w:szCs w:val="28"/>
          <w:rtl w:val="true"/>
          <w:lang w:bidi="ar-SA"/>
        </w:rPr>
        <w:t xml:space="preserve">فهو من المحرّمين ، وحاله كحال المصرّحين ، وهم عدد كثير من الفحول والأساطين </w:t>
      </w:r>
      <w:r>
        <w:rPr>
          <w:rStyle w:val="FootnoteAnchor"/>
          <w:rtl w:val="true"/>
        </w:rPr>
        <w:footnoteReference w:id="357"/>
      </w:r>
      <w:r>
        <w:rPr>
          <w:rFonts w:ascii="Amiri" w:hAnsi="Amiri" w:eastAsia="Amiri" w:cs="Amiri"/>
          <w:color w:val="111111"/>
          <w:sz w:val="28"/>
          <w:sz w:val="28"/>
          <w:szCs w:val="28"/>
          <w:rtl w:val="true"/>
          <w:lang w:bidi="ar-SA"/>
        </w:rPr>
        <w:t xml:space="preserve">، لكنّه بعيد عن طريقة المخالفين والمتصوّفين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والعرف فارق بينهما وبين المغنّي والمغنّية ، للفرق بين الأصوات المهيّجة للأحزان لفراق الأرحام والإخوان يهيّج حرق الأشواق ويضرم النار في قلوب العشّاق ، أين صرخة المحزون من تطريب العاشق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طرق السمع من داخل الدار أو محلّ بعيد عن الأبصار صوت النداء عُرف أنّه من الغناء أو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التأمّل فى البين ، وظهور الفرق بين القسمين ؛ لم يكن من الاستثناء من الغناء كما يظهر من بعض الفقهاء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جرت عليه سيرة </w:t>
      </w:r>
    </w:p>
    <w:p>
      <w:pPr>
        <w:pStyle w:val="BookText"/>
        <w:rPr/>
      </w:pPr>
      <w:r>
        <w:rPr>
          <w:rFonts w:ascii="Amiri" w:hAnsi="Amiri" w:eastAsia="Amiri" w:cs="Amiri"/>
          <w:color w:val="111111"/>
          <w:sz w:val="28"/>
          <w:sz w:val="28"/>
          <w:szCs w:val="28"/>
          <w:rtl w:val="true"/>
          <w:lang w:bidi="ar-SA"/>
        </w:rPr>
        <w:t xml:space="preserve">الإمامية علىٰ مرّ الأعصار متلقّين له بالقبول دون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وجدنا بعض التصرّفات من المتخذين لقراءة التعزية من طرق الاكتساب ؛ ألحاناً كألحان المغنّين والمغنّيات، وعند التحقيق وإمعان النظر الدقيق يعلم أنّ النائح والنائحة لو مدّا صوتيهما تمام المدّ ، وتجاوزا في الترجيع ما فات عن الحدّ ، ولم يخرجا عن صفة النياحة المعروفة ؛ لم يوصفا بصفة الغناء 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أنّ النياحة يجوز أخذ الأجرة عليها كسائر المباحات والمكروهات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تحرم حيث يكون النوح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تذكر صفات كاذبة ليست في الميت ، أو تذكر الصفات التي لا يسوغ ذكرها ، كأنّ تصفه بما يرفعه في دنياه ويضعه في اُخراه، أو تقضي برفعته وضعة غيره، أو تأتي بالنوح غير السائغ ؛ لسماع الأجانب لو حرّمناه ، و </w:t>
      </w:r>
      <w:r>
        <w:rPr>
          <w:rStyle w:val="FootnoteAnchor"/>
          <w:rtl w:val="true"/>
        </w:rPr>
        <w:footnoteReference w:id="359"/>
      </w:r>
      <w:r>
        <w:rPr>
          <w:rFonts w:ascii="Amiri" w:hAnsi="Amiri" w:eastAsia="Amiri" w:cs="Amiri"/>
          <w:color w:val="111111"/>
          <w:sz w:val="28"/>
          <w:sz w:val="28"/>
          <w:szCs w:val="28"/>
          <w:rtl w:val="true"/>
          <w:lang w:bidi="ar-SA"/>
        </w:rPr>
        <w:t xml:space="preserve">نهى مفترض الطاعة ، أو لكونه علىٰ الكفّار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الباطل بمعنى الهذر ؛ فالظاهر عدم المنع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فالمدار على المنع الشرعي ، حتىٰ تكون الأجرة أجرةً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الإعطاء بعد المقاطعة وبدونها، وبين الدفع مع قصدها التبرع وبدونه ، لأنّ الظاهر من الأدلّة أن جميع ما يتولّد من الحرام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أعطاها لا لأجل نوحها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خلطت بين الحقّ والباطل حرمت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خلطته بصوت الغناء حرمت أجرتها أيضاً ، لظاهر الأخبار </w:t>
      </w:r>
      <w:r>
        <w:rPr>
          <w:rStyle w:val="FootnoteAnchor"/>
          <w:rtl w:val="true"/>
        </w:rPr>
        <w:footnoteReference w:id="360"/>
      </w:r>
      <w:r>
        <w:rPr>
          <w:rFonts w:ascii="Amiri" w:hAnsi="Amiri" w:eastAsia="Amiri" w:cs="Amiri"/>
          <w:color w:val="111111"/>
          <w:sz w:val="28"/>
          <w:sz w:val="28"/>
          <w:szCs w:val="28"/>
          <w:rtl w:val="true"/>
          <w:lang w:bidi="ar-SA"/>
        </w:rPr>
        <w:t xml:space="preserve">ولعدم الانفكاك عن خليط الحقّ غالباً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كراهة مع الشرط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لها لا تشارط</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أو مطلقاً ، لما دلّ على الإطلاق</w:t>
      </w:r>
      <w:r>
        <w:rPr>
          <w:rStyle w:val="FootnoteAnchor"/>
          <w:rtl w:val="true"/>
        </w:rPr>
        <w:footnoteReference w:id="362"/>
      </w:r>
      <w:r>
        <w:rPr>
          <w:rFonts w:ascii="Amiri" w:hAnsi="Amiri" w:eastAsia="Amiri" w:cs="Amiri"/>
          <w:color w:val="111111"/>
          <w:sz w:val="28"/>
          <w:sz w:val="28"/>
          <w:szCs w:val="28"/>
          <w:rtl w:val="true"/>
          <w:lang w:bidi="ar-SA"/>
        </w:rPr>
        <w:t xml:space="preserve">مع حمل الأوّل علىٰ شدّة الكراهة </w:t>
      </w:r>
      <w:r>
        <w:rPr>
          <w:rStyle w:val="FootnoteAnchor"/>
          <w:rtl w:val="true"/>
        </w:rPr>
        <w:footnoteReference w:id="363"/>
      </w:r>
      <w:r>
        <w:rPr>
          <w:rFonts w:ascii="Amiri" w:hAnsi="Amiri" w:eastAsia="Amiri" w:cs="Amiri"/>
          <w:color w:val="111111"/>
          <w:sz w:val="28"/>
          <w:sz w:val="28"/>
          <w:szCs w:val="28"/>
          <w:rtl w:val="true"/>
          <w:lang w:bidi="ar-SA"/>
        </w:rPr>
        <w:t xml:space="preserve">، لعدم المانع منها، ولخروجها عن حقيقة الغناء ، وللإجماع المحصّل فضلاً عن المنقول </w:t>
      </w:r>
      <w:r>
        <w:rPr>
          <w:rStyle w:val="FootnoteAnchor"/>
          <w:rtl w:val="true"/>
        </w:rPr>
        <w:footnoteReference w:id="364"/>
      </w:r>
      <w:r>
        <w:rPr>
          <w:rFonts w:ascii="IRNazanin" w:hAnsi="IRNazanin" w:eastAsia="IRNazanin"/>
          <w:color w:val="111111"/>
          <w:sz w:val="28"/>
          <w:sz w:val="28"/>
          <w:szCs w:val="28"/>
          <w:rtl w:val="true"/>
          <w:lang w:bidi="fa-IR"/>
        </w:rPr>
        <w:t>، والسيرة المستمرة خلفاً بعد سلف ، ولأمر الباقر الصادق علیهما السلام في الموثّق بوقف شيء من ماله وصرفه في نوادب يندبنه عشر سنين في أيام منىٰ</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عدم تحريمها مع سماع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منع الأجرة فيما منعنا فيه بين صدوره من مكلّف أو غيره على الأقوىٰ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علم أنّ المدار في المنع المنع علىٰ اسم الغناء، فلا يخرج عن على اسم الحكم إلّا فيما خرج عن الاسم ؛ لزم الحكم بحرمة 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 الصوت علىٰ نحو خاصّ لسوق الإبل </w:t>
      </w:r>
      <w:r>
        <w:rPr>
          <w:rStyle w:val="FootnoteAnchor"/>
          <w:rtl w:val="true"/>
        </w:rPr>
        <w:footnoteReference w:id="366"/>
      </w:r>
      <w:r>
        <w:rPr>
          <w:rFonts w:ascii="IRNazanin" w:hAnsi="IRNazanin" w:eastAsia="IRNazanin"/>
          <w:color w:val="111111"/>
          <w:sz w:val="28"/>
          <w:sz w:val="28"/>
          <w:szCs w:val="28"/>
          <w:rtl w:val="true"/>
          <w:lang w:bidi="fa-IR"/>
        </w:rPr>
        <w:t xml:space="preserve">إنْ جعلناه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واستثناء الحداء </w:t>
      </w:r>
      <w:r>
        <w:rPr>
          <w:rStyle w:val="FootnoteAnchor"/>
          <w:rtl w:val="true"/>
        </w:rPr>
        <w:footnoteReference w:id="367"/>
      </w:r>
      <w:r>
        <w:rPr>
          <w:rFonts w:ascii="IRNazanin" w:hAnsi="IRNazanin" w:eastAsia="IRNazanin"/>
          <w:color w:val="111111"/>
          <w:sz w:val="28"/>
          <w:sz w:val="28"/>
          <w:szCs w:val="28"/>
          <w:rtl w:val="true"/>
          <w:lang w:bidi="fa-IR"/>
        </w:rPr>
        <w:t xml:space="preserve">والنوح من الحكم ، لرواية مسندة إلى النبي صلی اللّٰه علیه و آله لا نعرف سندها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دلالتها من أنّه قال لعبد اللّٰه بن رواحة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 بالنوق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يرتجز ، وكان جيّد الحداء، وكان مع الرجال ، فتبعه أنجشة وكان مع النساء فلمّا سمعه النبي صلی اللّٰه علیه و آله قال لأنجشة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رويدك ، رفقاً بالقوارير</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 ولنوح أمّ سلمة ابن عمّها الوليد بمحضر النبي صلی اللّٰه علیه و آله وعدم إنكاره عليها </w:t>
      </w:r>
      <w:r>
        <w:rPr>
          <w:rStyle w:val="FootnoteAnchor"/>
          <w:rtl w:val="true"/>
        </w:rPr>
        <w:footnoteReference w:id="369"/>
      </w:r>
      <w:r>
        <w:rPr>
          <w:rFonts w:ascii="Amiri" w:hAnsi="Amiri" w:eastAsia="Amiri" w:cs="Amiri"/>
          <w:color w:val="111111"/>
          <w:sz w:val="28"/>
          <w:sz w:val="28"/>
          <w:szCs w:val="28"/>
          <w:rtl w:val="true"/>
          <w:lang w:bidi="ar-SA"/>
        </w:rPr>
        <w:t xml:space="preserve">؛ ممّا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تُخَصّ الآيات والأخبار المتواترة والإجماعات </w:t>
      </w:r>
      <w:r>
        <w:rPr>
          <w:rStyle w:val="FootnoteAnchor"/>
          <w:rtl w:val="true"/>
        </w:rPr>
        <w:footnoteReference w:id="370"/>
      </w:r>
      <w:r>
        <w:rPr>
          <w:rFonts w:ascii="Amiri" w:hAnsi="Amiri" w:eastAsia="Amiri" w:cs="Amiri"/>
          <w:color w:val="111111"/>
          <w:sz w:val="28"/>
          <w:sz w:val="28"/>
          <w:szCs w:val="28"/>
          <w:rtl w:val="true"/>
          <w:lang w:bidi="ar-SA"/>
        </w:rPr>
        <w:t xml:space="preserve">بمثل هاتين الروايتين اللتين قلّ العامل عليهما لو دلّتا؟ والشهرة ممنوعة بالنسبة إليهما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فيلزم القائل بالدخول والإخراج الاقتصار علىٰ خصوص الإبل دون غيرها من المواشي </w:t>
      </w:r>
      <w:r>
        <w:rPr>
          <w:rStyle w:val="FootnoteAnchor"/>
          <w:rtl w:val="true"/>
        </w:rPr>
        <w:footnoteReference w:id="372"/>
      </w:r>
      <w:r>
        <w:rPr>
          <w:rFonts w:ascii="Amiri" w:hAnsi="Amiri" w:eastAsia="Amiri" w:cs="Amiri"/>
          <w:color w:val="111111"/>
          <w:sz w:val="28"/>
          <w:sz w:val="28"/>
          <w:szCs w:val="28"/>
          <w:rtl w:val="true"/>
          <w:lang w:bidi="ar-SA"/>
        </w:rPr>
        <w:t xml:space="preserve">، بشرط كونها ماشيةً ، وسرعة </w:t>
      </w:r>
      <w:bookmarkStart w:id="182" w:name="pg20243_272109"/>
    </w:p>
    <w:p>
      <w:pPr>
        <w:pStyle w:val="BookText"/>
        <w:rPr/>
      </w:pPr>
      <w:bookmarkEnd w:id="182"/>
      <w:r>
        <w:rPr>
          <w:rFonts w:ascii="Amiri" w:hAnsi="Amiri" w:eastAsia="Amiri" w:cs="Amiri"/>
          <w:color w:val="111111"/>
          <w:sz w:val="28"/>
          <w:sz w:val="28"/>
          <w:szCs w:val="28"/>
          <w:rtl w:val="true"/>
          <w:lang w:bidi="ar-SA"/>
        </w:rPr>
        <w:t>السير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 الحداء قسيماً للغناء ومبايناً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الشهادة العرف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الجواز الإبل وغيرها، في حال السير وغيره ويقوى أيضاً خروج أصوات عملة السفن عند مباشرة الأعمال ، وترجيع الأمّهات لنوم الأطفال ، والنداء لتحريض الرجال علىٰ القتال </w:t>
      </w:r>
      <w:r>
        <w:rPr>
          <w:rStyle w:val="FootnoteAnchor"/>
          <w:rtl w:val="true"/>
        </w:rPr>
        <w:footnoteReference w:id="373"/>
      </w:r>
      <w:r>
        <w:rPr>
          <w:rFonts w:ascii="Amiri" w:hAnsi="Amiri" w:eastAsia="Amiri" w:cs="Amiri"/>
          <w:color w:val="111111"/>
          <w:sz w:val="28"/>
          <w:sz w:val="28"/>
          <w:szCs w:val="28"/>
          <w:rtl w:val="true"/>
          <w:lang w:bidi="ar-SA"/>
        </w:rPr>
        <w:t xml:space="preserve">، والأصوات المشجية في المناجات ، والأصوات الغير المشتملة على الحروف كالهلهة علىٰ النحو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الحزم اجتناب الشبهات خصوصاً عند اشتباه الموضوعات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284906_2320776876"/>
      <w:bookmarkStart w:id="184" w:name="_Toc64"/>
      <w:bookmarkEnd w:id="183"/>
      <w:r>
        <w:rPr>
          <w:rtl w:val="true"/>
        </w:rPr>
        <w:t>القمار</w:t>
      </w:r>
      <w:bookmarkEnd w:id="1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بالآلات المعروفة علىٰ اختلاف أنواعها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علىٰ اللعب بشيء من الأشياء المعروفة في القمار المعتاد </w:t>
      </w:r>
      <w:r>
        <w:rPr>
          <w:rStyle w:val="FootnoteAnchor"/>
          <w:rtl w:val="true"/>
        </w:rPr>
        <w:footnoteReference w:id="374"/>
      </w:r>
      <w:r>
        <w:rPr>
          <w:rFonts w:ascii="Amiri" w:hAnsi="Amiri" w:eastAsia="Amiri" w:cs="Amiri"/>
          <w:color w:val="111111"/>
          <w:sz w:val="28"/>
          <w:sz w:val="28"/>
          <w:szCs w:val="28"/>
          <w:rtl w:val="true"/>
          <w:lang w:bidi="ar-SA"/>
        </w:rPr>
        <w:t xml:space="preserve">والأقوىٰ عمومه لجميع آلات اللهو واللعب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 والشطرنج ، والأربعة عشر، والخاتم ، والجوز ؛ للإجماع المنقول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اعتيد به المغالبة والمقامرة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 ونفعه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لعب الصبيان بالجوز والخاتم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تعليمه وتعلّمه بفعله ، أو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إتلاف آلاته كباقي 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حرمته ؛ لظاهر الإجماع</w:t>
      </w:r>
      <w:r>
        <w:rPr>
          <w:rStyle w:val="FootnoteAnchor"/>
          <w:rtl w:val="true"/>
        </w:rPr>
        <w:footnoteReference w:id="376"/>
      </w:r>
      <w:r>
        <w:rPr>
          <w:rFonts w:ascii="IRNazanin" w:hAnsi="IRNazanin" w:eastAsia="IRNazanin"/>
          <w:color w:val="111111"/>
          <w:sz w:val="28"/>
          <w:sz w:val="28"/>
          <w:szCs w:val="28"/>
          <w:rtl w:val="true"/>
          <w:lang w:bidi="fa-IR"/>
        </w:rPr>
        <w:t xml:space="preserve">، والأخبار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معتاداً كذلك ، ولا يدخل في الملاهي ؛ فيحرم نفعه ، وعمله له لدخوله في الميسر المنهي عنه في صريح القرآن </w:t>
      </w:r>
      <w:r>
        <w:rPr>
          <w:rStyle w:val="FootnoteAnchor"/>
          <w:rtl w:val="true"/>
        </w:rPr>
        <w:footnoteReference w:id="378"/>
      </w:r>
      <w:r>
        <w:rPr>
          <w:rFonts w:ascii="IRNazanin" w:hAnsi="IRNazanin" w:eastAsia="IRNazanin"/>
          <w:color w:val="111111"/>
          <w:sz w:val="28"/>
          <w:sz w:val="28"/>
          <w:szCs w:val="28"/>
          <w:rtl w:val="true"/>
          <w:lang w:bidi="fa-IR"/>
        </w:rPr>
        <w:t>، المفسَّر ، بأخذ المال بیسر</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فعله فلم يقم دليل معتبر علىٰ تحريمه ؛ فالمسابقة والمغالبة من دون رهان لا بأس بها ، ومعه حرام إلّا ما استثني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وهذا نظير اللعب واللهو ، فإنّ تحريمهما مقصور على ما عمّ لهوه الناس ، ودخل في قسم اللهو والملاهي المعتادة التي يتولّد منها فساد علىٰ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الخاص فليس حاله ذلك ، وإلّا لحرم أكثر أقسام الملاعبة بالأبدان ، وخرج عن العدالة كثير من أهل الإيمان ، ولأنّ إسم اللهو وآلاته والملاهي إنّما ينصرف إلى الفرد الشائع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والنفع العائد من الصبيان كالعائد من الكبار ، وإنْ اختلفوا في العصيان وعدمه ؛ لأنّ الكلّ أخذ مال بالباطل ، وداخل في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علىٰ الوليّ منع الصبيّ عن استعمال ما فيه بذل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 فيلحظ فيه الفساد وخلافه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علیه السلام أكل من مال المقامرة شيئاً غير علم، فلما علم قآءَه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وراويه أدرى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الشطرنج حرام ، وأكل ثمنه سحت واتخاذها كفر، واللّعب بها شرك ، والسلام علىٰ اللّاهي بها معصية وكبيرة موبقة ، والخائض فيها يده كالخائض يده في لحم الخنزير ، لا صلاة له حتىٰ يغسل يده كما يغسلها من مسّ لحم الخنزير ، والناظر إليها كالناظر في فرج أمّه ، واللّاهي بها والناظر إليها في حال ما يلهىٰ بها ، والسلام علىٰ اللاهي بها في حالته تلك في الإثم سواء ، ومَن جلس علىٰ اللّعب بها فقد تبوأ مقعده من النار ، وكان عيشه ذلك حسرة عليه في القيامة ، وإيّاك ومجالسة اللاهي والمغرور بلعبها ، فإنّها من المجالس التي باء أهلها بسخط من اللّٰه ، يتوقعونه في كلّ ساعة فيعمّك معهم</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معمول عليه ، غير أنّ نجاسة اليد ، وبطلان الصلاة بدون </w:t>
      </w:r>
      <w:bookmarkStart w:id="185" w:name="pg20243_272112"/>
    </w:p>
    <w:p>
      <w:pPr>
        <w:pStyle w:val="BookText"/>
        <w:rPr/>
      </w:pPr>
      <w:bookmarkEnd w:id="185"/>
      <w:r>
        <w:rPr>
          <w:rFonts w:ascii="Amiri" w:hAnsi="Amiri" w:eastAsia="Amiri" w:cs="Amiri"/>
          <w:color w:val="111111"/>
          <w:sz w:val="28"/>
          <w:sz w:val="28"/>
          <w:szCs w:val="28"/>
          <w:rtl w:val="true"/>
          <w:lang w:bidi="ar-SA"/>
        </w:rPr>
        <w:t>الغسل ؛ مبالغة ، كالكفر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ومعصية السلام والنظر، والجلوس ؛ ليست علىٰ إطلاقها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284908_2320776876"/>
      <w:bookmarkStart w:id="187" w:name="_Toc65"/>
      <w:bookmarkEnd w:id="186"/>
      <w:r>
        <w:rPr>
          <w:rtl w:val="true"/>
        </w:rPr>
        <w:t>الغشّ بما یخفی</w:t>
      </w:r>
      <w:bookmarkEnd w:id="1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مصدر ، وبالكسر اسم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ألصق بما بعده ، وأوفق بتعلّق الحكم وترتّب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الأدنىٰ في الأعلىٰ، أو المطلوب في غيره أو بالعكس</w:t>
      </w:r>
      <w:r>
        <w:rPr>
          <w:rStyle w:val="FootnoteAnchor"/>
          <w:rtl w:val="true"/>
        </w:rPr>
        <w:footnoteReference w:id="384"/>
      </w:r>
      <w:r>
        <w:rPr>
          <w:rFonts w:ascii="Amiri" w:hAnsi="Amiri" w:eastAsia="Amiri" w:cs="Amiri"/>
          <w:color w:val="111111"/>
          <w:sz w:val="28"/>
          <w:sz w:val="28"/>
          <w:szCs w:val="28"/>
          <w:rtl w:val="true"/>
          <w:lang w:bidi="ar-SA"/>
        </w:rPr>
        <w:t xml:space="preserve">، من المجانس وغيره </w:t>
      </w:r>
      <w:r>
        <w:rPr>
          <w:rStyle w:val="FootnoteAnchor"/>
          <w:rtl w:val="true"/>
        </w:rPr>
        <w:footnoteReference w:id="385"/>
      </w:r>
      <w:r>
        <w:rPr>
          <w:rFonts w:ascii="Amiri" w:hAnsi="Amiri" w:eastAsia="Amiri" w:cs="Amiri"/>
          <w:color w:val="111111"/>
          <w:sz w:val="28"/>
          <w:sz w:val="28"/>
          <w:szCs w:val="28"/>
          <w:rtl w:val="true"/>
          <w:lang w:bidi="ar-SA"/>
        </w:rPr>
        <w:t xml:space="preserve">، أو تعمّد ما يظهر الصفة المليحة ويخفي القبيحة ، فيدخل التدليس ؛ ليتوفّر </w:t>
      </w:r>
      <w:r>
        <w:rPr>
          <w:rStyle w:val="FootnoteAnchor"/>
          <w:rtl w:val="true"/>
        </w:rPr>
        <w:footnoteReference w:id="386"/>
      </w:r>
      <w:r>
        <w:rPr>
          <w:rFonts w:ascii="Amiri" w:hAnsi="Amiri" w:eastAsia="Amiri" w:cs="Amiri"/>
          <w:color w:val="111111"/>
          <w:sz w:val="28"/>
          <w:sz w:val="28"/>
          <w:szCs w:val="28"/>
          <w:rtl w:val="true"/>
          <w:lang w:bidi="ar-SA"/>
        </w:rPr>
        <w:t xml:space="preserve">رغبة المستام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فيظنّ كماله، فيغريه بالجهل بفعله الخالي عن الاحتمال والمصلحة </w:t>
      </w:r>
      <w:r>
        <w:rPr>
          <w:rStyle w:val="FootnoteAnchor"/>
          <w:rtl w:val="true"/>
        </w:rPr>
        <w:footnoteReference w:id="387"/>
      </w:r>
      <w:r>
        <w:rPr>
          <w:rFonts w:ascii="Amiri" w:hAnsi="Amiri" w:eastAsia="Amiri" w:cs="Amiri"/>
          <w:color w:val="111111"/>
          <w:sz w:val="28"/>
          <w:sz w:val="28"/>
          <w:szCs w:val="28"/>
          <w:rtl w:val="true"/>
          <w:lang w:bidi="ar-SA"/>
        </w:rPr>
        <w:t>، بل المشتمل علىٰ المفسدة ، كما لو أغراه بقوله ، ويكون ساعياً في ضرره بإخفاء خبره ، فالعقل حاكم بقبحه حيث غشّه بترك نصحه، ولقد ظلمه حيث شبّه عليه وما أعلمه، ولدخوله فيما وضع للحرام، أو 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الشرع فقد توافقت عليه آياته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ورواياته </w:t>
      </w:r>
      <w:r>
        <w:rPr>
          <w:rStyle w:val="FootnoteAnchor"/>
          <w:rtl w:val="true"/>
        </w:rPr>
        <w:footnoteReference w:id="389"/>
      </w:r>
      <w:r>
        <w:rPr>
          <w:rFonts w:ascii="IRNazanin" w:hAnsi="IRNazanin" w:eastAsia="IRNazanin"/>
          <w:color w:val="111111"/>
          <w:sz w:val="28"/>
          <w:sz w:val="28"/>
          <w:szCs w:val="28"/>
          <w:rtl w:val="true"/>
          <w:lang w:bidi="fa-IR"/>
        </w:rPr>
        <w:t>وإجماعاته</w:t>
      </w:r>
      <w:r>
        <w:rPr>
          <w:rStyle w:val="FootnoteAnchor"/>
          <w:rtl w:val="true"/>
        </w:rPr>
        <w:footnoteReference w:id="390"/>
      </w:r>
      <w:r>
        <w:rPr>
          <w:rFonts w:ascii="Amiri" w:hAnsi="Amiri" w:eastAsia="Amiri" w:cs="Amiri"/>
          <w:color w:val="111111"/>
          <w:sz w:val="28"/>
          <w:sz w:val="28"/>
          <w:szCs w:val="28"/>
          <w:rtl w:val="true"/>
          <w:lang w:bidi="ar-SA"/>
        </w:rPr>
        <w:t xml:space="preserve">، وفي بعضها التشديد التام الدالّ على أنّه مخرج عن الإسلام </w:t>
      </w:r>
      <w:r>
        <w:rPr>
          <w:rStyle w:val="FootnoteAnchor"/>
          <w:rtl w:val="true"/>
        </w:rPr>
        <w:footnoteReference w:id="391"/>
      </w:r>
      <w:r>
        <w:rPr>
          <w:rFonts w:ascii="Amiri" w:hAnsi="Amiri" w:eastAsia="Amiri" w:cs="Amiri"/>
          <w:color w:val="111111"/>
          <w:sz w:val="28"/>
          <w:sz w:val="28"/>
          <w:szCs w:val="28"/>
          <w:rtl w:val="true"/>
          <w:lang w:bidi="ar-SA"/>
        </w:rPr>
        <w:t xml:space="preserve">ويلحقه في الحكم مَن لم يكن الغشّ من فعله ، لكنّه أخفاه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يعلم به ، أو علمه وأخبر به ؛ فلا تحريم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التردد في الصحّة والفساد بالنسبة إليه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واسمه أو حكمه مقصور على حصوله فيما فيه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كمزج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المياه المضافة أو المائعات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ليس فيه خفاء فلا بأس به عند جمهور العلماء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ووجود الخلاف على وجه الندرة </w:t>
      </w:r>
      <w:r>
        <w:rPr>
          <w:rStyle w:val="FootnoteAnchor"/>
          <w:rtl w:val="true"/>
        </w:rPr>
        <w:footnoteReference w:id="393"/>
      </w:r>
      <w:r>
        <w:rPr>
          <w:rFonts w:ascii="Amiri" w:hAnsi="Amiri" w:eastAsia="Amiri" w:cs="Amiri"/>
          <w:color w:val="111111"/>
          <w:sz w:val="28"/>
          <w:sz w:val="28"/>
          <w:szCs w:val="28"/>
          <w:rtl w:val="true"/>
          <w:lang w:bidi="ar-SA"/>
        </w:rPr>
        <w:t xml:space="preserve">لا يلتفت إليه في مقابلة مستفيض الشهرة ، وفي </w:t>
      </w:r>
    </w:p>
    <w:p>
      <w:pPr>
        <w:pStyle w:val="BookText"/>
        <w:rPr/>
      </w:pPr>
      <w:r>
        <w:rPr>
          <w:rFonts w:ascii="Amiri" w:hAnsi="Amiri" w:eastAsia="Amiri" w:cs="Amiri"/>
          <w:color w:val="111111"/>
          <w:sz w:val="28"/>
          <w:sz w:val="28"/>
          <w:szCs w:val="28"/>
          <w:rtl w:val="true"/>
          <w:lang w:bidi="ar-SA"/>
        </w:rPr>
        <w:t xml:space="preserve">الأصول والقواعد والأخبار الخاصّة </w:t>
      </w:r>
      <w:r>
        <w:rPr>
          <w:rStyle w:val="FootnoteAnchor"/>
          <w:rtl w:val="true"/>
        </w:rPr>
        <w:footnoteReference w:id="394"/>
      </w:r>
      <w:r>
        <w:rPr>
          <w:rFonts w:ascii="Amiri" w:hAnsi="Amiri" w:eastAsia="Amiri" w:cs="Amiri"/>
          <w:color w:val="111111"/>
          <w:sz w:val="28"/>
          <w:sz w:val="28"/>
          <w:szCs w:val="28"/>
          <w:rtl w:val="true"/>
          <w:lang w:bidi="ar-SA"/>
        </w:rPr>
        <w:t>أبين شاهد ، والمعارض</w:t>
      </w:r>
      <w:r>
        <w:rPr>
          <w:rStyle w:val="FootnoteAnchor"/>
          <w:rtl w:val="true"/>
        </w:rPr>
        <w:footnoteReference w:id="395"/>
      </w:r>
      <w:r>
        <w:rPr>
          <w:rFonts w:ascii="Amiri" w:hAnsi="Amiri" w:eastAsia="Amiri" w:cs="Amiri"/>
          <w:color w:val="111111"/>
          <w:sz w:val="28"/>
          <w:sz w:val="28"/>
          <w:szCs w:val="28"/>
          <w:rtl w:val="true"/>
          <w:lang w:bidi="ar-SA"/>
        </w:rPr>
        <w:t xml:space="preserve">لا يلتفت إليه في مقابلة ما أوردناه من الأدلّة الدالّة عليه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وبيع المغشوش إن لم تنقلب حقيقته، ولم يعلم البائع غشّيته ، أو أخبر المشتري بها ، فلا بأس به</w:t>
      </w:r>
      <w:r>
        <w:rPr>
          <w:rStyle w:val="FootnoteAnchor"/>
          <w:rtl w:val="true"/>
        </w:rPr>
        <w:footnoteReference w:id="396"/>
      </w:r>
      <w:r>
        <w:rPr>
          <w:rFonts w:ascii="Amiri" w:hAnsi="Amiri" w:eastAsia="Amiri" w:cs="Amiri"/>
          <w:color w:val="111111"/>
          <w:sz w:val="28"/>
          <w:sz w:val="28"/>
          <w:szCs w:val="28"/>
          <w:rtl w:val="true"/>
          <w:lang w:bidi="ar-SA"/>
        </w:rPr>
        <w:t xml:space="preserve">، والقاعدة ترتضيه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بالغشّ وعدم الإعلام </w:t>
      </w:r>
      <w:r>
        <w:rPr>
          <w:rStyle w:val="FootnoteAnchor"/>
          <w:rtl w:val="true"/>
        </w:rPr>
        <w:footnoteReference w:id="397"/>
      </w:r>
      <w:r>
        <w:rPr>
          <w:rFonts w:ascii="Amiri" w:hAnsi="Amiri" w:eastAsia="Amiri" w:cs="Amiri"/>
          <w:color w:val="111111"/>
          <w:sz w:val="28"/>
          <w:sz w:val="28"/>
          <w:szCs w:val="28"/>
          <w:rtl w:val="true"/>
          <w:lang w:bidi="ar-SA"/>
        </w:rPr>
        <w:t xml:space="preserve">فالنهي متوجه إليه، لا إلىٰ البيع المترتّب عليه من حيث نفسه </w:t>
      </w:r>
      <w:r>
        <w:rPr>
          <w:rStyle w:val="FootnoteAnchor"/>
          <w:rtl w:val="true"/>
        </w:rPr>
        <w:footnoteReference w:id="398"/>
      </w:r>
      <w:r>
        <w:rPr>
          <w:rFonts w:ascii="Amiri" w:hAnsi="Amiri" w:eastAsia="Amiri" w:cs="Amiri"/>
          <w:color w:val="111111"/>
          <w:sz w:val="28"/>
          <w:sz w:val="28"/>
          <w:szCs w:val="28"/>
          <w:rtl w:val="true"/>
          <w:lang w:bidi="ar-SA"/>
        </w:rPr>
        <w:t xml:space="preserve">، فيصّح البيع حينئذٍ ، إذْ لا مانع ، ويثبت للجاهل خيار العيب أو الوصف أو التدليس من غير مدافع وليس هذا من تعارض الاسم والإشارة </w:t>
      </w:r>
      <w:r>
        <w:rPr>
          <w:rStyle w:val="FootnoteAnchor"/>
          <w:rtl w:val="true"/>
        </w:rPr>
        <w:footnoteReference w:id="399"/>
      </w:r>
      <w:r>
        <w:rPr>
          <w:rFonts w:ascii="Amiri" w:hAnsi="Amiri" w:eastAsia="Amiri" w:cs="Amiri"/>
          <w:color w:val="111111"/>
          <w:sz w:val="28"/>
          <w:sz w:val="28"/>
          <w:szCs w:val="28"/>
          <w:rtl w:val="true"/>
          <w:lang w:bidi="ar-SA"/>
        </w:rPr>
        <w:t xml:space="preserve">، أمّا مع اتحاد الجنس فظاهر ، وأمّا مع 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تنقلب الحقيقة فليس منه </w:t>
      </w:r>
      <w:r>
        <w:rPr>
          <w:rStyle w:val="FootnoteAnchor"/>
          <w:rtl w:val="true"/>
        </w:rPr>
        <w:footnoteReference w:id="400"/>
      </w:r>
      <w:r>
        <w:rPr>
          <w:rFonts w:ascii="Amiri" w:hAnsi="Amiri" w:eastAsia="Amiri" w:cs="Amiri"/>
          <w:color w:val="111111"/>
          <w:sz w:val="28"/>
          <w:sz w:val="28"/>
          <w:szCs w:val="28"/>
          <w:rtl w:val="true"/>
          <w:lang w:bidi="ar-SA"/>
        </w:rPr>
        <w:t>ومع الانقلاب فقد حكمنا ببطلان ضروب الاكتساب ولعموم ما دلّ على خيار العيب والوصف والتدليس</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الحرام </w:t>
      </w:r>
      <w:bookmarkStart w:id="188" w:name="pg20243_272115"/>
    </w:p>
    <w:p>
      <w:pPr>
        <w:pStyle w:val="BookText"/>
        <w:rPr/>
      </w:pPr>
      <w:bookmarkEnd w:id="188"/>
      <w:r>
        <w:rPr>
          <w:rFonts w:ascii="Amiri" w:hAnsi="Amiri" w:eastAsia="Amiri" w:cs="Amiri"/>
          <w:color w:val="111111"/>
          <w:sz w:val="28"/>
          <w:sz w:val="28"/>
          <w:szCs w:val="28"/>
          <w:rtl w:val="true"/>
          <w:lang w:bidi="ar-SA"/>
        </w:rPr>
        <w:t xml:space="preserve">بلا شرط لا يُفسِد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الأخبار </w:t>
      </w:r>
      <w:r>
        <w:rPr>
          <w:rStyle w:val="FootnoteAnchor"/>
          <w:rtl w:val="true"/>
        </w:rPr>
        <w:footnoteReference w:id="402"/>
      </w:r>
      <w:r>
        <w:rPr>
          <w:rFonts w:ascii="Amiri" w:hAnsi="Amiri" w:eastAsia="Amiri" w:cs="Amiri"/>
          <w:color w:val="111111"/>
          <w:sz w:val="28"/>
          <w:sz w:val="28"/>
          <w:szCs w:val="28"/>
          <w:rtl w:val="true"/>
          <w:lang w:bidi="ar-SA"/>
        </w:rPr>
        <w:t xml:space="preserve">الصحيحة وغيرها ما يفيد تعلّق النهي بنفس البيع الظاهر في الفساد </w:t>
      </w:r>
      <w:r>
        <w:rPr>
          <w:rStyle w:val="FootnoteAnchor"/>
          <w:rtl w:val="true"/>
        </w:rPr>
        <w:footnoteReference w:id="403"/>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لا يصلح حجّة للكراهة، ووضع القطن العتيق في القلانس لعلّه لا يُعدّ تدليساً، لشيوعه فقوله علیه السلام لفاعله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تبيّن لهم</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علىٰ فرض ظهور الندب لا ينافي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قلناه ظهر وجه القولين ، وعرفت حجّة كلّ من المذهبين ، وقوّة الأوّل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وكوضع الحرير في البرودة ليكتسب ثقلاً </w:t>
      </w:r>
      <w:r>
        <w:rPr>
          <w:rStyle w:val="FootnoteAnchor"/>
          <w:rtl w:val="true"/>
        </w:rPr>
        <w:footnoteReference w:id="406"/>
      </w:r>
      <w:r>
        <w:rPr>
          <w:rFonts w:ascii="Amiri" w:hAnsi="Amiri" w:eastAsia="Amiri" w:cs="Amiri"/>
          <w:color w:val="111111"/>
          <w:sz w:val="28"/>
          <w:sz w:val="28"/>
          <w:szCs w:val="28"/>
          <w:rtl w:val="true"/>
          <w:lang w:bidi="ar-SA"/>
        </w:rPr>
        <w:t xml:space="preserve">أو حسناً ، ووضع الماء علىٰ بعض الأشياء لمثل ذلك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284910_2320776876"/>
      <w:bookmarkStart w:id="190" w:name="_Toc66"/>
      <w:bookmarkEnd w:id="189"/>
      <w:r>
        <w:rPr>
          <w:rtl w:val="true"/>
        </w:rPr>
        <w:t>تدلیس الماشطة</w:t>
      </w:r>
      <w:bookmarkEnd w:id="1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تدليس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الأخير للغشّ ؛ عطفاً علىٰ المزج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جُعل قسيماً له ؛ كان عطفاً عليه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تدليسها نفسها وتدليس الغير لها بفعل ما يبرز حسنها ويخفي قبحها </w:t>
      </w:r>
      <w:r>
        <w:rPr>
          <w:rStyle w:val="FootnoteAnchor"/>
          <w:rtl w:val="true"/>
        </w:rPr>
        <w:footnoteReference w:id="407"/>
      </w:r>
      <w:r>
        <w:rPr>
          <w:rFonts w:ascii="Amiri" w:hAnsi="Amiri" w:eastAsia="Amiri" w:cs="Amiri"/>
          <w:color w:val="111111"/>
          <w:sz w:val="28"/>
          <w:sz w:val="28"/>
          <w:szCs w:val="28"/>
          <w:rtl w:val="true"/>
          <w:lang w:bidi="ar-SA"/>
        </w:rPr>
        <w:t xml:space="preserve">، ليرغب فيها الكاسب أو يعشقها الخاطب ، والأوّل في الأوّل أوفق بكتاب المكاسب ، أو بإبقاء ما فعل سابقاً من غير إخبار مع إخفاء الحال وعدم الإظهار ؛ لحصول القبح فيه ، ولأنّ أخبار الغشّ تعمّه أو تقتضيه ، وللإجماع المحصّل والمنقول عن بعض الفحول </w:t>
      </w:r>
      <w:r>
        <w:rPr>
          <w:rStyle w:val="FootnoteAnchor"/>
          <w:rtl w:val="true"/>
        </w:rPr>
        <w:footnoteReference w:id="408"/>
      </w:r>
      <w:r>
        <w:rPr>
          <w:rFonts w:ascii="IRNazanin" w:hAnsi="IRNazanin" w:eastAsia="IRNazanin"/>
          <w:color w:val="111111"/>
          <w:sz w:val="28"/>
          <w:sz w:val="28"/>
          <w:szCs w:val="28"/>
          <w:rtl w:val="true"/>
          <w:lang w:bidi="fa-IR"/>
        </w:rPr>
        <w:t xml:space="preserve">، وللنصوص الدالة على بعض أقسامه بالخصوص، كما روي عن النبي صلی اللّٰه علیه و آله من لعن النامصة والواشرة والواصلة والواشمة </w:t>
      </w:r>
      <w:r>
        <w:rPr>
          <w:rStyle w:val="FootnoteAnchor"/>
          <w:rtl w:val="true"/>
        </w:rPr>
        <w:footnoteReference w:id="409"/>
      </w:r>
      <w:r>
        <w:rPr>
          <w:rFonts w:ascii="Amiri" w:hAnsi="Amiri" w:eastAsia="Amiri" w:cs="Amiri"/>
          <w:color w:val="111111"/>
          <w:sz w:val="28"/>
          <w:sz w:val="28"/>
          <w:szCs w:val="28"/>
          <w:rtl w:val="true"/>
          <w:lang w:bidi="ar-SA"/>
        </w:rPr>
        <w:t xml:space="preserve">، وفُسّر بالناتفة للشعر، والمحددة للأسنان ، والواصلة لشعر إمرأة بشعر اُخرىٰ ، والتي تغرز شيئاً من بدن المرأة بإبرة وتحشوه بالكحل أو بالنورة فيخضرّ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ويخصص</w:t>
      </w:r>
      <w:r>
        <w:rPr>
          <w:rStyle w:val="FootnoteAnchor"/>
          <w:rtl w:val="true"/>
        </w:rPr>
        <w:footnoteReference w:id="410"/>
      </w:r>
      <w:r>
        <w:rPr>
          <w:rFonts w:ascii="IRNazanin" w:hAnsi="IRNazanin" w:eastAsia="IRNazanin"/>
          <w:color w:val="111111"/>
          <w:sz w:val="28"/>
          <w:sz w:val="28"/>
          <w:szCs w:val="28"/>
          <w:rtl w:val="true"/>
          <w:lang w:bidi="fa-IR"/>
        </w:rPr>
        <w:t>أمثاله بما کان لغير الزوج ونحوه ، لما</w:t>
      </w:r>
      <w:r>
        <w:rPr>
          <w:rStyle w:val="FootnoteAnchor"/>
          <w:rtl w:val="true"/>
        </w:rPr>
        <w:footnoteReference w:id="411"/>
      </w:r>
      <w:r>
        <w:rPr>
          <w:rFonts w:ascii="Amiri" w:hAnsi="Amiri" w:eastAsia="Amiri" w:cs="Amiri"/>
          <w:color w:val="111111"/>
          <w:sz w:val="28"/>
          <w:sz w:val="28"/>
          <w:szCs w:val="28"/>
          <w:rtl w:val="true"/>
          <w:lang w:bidi="ar-SA"/>
        </w:rPr>
        <w:t xml:space="preserve">دلّ على استحباب التزيّن له بأنواع الزينة </w:t>
      </w:r>
      <w:r>
        <w:rPr>
          <w:rStyle w:val="FootnoteAnchor"/>
          <w:rtl w:val="true"/>
        </w:rPr>
        <w:footnoteReference w:id="412"/>
      </w:r>
      <w:r>
        <w:rPr>
          <w:rFonts w:ascii="IRNazanin" w:hAnsi="IRNazanin" w:eastAsia="IRNazanin"/>
          <w:color w:val="111111"/>
          <w:sz w:val="28"/>
          <w:sz w:val="28"/>
          <w:szCs w:val="28"/>
          <w:rtl w:val="true"/>
          <w:lang w:bidi="fa-IR"/>
        </w:rPr>
        <w:t xml:space="preserve">، وعلى خصوص الوصل بالشعر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عيب في الصلاة من جهته كما </w:t>
      </w:r>
      <w:bookmarkStart w:id="191" w:name="pg20243_272117"/>
    </w:p>
    <w:p>
      <w:pPr>
        <w:pStyle w:val="BookText"/>
        <w:rPr/>
      </w:pPr>
      <w:bookmarkEnd w:id="191"/>
      <w:r>
        <w:rPr>
          <w:rFonts w:ascii="Amiri" w:hAnsi="Amiri" w:eastAsia="Amiri" w:cs="Amiri"/>
          <w:color w:val="111111"/>
          <w:sz w:val="28"/>
          <w:sz w:val="28"/>
          <w:szCs w:val="28"/>
          <w:rtl w:val="true"/>
          <w:lang w:bidi="ar-SA"/>
        </w:rPr>
        <w:t xml:space="preserve">ظُنّ </w:t>
      </w:r>
      <w:r>
        <w:rPr>
          <w:rStyle w:val="FootnoteAnchor"/>
          <w:rtl w:val="true"/>
        </w:rPr>
        <w:footnoteReference w:id="414"/>
      </w:r>
      <w:r>
        <w:rPr>
          <w:rFonts w:ascii="Amiri" w:hAnsi="Amiri" w:eastAsia="Amiri" w:cs="Amiri"/>
          <w:color w:val="111111"/>
          <w:sz w:val="28"/>
          <w:sz w:val="28"/>
          <w:szCs w:val="28"/>
          <w:rtl w:val="true"/>
          <w:lang w:bidi="ar-SA"/>
        </w:rPr>
        <w:t xml:space="preserve">، فيُخَصّ المنع بالتدليس، ومع تنقيح المناط يعمّ كلّ 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إذن الزوج </w:t>
      </w:r>
      <w:r>
        <w:rPr>
          <w:rStyle w:val="FootnoteAnchor"/>
          <w:rtl w:val="true"/>
        </w:rPr>
        <w:footnoteReference w:id="415"/>
      </w:r>
      <w:r>
        <w:rPr>
          <w:rFonts w:ascii="Amiri" w:hAnsi="Amiri" w:eastAsia="Amiri" w:cs="Amiri"/>
          <w:color w:val="111111"/>
          <w:sz w:val="28"/>
          <w:sz w:val="28"/>
          <w:szCs w:val="28"/>
          <w:rtl w:val="true"/>
          <w:lang w:bidi="ar-SA"/>
        </w:rPr>
        <w:t>إلّا فيما يخشى منه النقص في محاسن الزوجة بانهدام أسنانها أو ضرر في بدنها ونحو ذلك ، أمّا المالك فيلزم استئذانه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حرم من التدليس يحرم النفع المترتّب عليه كسائر الأعواض علىٰ المحرّمات، وما حلّ يحلّ فيه، غير أنّه يكره مطلقاً، وتزداد الكراهة مع الشرط ، ويحتمل أنْ لا كراهة إلّا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بعض الأعيان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كالشعر الموصول والحمرة المأخوذة من بعض الحشار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يسوغ أخذ العوض فيها ؛ لا مانع منه ، لأنّ المتعلّق بالأصل هو العمل ، وتلك من التوابع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المدَلَّس كبيع المغشوش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284912_2320776876"/>
      <w:bookmarkStart w:id="193" w:name="_Toc67"/>
      <w:bookmarkEnd w:id="192"/>
      <w:r>
        <w:rPr>
          <w:rtl w:val="true"/>
        </w:rPr>
        <w:t>تزیین الرجل أو المرأة بالحرام</w:t>
      </w:r>
      <w:bookmarkEnd w:id="1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المرأة ، أو تزيّنهما ، أو دوام ذلك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الكتاب أنسب بقواعد الاكتساب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فقط كلباس الحرير أو الذهب </w:t>
      </w:r>
      <w:r>
        <w:rPr>
          <w:rStyle w:val="FootnoteAnchor"/>
          <w:rtl w:val="true"/>
        </w:rPr>
        <w:footnoteReference w:id="416"/>
      </w:r>
      <w:r>
        <w:rPr>
          <w:rFonts w:ascii="Amiri" w:hAnsi="Amiri" w:eastAsia="Amiri" w:cs="Amiri"/>
          <w:color w:val="111111"/>
          <w:sz w:val="28"/>
          <w:sz w:val="28"/>
          <w:szCs w:val="28"/>
          <w:rtl w:val="true"/>
          <w:lang w:bidi="ar-SA"/>
        </w:rPr>
        <w:t xml:space="preserve">، أو عليهما كالغصبي ، ولبس أحدهما أو تزيينه أو تزيّنه بما يختصّ بالآخر عادة ، لتوجّه النهي إلى ما حرم عليه </w:t>
      </w:r>
      <w:r>
        <w:rPr>
          <w:rStyle w:val="FootnoteAnchor"/>
          <w:rtl w:val="true"/>
        </w:rPr>
        <w:footnoteReference w:id="417"/>
      </w:r>
      <w:r>
        <w:rPr>
          <w:rFonts w:ascii="IRNazanin" w:hAnsi="IRNazanin" w:eastAsia="IRNazanin"/>
          <w:color w:val="111111"/>
          <w:sz w:val="28"/>
          <w:sz w:val="28"/>
          <w:szCs w:val="28"/>
          <w:rtl w:val="true"/>
          <w:lang w:bidi="fa-IR"/>
        </w:rPr>
        <w:t xml:space="preserve">بالخصوص </w:t>
      </w:r>
      <w:r>
        <w:rPr>
          <w:rStyle w:val="FootnoteAnchor"/>
          <w:rtl w:val="true"/>
        </w:rPr>
        <w:footnoteReference w:id="418"/>
      </w:r>
      <w:r>
        <w:rPr>
          <w:rFonts w:ascii="Amiri" w:hAnsi="Amiri" w:eastAsia="Amiri" w:cs="Amiri"/>
          <w:color w:val="111111"/>
          <w:sz w:val="28"/>
          <w:sz w:val="28"/>
          <w:szCs w:val="28"/>
          <w:rtl w:val="true"/>
          <w:lang w:bidi="ar-SA"/>
        </w:rPr>
        <w:t xml:space="preserve">وشمول النهي عن لباس الشهرة </w:t>
      </w:r>
      <w:r>
        <w:rPr>
          <w:rStyle w:val="FootnoteAnchor"/>
          <w:rtl w:val="true"/>
        </w:rPr>
        <w:footnoteReference w:id="419"/>
      </w:r>
      <w:r>
        <w:rPr>
          <w:rFonts w:ascii="Amiri" w:hAnsi="Amiri" w:eastAsia="Amiri" w:cs="Amiri"/>
          <w:color w:val="111111"/>
          <w:sz w:val="28"/>
          <w:sz w:val="28"/>
          <w:szCs w:val="28"/>
          <w:rtl w:val="true"/>
          <w:lang w:bidi="ar-SA"/>
        </w:rPr>
        <w:t xml:space="preserve">الشامل بتنقيح المناط للزينة بغيره ، وفي </w:t>
      </w:r>
      <w:bookmarkStart w:id="194" w:name="pg20243_272118"/>
    </w:p>
    <w:p>
      <w:pPr>
        <w:pStyle w:val="BookText"/>
        <w:rPr/>
      </w:pPr>
      <w:bookmarkEnd w:id="194"/>
      <w:r>
        <w:rPr>
          <w:rFonts w:ascii="Amiri" w:hAnsi="Amiri" w:eastAsia="Amiri" w:cs="Amiri"/>
          <w:color w:val="111111"/>
          <w:sz w:val="28"/>
          <w:sz w:val="28"/>
          <w:szCs w:val="28"/>
          <w:rtl w:val="true"/>
          <w:lang w:bidi="ar-SA"/>
        </w:rPr>
        <w:t xml:space="preserve">الخبر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المتشبهين بالنساء والمتشبهات بالرجال</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لقصره علىٰ التذكير والتأنيث</w:t>
      </w:r>
      <w:r>
        <w:rPr>
          <w:rStyle w:val="FootnoteAnchor"/>
          <w:rtl w:val="true"/>
        </w:rPr>
        <w:footnoteReference w:id="421"/>
      </w:r>
      <w:r>
        <w:rPr>
          <w:rFonts w:ascii="IRNazanin" w:hAnsi="IRNazanin" w:eastAsia="IRNazanin"/>
          <w:color w:val="111111"/>
          <w:sz w:val="28"/>
          <w:sz w:val="28"/>
          <w:szCs w:val="28"/>
          <w:rtl w:val="true"/>
          <w:lang w:bidi="fa-IR"/>
        </w:rPr>
        <w:t xml:space="preserve">وإنّما هما فرد منه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السند من القصور تعضده موافقة المشهور ، وفي كلام بعض المتأخّرين </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دليله الإجماع ، وهو غيرظاهر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ويجب علىٰ الخنثى ترك الزينتين، ولها العمل بما جاز لكلا النوعين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وباختلاف الأحوال والمحال تختلف ملابس النساء والرجال ، فقد يختلف حال العجم وحال العرب ، وحال الفقراء وحال أرباب الرتب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284914_2320776876"/>
      <w:bookmarkStart w:id="196" w:name="_Toc68"/>
      <w:bookmarkEnd w:id="195"/>
      <w:r>
        <w:rPr>
          <w:rtl w:val="true"/>
        </w:rPr>
        <w:t>معونة الظالمین فی الظلم</w:t>
      </w:r>
      <w:bookmarkEnd w:id="1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 فيعمّ المعاصي ، أو لغيرهم ، في أموالهم أو أبدانهم أو أعراضهم أو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والإفتاء ممن ليس له أهلية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الركون، والإعانة علىٰ الإثم </w:t>
      </w:r>
    </w:p>
    <w:p>
      <w:pPr>
        <w:pStyle w:val="BookText"/>
        <w:rPr/>
      </w:pPr>
      <w:r>
        <w:rPr>
          <w:rFonts w:ascii="Amiri" w:hAnsi="Amiri" w:eastAsia="Amiri" w:cs="Amiri"/>
          <w:color w:val="111111"/>
          <w:sz w:val="28"/>
          <w:sz w:val="28"/>
          <w:szCs w:val="28"/>
          <w:rtl w:val="true"/>
          <w:lang w:bidi="ar-SA"/>
        </w:rPr>
        <w:t xml:space="preserve">المحظورة عقلاً وشرعاً </w:t>
      </w:r>
      <w:r>
        <w:rPr>
          <w:rStyle w:val="FootnoteAnchor"/>
          <w:rtl w:val="true"/>
        </w:rPr>
        <w:footnoteReference w:id="426"/>
      </w:r>
      <w:r>
        <w:rPr>
          <w:rFonts w:ascii="Amiri" w:hAnsi="Amiri" w:eastAsia="Amiri" w:cs="Amiri"/>
          <w:color w:val="111111"/>
          <w:sz w:val="28"/>
          <w:sz w:val="28"/>
          <w:szCs w:val="28"/>
          <w:rtl w:val="true"/>
          <w:lang w:bidi="ar-SA"/>
        </w:rPr>
        <w:t xml:space="preserve">، وللأخبار المتواترة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والمعذور لجهل ، أو نقص ، أو تقيّة ؛ تحرم إعانته ، وإنّ لم يعص بفعله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معونتهم علىٰ المباحات بخدمة بدنية ، أو معاملة 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عن ميل إليهم بسبب ظلمهم وكبرهم وجبروتهم ، أو بقصد السعى في إعلاء شأنهم ورفعة منزلتهم وحصول الاقتدار لهم علىٰ رعيّتهم أو تكثير سوادهم ؛ حرمت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خلت عن تلك الأحوال وأشباهها كانت سائغة لا حَجْر فيها ، وإلا لم تقم للمسلمين سوق ، فإنّ الدراهم والدنانير وأكثر ما يخرج من المعادن المنطبعة إنّما يصل إلىٰ أيدي الناس من أيديهم وبالمعاملة وكذا الزراعات وتوابعها إنّما تكون غالباً معهم، علىٰ أنّ سدّ باب المعاملة معهم مثير للفساد، باعث علىٰ أذيّة العباد ، خصوصاً مَنْ كان من الفرقة المحقة ، وكيف يخطر بالبال ويجري في الخيال أن أئمتنا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حثّهم لنا على تشييع جنائز القوم وعيادة مرضاهم والصلاة معهم المحبّة لهم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يأمروننا بتجنّب معاملاتهم وترك الدخول معهم في مباحاتهم، والتنفّر منهم ظاهراً والتباعد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الأخبار </w:t>
      </w:r>
      <w:r>
        <w:rPr>
          <w:rStyle w:val="FootnoteAnchor"/>
          <w:rtl w:val="true"/>
        </w:rPr>
        <w:footnoteReference w:id="429"/>
      </w:r>
      <w:r>
        <w:rPr>
          <w:rFonts w:ascii="Amiri" w:hAnsi="Amiri" w:eastAsia="Amiri" w:cs="Amiri"/>
          <w:color w:val="111111"/>
          <w:sz w:val="28"/>
          <w:sz w:val="28"/>
          <w:szCs w:val="28"/>
          <w:rtl w:val="true"/>
          <w:lang w:bidi="ar-SA"/>
        </w:rPr>
        <w:t xml:space="preserve">علىٰ نحو </w:t>
      </w:r>
    </w:p>
    <w:p>
      <w:pPr>
        <w:pStyle w:val="BookText"/>
        <w:rPr/>
      </w:pPr>
      <w:r>
        <w:rPr>
          <w:rFonts w:ascii="Amiri" w:hAnsi="Amiri" w:eastAsia="Amiri" w:cs="Amiri"/>
          <w:color w:val="111111"/>
          <w:sz w:val="28"/>
          <w:sz w:val="28"/>
          <w:szCs w:val="28"/>
          <w:rtl w:val="true"/>
          <w:lang w:bidi="ar-SA"/>
        </w:rPr>
        <w:t xml:space="preserve">يَبْعُد خفاؤها علىٰ الأصحاب مع تركهم العمل بظاهرها يرفعها عن الاعتبار ، ولابدّ من تنزيلها إمّا علىٰ إرادة قصد المعونة لهم علىٰ ظلمهم فيدخل فيما قُصِد به الحرام ، أو علىٰ حصول الميل أو تقويم أمرهم أو إعلاء شأنهم أو جر </w:t>
      </w:r>
      <w:r>
        <w:rPr>
          <w:rStyle w:val="FootnoteAnchor"/>
          <w:rtl w:val="true"/>
        </w:rPr>
        <w:footnoteReference w:id="430"/>
      </w:r>
      <w:r>
        <w:rPr>
          <w:rFonts w:ascii="Amiri" w:hAnsi="Amiri" w:eastAsia="Amiri" w:cs="Amiri"/>
          <w:color w:val="111111"/>
          <w:sz w:val="28"/>
          <w:sz w:val="28"/>
          <w:szCs w:val="28"/>
          <w:rtl w:val="true"/>
          <w:lang w:bidi="ar-SA"/>
        </w:rPr>
        <w:t xml:space="preserve">النفع لهم أو ربط المودّة معهم بلا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الركون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بظاهرها فلا وجه له بديهة ، وكفى بالسيرة القاطعة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المستمر خَلَفاً بعد سَلَف شاهداً على ما ذكرناه وأوضحناه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الذين اُمِرْنا بزيادة التنّفر عنهم باطناً ، وشدّة التباعد منهم ، وأنْ لا نحبّ بقاءَهم، بل نحبّ فَناءَ هم </w:t>
      </w:r>
      <w:r>
        <w:rPr>
          <w:rStyle w:val="FootnoteAnchor"/>
          <w:rtl w:val="true"/>
        </w:rPr>
        <w:footnoteReference w:id="432"/>
      </w:r>
      <w:r>
        <w:rPr>
          <w:rFonts w:ascii="IRNazanin" w:hAnsi="IRNazanin" w:eastAsia="IRNazanin"/>
          <w:color w:val="111111"/>
          <w:sz w:val="28"/>
          <w:sz w:val="28"/>
          <w:szCs w:val="28"/>
          <w:rtl w:val="true"/>
          <w:lang w:bidi="fa-IR"/>
        </w:rPr>
        <w:t xml:space="preserve">؛ هم أهل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كان أهل الحق ، وإنْ حصل منه ظلم ، فلا تشمله الأخبار ، لأنّ ظاهرها إرادة منْ كان من الظلمة في أيام صدور الأخبار عن الأئمة الأطهار علیهم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إمعان النظر في الأدلّة أنّ المعونة علىٰ ظلم الناس ليست كحال المعونة على باقي المعاصي ، حيث إنْ الإعانة على الظلم تحرم وإنْ كانت غير مستلزمة لحصوله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الأمر أيسر من ذلك 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ضلالِها في الصدر، أو عن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بأصل أو فرع ، مع صدق الاسم عليها لإعدادها له أو كثرته فيها ، مع ثبوته بقاطع أو ظنّي لا يعذر فيه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كتاب </w:t>
      </w:r>
    </w:p>
    <w:p>
      <w:pPr>
        <w:pStyle w:val="BookText"/>
        <w:rPr/>
      </w:pPr>
      <w:r>
        <w:rPr>
          <w:rFonts w:ascii="Amiri" w:hAnsi="Amiri" w:eastAsia="Amiri" w:cs="Amiri"/>
          <w:color w:val="111111"/>
          <w:sz w:val="28"/>
          <w:sz w:val="28"/>
          <w:szCs w:val="28"/>
          <w:rtl w:val="true"/>
          <w:lang w:bidi="ar-SA"/>
        </w:rPr>
        <w:t xml:space="preserve">اشتمل علىٰ قدح بمؤمن، أو تضمّن أذيةً لمسلم، ولو مع الأمن عن ترتّب الضلال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والاطلاع عليها ، بل يجب إتلافها بكلّها إنْ لم يكن عزل الضلال منها ممكناً، وإلّا اكتفى بعزله من غير ضمان لقيمتها ، لدخولها تحت الوضع للحرام إذ </w:t>
      </w:r>
      <w:r>
        <w:rPr>
          <w:rStyle w:val="FootnoteAnchor"/>
          <w:rtl w:val="true"/>
        </w:rPr>
        <w:footnoteReference w:id="433"/>
      </w:r>
      <w:r>
        <w:rPr>
          <w:rFonts w:ascii="Amiri" w:hAnsi="Amiri" w:eastAsia="Amiri" w:cs="Amiri"/>
          <w:color w:val="111111"/>
          <w:sz w:val="28"/>
          <w:sz w:val="28"/>
          <w:szCs w:val="28"/>
          <w:rtl w:val="true"/>
          <w:lang w:bidi="ar-SA"/>
        </w:rPr>
        <w:t xml:space="preserve">وضعت له ، وتحت ما دلّ علىٰ أنّ جميع ما من شأنه ترتّب الفساد عليه يمتنع التصرّف فيه وقنيته وحفظه ، ولنفي الخلاف عنه ممّن لا خلاف في الاعتماد عليه </w:t>
      </w:r>
      <w:r>
        <w:rPr>
          <w:rStyle w:val="FootnoteAnchor"/>
          <w:rtl w:val="true"/>
        </w:rPr>
        <w:footnoteReference w:id="434"/>
      </w:r>
      <w:r>
        <w:rPr>
          <w:rFonts w:ascii="Amiri" w:hAnsi="Amiri" w:eastAsia="Amiri" w:cs="Amiri"/>
          <w:color w:val="111111"/>
          <w:sz w:val="28"/>
          <w:sz w:val="28"/>
          <w:szCs w:val="28"/>
          <w:rtl w:val="true"/>
          <w:lang w:bidi="ar-SA"/>
        </w:rPr>
        <w:t xml:space="preserve">كلّ ذلك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أهلها ، وأمّا لهما فربّما وجب ، إذْ الجهاد بالأقلام أعظم نفعاً من الجهاد بالسهام، وإتلاف بعض آحادها لا يقضي برفع فسادها ، والإبطال لكلّها إنّما يتحقق بإبطالها من أصلها ، وحيث أنّ مقصد الشرع فيها الإبطال كان الأقوىٰ في حصوله الردّ بطريق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المنع بين ما كان من أصله كتاب ضلال ووضع علىٰ ذلك أو صار باعتبار النسخ، فيحرم حفظ الكتب السماوية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محرفة كانت أو غير 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ونسخها ، وتعليمها، وتعلّمها ، وأخذ الأجرة عليها ، كسائر كتب الضلال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التوراة والإنجيل ، وتعليمهما ، وأخذ الأجرة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الإعانة علىٰ الحرام ، وأخذ الأجرة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بسطنا الكلام فيما يستند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وكشف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الغرض من كتب الضلال ما اشتمل علىٰ الضلال في الجملة ، وإلّا لم يمكن الرجوع إلىٰ كتب اللّغة والعربية والتفسير وغيرها من كتب المقدّمات ، ووجب إتلافها </w:t>
      </w:r>
      <w:r>
        <w:rPr>
          <w:rStyle w:val="FootnoteAnchor"/>
          <w:rtl w:val="true"/>
        </w:rPr>
        <w:footnoteReference w:id="435"/>
      </w:r>
      <w:r>
        <w:rPr>
          <w:rFonts w:ascii="Amiri" w:hAnsi="Amiri" w:eastAsia="Amiri" w:cs="Amiri"/>
          <w:color w:val="111111"/>
          <w:sz w:val="28"/>
          <w:sz w:val="28"/>
          <w:szCs w:val="28"/>
          <w:rtl w:val="true"/>
          <w:lang w:bidi="ar-SA"/>
        </w:rPr>
        <w:t xml:space="preserve">لعدم الخلوّ من ذلك ، ولا ما كان من الكتب مشتملاً علىٰ ما يحتاجه الفقيه في طرق الاستدلال للاطلاع علىٰ مذاهب القوم ممّا يتوقف عليه ترجيح الروايات بعضها علىٰ بعض ولا ما كان مستنداً </w:t>
      </w:r>
      <w:r>
        <w:rPr>
          <w:rStyle w:val="FootnoteAnchor"/>
          <w:rtl w:val="true"/>
        </w:rPr>
        <w:footnoteReference w:id="436"/>
      </w:r>
      <w:r>
        <w:rPr>
          <w:rFonts w:ascii="Amiri" w:hAnsi="Amiri" w:eastAsia="Amiri" w:cs="Amiri"/>
          <w:color w:val="111111"/>
          <w:sz w:val="28"/>
          <w:sz w:val="28"/>
          <w:szCs w:val="28"/>
          <w:rtl w:val="true"/>
          <w:lang w:bidi="ar-SA"/>
        </w:rPr>
        <w:t xml:space="preserve">إلى أهل الضلال وكان فيه رشاد ، كالكتب الأصولية المشتملة علىٰ الضوابط الشرعية الموصلة إلىٰ تحصيل معرفة الاستدلال ، فإنّ ذلك من الواجبات للتوصل إلىٰ معرفة الأحكام الشرعية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الكتب التي وضعت للاستدلال علىٰ تقوية الضلال يجب إتلافها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قصد الإبطال ونحوه ، كما ذكرناه ، سواء تقوّت بها كلمة الكفر الاسلامي ، أو الإيماني ، أو خلاف الشرعي الفرعي الثابت بالدليل القطعي وأما الخالية عن الحِجاج وإنّما هي أحكام تذكر وأخبار تسطر ككتب الفقه والحديث لغير أصحابنا، فلا تجوز قنيتها ولا استعمالها ولا نسخها للانتفاع بها إلّا بقصد ما ينفع في الأمور العلمية أو غيرها، ولا يجب إتلافها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من كتب أهل الضلال ممّا وضع لمعرفة كيفية الاستدلال قصد أو </w:t>
      </w:r>
      <w:r>
        <w:rPr>
          <w:rStyle w:val="FootnoteAnchor"/>
          <w:rtl w:val="true"/>
        </w:rPr>
        <w:footnoteReference w:id="437"/>
      </w:r>
      <w:r>
        <w:rPr>
          <w:rFonts w:ascii="Amiri" w:hAnsi="Amiri" w:eastAsia="Amiri" w:cs="Amiri"/>
          <w:color w:val="111111"/>
          <w:sz w:val="28"/>
          <w:sz w:val="28"/>
          <w:szCs w:val="28"/>
          <w:rtl w:val="true"/>
          <w:lang w:bidi="ar-SA"/>
        </w:rPr>
        <w:t xml:space="preserve">الاهتداء إلىٰ معرفة معاني الكتاب والسنّة ، والكتب المنسوخة مع الاطلاع علىٰ المواعظ كالزبور ونحوه من كتب الأنبياء ، أو علىٰ التواريخ </w:t>
      </w:r>
    </w:p>
    <w:p>
      <w:pPr>
        <w:pStyle w:val="BookText"/>
        <w:rPr/>
      </w:pPr>
      <w:r>
        <w:rPr>
          <w:rFonts w:ascii="Amiri" w:hAnsi="Amiri" w:eastAsia="Amiri" w:cs="Amiri"/>
          <w:color w:val="111111"/>
          <w:sz w:val="28"/>
          <w:sz w:val="28"/>
          <w:szCs w:val="28"/>
          <w:rtl w:val="true"/>
          <w:lang w:bidi="ar-SA"/>
        </w:rPr>
        <w:t xml:space="preserve">والسير والأمور السائغة ؛ فلا بأس به ، وربّما وجب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وحيث كان المعوّل علىٰ الإجماع، وبعض القواعد السابقة ؛ لزم الاقتصار علىٰ المتيقّن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أنّهم علیهم السلام كان عندهم بعض كتب الأنبياء ، وربّما أخرجوها لأصحابهم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إذن علىٰ اختلاف الأغراض والمقاصد وترتّب المصالح والمفاسد ، فليتأمّل في هذا المقام فإنّه من مزال الأقدام ، وقد زلّت به قدم بعض الأعلام </w:t>
      </w:r>
      <w:r>
        <w:rPr>
          <w:rStyle w:val="FootnoteAnchor"/>
          <w:rtl w:val="true"/>
        </w:rPr>
        <w:footnoteReference w:id="440"/>
      </w:r>
      <w:r>
        <w:rPr>
          <w:rFonts w:ascii="Amiri" w:hAnsi="Amiri" w:eastAsia="Amiri" w:cs="Amiri"/>
          <w:color w:val="111111"/>
          <w:sz w:val="28"/>
          <w:sz w:val="28"/>
          <w:szCs w:val="28"/>
          <w:rtl w:val="true"/>
          <w:lang w:bidi="ar-SA"/>
        </w:rPr>
        <w:t xml:space="preserve">حتىٰ تسرّى إلىٰ القدح في أعيان الأعيان ، الذين مَنْ قدح فيهم فقد قدح في الإسلام والإيمان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ذمّهم بالشعر أو مطلقاً علىٰ اختلاف الرأیین</w:t>
      </w:r>
      <w:r>
        <w:rPr>
          <w:rStyle w:val="FootnoteAnchor"/>
          <w:rtl w:val="true"/>
        </w:rPr>
        <w:footnoteReference w:id="441"/>
      </w:r>
      <w:r>
        <w:rPr>
          <w:rFonts w:ascii="Amiri" w:hAnsi="Amiri" w:eastAsia="Amiri" w:cs="Amiri"/>
          <w:color w:val="111111"/>
          <w:sz w:val="28"/>
          <w:sz w:val="28"/>
          <w:szCs w:val="28"/>
          <w:rtl w:val="true"/>
          <w:lang w:bidi="ar-SA"/>
        </w:rPr>
        <w:t xml:space="preserve">ويقيّد حينئذ للمقابلة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علىٰ الغيبة باقتضائه الدوام ، فيكون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رُقِم في طومار يعرض علىٰ الأعقاب ، ولذلك عمّ الحكم المؤمنين، عدولهم وفسّاقهم، المتجاهرين منهم والمستترين ، لاشتماله علىٰ الظلم ، وهتك الحرمة ، والإهانة ، وإدخال النقص ؛ المحظورة عقلاً وشرعاً، ولعمومات الكتاب والسنة والإجماع </w:t>
      </w:r>
      <w:r>
        <w:rPr>
          <w:rStyle w:val="FootnoteAnchor"/>
          <w:rtl w:val="true"/>
        </w:rPr>
        <w:footnoteReference w:id="442"/>
      </w:r>
      <w:r>
        <w:rPr>
          <w:rFonts w:ascii="Amiri" w:hAnsi="Amiri" w:eastAsia="Amiri" w:cs="Amiri"/>
          <w:color w:val="111111"/>
          <w:sz w:val="28"/>
          <w:sz w:val="28"/>
          <w:szCs w:val="28"/>
          <w:rtl w:val="true"/>
          <w:lang w:bidi="ar-SA"/>
        </w:rPr>
        <w:t xml:space="preserve">، ما لم تقم حجّة معتبرة علىٰ إذن المالك المتصرّف تبارك وتعالىٰ لحكمة ومصلحة واقعيّتين متعلقتين بمماليكه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والرخصة في الغيبة لا تدلّ صريحاً على حكم الهجاء ، فيبقى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فيه المقاصّة ، لتعلّق الحقين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تتّبع الأدلّة أنّ كلّاً من الكافرين الاسلامي والايماني علىٰ حدّ سواء في جواز لعنهم وهجوهم وسبهم وشتمهم ما لم يكن قذفاً مع عدم شرطه أو فحشاً ، بل الظاهر منها أنّ هجاءَهم على رؤوس الأشهاد من أفضل عبادة العباد ، وقد أمر علّة الإيجاد وسيّد العباد حسّاناً </w:t>
      </w:r>
      <w:r>
        <w:rPr>
          <w:rStyle w:val="FootnoteAnchor"/>
          <w:rtl w:val="true"/>
        </w:rPr>
        <w:footnoteReference w:id="443"/>
      </w:r>
      <w:r>
        <w:rPr>
          <w:rFonts w:ascii="Amiri" w:hAnsi="Amiri" w:eastAsia="Amiri" w:cs="Amiri"/>
          <w:color w:val="111111"/>
          <w:sz w:val="28"/>
          <w:sz w:val="28"/>
          <w:szCs w:val="28"/>
          <w:rtl w:val="true"/>
          <w:lang w:bidi="ar-SA"/>
        </w:rPr>
        <w:t xml:space="preserve">بهجو المشركين ، معلّلاً بأنّه أشدّ عليهم من رشق السهام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رجعوا عن عقيدتهم لزم محوه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bookmarkStart w:id="197" w:name="pg20243_272125"/>
    </w:p>
    <w:p>
      <w:pPr>
        <w:pStyle w:val="BookText"/>
        <w:rPr/>
      </w:pPr>
      <w:bookmarkEnd w:id="197"/>
      <w:r>
        <w:rPr>
          <w:rFonts w:ascii="Amiri" w:hAnsi="Amiri" w:eastAsia="Amiri" w:cs="Amiri"/>
          <w:color w:val="111111"/>
          <w:sz w:val="28"/>
          <w:sz w:val="28"/>
          <w:szCs w:val="28"/>
          <w:rtl w:val="true"/>
          <w:lang w:bidi="ar-SA"/>
        </w:rPr>
        <w:t xml:space="preserve">لمصلحة عظيمة ، أو دفع مفسدة عن المهجو، دنيوية كدفع الهلكة عن نفسه ، أو المؤاخذة بعد الحلول في رمسه بالنهي عن الفساد ؛ حَسُنَ ، ولو بالهجو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 هجو المؤمن في ديوانه وجب عليه كفايةً محوه ، ووجب علىٰ الناس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الشعر أجود كان الوزر أشدّ ، كما أن مسجَّع النثر وأفصحه أشد إثماً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أخذ الأجرة وما يهدى من الجائزة إليه قد مرَّ ما فيه أعظم شاهد عليه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284916_2320776876"/>
      <w:bookmarkStart w:id="199" w:name="_Toc69"/>
      <w:bookmarkEnd w:id="198"/>
      <w:r>
        <w:rPr>
          <w:rtl w:val="true"/>
        </w:rPr>
        <w:t>غیبتهم</w:t>
      </w:r>
      <w:bookmarkEnd w:id="19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عوضها بقرينة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منهم والممّيزين من أولادهم </w:t>
      </w:r>
      <w:r>
        <w:rPr>
          <w:rStyle w:val="FootnoteAnchor"/>
          <w:rtl w:val="true"/>
        </w:rPr>
        <w:footnoteReference w:id="445"/>
      </w:r>
      <w:r>
        <w:rPr>
          <w:rFonts w:ascii="Amiri" w:hAnsi="Amiri" w:eastAsia="Amiri" w:cs="Amiri"/>
          <w:color w:val="111111"/>
          <w:sz w:val="28"/>
          <w:sz w:val="28"/>
          <w:szCs w:val="28"/>
          <w:rtl w:val="true"/>
          <w:lang w:bidi="ar-SA"/>
        </w:rPr>
        <w:t xml:space="preserve">، بذكر معائبهم مع الرضا وبدونه ، أو ذكر ما يغمّهم ويحزنهم مع ذكر العيب وعدمه ، أو ذكرهما معاً ، علىٰ اختلاف الآراء في معناها بين العلماء </w:t>
      </w:r>
      <w:r>
        <w:rPr>
          <w:rStyle w:val="FootnoteAnchor"/>
          <w:rtl w:val="true"/>
        </w:rPr>
        <w:footnoteReference w:id="446"/>
      </w:r>
      <w:r>
        <w:rPr>
          <w:rFonts w:ascii="IRNazanin" w:hAnsi="IRNazanin" w:eastAsia="IRNazanin"/>
          <w:color w:val="111111"/>
          <w:sz w:val="28"/>
          <w:sz w:val="28"/>
          <w:szCs w:val="28"/>
          <w:rtl w:val="true"/>
          <w:lang w:bidi="fa-IR"/>
        </w:rPr>
        <w:t xml:space="preserve">، وعلى القول بأنّها مطلق </w:t>
      </w:r>
    </w:p>
    <w:p>
      <w:pPr>
        <w:pStyle w:val="BookText"/>
        <w:rPr/>
      </w:pPr>
      <w:r>
        <w:rPr>
          <w:rFonts w:ascii="Amiri" w:hAnsi="Amiri" w:eastAsia="Amiri" w:cs="Amiri"/>
          <w:color w:val="111111"/>
          <w:sz w:val="28"/>
          <w:sz w:val="28"/>
          <w:szCs w:val="28"/>
          <w:rtl w:val="true"/>
          <w:lang w:bidi="ar-SA"/>
        </w:rPr>
        <w:t xml:space="preserve">الذكر </w:t>
      </w:r>
      <w:r>
        <w:rPr>
          <w:rStyle w:val="FootnoteAnchor"/>
          <w:rtl w:val="true"/>
        </w:rPr>
        <w:footnoteReference w:id="447"/>
      </w:r>
      <w:r>
        <w:rPr>
          <w:rFonts w:ascii="Amiri" w:hAnsi="Amiri" w:eastAsia="Amiri" w:cs="Amiri"/>
          <w:color w:val="111111"/>
          <w:sz w:val="28"/>
          <w:sz w:val="28"/>
          <w:szCs w:val="28"/>
          <w:rtl w:val="true"/>
          <w:lang w:bidi="ar-SA"/>
        </w:rPr>
        <w:t xml:space="preserve">فلابدّ من التقييد لترتّب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كونها من مقولة الكلام ، كما عليه بعض الأعلام ، أو جميع ما يفيد مفاده من فعل ، أو تعريض، أو إشارة ، أو تغيير عادة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الحضور </w:t>
      </w:r>
      <w:r>
        <w:rPr>
          <w:rStyle w:val="FootnoteAnchor"/>
          <w:rtl w:val="true"/>
        </w:rPr>
        <w:footnoteReference w:id="449"/>
      </w:r>
      <w:r>
        <w:rPr>
          <w:rFonts w:ascii="Amiri" w:hAnsi="Amiri" w:eastAsia="Amiri" w:cs="Amiri"/>
          <w:color w:val="111111"/>
          <w:sz w:val="28"/>
          <w:sz w:val="28"/>
          <w:szCs w:val="28"/>
          <w:rtl w:val="true"/>
          <w:lang w:bidi="ar-SA"/>
        </w:rPr>
        <w:t>، وإن تشاركا في لزوم المحظور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 الكذب ، لئلا تدخل في البهتان ، وتخرج عن الاسم </w:t>
      </w:r>
      <w:r>
        <w:rPr>
          <w:rStyle w:val="FootnoteAnchor"/>
          <w:rtl w:val="true"/>
        </w:rPr>
        <w:footnoteReference w:id="450"/>
      </w:r>
      <w:r>
        <w:rPr>
          <w:rFonts w:ascii="Amiri" w:hAnsi="Amiri" w:eastAsia="Amiri" w:cs="Amiri"/>
          <w:color w:val="111111"/>
          <w:sz w:val="28"/>
          <w:sz w:val="28"/>
          <w:szCs w:val="28"/>
          <w:rtl w:val="true"/>
          <w:lang w:bidi="ar-SA"/>
        </w:rPr>
        <w:t>، وإن كان أشدّ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اختلف فيها كلام الأساطين من الفقهاء واللّغويين ؛ فالمرجع إلىٰ العرف الذي هو الميزان مع اختلاف كلام اللّغويين في التفسير 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الأربعة متفقة علىٰ حظرها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دلّ علىٰ تحريم اُجرة </w:t>
      </w:r>
    </w:p>
    <w:p>
      <w:pPr>
        <w:pStyle w:val="BookText"/>
        <w:rPr/>
      </w:pPr>
      <w:r>
        <w:rPr>
          <w:rFonts w:ascii="Amiri" w:hAnsi="Amiri" w:eastAsia="Amiri" w:cs="Amiri"/>
          <w:color w:val="111111"/>
          <w:sz w:val="28"/>
          <w:sz w:val="28"/>
          <w:szCs w:val="28"/>
          <w:rtl w:val="true"/>
          <w:lang w:bidi="ar-SA"/>
        </w:rPr>
        <w:t>المحرّمات</w:t>
      </w:r>
      <w:r>
        <w:rPr>
          <w:rStyle w:val="FootnoteAnchor"/>
          <w:rtl w:val="true"/>
        </w:rPr>
        <w:footnoteReference w:id="452"/>
      </w:r>
      <w:r>
        <w:rPr>
          <w:rFonts w:ascii="Amiri" w:hAnsi="Amiri" w:eastAsia="Amiri" w:cs="Amiri"/>
          <w:color w:val="111111"/>
          <w:sz w:val="28"/>
          <w:sz w:val="28"/>
          <w:szCs w:val="28"/>
          <w:rtl w:val="true"/>
          <w:lang w:bidi="ar-SA"/>
        </w:rPr>
        <w:t xml:space="preserve">شاهد على حرمة أجرها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ويستثنى منها اُمور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مَنْ فسدت عقيدته حتى دخل في قسم الكفار والمشركين ، أو خرج من ربقة المؤمنين ، للأصل ، والاقتصار علىٰ المتيقّن من دليل المنع ، وتقييد ما دلّ علىٰ عموم المنع في المسلم </w:t>
      </w:r>
      <w:r>
        <w:rPr>
          <w:rStyle w:val="FootnoteAnchor"/>
          <w:rtl w:val="true"/>
        </w:rPr>
        <w:footnoteReference w:id="454"/>
      </w:r>
      <w:r>
        <w:rPr>
          <w:rFonts w:ascii="Amiri" w:hAnsi="Amiri" w:eastAsia="Amiri" w:cs="Amiri"/>
          <w:color w:val="111111"/>
          <w:sz w:val="28"/>
          <w:sz w:val="28"/>
          <w:szCs w:val="28"/>
          <w:rtl w:val="true"/>
          <w:lang w:bidi="ar-SA"/>
        </w:rPr>
        <w:t>بمفهوم ما قُصِرَ فيه الحظر على المؤمن</w:t>
      </w:r>
      <w:r>
        <w:rPr>
          <w:rStyle w:val="FootnoteAnchor"/>
          <w:rtl w:val="true"/>
        </w:rPr>
        <w:footnoteReference w:id="455"/>
      </w:r>
      <w:r>
        <w:rPr>
          <w:rFonts w:ascii="Amiri" w:hAnsi="Amiri" w:eastAsia="Amiri" w:cs="Amiri"/>
          <w:color w:val="111111"/>
          <w:sz w:val="28"/>
          <w:sz w:val="28"/>
          <w:szCs w:val="28"/>
          <w:rtl w:val="true"/>
          <w:lang w:bidi="ar-SA"/>
        </w:rPr>
        <w:t xml:space="preserve">، ولأنّ القسمين في الكفر كفرسَيْ رهان إلّا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الأموال والأبدان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هجاء المشركين </w:t>
      </w:r>
      <w:r>
        <w:rPr>
          <w:rStyle w:val="FootnoteAnchor"/>
          <w:rtl w:val="true"/>
        </w:rPr>
        <w:footnoteReference w:id="456"/>
      </w:r>
      <w:r>
        <w:rPr>
          <w:rFonts w:ascii="Amiri" w:hAnsi="Amiri" w:eastAsia="Amiri" w:cs="Amiri"/>
          <w:color w:val="111111"/>
          <w:sz w:val="28"/>
          <w:sz w:val="28"/>
          <w:szCs w:val="28"/>
          <w:rtl w:val="true"/>
          <w:lang w:bidi="ar-SA"/>
        </w:rPr>
        <w:t xml:space="preserve">يدلّ بالأولىٰ علىٰ جواز غيبتهم ، واستمرار الطريقة المستمرة من قديم الزمان علىٰ اللّعن والطعن في غير أهل الإيمان ، حتىٰ أنّ الإنكار لذلك يُعَدّ من المنكرات ، والطعن فيهم من أفضل الطاعات، وحلية مجالس المتقين ذكر معائب الكفّار والمخالفين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وقع في خياله ثبوت الملازمة بين حرمة عِرض المخالف وماله </w:t>
      </w:r>
      <w:r>
        <w:rPr>
          <w:rStyle w:val="FootnoteAnchor"/>
          <w:rtl w:val="true"/>
        </w:rPr>
        <w:footnoteReference w:id="457"/>
      </w:r>
      <w:r>
        <w:rPr>
          <w:rFonts w:ascii="IRNazanin" w:hAnsi="IRNazanin" w:eastAsia="IRNazanin"/>
          <w:color w:val="111111"/>
          <w:sz w:val="28"/>
          <w:sz w:val="28"/>
          <w:szCs w:val="28"/>
          <w:rtl w:val="true"/>
          <w:lang w:bidi="fa-IR"/>
        </w:rPr>
        <w:t xml:space="preserve">فقد اشتبه كلّ الاشتباه، لصدور الغفلة منه وقلة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التظلّم ، مع ذكر معائب الظالم عند مَن يرجو أنْ يعينه ويرفع الظلم عنه ، لقول المرأة عند النبي صلی الله علیه و آله متظلمةً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زوجها شحيح </w:t>
      </w:r>
      <w:r>
        <w:rPr>
          <w:rStyle w:val="FootnoteAnchor"/>
          <w:rtl w:val="true"/>
        </w:rPr>
        <w:footnoteReference w:id="458"/>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ينهَها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جوازه عند غيره لظاهر الكتاب ، وتفسيره بروايات كثيرة في هذا الباب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الأخبار من دخول سوء الضيافة في </w:t>
      </w:r>
    </w:p>
    <w:p>
      <w:pPr>
        <w:pStyle w:val="BookText"/>
        <w:rPr/>
      </w:pPr>
      <w:r>
        <w:rPr>
          <w:rFonts w:ascii="Amiri" w:hAnsi="Amiri" w:eastAsia="Amiri" w:cs="Amiri"/>
          <w:color w:val="111111"/>
          <w:sz w:val="28"/>
          <w:sz w:val="28"/>
          <w:szCs w:val="28"/>
          <w:rtl w:val="true"/>
          <w:lang w:bidi="ar-SA"/>
        </w:rPr>
        <w:t xml:space="preserve">ذلك فيجوز ذكر سوء ما صنع </w:t>
      </w:r>
      <w:r>
        <w:rPr>
          <w:rStyle w:val="FootnoteAnchor"/>
          <w:rtl w:val="true"/>
        </w:rPr>
        <w:footnoteReference w:id="460"/>
      </w:r>
      <w:r>
        <w:rPr>
          <w:rFonts w:ascii="Amiri" w:hAnsi="Amiri" w:eastAsia="Amiri" w:cs="Amiri"/>
          <w:color w:val="111111"/>
          <w:sz w:val="28"/>
          <w:sz w:val="28"/>
          <w:szCs w:val="28"/>
          <w:rtl w:val="true"/>
          <w:lang w:bidi="ar-SA"/>
        </w:rPr>
        <w:t xml:space="preserve">، يشكل التعويل عليه في مقابلة ما دلّ علىٰ تحريم الطعن في أعراض المؤمنين من كتاب أو سنّة أو إجماع </w:t>
      </w:r>
      <w:r>
        <w:rPr>
          <w:rStyle w:val="FootnoteAnchor"/>
          <w:rtl w:val="true"/>
        </w:rPr>
        <w:footnoteReference w:id="461"/>
      </w:r>
      <w:r>
        <w:rPr>
          <w:rFonts w:ascii="IRNazanin" w:hAnsi="IRNazanin" w:eastAsia="IRNazanin"/>
          <w:color w:val="111111"/>
          <w:sz w:val="28"/>
          <w:sz w:val="28"/>
          <w:szCs w:val="28"/>
          <w:rtl w:val="true"/>
          <w:lang w:bidi="fa-IR"/>
        </w:rPr>
        <w:t>أو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الاستفتاء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ظلمني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شكت هند أبا سفیان عند النبي صلی اللّٰه علیه و آله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شحيح لا يعطيني ما يكفيني</w:t>
      </w:r>
      <w:r>
        <w:rPr>
          <w:rFonts w:eastAsia="IRNazanin" w:cs="IRNazanin"/>
          <w:color w:val="111111"/>
          <w:sz w:val="28"/>
          <w:szCs w:val="28"/>
          <w:rtl w:val="true"/>
          <w:lang w:bidi="fa-IR"/>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سفيان عند حكمه ؟ ولاستمرار الطريقة على ذلك </w:t>
      </w:r>
      <w:r>
        <w:rPr>
          <w:rStyle w:val="FootnoteAnchor"/>
          <w:rtl w:val="true"/>
        </w:rPr>
        <w:footnoteReference w:id="46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المؤمن من الوقوع في الخطر والضرر في دين أو دنيا،كتحذير الناس من الرجوع إلىٰ غير الفقيه مع ظهور عدم قابليته ، ومن التعويل علىٰ طريقة مَنْ يعلم فساد طريقته ، ومن وقوع أهل التحصيل في بعض القواعد التي تُعَدُّ من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البدع فقد ورد الأمر بالوقيعة فيهم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المستشير ، لورود الأخبار الكثيرة في أنّه يجب أن ینصح المؤمن أخاه المؤمن ، ولقول النبى صلی اللّٰه علیه و آله لفاطمة بنت قيس، لمّا شاورته في خُطّابها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معاوية فرجل صعلوك لا مال له ، وأمّا أبو الجهم فلا یضع العصا عاتقه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للشاهد، والراوي، وبيان مقدار حالهما، لمعرفة المعادلة بين خبر غيره و خبره ، وشهادة غيره وشهادته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وضعت كتب الرجال في الجرح والتعديل ، وقسّمت الأخبار إلىٰ الأقسام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جرت عادة السلف من أهل الحق وأهل الباطل ، لا يتناكرون ذلك من الرواة والمحدّثين والفقهاء والمجتهدين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ذلك لم يمكن الترجيح بالعدالة وخلافها، والأعدلية وخلافها، وانسدّ طريق الاجتهاد من هذا الباب، وتعذّر ترجيح البيّنات عند المرافعات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عنهم علیهم السلام ذمّ بعض الرواة ، ونسبة الكذب إليهم ، ووضع الحديث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يقصد به دفع الضرر عن المذموم في دم أو عرض أو مال ، وقد وقع الطعن منهم علیهم السلام في في زرارة معلّلين بذلك</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يجاب عن الطعن فى الهشامَيْن </w:t>
      </w:r>
      <w:r>
        <w:rPr>
          <w:rStyle w:val="FootnoteAnchor"/>
          <w:rtl w:val="true"/>
        </w:rPr>
        <w:footnoteReference w:id="46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بالاسم المعروف والصفة المعروفة ، كالأعرج </w:t>
      </w:r>
      <w:r>
        <w:rPr>
          <w:rStyle w:val="FootnoteAnchor"/>
          <w:rtl w:val="true"/>
        </w:rPr>
        <w:footnoteReference w:id="470"/>
      </w:r>
      <w:r>
        <w:rPr>
          <w:rFonts w:ascii="IRNazanin" w:hAnsi="IRNazanin" w:eastAsia="IRNazanin"/>
          <w:color w:val="111111"/>
          <w:sz w:val="28"/>
          <w:sz w:val="28"/>
          <w:szCs w:val="28"/>
          <w:rtl w:val="true"/>
          <w:lang w:bidi="fa-IR"/>
        </w:rPr>
        <w:t>والأعمش</w:t>
      </w:r>
      <w:r>
        <w:rPr>
          <w:rStyle w:val="FootnoteAnchor"/>
          <w:rtl w:val="true"/>
        </w:rPr>
        <w:footnoteReference w:id="471"/>
      </w:r>
      <w:r>
        <w:rPr>
          <w:rFonts w:ascii="IRNazanin" w:hAnsi="IRNazanin" w:eastAsia="IRNazanin"/>
          <w:color w:val="111111"/>
          <w:sz w:val="28"/>
          <w:sz w:val="28"/>
          <w:szCs w:val="28"/>
          <w:rtl w:val="true"/>
          <w:lang w:bidi="fa-IR"/>
        </w:rPr>
        <w:t xml:space="preserve">والأشتر </w:t>
      </w:r>
      <w:r>
        <w:rPr>
          <w:rStyle w:val="FootnoteAnchor"/>
          <w:rtl w:val="true"/>
        </w:rPr>
        <w:footnoteReference w:id="472"/>
      </w:r>
      <w:r>
        <w:rPr>
          <w:rFonts w:ascii="IRNazanin" w:hAnsi="IRNazanin" w:eastAsia="IRNazanin"/>
          <w:color w:val="111111"/>
          <w:sz w:val="28"/>
          <w:sz w:val="28"/>
          <w:szCs w:val="28"/>
          <w:rtl w:val="true"/>
          <w:lang w:bidi="fa-IR"/>
        </w:rPr>
        <w:t>ونحوها ؛ لضرورة التعريف، كما جرت عليه عادة العلماء في ذكر الرواة والمحدثين ، وورد عن الأئمة علیهم السلام كثير من ذلك</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فالسيرة والإجماع المحصّل والأخبار </w:t>
      </w:r>
      <w:r>
        <w:rPr>
          <w:rStyle w:val="FootnoteAnchor"/>
          <w:rtl w:val="true"/>
        </w:rPr>
        <w:footnoteReference w:id="474"/>
      </w:r>
      <w:r>
        <w:rPr>
          <w:rFonts w:ascii="Amiri" w:hAnsi="Amiri" w:eastAsia="Amiri" w:cs="Amiri"/>
          <w:color w:val="111111"/>
          <w:sz w:val="28"/>
          <w:sz w:val="28"/>
          <w:szCs w:val="28"/>
          <w:rtl w:val="true"/>
          <w:lang w:bidi="ar-SA"/>
        </w:rPr>
        <w:t>شاهدة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لإقامة الحدود، وحفظ الدماء المعصومة، والأموال المحترمة ، لئلا تضيع الحقوق ويغلب الباطل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النهي عن المنكر لتوقّفه عليه ، فيجب الوقيعة في بعض العصاة حتىٰ يرتدعوا عن معصيتهم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نسب مَن ادعىٰ نسباً وإنْ كان معذوراً ، أو عُرف بنسب فيجوز نفيه ، وربّما وجب، حتىٰ لا يقع خلل في المواريث والنفقات والأنكحة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رجع إلىٰ بعض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لتقيّة من الذام علىٰ نفسه أو عرضه أو ولده أو ماله ، أو نفوس أو أعراض محترمة ، فإنّ التقيّة تجوّز الهجاء والسبّ والشتم والقذف وضروب المعاصى ما عدا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المبتدعة وتصانيفهم ومناقصهم ، حذراً من ميل النفوس إليهم وظهور الفساد في العباد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المتجاهرين بالفسق، فإنّهم لا حرمة لهم ، ولو في غير ما تجاهروا به </w:t>
      </w:r>
      <w:r>
        <w:rPr>
          <w:rStyle w:val="FootnoteAnchor"/>
          <w:rtl w:val="true"/>
        </w:rPr>
        <w:footnoteReference w:id="475"/>
      </w:r>
      <w:r>
        <w:rPr>
          <w:rFonts w:ascii="IRNazanin" w:hAnsi="IRNazanin" w:eastAsia="IRNazanin"/>
          <w:color w:val="111111"/>
          <w:sz w:val="28"/>
          <w:sz w:val="28"/>
          <w:szCs w:val="28"/>
          <w:rtl w:val="true"/>
          <w:lang w:bidi="fa-IR"/>
        </w:rPr>
        <w:t xml:space="preserve">، للأخبار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مخصوص </w:t>
      </w:r>
      <w:r>
        <w:rPr>
          <w:rStyle w:val="FootnoteAnchor"/>
          <w:rtl w:val="true"/>
        </w:rPr>
        <w:footnoteReference w:id="478"/>
      </w:r>
      <w:r>
        <w:rPr>
          <w:rFonts w:ascii="Amiri" w:hAnsi="Amiri" w:eastAsia="Amiri" w:cs="Amiri"/>
          <w:color w:val="111111"/>
          <w:sz w:val="28"/>
          <w:sz w:val="28"/>
          <w:szCs w:val="28"/>
          <w:rtl w:val="true"/>
          <w:lang w:bidi="ar-SA"/>
        </w:rPr>
        <w:t xml:space="preserve">وحمله على النهي بعيد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عند مَن اطلع على حاله ، ولم يزده علماً بإخباره ، لعدم حصول أمر جديد يصلح علّة للمنع، فيُشكّ في دخوله تحت دخوله تحت أدلّة المنع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الصفات الذميمة التي لا تبعث علىٰ فسق ، مع تظاهره بها علىٰ رؤوس الأشهاد، لهتكه حرمة نفسه ، 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عن نفسه فلا غيبة له</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ولأنّه كالذكر عند العالمين بالحال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بعض الرواة والعلماء علىٰ بعض ، ليُقدّم المقدّم في التقليد والرواية ويُؤخّر المؤخّر، بل مطلق التفضيل ، لأنّه ليس بقدح</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لا عقل له ولا تمييز كالمجانين وبعض أطفال المؤمنين ، للشكّ ، في الدخول تحت أدلّة التحريم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 في ذكر قدح عليه أو علىٰ مؤمن </w:t>
      </w:r>
      <w:r>
        <w:rPr>
          <w:rStyle w:val="FootnoteAnchor"/>
          <w:rtl w:val="true"/>
        </w:rPr>
        <w:footnoteReference w:id="481"/>
      </w:r>
      <w:r>
        <w:rPr>
          <w:rFonts w:ascii="Amiri" w:hAnsi="Amiri" w:eastAsia="Amiri" w:cs="Amiri"/>
          <w:color w:val="111111"/>
          <w:sz w:val="28"/>
          <w:sz w:val="28"/>
          <w:szCs w:val="28"/>
          <w:rtl w:val="true"/>
          <w:lang w:bidi="ar-SA"/>
        </w:rPr>
        <w:t>، فإنّه يجوز ولو كان معذوراً واستلزم قدحاً فيه</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فَعل خيراً من عبادة أو إكرام ضيف أو ترحّم علىٰ فقير أو نحوها فدلّت علىٰ بخل أو كسل أو نقصان غيره ، فإنّه لا يلزمه ترك العبادة ونحوها لذلك مع أنّه من أقسام الغيبة علىٰ بعض التفاسير</w:t>
      </w:r>
      <w:r>
        <w:rPr>
          <w:rStyle w:val="FootnoteAnchor"/>
          <w:rtl w:val="true"/>
        </w:rPr>
        <w:footnoteReference w:id="483"/>
      </w:r>
      <w:r>
        <w:rPr>
          <w:rStyle w:val="FootnoteAnchor"/>
          <w:rtl w:val="true"/>
        </w:rPr>
        <w:footnoteReference w:id="484"/>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أولاده وعياله وأتباعه الملتحقين به، ببعض الصفات ، تأديباً لهم ، وخوفاً عليهم من الوقوع فيما هو أعظم ، لقضاء الحكمة والسيرة به ، ولأن التابع والقريب لهما حكم آخر في التأديب ، كما يظهر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مَن لا يشخّصه ولا يميّزه ولا يحصره ، فإنّه لا بأس به ولو دخل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الذمّ بطائفة أو أهل بلاد أو قرية مع قيام القرينة علىٰ عدم إرادة الجميع ، كذمّ العرب والعجم وأهل الكوفة والبصرة وبعض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المعائب والمناقص في شخص ثمّ تعقيبها بما يدلّ علىٰ رجوعه وعود كماله ، كالنقل عن الحرّ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لنعم الحرّ حرّ بني رياح صبور عند مشتبك الرماح</w:t>
      </w:r>
    </w:p>
    <w:p>
      <w:pPr>
        <w:pStyle w:val="BookText"/>
        <w:rPr/>
      </w:pPr>
      <w:r>
        <w:rPr>
          <w:rFonts w:ascii="Amiri" w:hAnsi="Amiri" w:eastAsia="Amiri" w:cs="Amiri"/>
          <w:color w:val="111111"/>
          <w:sz w:val="28"/>
          <w:sz w:val="28"/>
          <w:szCs w:val="28"/>
          <w:rtl w:val="true"/>
          <w:lang w:bidi="ar-SA"/>
        </w:rPr>
        <w:t>ونعم الحرّ إذ فادى حسيناً وجاد بنفسه عند الصباح</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 لعبد الرزاق المقرّم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وأضرابه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 عن شخص وتكذيبه في نقله لها ، فلو سمّينا الناقل مغتاباً والنقل غيبة لم يدخل في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عيوب المملوك لإسقاط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عيوب المرأة </w:t>
      </w:r>
      <w:r>
        <w:rPr>
          <w:rStyle w:val="FootnoteAnchor"/>
          <w:rtl w:val="true"/>
        </w:rPr>
        <w:footnoteReference w:id="486"/>
      </w:r>
      <w:r>
        <w:rPr>
          <w:rFonts w:ascii="Amiri" w:hAnsi="Amiri" w:eastAsia="Amiri" w:cs="Amiri"/>
          <w:color w:val="111111"/>
          <w:sz w:val="28"/>
          <w:sz w:val="28"/>
          <w:szCs w:val="28"/>
          <w:rtl w:val="true"/>
          <w:lang w:bidi="ar-SA"/>
        </w:rPr>
        <w:t xml:space="preserve">في النكاح خوفاً مما يترتب على التدليس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جاز منها لدفع ضرر ، أو إحقاق حقّ ، أو رد باطل ؛ لزم الاقتصار فيه علىٰ مقدار الحاجة، مع الإخلاص في النيّة وتهذيب النفس من الشوائب الردية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أحاديث النفس منها ، نعم يلزم علاجها إنْ خيف تأديتها إلىٰ حقد أو بغض أو استهانة أو غيرها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استماعها والإصغاء إليها ، ويجب ردّها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وزر غير الراد يعادل وزر المغتاب سبعين مرّة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وفى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يردّ </w:t>
      </w:r>
      <w:bookmarkStart w:id="200" w:name="pg20243_272136"/>
    </w:p>
    <w:p>
      <w:pPr>
        <w:pStyle w:val="BookText"/>
        <w:rPr/>
      </w:pPr>
      <w:bookmarkEnd w:id="200"/>
      <w:r>
        <w:rPr>
          <w:rFonts w:ascii="Amiri" w:hAnsi="Amiri" w:eastAsia="Amiri" w:cs="Amiri"/>
          <w:color w:val="111111"/>
          <w:sz w:val="28"/>
          <w:sz w:val="28"/>
          <w:szCs w:val="28"/>
          <w:rtl w:val="true"/>
          <w:lang w:bidi="ar-SA"/>
        </w:rPr>
        <w:t>عن رادّها ألف باب من الشرّ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الإمكان ، وإلّا فعليه الإنكار بالجنان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القيام من ذلك 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كفارة الاغتياب الاستغفار له كلّما ذكره</w:t>
      </w:r>
      <w:r>
        <w:rPr>
          <w:rFonts w:eastAsia="IRNazanin" w:cs="IRNazanin"/>
          <w:color w:val="111111"/>
          <w:sz w:val="28"/>
          <w:szCs w:val="28"/>
          <w:rtl w:val="true"/>
          <w:lang w:bidi="fa-IR"/>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بلزوم الاستعفاء معارض بلزوم نهاية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استعفى مع الإبهام وافق الاحتياط التام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284918_2320776876"/>
      <w:bookmarkStart w:id="202" w:name="_Toc70"/>
      <w:bookmarkEnd w:id="201"/>
      <w:r>
        <w:rPr>
          <w:rtl w:val="true"/>
        </w:rPr>
        <w:t>الکذب علیهم</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غيبتهم يحرم 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مضافة إلىٰ حرمة أصل الكذب، لتضاعف الوزر بتضاعف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في حدّه مخالفة الاعتقاد فقط ، أو مع الواقع ، لم يحتج إلىٰ قيد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من صفات الخبر ، يجري حكمه في الإنشاء المنبئ عنه قصد الإفادة ، كمدح المذموم ، وذمّ الممدوح ، وتمني المكاره ، وترجّي غير المتوقّع ، وإيجاب غير الموجب، وندب غير النادب ، ووعد غير العازم ، إلىٰ غير ذلك ممّا يلزمه الإغراء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والتورية والهزل والمزاح من غير قرينة داخلان في اسمه ، أو في حكمه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ما كان في شعر أو نثر مع عدم قرينة المبالغة ، ولقد اشتهرت في الشعر وزادت في حسنه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أكذبه أعذبه </w:t>
      </w:r>
    </w:p>
    <w:p>
      <w:pPr>
        <w:pStyle w:val="BookText"/>
        <w:rPr/>
      </w:pPr>
      <w:r>
        <w:rPr>
          <w:rFonts w:ascii="Amiri" w:hAnsi="Amiri" w:eastAsia="Amiri" w:cs="Amiri"/>
          <w:color w:val="111111"/>
          <w:sz w:val="28"/>
          <w:sz w:val="28"/>
          <w:szCs w:val="28"/>
          <w:rtl w:val="true"/>
          <w:lang w:bidi="ar-SA"/>
        </w:rPr>
        <w:t>وفي بعض الأخبار أنّ قصد الإصلاح يخرج الكلام عن الكذب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إبراهيم ويوسف علىٰ نبيّنا وعليهما السلام قصدا الإصلاح ولا كذب ولم يفعل كبيرهم شيئاً ، ولم يسرق أحد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الكذب المغتفر لغير الأنبياء ،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 وعِدَتُك زوجتك ، والإصلاح بين الناس</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منه في حق الأنبياء مُطَّرَح أو مأوّل وحيث يجوز الكذب لتقيّة و </w:t>
      </w:r>
      <w:r>
        <w:rPr>
          <w:rStyle w:val="FootnoteAnchor"/>
          <w:rtl w:val="true"/>
        </w:rPr>
        <w:footnoteReference w:id="493"/>
      </w:r>
      <w:r>
        <w:rPr>
          <w:rFonts w:ascii="Amiri" w:hAnsi="Amiri" w:eastAsia="Amiri" w:cs="Amiri"/>
          <w:color w:val="111111"/>
          <w:sz w:val="28"/>
          <w:sz w:val="28"/>
          <w:szCs w:val="28"/>
          <w:rtl w:val="true"/>
          <w:lang w:bidi="ar-SA"/>
        </w:rPr>
        <w:t xml:space="preserve">غيرها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التورية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الأدلّة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الاقتصار علىٰ قدر ما يدفع الضرر ، ومقدار ما يحصل به السبب الذي له الكذب مغتفر </w:t>
      </w:r>
      <w:r>
        <w:rPr>
          <w:rFonts w:eastAsia="Amiri" w:cs="Amiri" w:ascii="Amiri" w:hAnsi="Amiri"/>
          <w:color w:val="111111"/>
          <w:sz w:val="28"/>
          <w:szCs w:val="28"/>
          <w:rtl w:val="true"/>
          <w:lang w:bidi="ar-SA"/>
        </w:rPr>
        <w:t xml:space="preserve">. </w:t>
      </w:r>
      <w:bookmarkStart w:id="203" w:name="pg20243_272138"/>
    </w:p>
    <w:p>
      <w:pPr>
        <w:pStyle w:val="Heading3"/>
        <w:numPr>
          <w:ilvl w:val="2"/>
          <w:numId w:val="1"/>
        </w:numPr>
        <w:rPr/>
      </w:pPr>
      <w:bookmarkStart w:id="204" w:name="__RefHeading___Toc5284920_2320776876"/>
      <w:bookmarkStart w:id="205" w:name="_Toc71"/>
      <w:bookmarkEnd w:id="203"/>
      <w:bookmarkEnd w:id="204"/>
      <w:r>
        <w:rPr>
          <w:rtl w:val="true"/>
        </w:rPr>
        <w:t>النمیمة علیهم</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فيزداد إثمها بنسبتها إليهم ، كالكذب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مطلقها </w:t>
      </w:r>
      <w:r>
        <w:rPr>
          <w:rStyle w:val="FootnoteAnchor"/>
          <w:rtl w:val="true"/>
        </w:rPr>
        <w:footnoteReference w:id="495"/>
      </w:r>
      <w:r>
        <w:rPr>
          <w:rFonts w:ascii="IRNazanin" w:hAnsi="IRNazanin" w:eastAsia="IRNazanin"/>
          <w:color w:val="111111"/>
          <w:sz w:val="28"/>
          <w:sz w:val="28"/>
          <w:szCs w:val="28"/>
          <w:rtl w:val="true"/>
          <w:lang w:bidi="fa-IR"/>
        </w:rPr>
        <w:t xml:space="preserve">؛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به لإيقاع فتنة أو وحشة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المعنيّة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 بين المتحابين ، وتجلب العداوة بين المتصافيين </w:t>
      </w:r>
      <w:r>
        <w:rPr>
          <w:rStyle w:val="FootnoteAnchor"/>
          <w:rtl w:val="true"/>
        </w:rPr>
        <w:footnoteReference w:id="498"/>
      </w:r>
      <w:r>
        <w:rPr>
          <w:rFonts w:ascii="Amiri" w:hAnsi="Amiri" w:eastAsia="Amiri" w:cs="Amiri"/>
          <w:color w:val="111111"/>
          <w:sz w:val="28"/>
          <w:sz w:val="28"/>
          <w:szCs w:val="28"/>
          <w:rtl w:val="true"/>
          <w:lang w:bidi="ar-SA"/>
        </w:rPr>
        <w:t>، وتُسفك بها الدماء ، وتُهدم بها الدور ، وتُكشف بها الستور ، والنمّام أشرّ مَنْ وطأ على الأرض بقدم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الأدلّة الأربعة علىٰ حرمتها ، وشهدت الشواهد الدالّة علىٰ حرمة أخذ الأجرة على المحرّمات </w:t>
      </w:r>
      <w:r>
        <w:rPr>
          <w:rStyle w:val="FootnoteAnchor"/>
          <w:rtl w:val="true"/>
        </w:rPr>
        <w:footnoteReference w:id="500"/>
      </w:r>
      <w:r>
        <w:rPr>
          <w:rFonts w:ascii="Amiri" w:hAnsi="Amiri" w:eastAsia="Amiri" w:cs="Amiri"/>
          <w:color w:val="111111"/>
          <w:sz w:val="28"/>
          <w:sz w:val="28"/>
          <w:szCs w:val="28"/>
          <w:rtl w:val="true"/>
          <w:lang w:bidi="ar-SA"/>
        </w:rPr>
        <w:t xml:space="preserve">علىٰ حرمة اُجرتها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ما يدلّ علىٰ حرمة استماعها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قد تجب لإيقاع الفتنة بين المشركين وتقوية المحقّين علىٰ المبطلين، وهو الداعي لتخصيصها في أحد الوجهين بالمؤمنين </w:t>
      </w:r>
      <w:r>
        <w:rPr>
          <w:rFonts w:eastAsia="Amiri" w:cs="Amiri" w:ascii="Amiri" w:hAnsi="Amiri"/>
          <w:color w:val="111111"/>
          <w:sz w:val="28"/>
          <w:szCs w:val="28"/>
          <w:rtl w:val="true"/>
          <w:lang w:bidi="ar-SA"/>
        </w:rPr>
        <w:t xml:space="preserve">. </w:t>
      </w:r>
      <w:bookmarkStart w:id="206" w:name="pg20243_272139"/>
    </w:p>
    <w:p>
      <w:pPr>
        <w:pStyle w:val="Heading3"/>
        <w:numPr>
          <w:ilvl w:val="2"/>
          <w:numId w:val="1"/>
        </w:numPr>
        <w:rPr/>
      </w:pPr>
      <w:bookmarkStart w:id="207" w:name="__RefHeading___Toc5284922_2320776876"/>
      <w:bookmarkStart w:id="208" w:name="_Toc72"/>
      <w:bookmarkEnd w:id="206"/>
      <w:bookmarkEnd w:id="207"/>
      <w:r>
        <w:rPr>
          <w:rtl w:val="true"/>
        </w:rPr>
        <w:t>سبّهم</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وشتمهم بمعنىٰ واحد </w:t>
      </w:r>
      <w:r>
        <w:rPr>
          <w:rStyle w:val="FootnoteAnchor"/>
          <w:rtl w:val="true"/>
        </w:rPr>
        <w:footnoteReference w:id="502"/>
      </w:r>
      <w:r>
        <w:rPr>
          <w:rFonts w:ascii="Amiri" w:hAnsi="Amiri" w:eastAsia="Amiri" w:cs="Amiri"/>
          <w:color w:val="111111"/>
          <w:sz w:val="28"/>
          <w:sz w:val="28"/>
          <w:szCs w:val="28"/>
          <w:rtl w:val="true"/>
          <w:lang w:bidi="ar-SA"/>
        </w:rPr>
        <w:t xml:space="preserve">، يعمّ اللّعن والطعن والقذف والفحش والتصغير والتحقير ونحوها ؛ مع قصد الإنشاء فيخالف الغيبة ، أو يعمّ الخبر وتعمّ الإنشاء ويختلفان فى بعض التعبيرات ، فيعمّ كلّ منهما الآخر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الأشرار من أهل الإيمان هنا كحال الأخيار، لتطابق الأدلة الأربعة علىٰ تحريم ما يفيد نقصاً في مؤمن أو أذيّة له أو ظلماً في غير ما قام الدليل علىٰ الإذن به لحكمة ظاهرة أو خفيّة ، 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 وقتاله كفر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ويقوىٰ جوازه في خصوص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ويغتفر للتقيّة ، ودفع المنكر وحفظه عن الضرر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 غير أهل الإيمان من المسلمين والمشركين من أفضل الطاعات الموصلة إلىٰ رضا ربّ العالمين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284924_2320776876"/>
      <w:bookmarkStart w:id="210" w:name="_Toc73"/>
      <w:bookmarkEnd w:id="209"/>
      <w:r>
        <w:rPr>
          <w:rtl w:val="true"/>
        </w:rPr>
        <w:t>مدح مَن یستحق الذم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ومدح مَنْ يستحق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الوجه المستحقّ عليه ، أو غيره حيث يترتّب الفساد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يجب الذمّ له لردع عن منكر ، أو إحقاق حقّ ، أو إبطال باطل ، أو كشف حال ؛ لدفع اشتباه الخلق ، فيحكموا بشهادته ، ويرغبوا بمعاملته ، وتبذل له الأموال ، ويحمل علىٰ رؤوس الرجال ، ويرجع إليه في الفتاوىٰ والأحكام، ويُعدّ من العلماء بين العوام ؛ ومنه نشأ فساد الدين، وتقديم الأذناب علىٰ عترة خاتم النبيين صلی اللّٰه علیه و آله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ربّما دخل في الكذب حكماً ؛ لاشتماله على الإغراء بالجهل الذي حكم بقبحه الشرع والعقل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حرمته للذات صدقاً ، أو مع قيام القرينة علىٰ المبالغات ؛ فلم يقم عليه برهان ، ولم يزل يصدر من جميع الأعيان ، ولاسيّما إذا تعلّق به غرض لبعض أهل الرتب الدينيّة ، أو دفع لبعض المظالم عن المظلومين من الرعية ، أو دفع لبعض المفاسد ، إلىٰ غير ذلك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عادة العلماء مع الأمراء ، خصوصاً من كانوا من أهل الحقّ ولو أنّهم من شرار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جائزة علىٰ مدحه مع حرمته ، أو نال فائدة منه ، فقد أخذ الحرام ، ودخل في زمرة أهل الآثام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فتحريمه بيّن كلّ البيان ، غنيّ عن إقامة البرهان ، إلّا أنْ يكون لخوف علىٰ المذموم من أضداده أو معانديه وحسّاده ، أو علىٰ الذام خوفاً من النسبة إلىٰ محبّته فتدعوهم إلىٰ الجدّ في إضراره وأذيّته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الحال بعد الإجمال ؛ أنّه ينبغي إعطاء كلّ ذي حقّ حقّه، فمَنْ سلم من أسباب الذمّ فهو ممدوح لا يذمّ، وبالعكس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ذا جهتين كان الإنسان معه ذا حالتين ، قد يمدح ويبالغ ، وقد يذمّ محافظاً علىٰ الوجه السائغ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نقل الإجماع في المنع علىٰ الإطلاق</w:t>
      </w:r>
      <w:r>
        <w:rPr>
          <w:rStyle w:val="FootnoteAnchor"/>
          <w:rtl w:val="true"/>
        </w:rPr>
        <w:footnoteReference w:id="504"/>
      </w:r>
      <w:r>
        <w:rPr>
          <w:rFonts w:ascii="Amiri" w:hAnsi="Amiri" w:eastAsia="Amiri" w:cs="Amiri"/>
          <w:color w:val="111111"/>
          <w:sz w:val="28"/>
          <w:sz w:val="28"/>
          <w:szCs w:val="28"/>
          <w:rtl w:val="true"/>
          <w:lang w:bidi="ar-SA"/>
        </w:rPr>
        <w:t>مردود ، إلّا أنْ يكون جارياً علىٰ هذا المذاق</w:t>
      </w:r>
      <w:r>
        <w:rPr>
          <w:rStyle w:val="FootnoteAnchor"/>
          <w:rtl w:val="true"/>
        </w:rPr>
        <w:footnoteReference w:id="505"/>
      </w:r>
      <w:bookmarkStart w:id="211" w:name="pg20243_272141"/>
    </w:p>
    <w:p>
      <w:pPr>
        <w:pStyle w:val="Heading3"/>
        <w:numPr>
          <w:ilvl w:val="2"/>
          <w:numId w:val="1"/>
        </w:numPr>
        <w:rPr/>
      </w:pPr>
      <w:bookmarkStart w:id="212" w:name="__RefHeading___Toc5284926_2320776876"/>
      <w:bookmarkStart w:id="213" w:name="_Toc74"/>
      <w:bookmarkEnd w:id="211"/>
      <w:bookmarkEnd w:id="212"/>
      <w:r>
        <w:rPr>
          <w:rtl w:val="true"/>
        </w:rPr>
        <w:t>التشبیب بالمرأة المعروفةالمؤمنة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والتشبيب بالمرأة</w:t>
      </w:r>
      <w:r>
        <w:rPr>
          <w:rFonts w:eastAsia="Amiri" w:cs="Amiri" w:ascii="Amiri" w:hAnsi="Amiri"/>
          <w:color w:val="111111"/>
          <w:sz w:val="28"/>
          <w:szCs w:val="28"/>
          <w:rtl w:val="true"/>
          <w:lang w:bidi="ar-SA"/>
        </w:rPr>
        <w:t>)</w:t>
      </w:r>
      <w:r>
        <w:rPr>
          <w:rStyle w:val="FootnoteAnchor"/>
          <w:rtl w:val="true"/>
        </w:rPr>
        <w:footnoteReference w:id="506"/>
      </w:r>
      <w:r>
        <w:rPr>
          <w:rStyle w:val="FootnoteAnchor"/>
          <w:rtl w:val="true"/>
        </w:rPr>
        <w:footnoteReference w:id="507"/>
      </w:r>
      <w:r>
        <w:rPr>
          <w:rFonts w:ascii="Amiri" w:hAnsi="Amiri" w:eastAsia="Amiri" w:cs="Amiri"/>
          <w:color w:val="111111"/>
          <w:sz w:val="28"/>
          <w:sz w:val="28"/>
          <w:szCs w:val="28"/>
          <w:rtl w:val="true"/>
          <w:lang w:bidi="ar-SA"/>
        </w:rPr>
        <w:t>بالتعريض بحبّها وعشقها في الشعر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 أو السامع ، أو عندهما ، والأخير هو المراد ؛ دون المبهمة ، فإنّه لا بأس بالتشبيب بها ، للشكّ في الدخول تحت الاسم ، أو في شمول الحكم </w:t>
      </w:r>
      <w:r>
        <w:rPr>
          <w:rStyle w:val="FootnoteAnchor"/>
          <w:rtl w:val="true"/>
        </w:rPr>
        <w:footnoteReference w:id="508"/>
      </w:r>
      <w:r>
        <w:rPr>
          <w:rFonts w:ascii="Amiri" w:hAnsi="Amiri" w:eastAsia="Amiri" w:cs="Amiri"/>
          <w:color w:val="111111"/>
          <w:sz w:val="28"/>
          <w:sz w:val="28"/>
          <w:szCs w:val="28"/>
          <w:rtl w:val="true"/>
          <w:lang w:bidi="ar-SA"/>
        </w:rPr>
        <w:t xml:space="preserve">، ما لم يشتمل علىٰ فحش أو كلام باطل ، ولأنّه لا شيء فيه من وجوه القبح الآتية ، فيبقىٰ علىٰ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تفضيحها ، وهتك حرمتها ، وإدخال النقص عليها وعلىٰ أهلها ؛ ولذلك لا ترضىٰ النفوس الأبية ذوات الغيرة والحميّة أنْ يذكر ذاكر عشق بعض بناتهم أو أخواتهم أو البعيدات من قراباتهم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المؤمنة من المخالفة والذمّية والحربية المحترمة الدم والمال والفرج</w:t>
      </w:r>
      <w:r>
        <w:rPr>
          <w:rStyle w:val="FootnoteAnchor"/>
          <w:rtl w:val="true"/>
        </w:rPr>
        <w:footnoteReference w:id="509"/>
      </w:r>
      <w:r>
        <w:rPr>
          <w:rFonts w:ascii="Amiri" w:hAnsi="Amiri" w:eastAsia="Amiri" w:cs="Amiri"/>
          <w:color w:val="111111"/>
          <w:sz w:val="28"/>
          <w:sz w:val="28"/>
          <w:szCs w:val="28"/>
          <w:rtl w:val="true"/>
          <w:lang w:bidi="ar-SA"/>
        </w:rPr>
        <w:t xml:space="preserve">؛ فلا حرمة لها هنا ، كما لا حرمة لها في غيبتها وهجائها ممّا لا يشتمل علىٰ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خصوص الأموال والأعراض والنفوس بالشهادتين ، وبذل الجزية والعهد ونحوهما ، وحرمة النظر لقيام الدليل عليها ؛ لا يستلزم حرمة التشبيب بالنسبة إليها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ودعوىٰ القبح بالذات ، لأنّه الشهوات العصاة </w:t>
      </w:r>
      <w:r>
        <w:rPr>
          <w:rStyle w:val="FootnoteAnchor"/>
          <w:rtl w:val="true"/>
        </w:rPr>
        <w:footnoteReference w:id="511"/>
      </w:r>
      <w:r>
        <w:rPr>
          <w:rFonts w:ascii="Amiri" w:hAnsi="Amiri" w:eastAsia="Amiri" w:cs="Amiri"/>
          <w:color w:val="111111"/>
          <w:sz w:val="28"/>
          <w:sz w:val="28"/>
          <w:szCs w:val="28"/>
          <w:rtl w:val="true"/>
          <w:lang w:bidi="ar-SA"/>
        </w:rPr>
        <w:t xml:space="preserve">، في محلّ المنع ؛ لأنّهم غنيون عن السفاح بالنكاح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لربّما </w:t>
      </w:r>
      <w:r>
        <w:rPr>
          <w:rStyle w:val="FootnoteAnchor"/>
          <w:rtl w:val="true"/>
        </w:rPr>
        <w:footnoteReference w:id="512"/>
      </w:r>
      <w:r>
        <w:rPr>
          <w:rFonts w:ascii="Amiri" w:hAnsi="Amiri" w:eastAsia="Amiri" w:cs="Amiri"/>
          <w:color w:val="111111"/>
          <w:sz w:val="28"/>
          <w:sz w:val="28"/>
          <w:szCs w:val="28"/>
          <w:rtl w:val="true"/>
          <w:lang w:bidi="ar-SA"/>
        </w:rPr>
        <w:t xml:space="preserve">جرىٰ في غير المعروفات ، بل ربّما قضىٰ بتحريم ذكر المحاسن وأقسام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المشبب</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من أهل المراتب ، بحيث ينكر عليه ؛ فلا يبعد التحريم بالنسبة إليه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التشبيب بالمرد </w:t>
      </w:r>
      <w:r>
        <w:rPr>
          <w:rStyle w:val="FootnoteAnchor"/>
          <w:rtl w:val="true"/>
        </w:rPr>
        <w:footnoteReference w:id="514"/>
      </w:r>
      <w:r>
        <w:rPr>
          <w:rFonts w:ascii="Amiri" w:hAnsi="Amiri" w:eastAsia="Amiri" w:cs="Amiri"/>
          <w:color w:val="111111"/>
          <w:sz w:val="28"/>
          <w:sz w:val="28"/>
          <w:szCs w:val="28"/>
          <w:rtl w:val="true"/>
          <w:lang w:bidi="ar-SA"/>
        </w:rPr>
        <w:t xml:space="preserve">الحسان من الكفّار والمؤمنين المعروفين والمبهمين فهو من السَفَه ، وباعث على التهيّج على الحرام، ومعدود من الفحش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نظر المفاتيح </w:t>
      </w:r>
      <w:r>
        <w:rPr>
          <w:rStyle w:val="FootnoteAnchor"/>
          <w:rtl w:val="true"/>
        </w:rPr>
        <w:footnoteReference w:id="516"/>
      </w:r>
      <w:r>
        <w:rPr>
          <w:rFonts w:ascii="Amiri" w:hAnsi="Amiri" w:eastAsia="Amiri" w:cs="Amiri"/>
          <w:color w:val="111111"/>
          <w:sz w:val="28"/>
          <w:sz w:val="28"/>
          <w:szCs w:val="28"/>
          <w:rtl w:val="true"/>
          <w:lang w:bidi="ar-SA"/>
        </w:rPr>
        <w:t xml:space="preserve">لا يُنظر إليه </w:t>
      </w:r>
      <w:r>
        <w:rPr>
          <w:rFonts w:eastAsia="Amiri" w:cs="Amiri" w:ascii="Amiri" w:hAnsi="Amiri"/>
          <w:color w:val="111111"/>
          <w:sz w:val="28"/>
          <w:szCs w:val="28"/>
          <w:rtl w:val="true"/>
          <w:lang w:bidi="ar-SA"/>
        </w:rPr>
        <w:t xml:space="preserve">. </w:t>
      </w:r>
      <w:bookmarkStart w:id="214" w:name="pg20243_272143"/>
    </w:p>
    <w:p>
      <w:pPr>
        <w:pStyle w:val="BookText"/>
        <w:rPr/>
      </w:pPr>
      <w:bookmarkEnd w:id="214"/>
      <w:r>
        <w:rPr>
          <w:rFonts w:ascii="Amiri" w:hAnsi="Amiri" w:eastAsia="Amiri" w:cs="Amiri"/>
          <w:color w:val="111111"/>
          <w:sz w:val="28"/>
          <w:sz w:val="28"/>
          <w:szCs w:val="28"/>
          <w:rtl w:val="true"/>
          <w:lang w:bidi="ar-SA"/>
        </w:rPr>
        <w:t xml:space="preserve">وما يشبه التشبيب من النثر مشارك للشعر في الحظر </w:t>
      </w:r>
      <w:r>
        <w:rPr>
          <w:rStyle w:val="FootnoteAnchor"/>
          <w:rtl w:val="true"/>
        </w:rPr>
        <w:footnoteReference w:id="517"/>
      </w:r>
      <w:r>
        <w:rPr>
          <w:rFonts w:ascii="Amiri" w:hAnsi="Amiri" w:eastAsia="Amiri" w:cs="Amiri"/>
          <w:color w:val="111111"/>
          <w:sz w:val="28"/>
          <w:sz w:val="28"/>
          <w:szCs w:val="28"/>
          <w:rtl w:val="true"/>
          <w:lang w:bidi="ar-SA"/>
        </w:rPr>
        <w:t xml:space="preserve">، إلّا أنّ الموزون أشدّ حرمة من غيره ، والمسجّع من النثر أشدّ وزراً ممّا لا تسجيع فيه ، وكلّما زادت فصاحته وبلاغته اشتدّت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بجوازه في مهتوكات الستور والمعلنات بالفجور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284928_2320776876"/>
      <w:bookmarkStart w:id="216" w:name="_Toc75"/>
      <w:bookmarkEnd w:id="215"/>
      <w:r>
        <w:rPr>
          <w:rtl w:val="true"/>
        </w:rPr>
        <w:t>السحر</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من السحرة ، أو عمله ليسحر ولو مرّة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يستدعي بسطاً في الكلام في بيان الأقسام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أنْ يكون علم بلا تعلّم أو معه، أو تعلّم، لم يقصد بهما العمل ، بل تحصيل مرتبة الفضل والتباعد عن حضيض الجهل ، أو ليحذّر الناس أو يتحذّر من عامله ، أو ليتجنّب أن يدخل فى جملة فاعله </w:t>
      </w:r>
      <w:r>
        <w:rPr>
          <w:rStyle w:val="FootnoteAnchor"/>
          <w:rtl w:val="true"/>
        </w:rPr>
        <w:footnoteReference w:id="518"/>
      </w:r>
      <w:r>
        <w:rPr>
          <w:rFonts w:ascii="Amiri" w:hAnsi="Amiri" w:eastAsia="Amiri" w:cs="Amiri"/>
          <w:color w:val="111111"/>
          <w:sz w:val="28"/>
          <w:sz w:val="28"/>
          <w:szCs w:val="28"/>
          <w:rtl w:val="true"/>
          <w:lang w:bidi="ar-SA"/>
        </w:rPr>
        <w:t xml:space="preserve">، أو قصد بهما العمل ، فالبحث في قصده وإنْ لم يعمل ، أو عمل فالبحث أيضاً في نفس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إمّا أن ينوي به الحَلّ والإبطال ، أو غير ذلك من الأحوال ، ثم هي إمّا من الأحوال الحسان ، أو داخلة في أنواع العصيان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حكمه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منه الأنبياء وأرباب المكاشفات من العلماء ؛ لأنّ العلم حسن بالذات ، داخل في عداد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في الصناعات من الحياكة والصياغة والحجامة ونحوها ، والحظر فيها ؛ إنّما هو بإعتبار العمل ، وإلّا فعلمها خير من جهلها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والتعليم والتعلّم بتلك النيّة ، أو لتحذير نفسه أو غيره من الوقوع في البليّة ، متصفان بصفة الراجحية ، وأصل الإباحة قاض بإباحته ، ولفظ السحر والساحر والسحرة منصرف إلىٰ عَمَلَته ، ونقل قضية الملَكين المعلّمين في القرآن </w:t>
      </w:r>
      <w:r>
        <w:rPr>
          <w:rStyle w:val="FootnoteAnchor"/>
          <w:rtl w:val="true"/>
        </w:rPr>
        <w:footnoteReference w:id="519"/>
      </w:r>
      <w:r>
        <w:rPr>
          <w:rFonts w:ascii="Amiri" w:hAnsi="Amiri" w:eastAsia="Amiri" w:cs="Amiri"/>
          <w:color w:val="111111"/>
          <w:sz w:val="28"/>
          <w:sz w:val="28"/>
          <w:szCs w:val="28"/>
          <w:rtl w:val="true"/>
          <w:lang w:bidi="ar-SA"/>
        </w:rPr>
        <w:t xml:space="preserve">لأهل هذه الملّة شاهد علىٰ الحِلّ، وما في الروايات </w:t>
      </w:r>
      <w:r>
        <w:rPr>
          <w:rStyle w:val="FootnoteAnchor"/>
          <w:rtl w:val="true"/>
        </w:rPr>
        <w:footnoteReference w:id="520"/>
      </w:r>
      <w:r>
        <w:rPr>
          <w:rFonts w:ascii="Amiri" w:hAnsi="Amiri" w:eastAsia="Amiri" w:cs="Amiri"/>
          <w:color w:val="111111"/>
          <w:sz w:val="28"/>
          <w:sz w:val="28"/>
          <w:szCs w:val="28"/>
          <w:rtl w:val="true"/>
          <w:lang w:bidi="ar-SA"/>
        </w:rPr>
        <w:t>من تحريم التعلّم وأنّ حدّ المتعلّم القتل يراد به مَنْ قصد العمل به ، بل مع صدوره ،، إذ القتل من حدود العامل دون العالم ، مع أن الظاهر انصراف التعلّم إلى النحو المألوف من إرادة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علمه وتعليمه وتعلّمه للعمل ونفس عمله، للحَلّ والإبطال ؛ فسيجيء بيان ما فيه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لغير ذلك من الأمور المباحة ، فهو محظور ؛ لأنّ ظاهر الأدلّة حرمته بحسب الذات، لا بما يقارنه أو يترتّب عليه من الأحوال والغايات ، علىٰ نحو باقي المحرّمات في ذاتها ، لا بسبب اختلاف حالاتها وغاياتها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والتعلّم والتعليم بقصد العمل حرمتها تابعة لحرمته، غير أنّ الحدّ یتبع العمل ، بل قسماً خاصّاً منه ، وهو ما قصد به المعصية ، درءً للحدّ بالشبهة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بمعرفته 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يعرفه العاملون ، ويطلّع علىٰ حقيقته الساحرون ، فلو اشتبه علىٰ غيرهم اشتباه الحيض علىٰ غير النساء ، واشتباه بعض أنواع القمار علىٰ غير المقامرين ؛ لم يشتبه عليهم ، ولو خفي بالنسبة إلىٰ الناس لم يخف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علم من التطلّع علىٰ أحوالهم ، وإمعان النظر في أفعالهم ، أنّه في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لطف مأخذه ودقّ</w:t>
      </w:r>
      <w:r>
        <w:rPr>
          <w:rStyle w:val="FootnoteAnchor"/>
          <w:rtl w:val="true"/>
        </w:rPr>
        <w:footnoteReference w:id="521"/>
      </w:r>
      <w:r>
        <w:rPr>
          <w:rFonts w:ascii="Amiri" w:hAnsi="Amiri" w:eastAsia="Amiri" w:cs="Amiri"/>
          <w:color w:val="111111"/>
          <w:sz w:val="28"/>
          <w:sz w:val="28"/>
          <w:szCs w:val="28"/>
          <w:rtl w:val="true"/>
          <w:lang w:bidi="ar-SA"/>
        </w:rPr>
        <w:t xml:space="preserve">، أو صَرْف الشيء عن وجهه </w:t>
      </w:r>
      <w:r>
        <w:rPr>
          <w:rStyle w:val="FootnoteAnchor"/>
          <w:rtl w:val="true"/>
        </w:rPr>
        <w:footnoteReference w:id="522"/>
      </w:r>
      <w:r>
        <w:rPr>
          <w:rFonts w:ascii="Amiri" w:hAnsi="Amiri" w:eastAsia="Amiri" w:cs="Amiri"/>
          <w:color w:val="111111"/>
          <w:sz w:val="28"/>
          <w:sz w:val="28"/>
          <w:szCs w:val="28"/>
          <w:rtl w:val="true"/>
          <w:lang w:bidi="ar-SA"/>
        </w:rPr>
        <w:t xml:space="preserve">، أو إخراج الباطل في صورة الحقّ </w:t>
      </w:r>
      <w:r>
        <w:rPr>
          <w:rStyle w:val="FootnoteAnchor"/>
          <w:rtl w:val="true"/>
        </w:rPr>
        <w:footnoteReference w:id="523"/>
      </w:r>
      <w:r>
        <w:rPr>
          <w:rFonts w:ascii="Amiri" w:hAnsi="Amiri" w:eastAsia="Amiri" w:cs="Amiri"/>
          <w:color w:val="111111"/>
          <w:sz w:val="28"/>
          <w:sz w:val="28"/>
          <w:szCs w:val="28"/>
          <w:rtl w:val="true"/>
          <w:lang w:bidi="ar-SA"/>
        </w:rPr>
        <w:t xml:space="preserve">، أو الخديعة </w:t>
      </w:r>
      <w:r>
        <w:rPr>
          <w:rStyle w:val="FootnoteAnchor"/>
          <w:rtl w:val="true"/>
        </w:rPr>
        <w:footnoteReference w:id="524"/>
      </w:r>
      <w:r>
        <w:rPr>
          <w:rFonts w:ascii="Amiri" w:hAnsi="Amiri" w:eastAsia="Amiri" w:cs="Amiri"/>
          <w:color w:val="111111"/>
          <w:sz w:val="28"/>
          <w:sz w:val="28"/>
          <w:szCs w:val="28"/>
          <w:rtl w:val="true"/>
          <w:lang w:bidi="ar-SA"/>
        </w:rPr>
        <w:t xml:space="preserve">، على اختلاف في كلام اللّغويين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تفصيله</w:t>
      </w:r>
      <w:r>
        <w:rPr>
          <w:rStyle w:val="FootnoteAnchor"/>
          <w:rtl w:val="true"/>
        </w:rPr>
        <w:footnoteReference w:id="525"/>
      </w:r>
      <w:r>
        <w:rPr>
          <w:rFonts w:ascii="IRNazanin" w:hAnsi="IRNazanin" w:eastAsia="IRNazanin"/>
          <w:color w:val="111111"/>
          <w:sz w:val="28"/>
          <w:sz w:val="28"/>
          <w:szCs w:val="28"/>
          <w:rtl w:val="true"/>
          <w:lang w:bidi="fa-IR"/>
        </w:rPr>
        <w:t>عند الفقهاء خلاف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لجمع من الفقهاء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يتكلّم به أو يكتبه أو رقية أو يعمل شيئاً يؤثّر في بدن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العمل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قلبه أو عقله من غير مباشرة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إضافة الأقسام </w:t>
      </w:r>
    </w:p>
    <w:p>
      <w:pPr>
        <w:pStyle w:val="BookText"/>
        <w:rPr/>
      </w:pPr>
      <w:r>
        <w:rPr>
          <w:rFonts w:ascii="IRNazanin" w:hAnsi="IRNazanin" w:eastAsia="IRNazanin"/>
          <w:color w:val="111111"/>
          <w:sz w:val="28"/>
          <w:sz w:val="28"/>
          <w:szCs w:val="28"/>
          <w:rtl w:val="true"/>
          <w:lang w:bidi="fa-IR"/>
        </w:rPr>
        <w:t xml:space="preserve">والعزائم من بعض </w:t>
      </w:r>
      <w:r>
        <w:rPr>
          <w:rStyle w:val="FootnoteAnchor"/>
          <w:rtl w:val="true"/>
        </w:rPr>
        <w:footnoteReference w:id="528"/>
      </w:r>
      <w:r>
        <w:rPr>
          <w:rFonts w:ascii="IRNazanin" w:hAnsi="IRNazanin" w:eastAsia="IRNazanin"/>
          <w:color w:val="111111"/>
          <w:sz w:val="28"/>
          <w:sz w:val="28"/>
          <w:szCs w:val="28"/>
          <w:rtl w:val="true"/>
          <w:lang w:bidi="fa-IR"/>
        </w:rPr>
        <w:t>، واستخدام الجنّ والملائكة ، واستنزال الشياطين ؛ في كشف الغائبات ، وعلاج المصاب، وإحضارهم، وتلبيسهم ببدن صبی أو امرأة، وكشف الغائبات علىٰ لسانه من بعض آخر</w:t>
      </w:r>
      <w:r>
        <w:rPr>
          <w:rStyle w:val="FootnoteAnchor"/>
          <w:rtl w:val="true"/>
        </w:rPr>
        <w:footnoteReference w:id="529"/>
      </w:r>
      <w:r>
        <w:rPr>
          <w:rFonts w:ascii="Amiri" w:hAnsi="Amiri" w:eastAsia="Amiri" w:cs="Amiri"/>
          <w:color w:val="111111"/>
          <w:sz w:val="28"/>
          <w:sz w:val="28"/>
          <w:szCs w:val="28"/>
          <w:rtl w:val="true"/>
          <w:lang w:bidi="ar-SA"/>
        </w:rPr>
        <w:t xml:space="preserve">، وعقد الرجل عن زوجته في الوطء وإلقاء البغضاء بينهما من آخر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 ، أنّ جمع الجن من الخرافات</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يستفاد منه ملكة نفسانية ، يقتدر بها علىٰ أفعال غريبة بأسباب خفيّة </w:t>
      </w:r>
      <w:r>
        <w:rPr>
          <w:rStyle w:val="FootnoteAnchor"/>
          <w:rtl w:val="true"/>
        </w:rPr>
        <w:footnoteReference w:id="53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استحداث الخوارق بمجرد التأثيرات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الاستعانة بالفلكيات فهى دعوة الكواكب ، وبتمزيج القوىٰ السماوية بالأرضية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الطلسمات ، وبالاستعانة بالأرواح الساذجة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 وبخواص الأجسام السفلية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الخواص، وبالنِسب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الحِيَل وجرّ </w:t>
      </w:r>
    </w:p>
    <w:p>
      <w:pPr>
        <w:pStyle w:val="BookText"/>
        <w:rPr/>
      </w:pPr>
      <w:r>
        <w:rPr>
          <w:rFonts w:ascii="IRNazanin" w:hAnsi="IRNazanin" w:eastAsia="IRNazanin"/>
          <w:color w:val="111111"/>
          <w:sz w:val="28"/>
          <w:sz w:val="28"/>
          <w:szCs w:val="28"/>
          <w:rtl w:val="true"/>
          <w:lang w:bidi="fa-IR"/>
        </w:rPr>
        <w:t xml:space="preserve">الأثقال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التعاريف لا تخلو من خلل ، لأخذ التأثير في التعريف السابق ، ولا وجه له ، وإدخال استخدام الملائكة والجنّ والشياطين في الإضافة الثانية ، وهي من الكهانة المغايرة له ، وعقد الرجل عن زوجته في الثالثة ، وهو من آثاره لا منه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أنّه لا مرجع بعد هذا الاختلاف الشديد بحسب التحديد إلّا إلىٰ العرف العام </w:t>
      </w:r>
      <w:r>
        <w:rPr>
          <w:rStyle w:val="FootnoteAnchor"/>
          <w:rtl w:val="true"/>
        </w:rPr>
        <w:footnoteReference w:id="535"/>
      </w:r>
      <w:r>
        <w:rPr>
          <w:rFonts w:ascii="IRNazanin" w:hAnsi="IRNazanin" w:eastAsia="IRNazanin"/>
          <w:color w:val="111111"/>
          <w:sz w:val="28"/>
          <w:sz w:val="28"/>
          <w:szCs w:val="28"/>
          <w:rtl w:val="true"/>
          <w:lang w:bidi="fa-IR"/>
        </w:rPr>
        <w:t xml:space="preserve">علىٰ نحو ما مرّ في الغناء من الكلام، ومحصوله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إيجاد شيء تترتّب عليه آثار غريبة وأحوال عجيبة بالنسبة إلى العادات ، بحيث تشبه الكرامات ، وتُؤهم أنّها من المعاجز المثبتة للنبوّات ، من غير استناد إلى الشرعيات بحروز أو أسماء أو دعوات أو نحوها من المأثورات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أخذ من الشرع ، كالعُوَذ والهياكل وبعض الطلسمات ، فليست منه ، بل هي بعيدة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غرض الشارع المنع من التدليس والتلبيس في الأسباب علىٰ نحو منعه من التدليس في المسببات ، وأن حدوث الأفعال من غير سبب من غير سبب يَبِيْن مخصوص برب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الاشتباه في الدخول تحت الموضوع يرجع الفقيه إلىٰ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وأجرته ومنفعته تابعتان له في حرمته، للإجماع، بل الضرورة من الدین </w:t>
      </w:r>
      <w:r>
        <w:rPr>
          <w:rStyle w:val="FootnoteAnchor"/>
          <w:rtl w:val="true"/>
        </w:rPr>
        <w:footnoteReference w:id="53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وعند الأكثر منّا </w:t>
      </w:r>
      <w:r>
        <w:rPr>
          <w:rStyle w:val="FootnoteAnchor"/>
          <w:rtl w:val="true"/>
        </w:rPr>
        <w:footnoteReference w:id="537"/>
      </w:r>
      <w:r>
        <w:rPr>
          <w:rFonts w:ascii="Amiri" w:hAnsi="Amiri" w:eastAsia="Amiri" w:cs="Amiri"/>
          <w:color w:val="111111"/>
          <w:sz w:val="28"/>
          <w:sz w:val="28"/>
          <w:szCs w:val="28"/>
          <w:rtl w:val="true"/>
          <w:lang w:bidi="ar-SA"/>
        </w:rPr>
        <w:t xml:space="preserve">ومن المخالفين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نَقَلَ فيه إجماع المسلمين</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حقيقة له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تخييل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تأثير فيه ، أو فيه تأثير في جميع أحواله ، أو في بعض دون بعض ، فليس إذَنْ بتحقيق علىٰ الإطلاق ، أو فيما عدا التفريق بين الزوجين ، أو ما عدا إحضار بعض الجنّ والملائكة، أو في خصوص دعوة الكواكب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الاختلاف اختلاف الأدلّة ، ففى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يفرقون به بين المرء وزوجه وما 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تعلّق بصدرها علىٰ التحقيق، ومنهم مَن تعلّق بعجزها علىٰ التخييل ، وقد يستدل بها علىٰ ثبوت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يُخيّل إليه من سحرهم أنّها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وفيه ظهور في التخييل لكن لا يفيد التعميم ، كما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وفيه ظهور في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الصادق علیه السلام للزنديق حيث سأله عن الساحر هل يقدر علىٰ جعل الإنسان بصورة الكلب أو الحمار ؟ فقال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إذَنْ يشارك اللّٰه في خلقه</w:t>
      </w:r>
      <w:r>
        <w:rPr>
          <w:rStyle w:val="FootnoteAnchor"/>
          <w:rtl w:val="true"/>
        </w:rPr>
        <w:footnoteReference w:id="546"/>
      </w:r>
      <w:r>
        <w:rPr>
          <w:rFonts w:ascii="Amiri" w:hAnsi="Amiri" w:eastAsia="Amiri" w:cs="Amiri"/>
          <w:color w:val="111111"/>
          <w:sz w:val="28"/>
          <w:sz w:val="28"/>
          <w:szCs w:val="28"/>
          <w:rtl w:val="true"/>
          <w:lang w:bidi="ar-SA"/>
        </w:rPr>
        <w:t xml:space="preserve">؛ ظاهر في التخييل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خبر العيون </w:t>
      </w:r>
      <w:r>
        <w:rPr>
          <w:rStyle w:val="FootnoteAnchor"/>
          <w:rtl w:val="true"/>
        </w:rPr>
        <w:footnoteReference w:id="547"/>
      </w:r>
      <w:r>
        <w:rPr>
          <w:rFonts w:ascii="Amiri" w:hAnsi="Amiri" w:eastAsia="Amiri" w:cs="Amiri"/>
          <w:color w:val="111111"/>
          <w:sz w:val="28"/>
          <w:sz w:val="28"/>
          <w:szCs w:val="28"/>
          <w:rtl w:val="true"/>
          <w:lang w:bidi="ar-SA"/>
        </w:rPr>
        <w:t xml:space="preserve">ما يؤذن بالانقسام إلى القسمين، وهذا هو الأقوىٰ ؛ لأنّ مَنْ تتبع الطرائق والسير علم أن له تأثيرات لا تنكر ، تستند إليه في بعض الأحيان، ويعلم تحقيقها </w:t>
      </w:r>
      <w:r>
        <w:rPr>
          <w:rStyle w:val="FootnoteAnchor"/>
          <w:rtl w:val="true"/>
        </w:rPr>
        <w:footnoteReference w:id="548"/>
      </w:r>
      <w:r>
        <w:rPr>
          <w:rFonts w:ascii="Amiri" w:hAnsi="Amiri" w:eastAsia="Amiri" w:cs="Amiri"/>
          <w:color w:val="111111"/>
          <w:sz w:val="28"/>
          <w:sz w:val="28"/>
          <w:szCs w:val="28"/>
          <w:rtl w:val="true"/>
          <w:lang w:bidi="ar-SA"/>
        </w:rPr>
        <w:t xml:space="preserve">في حقّ من لم يطّلع عليه </w:t>
      </w:r>
      <w:r>
        <w:rPr>
          <w:rStyle w:val="FootnoteAnchor"/>
          <w:rtl w:val="true"/>
        </w:rPr>
        <w:footnoteReference w:id="549"/>
      </w:r>
      <w:r>
        <w:rPr>
          <w:rFonts w:ascii="Amiri" w:hAnsi="Amiri" w:eastAsia="Amiri" w:cs="Amiri"/>
          <w:color w:val="111111"/>
          <w:sz w:val="28"/>
          <w:sz w:val="28"/>
          <w:szCs w:val="28"/>
          <w:rtl w:val="true"/>
          <w:lang w:bidi="ar-SA"/>
        </w:rPr>
        <w:t xml:space="preserve">، مع ما له من المؤيدات من الآيات والروايات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للاستناد </w:t>
      </w:r>
      <w:r>
        <w:rPr>
          <w:rStyle w:val="FootnoteAnchor"/>
          <w:rtl w:val="true"/>
        </w:rPr>
        <w:footnoteReference w:id="551"/>
      </w:r>
      <w:r>
        <w:rPr>
          <w:rFonts w:ascii="IRNazanin" w:hAnsi="IRNazanin" w:eastAsia="IRNazanin"/>
          <w:color w:val="111111"/>
          <w:sz w:val="28"/>
          <w:sz w:val="28"/>
          <w:szCs w:val="28"/>
          <w:rtl w:val="true"/>
          <w:lang w:bidi="fa-IR"/>
        </w:rPr>
        <w:t xml:space="preserve">إلىٰ ما روي من أنّ لبيد بن عاصم اليهودي سحر النبي صلی اللّٰه علیه و آله فأثر أثراً حقيقياً كما يظهر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الرواية </w:t>
      </w:r>
      <w:r>
        <w:rPr>
          <w:rStyle w:val="FootnoteAnchor"/>
          <w:rtl w:val="true"/>
        </w:rPr>
        <w:footnoteReference w:id="552"/>
      </w:r>
      <w:r>
        <w:rPr>
          <w:rFonts w:ascii="IRNazanin" w:hAnsi="IRNazanin" w:eastAsia="IRNazanin"/>
          <w:color w:val="111111"/>
          <w:sz w:val="28"/>
          <w:sz w:val="28"/>
          <w:szCs w:val="28"/>
          <w:rtl w:val="true"/>
          <w:lang w:bidi="fa-IR"/>
        </w:rPr>
        <w:t xml:space="preserve">، لقصور السند أولاً ، ولظهور الوضع عليها ثانياً، لا لأنّ العقل يحكم بأن النبي صلی اللّٰه علیه و آله و سلم قادر علىٰ دفعه بالأسماء والتعويذات ، فلا يمكن أن يصاب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للأنبياء دفع جميع ما قدروا علىٰ دفعه بدعاء أو تعويذ أو نحوهما </w:t>
      </w:r>
      <w:r>
        <w:rPr>
          <w:rStyle w:val="FootnoteAnchor"/>
          <w:rtl w:val="true"/>
        </w:rPr>
        <w:footnoteReference w:id="554"/>
      </w:r>
      <w:r>
        <w:rPr>
          <w:rFonts w:ascii="Amiri" w:hAnsi="Amiri" w:eastAsia="Amiri" w:cs="Amiri"/>
          <w:color w:val="111111"/>
          <w:sz w:val="28"/>
          <w:sz w:val="28"/>
          <w:szCs w:val="28"/>
          <w:rtl w:val="true"/>
          <w:lang w:bidi="ar-SA"/>
        </w:rPr>
        <w:t xml:space="preserve">، وإلا لما حدث عليهم عَرَض ولا مرض </w:t>
      </w:r>
    </w:p>
    <w:p>
      <w:pPr>
        <w:pStyle w:val="BookText"/>
        <w:rPr/>
      </w:pPr>
      <w:r>
        <w:rPr>
          <w:rFonts w:ascii="IRNazanin" w:hAnsi="IRNazanin" w:eastAsia="IRNazanin"/>
          <w:color w:val="111111"/>
          <w:sz w:val="28"/>
          <w:sz w:val="28"/>
          <w:szCs w:val="28"/>
          <w:rtl w:val="true"/>
          <w:lang w:bidi="fa-IR"/>
        </w:rPr>
        <w:t xml:space="preserve">سماويان أو أرضيّان ، ولا لأنّ ذلك ينافي العصمة ، إذ حدوث المرض الغير الغالب علىٰ العقل لا ينافيها ، بل لمنافاة اللّطف الواجب ؛ لأنّ المكلّفين إذا رأوا سلطان الساحر على النبي صلی اللّٰه علیه و آله وتصرّفه فيه اختلّت عقائدهم ، ولم یبق لهم اطمئنان ولا وثوق ولا اعتماد لظهور نقصه حينئذ ، ولتجويزهم إذن تسلّط الساحر علىٰ عقله صلی اللّٰه علیه و آله، فيصحّ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العقل حاكم بأنّه لو كان له حقيقة ، لم يمكّن اللّٰه تعالىٰ الساحر منه في جميع ما أراد ، وإلا لزم الفساد واضمحلّ أكثر العباد ، ولم يحتج الملوك والأمراء إلىٰ وضع الجهاد، واكتفىٰ الأشقياء بجذب النساء والأولاد إلىٰ اللّواط والفجور، واغتنوا بذلك عن الخطبة وبذل المهور، وصدر من السحّار ما يصدر من القادر المختار ، فلا حادث من نفع أو ضرر إلّا بقضاء وقدر ، فلا يقدر الساحر علىٰ أنْ يسحر حيث يدّعي أنّه مبعوث إلىٰ البشر ولا حاجة إلى معرفة الإعجاز بالاستمرار ، أو بإلزام المدعى بالبدار ، والخلق عن المقدّمات ، إلىٰ غير ذلك من الجهات </w:t>
      </w:r>
      <w:r>
        <w:rPr>
          <w:rFonts w:eastAsia="Amiri" w:cs="Amiri" w:ascii="Amiri" w:hAnsi="Amiri"/>
          <w:color w:val="111111"/>
          <w:sz w:val="28"/>
          <w:szCs w:val="28"/>
          <w:rtl w:val="true"/>
          <w:lang w:bidi="ar-SA"/>
        </w:rPr>
        <w:t xml:space="preserve">. </w:t>
      </w:r>
      <w:bookmarkStart w:id="217" w:name="pg20243_272152"/>
    </w:p>
    <w:p>
      <w:pPr>
        <w:pStyle w:val="Heading3"/>
        <w:numPr>
          <w:ilvl w:val="2"/>
          <w:numId w:val="1"/>
        </w:numPr>
        <w:rPr/>
      </w:pPr>
      <w:bookmarkStart w:id="218" w:name="__RefHeading___Toc5284930_2320776876"/>
      <w:bookmarkStart w:id="219" w:name="_Toc76"/>
      <w:bookmarkEnd w:id="217"/>
      <w:bookmarkEnd w:id="218"/>
      <w:r>
        <w:rPr>
          <w:rtl w:val="true"/>
        </w:rPr>
        <w:t>وجوب قتل المستحلّ له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ثمرته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تحقيق وتخييل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 مرتدّاً بإنكار ضروري من ضروريات الدين إنْ كان إسلامه فطرياً </w:t>
      </w:r>
      <w:r>
        <w:rPr>
          <w:rStyle w:val="FootnoteAnchor"/>
          <w:rtl w:val="true"/>
        </w:rPr>
        <w:footnoteReference w:id="556"/>
      </w:r>
      <w:r>
        <w:rPr>
          <w:rFonts w:ascii="Amiri" w:hAnsi="Amiri" w:eastAsia="Amiri" w:cs="Amiri"/>
          <w:color w:val="111111"/>
          <w:sz w:val="28"/>
          <w:sz w:val="28"/>
          <w:szCs w:val="28"/>
          <w:rtl w:val="true"/>
          <w:lang w:bidi="ar-SA"/>
        </w:rPr>
        <w:t xml:space="preserve">، بحيث لا تقبل توبته ، حيث انعقدت من مسلم نطفته ، وبنيت علىٰ الإسلام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الفطري إنْ تاب ، وعاد ؛ قتل في الثالثة ،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استحلّه كافر ، فلا قتل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في النظر قتل الساحر ، إن كان مسلماً، مع عدم الاستحلال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أريد بالاستحلال في كلامه فعله، ويؤيّده ما سيأتي في الكهانة 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يعلّمان من أحدٍ حتىٰ يقولا إنما نحن فتنة فلا تكفر</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نقله في القرآن أنّ حكمه باق إلىٰ هذا الزمان ، وإطلاق الكفر عليه يقتضى ثبوت حكمه بالنسبة إليه ، مضافاً إلىٰ الأخبار الكثيرة الصريحة في ذلك </w:t>
      </w:r>
      <w:r>
        <w:rPr>
          <w:rStyle w:val="FootnoteAnchor"/>
          <w:rtl w:val="true"/>
        </w:rPr>
        <w:footnoteReference w:id="558"/>
      </w:r>
      <w:r>
        <w:rPr>
          <w:rFonts w:ascii="Amiri" w:hAnsi="Amiri" w:eastAsia="Amiri" w:cs="Amiri"/>
          <w:color w:val="111111"/>
          <w:sz w:val="28"/>
          <w:sz w:val="28"/>
          <w:szCs w:val="28"/>
          <w:rtl w:val="true"/>
          <w:lang w:bidi="ar-SA"/>
        </w:rPr>
        <w:t xml:space="preserve">، والواردة في الكهانة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قُيّد الحكم بالاستحلال لساویٰ أكثر المعاصي الصغار، فضلاً عن الكبار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بيان الثمرة في البحث عن التحقيق والتخييل بإمكان القصاص من الساحر </w:t>
      </w:r>
      <w:r>
        <w:rPr>
          <w:rStyle w:val="FootnoteAnchor"/>
          <w:rtl w:val="true"/>
        </w:rPr>
        <w:footnoteReference w:id="560"/>
      </w:r>
      <w:r>
        <w:rPr>
          <w:rFonts w:ascii="Amiri" w:hAnsi="Amiri" w:eastAsia="Amiri" w:cs="Amiri"/>
          <w:color w:val="111111"/>
          <w:sz w:val="28"/>
          <w:sz w:val="28"/>
          <w:szCs w:val="28"/>
          <w:rtl w:val="true"/>
          <w:lang w:bidi="ar-SA"/>
        </w:rPr>
        <w:t xml:space="preserve">أو أخذ الدية منه ، بناءً على التحقيق و </w:t>
      </w:r>
      <w:r>
        <w:rPr>
          <w:rStyle w:val="FootnoteAnchor"/>
          <w:rtl w:val="true"/>
        </w:rPr>
        <w:footnoteReference w:id="561"/>
      </w:r>
      <w:r>
        <w:rPr>
          <w:rFonts w:ascii="Amiri" w:hAnsi="Amiri" w:eastAsia="Amiri" w:cs="Amiri"/>
          <w:color w:val="111111"/>
          <w:sz w:val="28"/>
          <w:sz w:val="28"/>
          <w:szCs w:val="28"/>
          <w:rtl w:val="true"/>
          <w:lang w:bidi="ar-SA"/>
        </w:rPr>
        <w:t xml:space="preserve">التخييل المؤثر دون </w:t>
      </w:r>
    </w:p>
    <w:p>
      <w:pPr>
        <w:pStyle w:val="BookText"/>
        <w:rPr/>
      </w:pPr>
      <w:r>
        <w:rPr>
          <w:rFonts w:ascii="Amiri" w:hAnsi="Amiri" w:eastAsia="Amiri" w:cs="Amiri"/>
          <w:color w:val="111111"/>
          <w:sz w:val="28"/>
          <w:sz w:val="28"/>
          <w:szCs w:val="28"/>
          <w:rtl w:val="true"/>
          <w:lang w:bidi="ar-SA"/>
        </w:rPr>
        <w:t xml:space="preserve">غيره، وإمكان ترتّب لزوم الخلف والكفارات عليه ، لو تعلّق الالتزام بعدم الفعل ، بناءً علىٰ الأوّلين دون الأخير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القرآن أو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الدعاء أو الحروز والعُوَذ والهياكل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الأقسام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الأمور السائغة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توقّف الحَلّ عليه من مظنّة حصول مضرّة لا تتحمّل ، وعلىٰ ذلك يبنى الجمع بين ما دلّ من الآيات</w:t>
      </w:r>
      <w:r>
        <w:rPr>
          <w:rStyle w:val="FootnoteAnchor"/>
          <w:rtl w:val="true"/>
        </w:rPr>
        <w:footnoteReference w:id="564"/>
      </w:r>
      <w:r>
        <w:rPr>
          <w:rFonts w:ascii="Amiri" w:hAnsi="Amiri" w:eastAsia="Amiri" w:cs="Amiri"/>
          <w:color w:val="111111"/>
          <w:sz w:val="28"/>
          <w:sz w:val="28"/>
          <w:szCs w:val="28"/>
          <w:rtl w:val="true"/>
          <w:lang w:bidi="ar-SA"/>
        </w:rPr>
        <w:t xml:space="preserve">والروايات </w:t>
      </w:r>
      <w:r>
        <w:rPr>
          <w:rStyle w:val="FootnoteAnchor"/>
          <w:rtl w:val="true"/>
        </w:rPr>
        <w:footnoteReference w:id="565"/>
      </w:r>
      <w:r>
        <w:rPr>
          <w:rFonts w:ascii="Amiri" w:hAnsi="Amiri" w:eastAsia="Amiri" w:cs="Amiri"/>
          <w:color w:val="111111"/>
          <w:sz w:val="28"/>
          <w:sz w:val="28"/>
          <w:szCs w:val="28"/>
          <w:rtl w:val="true"/>
          <w:lang w:bidi="ar-SA"/>
        </w:rPr>
        <w:t xml:space="preserve">علىٰ أنّ السحر حرام في حدّ ذاته ، لا باعتبار التأثيرات المترتّبة عليه ، فلا يكون شيء من السحر حلالاً لا في الحَلّ ولا في غيره، وبين ما دلّ من الروايات علىٰ جوازه للحَلّ </w:t>
      </w:r>
      <w:r>
        <w:rPr>
          <w:rStyle w:val="FootnoteAnchor"/>
          <w:rtl w:val="true"/>
        </w:rPr>
        <w:footnoteReference w:id="566"/>
      </w:r>
      <w:r>
        <w:rPr>
          <w:rFonts w:ascii="Amiri" w:hAnsi="Amiri" w:eastAsia="Amiri" w:cs="Amiri"/>
          <w:color w:val="111111"/>
          <w:sz w:val="28"/>
          <w:sz w:val="28"/>
          <w:szCs w:val="28"/>
          <w:rtl w:val="true"/>
          <w:lang w:bidi="ar-SA"/>
        </w:rPr>
        <w:t xml:space="preserve">مع عدم قابليتها لتخصيص تلك القاعدة المحكمة المتقنة المستفادة من الكتاب ؛ بتنزيل الأخبار المجيزة علىٰ حال الاضطرار ، وحصوله في غالب الأوقات لا ينكر كخبر العلل </w:t>
      </w:r>
      <w:r>
        <w:rPr>
          <w:rStyle w:val="FootnoteAnchor"/>
          <w:rtl w:val="true"/>
        </w:rPr>
        <w:footnoteReference w:id="567"/>
      </w:r>
      <w:r>
        <w:rPr>
          <w:rFonts w:ascii="Amiri" w:hAnsi="Amiri" w:eastAsia="Amiri" w:cs="Amiri"/>
          <w:color w:val="111111"/>
          <w:sz w:val="28"/>
          <w:sz w:val="28"/>
          <w:szCs w:val="28"/>
          <w:rtl w:val="true"/>
          <w:lang w:bidi="ar-SA"/>
        </w:rPr>
        <w:t xml:space="preserve">وخبر العيون </w:t>
      </w:r>
      <w:r>
        <w:rPr>
          <w:rStyle w:val="FootnoteAnchor"/>
          <w:rtl w:val="true"/>
        </w:rPr>
        <w:footnoteReference w:id="568"/>
      </w:r>
      <w:r>
        <w:rPr>
          <w:rFonts w:ascii="Amiri" w:hAnsi="Amiri" w:eastAsia="Amiri" w:cs="Amiri"/>
          <w:color w:val="111111"/>
          <w:sz w:val="28"/>
          <w:sz w:val="28"/>
          <w:szCs w:val="28"/>
          <w:rtl w:val="true"/>
          <w:lang w:bidi="ar-SA"/>
        </w:rPr>
        <w:t xml:space="preserve">وغيرهما ، فإنّ الغالب أنّ الساحر يحاول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إضرار الخلق ، والغالب عدم حَلّه إلّا بسحر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التنزيل أولىٰ من تنزيل الحَلّ فيها على الحَلّ بغيره </w:t>
      </w:r>
      <w:r>
        <w:rPr>
          <w:rStyle w:val="FootnoteAnchor"/>
          <w:rtl w:val="true"/>
        </w:rPr>
        <w:footnoteReference w:id="569"/>
      </w:r>
      <w:r>
        <w:rPr>
          <w:rFonts w:ascii="IRNazanin" w:hAnsi="IRNazanin" w:eastAsia="IRNazanin"/>
          <w:color w:val="111111"/>
          <w:sz w:val="28"/>
          <w:sz w:val="28"/>
          <w:szCs w:val="28"/>
          <w:rtl w:val="true"/>
          <w:lang w:bidi="fa-IR"/>
        </w:rPr>
        <w:t xml:space="preserve">، لأن ظاهر بعضها </w:t>
      </w:r>
      <w:r>
        <w:rPr>
          <w:rStyle w:val="FootnoteAnchor"/>
          <w:rtl w:val="true"/>
        </w:rPr>
        <w:footnoteReference w:id="570"/>
      </w:r>
      <w:r>
        <w:rPr>
          <w:rFonts w:ascii="Amiri" w:hAnsi="Amiri" w:eastAsia="Amiri" w:cs="Amiri"/>
          <w:color w:val="111111"/>
          <w:sz w:val="28"/>
          <w:sz w:val="28"/>
          <w:szCs w:val="28"/>
          <w:rtl w:val="true"/>
          <w:lang w:bidi="ar-SA"/>
        </w:rPr>
        <w:t xml:space="preserve">كاد أن لا يقبل التأويل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بجواز الحَلّ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كثير من أصحابنا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البعيد ؛ لأنّ الظاهر من أخبار السحر والساحر والسَحَرة </w:t>
      </w:r>
      <w:r>
        <w:rPr>
          <w:rStyle w:val="FootnoteAnchor"/>
          <w:rtl w:val="true"/>
        </w:rPr>
        <w:footnoteReference w:id="572"/>
      </w:r>
      <w:r>
        <w:rPr>
          <w:rFonts w:ascii="Amiri" w:hAnsi="Amiri" w:eastAsia="Amiri" w:cs="Amiri"/>
          <w:color w:val="111111"/>
          <w:sz w:val="28"/>
          <w:sz w:val="28"/>
          <w:szCs w:val="28"/>
          <w:rtl w:val="true"/>
          <w:lang w:bidi="ar-SA"/>
        </w:rPr>
        <w:t xml:space="preserve">إرادة مَنْ يُخشىٰ ضرره </w:t>
      </w:r>
      <w:r>
        <w:rPr>
          <w:rFonts w:eastAsia="Amiri" w:cs="Amiri" w:ascii="Amiri" w:hAnsi="Amiri"/>
          <w:color w:val="111111"/>
          <w:sz w:val="28"/>
          <w:szCs w:val="28"/>
          <w:rtl w:val="true"/>
          <w:lang w:bidi="ar-SA"/>
        </w:rPr>
        <w:t xml:space="preserve">. </w:t>
      </w:r>
      <w:bookmarkStart w:id="220" w:name="pg20243_272155"/>
    </w:p>
    <w:p>
      <w:pPr>
        <w:pStyle w:val="Heading3"/>
        <w:numPr>
          <w:ilvl w:val="2"/>
          <w:numId w:val="1"/>
        </w:numPr>
        <w:rPr/>
      </w:pPr>
      <w:bookmarkStart w:id="221" w:name="__RefHeading___Toc5284932_2320776876"/>
      <w:bookmarkStart w:id="222" w:name="_Toc77"/>
      <w:bookmarkEnd w:id="220"/>
      <w:bookmarkEnd w:id="221"/>
      <w:r>
        <w:rPr>
          <w:rtl w:val="true"/>
        </w:rPr>
        <w:t>الکهانة</w:t>
      </w:r>
      <w:bookmarkEnd w:id="2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الكهانة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ككتابة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يقتضي طاعة بعض الجانّ </w:t>
      </w:r>
      <w:r>
        <w:rPr>
          <w:rStyle w:val="FootnoteAnchor"/>
          <w:rtl w:val="true"/>
        </w:rPr>
        <w:footnoteReference w:id="574"/>
      </w:r>
      <w:r>
        <w:rPr>
          <w:rFonts w:ascii="Amiri" w:hAnsi="Amiri" w:eastAsia="Amiri" w:cs="Amiri"/>
          <w:color w:val="111111"/>
          <w:sz w:val="28"/>
          <w:sz w:val="28"/>
          <w:szCs w:val="28"/>
          <w:rtl w:val="true"/>
          <w:lang w:bidi="ar-SA"/>
        </w:rPr>
        <w:t xml:space="preserve">، وبالفتح ؛ صناعة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فعلمها وتعلّمها وتعليمها والاُجرة عليها مع قصد عملها، وعملها ، والأجرة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Style w:val="FootnoteAnchor"/>
          <w:rtl w:val="true"/>
        </w:rPr>
        <w:footnoteReference w:id="576"/>
      </w:r>
      <w:r>
        <w:rPr>
          <w:rFonts w:ascii="IRNazanin" w:hAnsi="IRNazanin" w:eastAsia="IRNazanin"/>
          <w:color w:val="111111"/>
          <w:sz w:val="28"/>
          <w:sz w:val="28"/>
          <w:szCs w:val="28"/>
          <w:rtl w:val="true"/>
          <w:lang w:bidi="fa-IR"/>
        </w:rPr>
        <w:t xml:space="preserve">، والأخبار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مجرّد العلم والتعلّم لا لغرض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تضمّن العمل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تنصرف إليه أدلّة المنع ، غير أنّ الظاهر أن التعلّم هنا قلّما يفارق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 لفظ الكاهن والكهانة العامل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إيضاح النافع</w:t>
      </w:r>
      <w:r>
        <w:rPr>
          <w:rStyle w:val="FootnoteAnchor"/>
          <w:rtl w:val="true"/>
        </w:rPr>
        <w:footnoteReference w:id="578"/>
      </w:r>
      <w:r>
        <w:rPr>
          <w:rFonts w:ascii="Amiri" w:hAnsi="Amiri" w:eastAsia="Amiri" w:cs="Amiri"/>
          <w:color w:val="111111"/>
          <w:sz w:val="28"/>
          <w:sz w:val="28"/>
          <w:szCs w:val="28"/>
          <w:rtl w:val="true"/>
          <w:lang w:bidi="ar-SA"/>
        </w:rPr>
        <w:t>من حرمة تعليمها وتعلّمها في شرع الإسلام ؛ فمبني علىٰ الغالب من إرادة العمل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والكاهن </w:t>
      </w:r>
      <w:r>
        <w:rPr>
          <w:rStyle w:val="FootnoteAnchor"/>
          <w:rtl w:val="true"/>
        </w:rPr>
        <w:footnoteReference w:id="579"/>
      </w:r>
      <w:r>
        <w:rPr>
          <w:rFonts w:ascii="Amiri" w:hAnsi="Amiri" w:eastAsia="Amiri" w:cs="Amiri"/>
          <w:color w:val="111111"/>
          <w:sz w:val="28"/>
          <w:sz w:val="28"/>
          <w:szCs w:val="28"/>
          <w:rtl w:val="true"/>
          <w:lang w:bidi="ar-SA"/>
        </w:rPr>
        <w:t>هو الذي له رئيّ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للإنسان يتراءَىٰ له ،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متبوع له يتبع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يأتيه بالأخبار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أو مَنْ تنكشف له بعض الأمور الشرارة نفسه كما تنكشف لبعض الأولياء لطهارة ذاته </w:t>
      </w:r>
      <w:r>
        <w:rPr>
          <w:rStyle w:val="FootnoteAnchor"/>
          <w:rtl w:val="true"/>
        </w:rPr>
        <w:footnoteReference w:id="581"/>
      </w:r>
      <w:r>
        <w:rPr>
          <w:rFonts w:ascii="Amiri" w:hAnsi="Amiri" w:eastAsia="Amiri" w:cs="Amiri"/>
          <w:color w:val="111111"/>
          <w:sz w:val="28"/>
          <w:sz w:val="28"/>
          <w:szCs w:val="28"/>
          <w:rtl w:val="true"/>
          <w:lang w:bidi="ar-SA"/>
        </w:rPr>
        <w:t xml:space="preserve">، والأوّل أظهر 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ملائكة اللّٰه فلا ربط معهم لغير أولياء اللّٰه </w:t>
      </w:r>
      <w:r>
        <w:rPr>
          <w:rFonts w:eastAsia="Amiri" w:cs="Amiri" w:ascii="Amiri" w:hAnsi="Amiri"/>
          <w:color w:val="111111"/>
          <w:sz w:val="28"/>
          <w:szCs w:val="28"/>
          <w:rtl w:val="true"/>
          <w:lang w:bidi="ar-SA"/>
        </w:rPr>
        <w:t xml:space="preserve">. </w:t>
      </w:r>
      <w:bookmarkStart w:id="223" w:name="pg20243_272159"/>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ما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أشدّ منه ، حيث أنّ حدّه لا يتوقّف علىٰ الاستحلال ، 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الأخبار تشبيهه بالساحر ، والساحر كافر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ومساواتهما في الحكم ، بردّ حكم السحر إليه ، أو ردّ حكمه إلىٰ السحر </w:t>
      </w:r>
      <w:r>
        <w:rPr>
          <w:rStyle w:val="FootnoteAnchor"/>
          <w:rtl w:val="true"/>
        </w:rPr>
        <w:footnoteReference w:id="583"/>
      </w:r>
      <w:r>
        <w:rPr>
          <w:rFonts w:ascii="Amiri" w:hAnsi="Amiri" w:eastAsia="Amiri" w:cs="Amiri"/>
          <w:color w:val="111111"/>
          <w:sz w:val="28"/>
          <w:sz w:val="28"/>
          <w:szCs w:val="28"/>
          <w:rtl w:val="true"/>
          <w:lang w:bidi="ar-SA"/>
        </w:rPr>
        <w:t xml:space="preserve">؛ أقرب إلىٰ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اشتراط الاستحلال في استحقاق القتل بهما أوفق بالدليل</w:t>
      </w:r>
      <w:r>
        <w:rPr>
          <w:rStyle w:val="FootnoteAnchor"/>
          <w:rtl w:val="true"/>
        </w:rPr>
        <w:footnoteReference w:id="584"/>
      </w:r>
    </w:p>
    <w:p>
      <w:pPr>
        <w:pStyle w:val="Heading3"/>
        <w:numPr>
          <w:ilvl w:val="2"/>
          <w:numId w:val="1"/>
        </w:numPr>
        <w:rPr/>
      </w:pPr>
      <w:bookmarkStart w:id="224" w:name="__RefHeading___Toc5284934_2320776876"/>
      <w:bookmarkStart w:id="225" w:name="_Toc78"/>
      <w:bookmarkEnd w:id="224"/>
      <w:r>
        <w:rPr>
          <w:rtl w:val="true"/>
        </w:rPr>
        <w:t>التنجیم و تعلّم النجوم</w:t>
      </w:r>
      <w:bookmarkEnd w:id="2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التنجيم </w:t>
      </w:r>
      <w:r>
        <w:rPr>
          <w:rStyle w:val="FootnoteAnchor"/>
          <w:rtl w:val="true"/>
        </w:rPr>
        <w:footnoteReference w:id="585"/>
      </w:r>
      <w:r>
        <w:rPr>
          <w:rFonts w:ascii="Amiri" w:hAnsi="Amiri" w:eastAsia="Amiri" w:cs="Amiri"/>
          <w:color w:val="111111"/>
          <w:sz w:val="28"/>
          <w:sz w:val="28"/>
          <w:szCs w:val="28"/>
          <w:rtl w:val="true"/>
          <w:lang w:bidi="ar-SA"/>
        </w:rPr>
        <w:t>حرام ، وكذا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والفلكيات ، وتعليمه، وعلمه بالنظر من غير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لذاتها، وهو كفر الإنكار أو الإشراك </w:t>
      </w:r>
      <w:r>
        <w:rPr>
          <w:rStyle w:val="FootnoteAnchor"/>
          <w:rtl w:val="true"/>
        </w:rPr>
        <w:footnoteReference w:id="586"/>
      </w:r>
      <w:r>
        <w:rPr>
          <w:rFonts w:ascii="Amiri" w:hAnsi="Amiri" w:eastAsia="Amiri" w:cs="Amiri"/>
          <w:color w:val="111111"/>
          <w:sz w:val="28"/>
          <w:sz w:val="28"/>
          <w:szCs w:val="28"/>
          <w:rtl w:val="true"/>
          <w:lang w:bidi="ar-SA"/>
        </w:rPr>
        <w:t xml:space="preserve">، أو لقدم علّتها ، أو حدوثها متّصفة بالعلوم والإدراكات وصفة الاختيار لها مع الصفات </w:t>
      </w:r>
      <w:r>
        <w:rPr>
          <w:rStyle w:val="FootnoteAnchor"/>
          <w:rtl w:val="true"/>
        </w:rPr>
        <w:footnoteReference w:id="587"/>
      </w:r>
      <w:r>
        <w:rPr>
          <w:rFonts w:ascii="Amiri" w:hAnsi="Amiri" w:eastAsia="Amiri" w:cs="Amiri"/>
          <w:color w:val="111111"/>
          <w:sz w:val="28"/>
          <w:sz w:val="28"/>
          <w:szCs w:val="28"/>
          <w:rtl w:val="true"/>
          <w:lang w:bidi="ar-SA"/>
        </w:rPr>
        <w:t xml:space="preserve">، وهذان من كفر إنكار </w:t>
      </w:r>
    </w:p>
    <w:p>
      <w:pPr>
        <w:pStyle w:val="BookText"/>
        <w:rPr/>
      </w:pPr>
      <w:r>
        <w:rPr>
          <w:rFonts w:ascii="Amiri" w:hAnsi="Amiri" w:eastAsia="Amiri" w:cs="Amiri"/>
          <w:color w:val="111111"/>
          <w:sz w:val="28"/>
          <w:sz w:val="28"/>
          <w:szCs w:val="28"/>
          <w:rtl w:val="true"/>
          <w:lang w:bidi="ar-SA"/>
        </w:rPr>
        <w:t xml:space="preserve">الضروريات ، أو مع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تأثيرها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بأنّه بتكوين ذي العزّة والجلال ، كما تترتّب الحرارة علىٰ النار وتفريق البصر علىٰ ضوء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جزء المؤثّر لا تمامه ، أو مع اعتقاد عدمه لكنّها جعلها اللّٰه علامات مفيدة للعلم واليقين بترتّب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الأقسام لا كفر فيها، لكن اعتقادها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اعتقاد جميع الأحوال المترتبة علىٰ المنازل ، كالخسوف والكسوف والهلال ، علىٰ وجه اليقين ؛ فخطأ ، يُعلم من الاختلاف في في كثير من الشهور والسنين، وليس معتقده من العاصين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العلم ببعضها مع اليقين في المأخوذ من الحسّ ، أو المظنّة فی كلّها ، أو بعض الأحكام منها ؛ فليس فيها كراهة فضلاً عن التحريم ، بل مندوبة ، ولا تندرج تحت النواهي عن التنجيم </w:t>
      </w:r>
      <w:r>
        <w:rPr>
          <w:rStyle w:val="FootnoteAnchor"/>
          <w:rtl w:val="true"/>
        </w:rPr>
        <w:footnoteReference w:id="58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يندفع الاضطراب </w:t>
      </w:r>
      <w:r>
        <w:rPr>
          <w:rStyle w:val="FootnoteAnchor"/>
          <w:rtl w:val="true"/>
        </w:rPr>
        <w:footnoteReference w:id="589"/>
      </w:r>
      <w:r>
        <w:rPr>
          <w:rFonts w:ascii="Amiri" w:hAnsi="Amiri" w:eastAsia="Amiri" w:cs="Amiri"/>
          <w:color w:val="111111"/>
          <w:sz w:val="28"/>
          <w:sz w:val="28"/>
          <w:szCs w:val="28"/>
          <w:rtl w:val="true"/>
          <w:lang w:bidi="ar-SA"/>
        </w:rPr>
        <w:t xml:space="preserve">في كلام الأصحاب ، ويحصل الجمع بين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الباب، إذ لا معنىٰ للقول بالتحريم مطلقاً </w:t>
      </w:r>
      <w:r>
        <w:rPr>
          <w:rStyle w:val="FootnoteAnchor"/>
          <w:rtl w:val="true"/>
        </w:rPr>
        <w:footnoteReference w:id="590"/>
      </w:r>
      <w:r>
        <w:rPr>
          <w:rFonts w:ascii="IRNazanin" w:hAnsi="IRNazanin" w:eastAsia="IRNazanin"/>
          <w:color w:val="111111"/>
          <w:sz w:val="28"/>
          <w:sz w:val="28"/>
          <w:szCs w:val="28"/>
          <w:rtl w:val="true"/>
          <w:lang w:bidi="fa-IR"/>
        </w:rPr>
        <w:t xml:space="preserve">مع أنّ كثيراً من الرواة والمحدّثين ممّن كانوا من خواص الأئمة المعصومين علیهم السلام كانوا من أكابر المنجّمين </w:t>
      </w:r>
      <w:r>
        <w:rPr>
          <w:rStyle w:val="FootnoteAnchor"/>
          <w:rtl w:val="true"/>
        </w:rPr>
        <w:footnoteReference w:id="591"/>
      </w:r>
      <w:r>
        <w:rPr>
          <w:rFonts w:ascii="Amiri" w:hAnsi="Amiri" w:eastAsia="Amiri" w:cs="Amiri"/>
          <w:color w:val="111111"/>
          <w:sz w:val="28"/>
          <w:sz w:val="28"/>
          <w:szCs w:val="28"/>
          <w:rtl w:val="true"/>
          <w:lang w:bidi="ar-SA"/>
        </w:rPr>
        <w:t xml:space="preserve">، فضلاً عن المتقدّمين من الفقهاء والمتأخّرين </w:t>
      </w:r>
      <w:r>
        <w:rPr>
          <w:rStyle w:val="FootnoteAnchor"/>
          <w:rtl w:val="true"/>
        </w:rPr>
        <w:footnoteReference w:id="592"/>
      </w:r>
      <w:r>
        <w:rPr>
          <w:rFonts w:ascii="IRNazanin" w:hAnsi="IRNazanin" w:eastAsia="IRNazanin"/>
          <w:color w:val="111111"/>
          <w:sz w:val="28"/>
          <w:sz w:val="28"/>
          <w:szCs w:val="28"/>
          <w:rtl w:val="true"/>
          <w:lang w:bidi="fa-IR"/>
        </w:rPr>
        <w:t>، ونُسب أيضاً فی الأخبار إلىٰ الأنبياء السابقين كإدريس وذي القرنين</w:t>
      </w:r>
      <w:r>
        <w:rPr>
          <w:rStyle w:val="FootnoteAnchor"/>
          <w:rtl w:val="true"/>
        </w:rPr>
        <w:footnoteReference w:id="593"/>
      </w:r>
      <w:r>
        <w:rPr>
          <w:rFonts w:ascii="Amiri" w:hAnsi="Amiri" w:eastAsia="Amiri" w:cs="Amiri"/>
          <w:color w:val="111111"/>
          <w:sz w:val="28"/>
          <w:sz w:val="28"/>
          <w:szCs w:val="28"/>
          <w:rtl w:val="true"/>
          <w:lang w:bidi="ar-SA"/>
        </w:rPr>
        <w:t xml:space="preserve">، وأخبار الإذن فيه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w:t>
      </w:r>
      <w:r>
        <w:rPr>
          <w:rStyle w:val="FootnoteAnchor"/>
          <w:rtl w:val="true"/>
        </w:rPr>
        <w:footnoteReference w:id="594"/>
      </w:r>
      <w:r>
        <w:rPr>
          <w:rFonts w:ascii="IRNazanin" w:hAnsi="IRNazanin" w:eastAsia="IRNazanin"/>
          <w:color w:val="111111"/>
          <w:sz w:val="28"/>
          <w:sz w:val="28"/>
          <w:szCs w:val="28"/>
          <w:rtl w:val="true"/>
          <w:lang w:bidi="fa-IR"/>
        </w:rPr>
        <w:t xml:space="preserve">، حتى نقل عن الكاظم علیه السلام مدحه </w:t>
      </w:r>
      <w:r>
        <w:rPr>
          <w:rStyle w:val="FootnoteAnchor"/>
          <w:rtl w:val="true"/>
        </w:rPr>
        <w:footnoteReference w:id="595"/>
      </w:r>
      <w:r>
        <w:rPr>
          <w:rFonts w:ascii="Amiri" w:hAnsi="Amiri" w:eastAsia="Amiri" w:cs="Amiri"/>
          <w:color w:val="111111"/>
          <w:sz w:val="28"/>
          <w:sz w:val="28"/>
          <w:szCs w:val="28"/>
          <w:rtl w:val="true"/>
          <w:lang w:bidi="ar-SA"/>
        </w:rPr>
        <w:t xml:space="preserve">، وفي الكتاب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في بعض الوجوه إشارة إليه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معنى للقول بإباحته مطلقاً </w:t>
      </w:r>
      <w:r>
        <w:rPr>
          <w:rStyle w:val="FootnoteAnchor"/>
          <w:rtl w:val="true"/>
        </w:rPr>
        <w:footnoteReference w:id="598"/>
      </w:r>
      <w:r>
        <w:rPr>
          <w:rFonts w:ascii="Amiri" w:hAnsi="Amiri" w:eastAsia="Amiri" w:cs="Amiri"/>
          <w:color w:val="111111"/>
          <w:sz w:val="28"/>
          <w:sz w:val="28"/>
          <w:szCs w:val="28"/>
          <w:rtl w:val="true"/>
          <w:lang w:bidi="ar-SA"/>
        </w:rPr>
        <w:t xml:space="preserve">بعد دلالة الأخبار المتواترة </w:t>
      </w:r>
      <w:r>
        <w:rPr>
          <w:rStyle w:val="FootnoteAnchor"/>
          <w:rtl w:val="true"/>
        </w:rPr>
        <w:footnoteReference w:id="599"/>
      </w:r>
      <w:r>
        <w:rPr>
          <w:rFonts w:ascii="IRNazanin" w:hAnsi="IRNazanin" w:eastAsia="IRNazanin"/>
          <w:color w:val="111111"/>
          <w:sz w:val="28"/>
          <w:sz w:val="28"/>
          <w:szCs w:val="28"/>
          <w:rtl w:val="true"/>
          <w:lang w:bidi="fa-IR"/>
        </w:rPr>
        <w:t xml:space="preserve">والإجماعات محصّلها ومنقولها </w:t>
      </w:r>
      <w:r>
        <w:rPr>
          <w:rStyle w:val="FootnoteAnchor"/>
          <w:rtl w:val="true"/>
        </w:rPr>
        <w:footnoteReference w:id="600"/>
      </w:r>
      <w:r>
        <w:rPr>
          <w:rFonts w:ascii="Amiri" w:hAnsi="Amiri" w:eastAsia="Amiri" w:cs="Amiri"/>
          <w:color w:val="111111"/>
          <w:sz w:val="28"/>
          <w:sz w:val="28"/>
          <w:szCs w:val="28"/>
          <w:rtl w:val="true"/>
          <w:lang w:bidi="ar-SA"/>
        </w:rPr>
        <w:t xml:space="preserve">علىٰ تحريمه ، مع عدّه في بعض من الآثام </w:t>
      </w:r>
      <w:r>
        <w:rPr>
          <w:rStyle w:val="FootnoteAnchor"/>
          <w:rtl w:val="true"/>
        </w:rPr>
        <w:footnoteReference w:id="601"/>
      </w:r>
      <w:r>
        <w:rPr>
          <w:rFonts w:ascii="Amiri" w:hAnsi="Amiri" w:eastAsia="Amiri" w:cs="Amiri"/>
          <w:color w:val="111111"/>
          <w:sz w:val="28"/>
          <w:sz w:val="28"/>
          <w:szCs w:val="28"/>
          <w:rtl w:val="true"/>
          <w:lang w:bidi="ar-SA"/>
        </w:rPr>
        <w:t xml:space="preserve">، وفي آخر من </w:t>
      </w:r>
    </w:p>
    <w:p>
      <w:pPr>
        <w:pStyle w:val="BookText"/>
        <w:rPr/>
      </w:pPr>
      <w:r>
        <w:rPr>
          <w:rFonts w:ascii="Amiri" w:hAnsi="Amiri" w:eastAsia="Amiri" w:cs="Amiri"/>
          <w:color w:val="111111"/>
          <w:sz w:val="28"/>
          <w:sz w:val="28"/>
          <w:szCs w:val="28"/>
          <w:rtl w:val="true"/>
          <w:lang w:bidi="ar-SA"/>
        </w:rPr>
        <w:t xml:space="preserve">منافيات الإسلام </w:t>
      </w:r>
      <w:r>
        <w:rPr>
          <w:rStyle w:val="FootnoteAnchor"/>
          <w:rtl w:val="true"/>
        </w:rPr>
        <w:footnoteReference w:id="602"/>
      </w:r>
      <w:r>
        <w:rPr>
          <w:rFonts w:ascii="Amiri" w:hAnsi="Amiri" w:eastAsia="Amiri" w:cs="Amiri"/>
          <w:color w:val="111111"/>
          <w:sz w:val="28"/>
          <w:sz w:val="28"/>
          <w:szCs w:val="28"/>
          <w:rtl w:val="true"/>
          <w:lang w:bidi="ar-SA"/>
        </w:rPr>
        <w:t xml:space="preserve">، وعرف بين المسلمين حتىٰ عُدّ من ضروريات المذهب بل الدين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به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كلام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التنجيم الحلال ما كان مع اعتقاد أنّ النجوم مسخّرات ، وليس لها في حدّ ذاتها تأثيرات ، وأنّ الأمر إلىٰ خالق الأرضين والسماوات، على التفصيل الذي اخترناه ، والنحو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منّا سابقاً أنّ العلم والإدراك متصفان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بالأفلاك أو غير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تفسد المقاصد، أو تترتّب المفاسد، فإذن لا يجوز الطعن في المنجّمين حتىٰ يظهر الحال ويستبين ، فمَن فسدت في الظاهر نيته ظهرت معصيته ، وإلّا حمل علىٰ الوجوه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سواها من أصحابنا المنجّمين في هذا الزمان ، وصلاح نيّتهم من فيض ساداتهم وأئمتهم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أجرة الأعمال تابعة لحرمتها ، وإباحتها لإباحتها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الخوض في أمثال هذه المسائل، والتتبّع لما ورد فيها من الشواهد والدلائل ؛ أنّ مقدّمة الحرام وإن خالفت مقدّمة الواجب من حيث إنّ حرمتها ليست بضربة لازب ، لكنّها مساوية لغايتها حيث تدخل نيّة التوصّل إلىٰ الحرام في نيّتها ، أو كانت من المقتضيات لا كبعض الشروط والمعدات ، فمَنْ تعلّم علم النجوم، أو غيره من العلوم ، للتوصّل إلىٰ بعض المحرّمات كان من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أسند التأثير إلىٰ صنعته ، كالطبيب في </w:t>
      </w:r>
      <w:bookmarkStart w:id="226" w:name="pg20243_272164"/>
    </w:p>
    <w:p>
      <w:pPr>
        <w:pStyle w:val="BookText"/>
        <w:rPr/>
      </w:pPr>
      <w:bookmarkEnd w:id="226"/>
      <w:r>
        <w:rPr>
          <w:rFonts w:ascii="Amiri" w:hAnsi="Amiri" w:eastAsia="Amiri" w:cs="Amiri"/>
          <w:color w:val="111111"/>
          <w:sz w:val="28"/>
          <w:sz w:val="28"/>
          <w:szCs w:val="28"/>
          <w:rtl w:val="true"/>
          <w:lang w:bidi="ar-SA"/>
        </w:rPr>
        <w:t xml:space="preserve">طبابته والبيطار في بيطرته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الهيأة والرمل وغيرها مع اعتقاد لزوم ترتّب الأحكام ، إلّا ما كان مأخذه من الآيات والروايات كالعُوَذ والهياكل والدعوات ، فإنّ الإسناد إليها إسناد إليه ، والتعويل عليها تعويل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الإسناد إلىٰ نفوس الأولياء والعلماء والأتقياء، والتبرّك ببعض الأماكن المحترمة والمشاهد المعظّمة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284936_2320776876"/>
      <w:bookmarkStart w:id="228" w:name="_Toc79"/>
      <w:bookmarkEnd w:id="227"/>
      <w:r>
        <w:rPr>
          <w:rtl w:val="true"/>
        </w:rPr>
        <w:t>الشعبذة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والشعبذة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المنتهىٰ</w:t>
      </w:r>
      <w:r>
        <w:rPr>
          <w:rStyle w:val="FootnoteAnchor"/>
          <w:rtl w:val="true"/>
        </w:rPr>
        <w:footnoteReference w:id="604"/>
      </w:r>
      <w:r>
        <w:rPr>
          <w:rFonts w:ascii="IRNazanin" w:hAnsi="IRNazanin" w:eastAsia="IRNazanin"/>
          <w:color w:val="111111"/>
          <w:sz w:val="28"/>
          <w:sz w:val="28"/>
          <w:szCs w:val="28"/>
          <w:rtl w:val="true"/>
          <w:lang w:bidi="fa-IR"/>
        </w:rPr>
        <w:t xml:space="preserve">، وللحوقها بالباطل عند العاقل ، فتحرم، للخبر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السريعة جداً، بحيث يخفىٰ علىٰ الحسّ الفرق بين الشيء وشبهه لسرعة انتقاله من الشيء إلىٰ شبهه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فيحكم الرائي لها بخلاف الواقع ، وتدخل في باب الإغراء بالجهل والتدليس والتلبيس، ولما فيها من القبح الزائد علىٰ قبح الملاهي ، والاشتغال بها من أعظم اللهو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القول بتحريم جميع الأفعال الغريبة المستندة إلىٰ الأسباب الخفيّة ، ومنها عند الشهيد </w:t>
      </w:r>
      <w:r>
        <w:rPr>
          <w:rStyle w:val="FootnoteAnchor"/>
          <w:rtl w:val="true"/>
        </w:rPr>
        <w:footnoteReference w:id="607"/>
      </w:r>
      <w:r>
        <w:rPr>
          <w:rFonts w:ascii="IRNazanin" w:hAnsi="IRNazanin" w:eastAsia="IRNazanin"/>
          <w:color w:val="111111"/>
          <w:sz w:val="28"/>
          <w:sz w:val="28"/>
          <w:szCs w:val="28"/>
          <w:rtl w:val="true"/>
          <w:lang w:bidi="fa-IR"/>
        </w:rPr>
        <w:t xml:space="preserve">والمقداد </w:t>
      </w:r>
      <w:r>
        <w:rPr>
          <w:rStyle w:val="FootnoteAnchor"/>
          <w:rtl w:val="true"/>
        </w:rPr>
        <w:footnoteReference w:id="608"/>
      </w:r>
      <w:r>
        <w:rPr>
          <w:rFonts w:ascii="Amiri" w:hAnsi="Amiri" w:eastAsia="Amiri" w:cs="Amiri"/>
          <w:color w:val="111111"/>
          <w:sz w:val="28"/>
          <w:sz w:val="28"/>
          <w:szCs w:val="28"/>
          <w:rtl w:val="true"/>
          <w:lang w:bidi="ar-SA"/>
        </w:rPr>
        <w:t xml:space="preserve">السيميا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خيالات لا وجود لها في الحسّ للتأثير في شيء آخر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حرمة الشطرنج ونحوه من جملة أسبابها ذلك ، لأنّها داخلة في الحيل ، والخدع ، والتدليس </w:t>
      </w:r>
      <w:bookmarkStart w:id="229" w:name="pg20243_272165"/>
    </w:p>
    <w:p>
      <w:pPr>
        <w:pStyle w:val="BookText"/>
        <w:rPr/>
      </w:pPr>
      <w:bookmarkEnd w:id="229"/>
      <w:r>
        <w:rPr>
          <w:rFonts w:ascii="Amiri" w:hAnsi="Amiri" w:eastAsia="Amiri" w:cs="Amiri"/>
          <w:color w:val="111111"/>
          <w:sz w:val="28"/>
          <w:sz w:val="28"/>
          <w:szCs w:val="28"/>
          <w:rtl w:val="true"/>
          <w:lang w:bidi="ar-SA"/>
        </w:rPr>
        <w:t>والتلبيس ، إلى غير ذلك</w:t>
      </w:r>
    </w:p>
    <w:p>
      <w:pPr>
        <w:pStyle w:val="Heading3"/>
        <w:numPr>
          <w:ilvl w:val="2"/>
          <w:numId w:val="1"/>
        </w:numPr>
        <w:rPr/>
      </w:pPr>
      <w:bookmarkStart w:id="230" w:name="__RefHeading___Toc5284938_2320776876"/>
      <w:bookmarkStart w:id="231" w:name="_Toc80"/>
      <w:bookmarkEnd w:id="230"/>
      <w:r>
        <w:rPr>
          <w:rtl w:val="true"/>
        </w:rPr>
        <w:t>القیافة</w:t>
      </w:r>
      <w:bookmarkEnd w:id="2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والقيافة</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بمعنىٰ الاستناد إلىٰ علامات وتقادير</w:t>
      </w:r>
      <w:r>
        <w:rPr>
          <w:rStyle w:val="FootnoteAnchor"/>
          <w:rtl w:val="true"/>
        </w:rPr>
        <w:footnoteReference w:id="611"/>
      </w:r>
      <w:r>
        <w:rPr>
          <w:rFonts w:ascii="Amiri" w:hAnsi="Amiri" w:eastAsia="Amiri" w:cs="Amiri"/>
          <w:color w:val="111111"/>
          <w:sz w:val="28"/>
          <w:sz w:val="28"/>
          <w:szCs w:val="28"/>
          <w:rtl w:val="true"/>
          <w:lang w:bidi="ar-SA"/>
        </w:rPr>
        <w:t xml:space="preserve">يترتّب عليها إلحاق بعض الناس ببعض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لصريح نقل الإجماع فيه من بعض </w:t>
      </w:r>
      <w:r>
        <w:rPr>
          <w:rStyle w:val="FootnoteAnchor"/>
          <w:rtl w:val="true"/>
        </w:rPr>
        <w:footnoteReference w:id="613"/>
      </w:r>
      <w:r>
        <w:rPr>
          <w:rFonts w:ascii="Amiri" w:hAnsi="Amiri" w:eastAsia="Amiri" w:cs="Amiri"/>
          <w:color w:val="111111"/>
          <w:sz w:val="28"/>
          <w:sz w:val="28"/>
          <w:szCs w:val="28"/>
          <w:rtl w:val="true"/>
          <w:lang w:bidi="ar-SA"/>
        </w:rPr>
        <w:t xml:space="preserve">، وظهوره من آخرين </w:t>
      </w:r>
      <w:r>
        <w:rPr>
          <w:rStyle w:val="FootnoteAnchor"/>
          <w:rtl w:val="true"/>
        </w:rPr>
        <w:footnoteReference w:id="614"/>
      </w:r>
      <w:r>
        <w:rPr>
          <w:rFonts w:ascii="Amiri" w:hAnsi="Amiri" w:eastAsia="Amiri" w:cs="Amiri"/>
          <w:color w:val="111111"/>
          <w:sz w:val="28"/>
          <w:sz w:val="28"/>
          <w:szCs w:val="28"/>
          <w:rtl w:val="true"/>
          <w:lang w:bidi="ar-SA"/>
        </w:rPr>
        <w:t xml:space="preserve">، مع ما فيها من منافاة ما هو ضروري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من إلحاق الولد بالفراش بمجرّد الوطء ولو في الدبر ، واختلاف الصور والهيئات بين كثير من الأنبياء والأوصياء وأولادهم فضلاً عن غيرهم، بحيث يُرىٰ أنّ بعض أولادهم أقرب إلىٰ اللحوق بغيرهم ، ولترتب الفساد العظيم علىٰ ذلك ، ولزوم الفضيحة علىٰ المسلمين ، ونقض أحكام مواريثهم ودياتهم ومناكحهم </w:t>
      </w:r>
      <w:r>
        <w:rPr>
          <w:rStyle w:val="FootnoteAnchor"/>
          <w:rtl w:val="true"/>
        </w:rPr>
        <w:footnoteReference w:id="615"/>
      </w:r>
      <w:r>
        <w:rPr>
          <w:rFonts w:ascii="Amiri" w:hAnsi="Amiri" w:eastAsia="Amiri" w:cs="Amiri"/>
          <w:color w:val="111111"/>
          <w:sz w:val="28"/>
          <w:sz w:val="28"/>
          <w:szCs w:val="28"/>
          <w:rtl w:val="true"/>
          <w:lang w:bidi="ar-SA"/>
        </w:rPr>
        <w:t xml:space="preserve">، إلىٰ غير ذلك </w:t>
      </w:r>
      <w:r>
        <w:rPr>
          <w:rStyle w:val="FootnoteAnchor"/>
          <w:rtl w:val="true"/>
        </w:rPr>
        <w:footnoteReference w:id="616"/>
      </w:r>
      <w:r>
        <w:rPr>
          <w:rFonts w:ascii="Amiri" w:hAnsi="Amiri" w:eastAsia="Amiri" w:cs="Amiri"/>
          <w:color w:val="111111"/>
          <w:sz w:val="28"/>
          <w:sz w:val="28"/>
          <w:szCs w:val="28"/>
          <w:rtl w:val="true"/>
          <w:lang w:bidi="ar-SA"/>
        </w:rPr>
        <w:t xml:space="preserve">، فمَنْ تتبّع الآثار ونظر في سيرة الأئمة الأطهار أنكر ذلك كلّ الإنكار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قضت الضرورة بها كإنكار نسب بعض المعصومين ، أو بعض المؤمنين ؛ فالظاهر جوازها ، كما يجوز ارتكاب بعض المحرّمات لدفع بعض المحذورات، وعليه يُنزّل ما في بعض الروايات </w:t>
      </w:r>
      <w:r>
        <w:rPr>
          <w:rStyle w:val="FootnoteAnchor"/>
          <w:rtl w:val="true"/>
        </w:rPr>
        <w:footnoteReference w:id="618"/>
      </w:r>
      <w:r>
        <w:rPr>
          <w:rFonts w:ascii="IRNazanin" w:hAnsi="IRNazanin" w:eastAsia="IRNazanin"/>
          <w:color w:val="111111"/>
          <w:sz w:val="28"/>
          <w:sz w:val="28"/>
          <w:szCs w:val="28"/>
          <w:rtl w:val="true"/>
          <w:lang w:bidi="fa-IR"/>
        </w:rPr>
        <w:t xml:space="preserve">، أو على أنّ حضور القافة عندهم علیهم السلام لم يكن </w:t>
      </w:r>
    </w:p>
    <w:p>
      <w:pPr>
        <w:pStyle w:val="BookText"/>
        <w:rPr/>
      </w:pPr>
      <w:r>
        <w:rPr>
          <w:rFonts w:ascii="Amiri" w:hAnsi="Amiri" w:eastAsia="Amiri" w:cs="Amiri"/>
          <w:color w:val="111111"/>
          <w:sz w:val="28"/>
          <w:sz w:val="28"/>
          <w:szCs w:val="28"/>
          <w:rtl w:val="true"/>
          <w:lang w:bidi="ar-SA"/>
        </w:rPr>
        <w:t xml:space="preserve">باختيارهم ، فلا يدلّ علىٰ تقريرهم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تحرم مع الاعتماد عليها والركون إليها ، وأمّا مجرّد معرفتها والاطلاع علىٰ حقيقتها، مع اعتقاد أنّها من الخرافات ؛ فليس من المحرمات </w:t>
      </w:r>
      <w:r>
        <w:rPr>
          <w:rStyle w:val="FootnoteAnchor"/>
          <w:rtl w:val="true"/>
        </w:rPr>
        <w:footnoteReference w:id="619"/>
      </w:r>
      <w:r>
        <w:rPr>
          <w:rFonts w:ascii="Amiri" w:hAnsi="Amiri" w:eastAsia="Amiri" w:cs="Amiri"/>
          <w:color w:val="111111"/>
          <w:sz w:val="28"/>
          <w:sz w:val="28"/>
          <w:szCs w:val="28"/>
          <w:rtl w:val="true"/>
          <w:lang w:bidi="ar-SA"/>
        </w:rPr>
        <w:t xml:space="preserve">، بل حالها كحال العلوم المباحات ، لأنا لا نخرج عن مقتضىٰ </w:t>
      </w:r>
      <w:bookmarkStart w:id="232" w:name="pg20243_272168"/>
    </w:p>
    <w:p>
      <w:pPr>
        <w:pStyle w:val="BookText"/>
        <w:rPr/>
      </w:pPr>
      <w:bookmarkEnd w:id="232"/>
      <w:r>
        <w:rPr>
          <w:rFonts w:ascii="Amiri" w:hAnsi="Amiri" w:eastAsia="Amiri" w:cs="Amiri"/>
          <w:color w:val="111111"/>
          <w:sz w:val="28"/>
          <w:sz w:val="28"/>
          <w:szCs w:val="28"/>
          <w:rtl w:val="true"/>
          <w:lang w:bidi="ar-SA"/>
        </w:rPr>
        <w:t xml:space="preserve">الأصل إلّا بالدليل، وأقصىٰ ما دلّ علىٰ تحريمها بالنحو المذكور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والقيافة في غير الأنساب </w:t>
      </w:r>
      <w:r>
        <w:rPr>
          <w:rStyle w:val="FootnoteAnchor"/>
          <w:rtl w:val="true"/>
        </w:rPr>
        <w:footnoteReference w:id="620"/>
      </w:r>
      <w:r>
        <w:rPr>
          <w:rFonts w:ascii="IRNazanin" w:hAnsi="IRNazanin" w:eastAsia="IRNazanin"/>
          <w:color w:val="111111"/>
          <w:sz w:val="28"/>
          <w:sz w:val="28"/>
          <w:szCs w:val="28"/>
          <w:rtl w:val="true"/>
          <w:lang w:bidi="fa-IR"/>
        </w:rPr>
        <w:t>إنّما تحرم مع الجزم</w:t>
      </w:r>
      <w:r>
        <w:rPr>
          <w:rStyle w:val="FootnoteAnchor"/>
          <w:rtl w:val="true"/>
        </w:rPr>
        <w:footnoteReference w:id="621"/>
      </w:r>
      <w:r>
        <w:rPr>
          <w:rFonts w:ascii="Amiri" w:hAnsi="Amiri" w:eastAsia="Amiri" w:cs="Amiri"/>
          <w:color w:val="111111"/>
          <w:sz w:val="28"/>
          <w:sz w:val="28"/>
          <w:szCs w:val="28"/>
          <w:rtl w:val="true"/>
          <w:lang w:bidi="ar-SA"/>
        </w:rPr>
        <w:t xml:space="preserve">، أو ترتّب المحرّم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284940_2320776876"/>
      <w:bookmarkStart w:id="234" w:name="_Toc81"/>
      <w:bookmarkEnd w:id="233"/>
      <w:r>
        <w:rPr>
          <w:rtl w:val="true"/>
        </w:rPr>
        <w:t>بیع المصحف</w:t>
      </w:r>
      <w:bookmarkEnd w:id="23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رسم المصحف </w:t>
      </w:r>
      <w:r>
        <w:rPr>
          <w:rStyle w:val="FootnoteAnchor"/>
          <w:rtl w:val="true"/>
        </w:rPr>
        <w:footnoteReference w:id="6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مثلث الميم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وكتابته، جوهرية أو عرضية، من كلمات وحروف ومدّات وشدّات ، مجتمعات أو متفرّقات ، ولو في ورقات منفردات </w:t>
      </w:r>
      <w:r>
        <w:rPr>
          <w:rStyle w:val="FootnoteAnchor"/>
          <w:rtl w:val="true"/>
        </w:rPr>
        <w:footnoteReference w:id="624"/>
      </w:r>
      <w:r>
        <w:rPr>
          <w:rFonts w:ascii="Amiri" w:hAnsi="Amiri" w:eastAsia="Amiri" w:cs="Amiri"/>
          <w:color w:val="111111"/>
          <w:sz w:val="28"/>
          <w:sz w:val="28"/>
          <w:szCs w:val="28"/>
          <w:rtl w:val="true"/>
          <w:lang w:bidi="ar-SA"/>
        </w:rPr>
        <w:t>؛ للدخول تحت الاسم ، أو للقطع بشمول الحكم من كلّ ما يُسمّى كتابة قرآن ، والمعاوضة عليها ، مستقلّات أو منضمّات إلىٰ جلد أو ورق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رسم أسماء اللّٰه وصفاته الخاصّة </w:t>
      </w:r>
      <w:r>
        <w:rPr>
          <w:rStyle w:val="FootnoteAnchor"/>
          <w:rtl w:val="true"/>
        </w:rPr>
        <w:footnoteReference w:id="625"/>
      </w:r>
      <w:r>
        <w:rPr>
          <w:rFonts w:ascii="Amiri" w:hAnsi="Amiri" w:eastAsia="Amiri" w:cs="Amiri"/>
          <w:color w:val="111111"/>
          <w:sz w:val="28"/>
          <w:sz w:val="28"/>
          <w:szCs w:val="28"/>
          <w:rtl w:val="true"/>
          <w:lang w:bidi="ar-SA"/>
        </w:rPr>
        <w:t xml:space="preserve">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 من الآيات في بعض الكتب، وباقي الكتب السماوية ، وكتب الحديث ، وغيرها ؛ لا يجري فيه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تعلّق الملك والتمليك المجاني ، بل التمليك التبعي ، فيترتّب الضمان لمشتريه علىٰ متلفه ، بل لو قيل بالتمليك الأصلي ، والنهي إنّما هو عن الصوري المنافي للاحترام والآداب ؛ لم يكن بعيداً ، غير أنّ العمل علىٰ ظواهر الأدلة أقوىٰ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أصل هذا الحكم الأخبار المتكثّرة </w:t>
      </w:r>
      <w:r>
        <w:rPr>
          <w:rStyle w:val="FootnoteAnchor"/>
          <w:rtl w:val="true"/>
        </w:rPr>
        <w:footnoteReference w:id="626"/>
      </w:r>
      <w:r>
        <w:rPr>
          <w:rFonts w:ascii="Amiri" w:hAnsi="Amiri" w:eastAsia="Amiri" w:cs="Amiri"/>
          <w:color w:val="111111"/>
          <w:sz w:val="28"/>
          <w:sz w:val="28"/>
          <w:szCs w:val="28"/>
          <w:rtl w:val="true"/>
          <w:lang w:bidi="ar-SA"/>
        </w:rPr>
        <w:t>، المعتبرة في ذاتها وغير المعتبرة المنجبرة بموافقة أدلة التعظيم</w:t>
      </w:r>
      <w:r>
        <w:rPr>
          <w:rStyle w:val="FootnoteAnchor"/>
          <w:rtl w:val="true"/>
        </w:rPr>
        <w:footnoteReference w:id="627"/>
      </w:r>
      <w:r>
        <w:rPr>
          <w:rFonts w:ascii="Amiri" w:hAnsi="Amiri" w:eastAsia="Amiri" w:cs="Amiri"/>
          <w:color w:val="111111"/>
          <w:sz w:val="28"/>
          <w:sz w:val="28"/>
          <w:szCs w:val="28"/>
          <w:rtl w:val="true"/>
          <w:lang w:bidi="ar-SA"/>
        </w:rPr>
        <w:t xml:space="preserve">، والإسناد إلى الصحابة في </w:t>
      </w:r>
    </w:p>
    <w:p>
      <w:pPr>
        <w:pStyle w:val="BookText"/>
        <w:rPr/>
      </w:pPr>
      <w:r>
        <w:rPr>
          <w:rFonts w:ascii="Amiri" w:hAnsi="Amiri" w:eastAsia="Amiri" w:cs="Amiri"/>
          <w:color w:val="111111"/>
          <w:sz w:val="28"/>
          <w:sz w:val="28"/>
          <w:szCs w:val="28"/>
          <w:rtl w:val="true"/>
          <w:lang w:bidi="ar-SA"/>
        </w:rPr>
        <w:t xml:space="preserve">نهاية الإحكام </w:t>
      </w:r>
      <w:r>
        <w:rPr>
          <w:rStyle w:val="FootnoteAnchor"/>
          <w:rtl w:val="true"/>
        </w:rPr>
        <w:footnoteReference w:id="628"/>
      </w:r>
      <w:r>
        <w:rPr>
          <w:rFonts w:ascii="IRNazanin" w:hAnsi="IRNazanin" w:eastAsia="IRNazanin"/>
          <w:color w:val="111111"/>
          <w:sz w:val="28"/>
          <w:sz w:val="28"/>
          <w:szCs w:val="28"/>
          <w:rtl w:val="true"/>
          <w:lang w:bidi="fa-IR"/>
        </w:rPr>
        <w:t xml:space="preserve">، وعدم نقل المخالف في كتب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أشتريه أحبّ إليّ من أن أبيعه</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يراد به الشراء علىٰ النحو الآتي ؛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من بيعه للكافر </w:t>
      </w:r>
      <w:r>
        <w:rPr>
          <w:rStyle w:val="FootnoteAnchor"/>
          <w:rtl w:val="true"/>
        </w:rPr>
        <w:footnoteReference w:id="630"/>
      </w:r>
      <w:r>
        <w:rPr>
          <w:rFonts w:ascii="Amiri" w:hAnsi="Amiri" w:eastAsia="Amiri" w:cs="Amiri"/>
          <w:color w:val="111111"/>
          <w:sz w:val="28"/>
          <w:sz w:val="28"/>
          <w:szCs w:val="28"/>
          <w:rtl w:val="true"/>
          <w:lang w:bidi="ar-SA"/>
        </w:rPr>
        <w:t xml:space="preserve">، المؤذن بجواز بيعه مطلقاً للمسلم ؛ منزّل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الفساد لو وقع البيع على الوجه الممنوع ، لظاهر النهي في الأخبار</w:t>
      </w:r>
      <w:r>
        <w:rPr>
          <w:rStyle w:val="FootnoteAnchor"/>
          <w:rtl w:val="true"/>
        </w:rPr>
        <w:footnoteReference w:id="631"/>
      </w:r>
      <w:r>
        <w:rPr>
          <w:rFonts w:ascii="IRNazanin" w:hAnsi="IRNazanin" w:eastAsia="IRNazanin"/>
          <w:color w:val="111111"/>
          <w:sz w:val="28"/>
          <w:sz w:val="28"/>
          <w:szCs w:val="28"/>
          <w:rtl w:val="true"/>
          <w:lang w:bidi="fa-IR"/>
        </w:rPr>
        <w:t xml:space="preserve">، وظاهر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تشتري الورق وفيه القرآن فيكون حراماً عليك وعلىٰ مَن باعه</w:t>
      </w:r>
      <w:r>
        <w:rPr>
          <w:rFonts w:eastAsia="IRNazanin" w:cs="IRNazanin"/>
          <w:color w:val="111111"/>
          <w:sz w:val="28"/>
          <w:szCs w:val="28"/>
          <w:rtl w:val="true"/>
          <w:lang w:bidi="fa-IR"/>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بالصحّة فيما يصحّ ، وثبوت خيار التبعّض ؛ ليس ببعيد ، وربّما ظهر من العبارة الميل إليه ، ولكنّ الأقوىٰ ما قدّمناه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ممّا مرّ أنّه لا يباع نفس الرسم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الجلد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بالكتابة ، فلا ينافي الحديث السابق ،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اشتري منك الورق وما فيه من الأدم وحليته وما فيه من عمل يدك</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ولعلّ المراد ما عملته بده ممّا عدا الكتابة ، أو الكتابة غير </w:t>
      </w:r>
    </w:p>
    <w:p>
      <w:pPr>
        <w:pStyle w:val="BookText"/>
        <w:rPr/>
      </w:pPr>
      <w:r>
        <w:rPr>
          <w:rFonts w:ascii="Amiri" w:hAnsi="Amiri" w:eastAsia="Amiri" w:cs="Amiri"/>
          <w:color w:val="111111"/>
          <w:sz w:val="28"/>
          <w:sz w:val="28"/>
          <w:szCs w:val="28"/>
          <w:rtl w:val="true"/>
          <w:lang w:bidi="ar-SA"/>
        </w:rPr>
        <w:t>مقيّدة بالقرآنية ؛ وفيه بُعد،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 والورق والجلود والدفّتين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الدفّتين والحديد والغلاف</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xml:space="preserve">وهي کعبارة الكتاب محمولة علىٰ المثال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له ، أو مطلقاً ولو بإنكار الضروري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أخذه بعقد معاوضة غير الشراء ، أو بهبة </w:t>
      </w:r>
      <w:r>
        <w:rPr>
          <w:rStyle w:val="FootnoteAnchor"/>
          <w:rtl w:val="true"/>
        </w:rPr>
        <w:footnoteReference w:id="636"/>
      </w:r>
      <w:r>
        <w:rPr>
          <w:rFonts w:ascii="IRNazanin" w:hAnsi="IRNazanin" w:eastAsia="IRNazanin"/>
          <w:color w:val="111111"/>
          <w:sz w:val="28"/>
          <w:sz w:val="28"/>
          <w:szCs w:val="28"/>
          <w:rtl w:val="true"/>
          <w:lang w:bidi="fa-IR"/>
        </w:rPr>
        <w:t xml:space="preserve">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فالأقرب البطلان </w:t>
      </w:r>
      <w:r>
        <w:rPr>
          <w:rStyle w:val="FootnoteAnchor"/>
          <w:rtl w:val="true"/>
        </w:rPr>
        <w:footnoteReference w:id="6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تعقّب الكفر الملك أبطله ، وبقي ، بلا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فيه حكم العبد المسلم من الاكتفاء بالبيع عليه قهراً، وعدم التسليم ،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للزوم هتك حرمة القرآن بنفس السلطان الثابت للكفار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وتسرية الحكم إلىٰ الكتب المحترمة من كتب الحديث والفقه والدعوات ونحوها ؛ غير بعيد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وتسرية الحكم إلىٰ أهل الخلاف فيما لم يستهينوا به ؛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bookmarkStart w:id="235" w:name="pg20243_272172"/>
    </w:p>
    <w:p>
      <w:pPr>
        <w:pStyle w:val="BookText"/>
        <w:rPr/>
      </w:pPr>
      <w:bookmarkEnd w:id="235"/>
      <w:r>
        <w:rPr>
          <w:rFonts w:ascii="Amiri" w:hAnsi="Amiri" w:eastAsia="Amiri" w:cs="Amiri"/>
          <w:color w:val="111111"/>
          <w:sz w:val="28"/>
          <w:sz w:val="28"/>
          <w:szCs w:val="28"/>
          <w:rtl w:val="true"/>
          <w:lang w:bidi="ar-SA"/>
        </w:rPr>
        <w:t xml:space="preserve">ما يخاف فيه الإهانة ؛ فلا يجوز تسليمه إليهم، ويباع عليهم قهراً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284942_2320776876"/>
      <w:bookmarkStart w:id="237" w:name="_Toc82"/>
      <w:bookmarkEnd w:id="236"/>
      <w:r>
        <w:rPr>
          <w:rtl w:val="true"/>
        </w:rPr>
        <w:t>جواز الاُجرة علی کتابة القرآن</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أخذ الأجرة علىٰ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أعماله الأخر، الشرط وبدونه ، كسائر الأعمال ، بل لهذا رجحان علىٰ غيره ، فإنّ العامل شريك في الأجر ؛ السعيه في انتشار كلام اللّٰه وأحكامه، ولهذا لم يصرّح أحد بالكراهة إلّا مع الشرط</w:t>
      </w:r>
      <w:r>
        <w:rPr>
          <w:rStyle w:val="FootnoteAnchor"/>
          <w:rtl w:val="true"/>
        </w:rPr>
        <w:footnoteReference w:id="638"/>
      </w:r>
      <w:r>
        <w:rPr>
          <w:rFonts w:ascii="Amiri" w:hAnsi="Amiri" w:eastAsia="Amiri" w:cs="Amiri"/>
          <w:color w:val="111111"/>
          <w:sz w:val="28"/>
          <w:sz w:val="28"/>
          <w:szCs w:val="28"/>
          <w:rtl w:val="true"/>
          <w:lang w:bidi="ar-SA"/>
        </w:rPr>
        <w:t xml:space="preserve">، فقد نقل الإجماع عليها معه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كراهتها </w:t>
      </w:r>
      <w:r>
        <w:rPr>
          <w:rStyle w:val="FootnoteAnchor"/>
          <w:rtl w:val="true"/>
        </w:rPr>
        <w:footnoteReference w:id="640"/>
      </w:r>
      <w:r>
        <w:rPr>
          <w:rFonts w:ascii="Amiri" w:hAnsi="Amiri" w:eastAsia="Amiri" w:cs="Amiri"/>
          <w:color w:val="111111"/>
          <w:sz w:val="28"/>
          <w:sz w:val="28"/>
          <w:szCs w:val="28"/>
          <w:rtl w:val="true"/>
          <w:lang w:bidi="ar-SA"/>
        </w:rPr>
        <w:t>هنا من الجانبين ، لا كالحجامة</w:t>
      </w:r>
      <w:r>
        <w:rPr>
          <w:rStyle w:val="FootnoteAnchor"/>
          <w:rtl w:val="true"/>
        </w:rPr>
        <w:footnoteReference w:id="641"/>
      </w:r>
      <w:r>
        <w:rPr>
          <w:rFonts w:ascii="Amiri" w:hAnsi="Amiri" w:eastAsia="Amiri" w:cs="Amiri"/>
          <w:color w:val="111111"/>
          <w:sz w:val="28"/>
          <w:sz w:val="28"/>
          <w:szCs w:val="28"/>
          <w:rtl w:val="true"/>
          <w:lang w:bidi="ar-SA"/>
        </w:rPr>
        <w:t xml:space="preserve">لأنّ في إعطاء العوض وأخذه ما ينافي الاحترام والإخلاص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كتابة غيره من الكتب السماوية ، أو كتب الفقه والحديث ، ونحوها ؛ فلا كراهة فيها ولو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 كتابةٌ تُسمّىٰ كتابة القرآن، فكتابة آيات الحرز والحفظ ، وما دخل في الكتب الاستدلالية وغيرها ؛ لا تجري فيها الكراهة مع الشرط ، بل الشرط فيها أولىٰ</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284944_2320776876"/>
      <w:bookmarkStart w:id="239" w:name="_Toc83"/>
      <w:bookmarkEnd w:id="238"/>
      <w:r>
        <w:rPr>
          <w:rtl w:val="true"/>
        </w:rPr>
        <w:t>حرمة السرقة و الخیانة و بیعهما</w:t>
      </w:r>
      <w:bookmarkEnd w:id="23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السرقة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بهما ، في غير ما اُذن فيه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مع قصد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وثمنهما ؛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642"/>
      </w:r>
      <w:r>
        <w:rPr>
          <w:rFonts w:ascii="Amiri" w:hAnsi="Amiri" w:eastAsia="Amiri" w:cs="Amiri"/>
          <w:color w:val="111111"/>
          <w:sz w:val="28"/>
          <w:sz w:val="28"/>
          <w:szCs w:val="28"/>
          <w:rtl w:val="true"/>
          <w:lang w:bidi="ar-SA"/>
        </w:rPr>
        <w:t xml:space="preserve">، وسنّة </w:t>
      </w:r>
      <w:r>
        <w:rPr>
          <w:rStyle w:val="FootnoteAnchor"/>
          <w:rtl w:val="true"/>
        </w:rPr>
        <w:footnoteReference w:id="643"/>
      </w:r>
      <w:r>
        <w:rPr>
          <w:rFonts w:ascii="Amiri" w:hAnsi="Amiri" w:eastAsia="Amiri" w:cs="Amiri"/>
          <w:color w:val="111111"/>
          <w:sz w:val="28"/>
          <w:sz w:val="28"/>
          <w:szCs w:val="28"/>
          <w:rtl w:val="true"/>
          <w:lang w:bidi="ar-SA"/>
        </w:rPr>
        <w:t xml:space="preserve">، وإجماعاً ؛ بل ضرورة من الدين فضلاً عن </w:t>
      </w:r>
      <w:bookmarkStart w:id="240" w:name="pg20243_272173"/>
    </w:p>
    <w:p>
      <w:pPr>
        <w:pStyle w:val="Heading3"/>
        <w:numPr>
          <w:ilvl w:val="2"/>
          <w:numId w:val="1"/>
        </w:numPr>
        <w:rPr/>
      </w:pPr>
      <w:bookmarkStart w:id="241" w:name="__RefHeading___Toc5284946_2320776876"/>
      <w:bookmarkStart w:id="242" w:name="_Toc84"/>
      <w:bookmarkEnd w:id="240"/>
      <w:bookmarkEnd w:id="241"/>
      <w:r>
        <w:rPr>
          <w:rtl w:val="true"/>
        </w:rPr>
        <w:t>حکم مَن وجد عنده سرقة</w:t>
      </w:r>
      <w:bookmarkEnd w:id="242"/>
    </w:p>
    <w:p>
      <w:pPr>
        <w:pStyle w:val="BookText"/>
        <w:rPr/>
      </w:pP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غصب ، أو عين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تلفها ،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w:t>
      </w:r>
      <w:r>
        <w:rPr>
          <w:rStyle w:val="FootnoteAnchor"/>
          <w:rtl w:val="true"/>
        </w:rPr>
        <w:footnoteReference w:id="644"/>
      </w:r>
      <w:r>
        <w:rPr>
          <w:rFonts w:ascii="Amiri" w:hAnsi="Amiri" w:eastAsia="Amiri" w:cs="Amiri"/>
          <w:color w:val="111111"/>
          <w:sz w:val="28"/>
          <w:sz w:val="28"/>
          <w:szCs w:val="28"/>
          <w:rtl w:val="true"/>
          <w:lang w:bidi="ar-SA"/>
        </w:rPr>
        <w:t xml:space="preserve">عليه حدّ أو تعزير إلّا مع ثبوث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 لا رجوع فيه بعد التأدية ، فضلاً عمّا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يقيم البينة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بوصولها إليه من الغير بوجه لا إقدام فيه علىٰ الضمان ، كهبة ونحوها ، أو بوصولها إليه مضمونة عليه بنفسها دون ما يتبعها ، كعارية مضمونة ونحوها </w:t>
      </w:r>
      <w:r>
        <w:rPr>
          <w:rStyle w:val="FootnoteAnchor"/>
          <w:rtl w:val="true"/>
        </w:rPr>
        <w:footnoteReference w:id="6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بعوض كائناً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الجهل في الأوّل بجميع ما غرمه من قيمة العين وغيرها ممّا يترتّب علىٰ </w:t>
      </w:r>
    </w:p>
    <w:p>
      <w:pPr>
        <w:pStyle w:val="BookText"/>
        <w:rPr/>
      </w:pPr>
      <w:r>
        <w:rPr>
          <w:rFonts w:ascii="Amiri" w:hAnsi="Amiri" w:eastAsia="Amiri" w:cs="Amiri"/>
          <w:color w:val="111111"/>
          <w:sz w:val="28"/>
          <w:sz w:val="28"/>
          <w:szCs w:val="28"/>
          <w:rtl w:val="true"/>
          <w:lang w:bidi="ar-SA"/>
        </w:rPr>
        <w:t>ملكيّتها ، وفي الثاني بما عدا قيمة العين من الغرامة كذلك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بائعها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بالثمن مع دفعه إليه </w:t>
      </w:r>
      <w:r>
        <w:rPr>
          <w:rStyle w:val="FootnoteAnchor"/>
          <w:rtl w:val="true"/>
        </w:rPr>
        <w:footnoteReference w:id="647"/>
      </w:r>
      <w:r>
        <w:rPr>
          <w:rFonts w:ascii="Amiri" w:hAnsi="Amiri" w:eastAsia="Amiri" w:cs="Amiri"/>
          <w:color w:val="111111"/>
          <w:sz w:val="28"/>
          <w:sz w:val="28"/>
          <w:szCs w:val="28"/>
          <w:rtl w:val="true"/>
          <w:lang w:bidi="ar-SA"/>
        </w:rPr>
        <w:t xml:space="preserve">، وإلّا فلا رجوع له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علىٰ الأقوىٰ بما اُخذ منه زائداً عليه </w:t>
      </w:r>
      <w:r>
        <w:rPr>
          <w:rStyle w:val="FootnoteAnchor"/>
          <w:rtl w:val="true"/>
        </w:rPr>
        <w:footnoteReference w:id="648"/>
      </w:r>
      <w:r>
        <w:rPr>
          <w:rFonts w:ascii="Amiri" w:hAnsi="Amiri" w:eastAsia="Amiri" w:cs="Amiri"/>
          <w:color w:val="111111"/>
          <w:sz w:val="28"/>
          <w:sz w:val="28"/>
          <w:szCs w:val="28"/>
          <w:rtl w:val="true"/>
          <w:lang w:bidi="ar-SA"/>
        </w:rPr>
        <w:t xml:space="preserve">، وبما اغترم ممّا عداه ، من غير فرق فيه وفيما قبله بين أنْ يكون فى مقابله نفع مستوفىٰ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لم يرجع فيه ؛ فلإقدامه علىٰ ضمانه ، فلا يكون مغروراً من جهته ، فتبقىٰ الأصول محكّمة فيه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الإقدام علىٰ ضمان العين بالثمن في صحيح البيع إقدام على ضمان مطلق القيمة ، فلا يرجع بالزائد أيضاً</w:t>
      </w:r>
      <w:r>
        <w:rPr>
          <w:rStyle w:val="FootnoteAnchor"/>
          <w:rtl w:val="true"/>
        </w:rPr>
        <w:footnoteReference w:id="649"/>
      </w:r>
      <w:r>
        <w:rPr>
          <w:rFonts w:ascii="Amiri" w:hAnsi="Amiri" w:eastAsia="Amiri" w:cs="Amiri"/>
          <w:color w:val="111111"/>
          <w:sz w:val="28"/>
          <w:sz w:val="28"/>
          <w:szCs w:val="28"/>
          <w:rtl w:val="true"/>
          <w:lang w:bidi="ar-SA"/>
        </w:rPr>
        <w:t xml:space="preserve">، وأنّ النفع المستوفىٰ مال محترم وصل إليه فيضمن عوضه ؛ في محلّ المنع ، والوجه ظاهر </w:t>
      </w:r>
      <w:r>
        <w:rPr>
          <w:rStyle w:val="FootnoteAnchor"/>
          <w:rtl w:val="true"/>
        </w:rPr>
        <w:footnoteReference w:id="650"/>
      </w:r>
      <w:r>
        <w:rPr>
          <w:rFonts w:ascii="Amiri" w:hAnsi="Amiri" w:eastAsia="Amiri" w:cs="Amiri"/>
          <w:color w:val="111111"/>
          <w:sz w:val="28"/>
          <w:sz w:val="28"/>
          <w:szCs w:val="28"/>
          <w:rtl w:val="true"/>
          <w:lang w:bidi="ar-SA"/>
        </w:rPr>
        <w:t xml:space="preserve">وأمّا ما يرجع فيه ؛ فلانه مغرور مضرور معتدىًٰ عليه، فيرجع علىٰ مَن غرّه أو ضرّه أو اعتدى عليه ،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وسنّةً </w:t>
      </w:r>
      <w:r>
        <w:rPr>
          <w:rStyle w:val="FootnoteAnchor"/>
          <w:rtl w:val="true"/>
        </w:rPr>
        <w:footnoteReference w:id="652"/>
      </w:r>
      <w:r>
        <w:rPr>
          <w:rFonts w:ascii="Amiri" w:hAnsi="Amiri" w:eastAsia="Amiri" w:cs="Amiri"/>
          <w:color w:val="111111"/>
          <w:sz w:val="28"/>
          <w:sz w:val="28"/>
          <w:szCs w:val="28"/>
          <w:rtl w:val="true"/>
          <w:lang w:bidi="ar-SA"/>
        </w:rPr>
        <w:t xml:space="preserve">،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ومنقولاً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ولو أخذ عليه الضمان من غير رجوع علىٰ فرض ظهور مالك آخر ؛ قوي عدم الرجوع ، لعدم الغرور حينئذ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العلم فلا رجوع له عليه بغير ما دفعه إليه من العوض ، لاستقرار الضمان عليه ، وليس بمغرور من قبله ، والمباشر أقوىٰ من السبب ، وما جاءَه الغرر إلّا من يده ، وللإجماع بقسميه </w:t>
      </w:r>
      <w:r>
        <w:rPr>
          <w:rStyle w:val="FootnoteAnchor"/>
          <w:rtl w:val="true"/>
        </w:rPr>
        <w:footnoteReference w:id="654"/>
      </w:r>
      <w:r>
        <w:rPr>
          <w:rFonts w:ascii="Amiri" w:hAnsi="Amiri" w:eastAsia="Amiri" w:cs="Amiri"/>
          <w:color w:val="111111"/>
          <w:sz w:val="28"/>
          <w:sz w:val="28"/>
          <w:szCs w:val="28"/>
          <w:rtl w:val="true"/>
          <w:lang w:bidi="ar-SA"/>
        </w:rPr>
        <w:t xml:space="preserve">؛ ولا بما دفعه إليه مع تلفه ، لتسليطه عليه مجّاناً ، وهتكه حرمة ماله ، وللإجماع محصّلاً ومنقولاً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منه في خصوص الغصب والفضولي مبنيّ علىٰ المثال، </w:t>
      </w:r>
    </w:p>
    <w:p>
      <w:pPr>
        <w:pStyle w:val="BookText"/>
        <w:rPr/>
      </w:pPr>
      <w:r>
        <w:rPr>
          <w:rFonts w:ascii="Amiri" w:hAnsi="Amiri" w:eastAsia="Amiri" w:cs="Amiri"/>
          <w:color w:val="111111"/>
          <w:sz w:val="28"/>
          <w:sz w:val="28"/>
          <w:szCs w:val="28"/>
          <w:rtl w:val="true"/>
          <w:lang w:bidi="ar-SA"/>
        </w:rPr>
        <w:t xml:space="preserve">كما يقضي به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البقاء فإنْ كان في غصب أو فضولي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رجوع عليه </w:t>
      </w:r>
      <w:r>
        <w:rPr>
          <w:rStyle w:val="FootnoteAnchor"/>
          <w:rtl w:val="true"/>
        </w:rPr>
        <w:footnoteReference w:id="656"/>
      </w:r>
      <w:r>
        <w:rPr>
          <w:rFonts w:ascii="Amiri" w:hAnsi="Amiri" w:eastAsia="Amiri" w:cs="Amiri"/>
          <w:color w:val="111111"/>
          <w:sz w:val="28"/>
          <w:sz w:val="28"/>
          <w:szCs w:val="28"/>
          <w:rtl w:val="true"/>
          <w:lang w:bidi="ar-SA"/>
        </w:rPr>
        <w:t xml:space="preserve">غرّمه المالك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المنقول من جماعة فيهما </w:t>
      </w:r>
      <w:r>
        <w:rPr>
          <w:rStyle w:val="FootnoteAnchor"/>
          <w:rtl w:val="true"/>
        </w:rPr>
        <w:footnoteReference w:id="657"/>
      </w:r>
      <w:r>
        <w:rPr>
          <w:rFonts w:ascii="Amiri" w:hAnsi="Amiri" w:eastAsia="Amiri" w:cs="Amiri"/>
          <w:color w:val="111111"/>
          <w:sz w:val="28"/>
          <w:sz w:val="28"/>
          <w:szCs w:val="28"/>
          <w:rtl w:val="true"/>
          <w:lang w:bidi="ar-SA"/>
        </w:rPr>
        <w:t xml:space="preserve">، ويقتصر فيما خالف الأصل عليهما ، مع انجباره بالشهرة </w:t>
      </w:r>
      <w:r>
        <w:rPr>
          <w:rStyle w:val="FootnoteAnchor"/>
          <w:rtl w:val="true"/>
        </w:rPr>
        <w:footnoteReference w:id="658"/>
      </w:r>
      <w:r>
        <w:rPr>
          <w:rFonts w:ascii="Amiri" w:hAnsi="Amiri" w:eastAsia="Amiri" w:cs="Amiri"/>
          <w:color w:val="111111"/>
          <w:sz w:val="28"/>
          <w:sz w:val="28"/>
          <w:szCs w:val="28"/>
          <w:rtl w:val="true"/>
          <w:lang w:bidi="ar-SA"/>
        </w:rPr>
        <w:t xml:space="preserve">، وبموافقة اللطف من سدّ باب الفساد علىٰ العباد ، وعدم التجرّي علىٰ أموال الناس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وثبوت الحكم فيهما وتسريته إلىٰ غيرهما، لأنّه يعود إلىٰ الهبة ، لدفعه بلا عوض</w:t>
      </w:r>
      <w:r>
        <w:rPr>
          <w:rStyle w:val="FootnoteAnchor"/>
          <w:rtl w:val="true"/>
        </w:rPr>
        <w:footnoteReference w:id="659"/>
      </w:r>
      <w:r>
        <w:rPr>
          <w:rFonts w:ascii="Amiri" w:hAnsi="Amiri" w:eastAsia="Amiri" w:cs="Amiri"/>
          <w:color w:val="111111"/>
          <w:sz w:val="28"/>
          <w:sz w:val="28"/>
          <w:szCs w:val="28"/>
          <w:rtl w:val="true"/>
          <w:lang w:bidi="ar-SA"/>
        </w:rPr>
        <w:t xml:space="preserve">؛ مردود بالمنع أولاً، وبعدم اللّزوم في غير ذي الرحم ثانياً ، فلا يثمر عدم جواز الرجوع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الإعراض المخرج عن ملك المعرِض ، فيملكه القابِض ملك </w:t>
      </w:r>
    </w:p>
    <w:p>
      <w:pPr>
        <w:pStyle w:val="BookText"/>
        <w:rPr/>
      </w:pPr>
      <w:r>
        <w:rPr>
          <w:rFonts w:ascii="Amiri" w:hAnsi="Amiri" w:eastAsia="Amiri" w:cs="Amiri"/>
          <w:color w:val="111111"/>
          <w:sz w:val="28"/>
          <w:sz w:val="28"/>
          <w:szCs w:val="28"/>
          <w:rtl w:val="true"/>
          <w:lang w:bidi="ar-SA"/>
        </w:rPr>
        <w:t xml:space="preserve">الحيازة </w:t>
      </w:r>
      <w:r>
        <w:rPr>
          <w:rStyle w:val="FootnoteAnchor"/>
          <w:rtl w:val="true"/>
        </w:rPr>
        <w:footnoteReference w:id="660"/>
      </w:r>
      <w:r>
        <w:rPr>
          <w:rFonts w:ascii="Amiri" w:hAnsi="Amiri" w:eastAsia="Amiri" w:cs="Amiri"/>
          <w:color w:val="111111"/>
          <w:sz w:val="28"/>
          <w:sz w:val="28"/>
          <w:szCs w:val="28"/>
          <w:rtl w:val="true"/>
          <w:lang w:bidi="ar-SA"/>
        </w:rPr>
        <w:t xml:space="preserve">حَريَّةٌ بالإعراض، لمنع الدخول فيه أولاً، ومنع الدخول في ملك القابض قبل التصرّف ثانياً ، والشكّ في اللّزوم مع القول بالملك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جواز رجوعه لا يخلو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الخروج عن ملك الدافع ، والدخول في ملك المدفوع إليه ، ويكون حلالاً له أو حراماً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والبقاء في ملك الدافع ولا سلطان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ردّه إليه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حلال علىٰ المدفوع إليه بإذن المالك الأصلي ، وإنْ فعل حراماً في مبدأ أخذه ، أو حرام لا يترتّب عليه 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والخروج عن الأوّل وعدم الدخول في ملك الثاني ، فيبقىٰ كمالٍ حجبه الشارع عن مالكه ، ويرجع عن أمره إلىٰ الحاكم ، أو بمنزلة المباحات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الرجوع إلىٰ القواعد المحكمة العقلية والشرعية من تسليط الناس علىٰ أموالهم</w:t>
      </w:r>
      <w:r>
        <w:rPr>
          <w:rStyle w:val="FootnoteAnchor"/>
          <w:rtl w:val="true"/>
        </w:rPr>
        <w:footnoteReference w:id="661"/>
      </w:r>
      <w:r>
        <w:rPr>
          <w:rFonts w:ascii="IRNazanin" w:hAnsi="IRNazanin" w:eastAsia="IRNazanin"/>
          <w:color w:val="111111"/>
          <w:sz w:val="28"/>
          <w:sz w:val="28"/>
          <w:szCs w:val="28"/>
          <w:rtl w:val="true"/>
          <w:lang w:bidi="fa-IR"/>
        </w:rPr>
        <w:t xml:space="preserve">، وأنّ منعهم عنها ظلم </w:t>
      </w:r>
      <w:r>
        <w:rPr>
          <w:rStyle w:val="FootnoteAnchor"/>
          <w:rtl w:val="true"/>
        </w:rPr>
        <w:footnoteReference w:id="662"/>
      </w:r>
      <w:r>
        <w:rPr>
          <w:rFonts w:ascii="Amiri" w:hAnsi="Amiri" w:eastAsia="Amiri" w:cs="Amiri"/>
          <w:color w:val="111111"/>
          <w:sz w:val="28"/>
          <w:sz w:val="28"/>
          <w:szCs w:val="28"/>
          <w:rtl w:val="true"/>
          <w:lang w:bidi="ar-SA"/>
        </w:rPr>
        <w:t xml:space="preserve">، والأصل بقاء المال علىٰ ملك صاحبه </w:t>
      </w:r>
      <w:r>
        <w:rPr>
          <w:rStyle w:val="FootnoteAnchor"/>
          <w:rtl w:val="true"/>
        </w:rPr>
        <w:footnoteReference w:id="663"/>
      </w:r>
      <w:r>
        <w:rPr>
          <w:rFonts w:ascii="Amiri" w:hAnsi="Amiri" w:eastAsia="Amiri" w:cs="Amiri"/>
          <w:color w:val="111111"/>
          <w:sz w:val="28"/>
          <w:sz w:val="28"/>
          <w:szCs w:val="28"/>
          <w:rtl w:val="true"/>
          <w:lang w:bidi="ar-SA"/>
        </w:rPr>
        <w:t xml:space="preserve">، فالخروج عن ذلك لإجماع غير محقق </w:t>
      </w:r>
      <w:r>
        <w:rPr>
          <w:rStyle w:val="FootnoteAnchor"/>
          <w:rtl w:val="true"/>
        </w:rPr>
        <w:footnoteReference w:id="664"/>
      </w:r>
      <w:r>
        <w:rPr>
          <w:rFonts w:ascii="Amiri" w:hAnsi="Amiri" w:eastAsia="Amiri" w:cs="Amiri"/>
          <w:color w:val="111111"/>
          <w:sz w:val="28"/>
          <w:sz w:val="28"/>
          <w:szCs w:val="28"/>
          <w:rtl w:val="true"/>
          <w:lang w:bidi="ar-SA"/>
        </w:rPr>
        <w:t xml:space="preserve">؛ لا يوافق </w:t>
      </w:r>
    </w:p>
    <w:p>
      <w:pPr>
        <w:pStyle w:val="BookText"/>
        <w:rPr/>
      </w:pPr>
      <w:r>
        <w:rPr>
          <w:rFonts w:ascii="Amiri" w:hAnsi="Amiri" w:eastAsia="Amiri" w:cs="Amiri"/>
          <w:color w:val="111111"/>
          <w:sz w:val="28"/>
          <w:sz w:val="28"/>
          <w:szCs w:val="28"/>
          <w:rtl w:val="true"/>
          <w:lang w:bidi="ar-SA"/>
        </w:rPr>
        <w:t xml:space="preserve">الفقاهة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161/3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الردّ إليه ، ويجب التخلية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ينزّل عليه بعض كلماتهم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في هذا الباب ما روي عن الصادق علیه السلام ، في الرجل توجد عنده السرقة، أنّه غارم ما لم يأت علىٰ بائعها بشهود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بمضمونها في النهاية </w:t>
      </w:r>
      <w:r>
        <w:rPr>
          <w:rStyle w:val="FootnoteAnchor"/>
          <w:rtl w:val="true"/>
        </w:rPr>
        <w:footnoteReference w:id="667"/>
      </w:r>
      <w:r>
        <w:rPr>
          <w:rFonts w:ascii="Amiri" w:hAnsi="Amiri" w:eastAsia="Amiri" w:cs="Amiri"/>
          <w:color w:val="111111"/>
          <w:sz w:val="28"/>
          <w:sz w:val="28"/>
          <w:szCs w:val="28"/>
          <w:rtl w:val="true"/>
          <w:lang w:bidi="ar-SA"/>
        </w:rPr>
        <w:t xml:space="preserve">، والمراد بها ما لو ادعىٰ المالك سرقتها ، وادعىٰ الآخر شراءَها منه ، أو عدم الضمان ؛ فلا رجوع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هنا قابل للحمل علىٰ أنّ المشتري لا يتعلّق به ضمان ، لقوة السبب وضعفه ، فيراد رجوع المالك ، أو يُقرأ بالبناء للمجهول ويراد ذلك ، لكنّه بعيد عن مقتضىٰ الفقاهة ، وطريقة المصنّف رحمه اللّٰه علیه ، والأولىٰ ما ذكرناه </w:t>
      </w:r>
      <w:r>
        <w:rPr>
          <w:rStyle w:val="FootnoteAnchor"/>
          <w:rtl w:val="true"/>
        </w:rPr>
        <w:footnoteReference w:id="668"/>
      </w:r>
      <w:bookmarkStart w:id="243" w:name="pg20243_272179"/>
    </w:p>
    <w:p>
      <w:pPr>
        <w:pStyle w:val="Heading3"/>
        <w:numPr>
          <w:ilvl w:val="2"/>
          <w:numId w:val="1"/>
        </w:numPr>
        <w:rPr/>
      </w:pPr>
      <w:bookmarkStart w:id="244" w:name="__RefHeading___Toc5284948_2320776876"/>
      <w:bookmarkStart w:id="245" w:name="_Toc85"/>
      <w:bookmarkEnd w:id="243"/>
      <w:bookmarkEnd w:id="244"/>
      <w:r>
        <w:rPr>
          <w:rtl w:val="true"/>
        </w:rPr>
        <w:t>حکم ما لو اشتری بمال السرقة و الخیانة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مال السرقة والخيانة عوضاً أو معوّضاً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أو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بها ولم يتعقبّها إجازة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يكون العوض ركناً فيه ، بخلاف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صرّح بالذمّة أو أطلق فيرجع إليها ، أو نوىٰ العين غير مصرّح علىٰ إشكال، أو تعقّبت الإجازة له علىٰ ما سيجيء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بالضيعة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مع الخلوّ عن المانع ، لأنّه عقد شرعي لم يفقد شرطاً شرعياً ولا قارن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وزر المال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وعقوبته </w:t>
      </w:r>
      <w:r>
        <w:rPr>
          <w:rFonts w:eastAsia="IRNazanin" w:cs="IRNazanin"/>
          <w:color w:val="111111"/>
          <w:sz w:val="28"/>
          <w:szCs w:val="28"/>
          <w:rtl w:val="true"/>
          <w:lang w:bidi="fa-IR"/>
        </w:rPr>
        <w:t>.</w:t>
      </w:r>
    </w:p>
    <w:p>
      <w:pPr>
        <w:pStyle w:val="Heading3"/>
        <w:numPr>
          <w:ilvl w:val="2"/>
          <w:numId w:val="1"/>
        </w:numPr>
        <w:rPr/>
      </w:pPr>
      <w:bookmarkStart w:id="246" w:name="__RefHeading___Toc5284950_2320776876"/>
      <w:bookmarkStart w:id="247" w:name="_Toc86"/>
      <w:bookmarkEnd w:id="246"/>
      <w:r>
        <w:rPr>
          <w:rtl w:val="true"/>
        </w:rPr>
        <w:t>حکم ما لو حجّ به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مطلقاً صحّت حجّته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بدونه </w:t>
      </w:r>
      <w:r>
        <w:rPr>
          <w:rStyle w:val="FootnoteAnchor"/>
          <w:rtl w:val="true"/>
        </w:rPr>
        <w:footnoteReference w:id="670"/>
      </w:r>
      <w:r>
        <w:rPr>
          <w:rFonts w:ascii="Amiri" w:hAnsi="Amiri" w:eastAsia="Amiri" w:cs="Amiri"/>
          <w:color w:val="111111"/>
          <w:sz w:val="28"/>
          <w:sz w:val="28"/>
          <w:szCs w:val="28"/>
          <w:rtl w:val="true"/>
          <w:lang w:bidi="ar-SA"/>
        </w:rPr>
        <w:t>برئت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أعمال الحجّ ، ولا يكون مشغول الذمّة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الهدى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وثوبي الإحرام ممّا يتعلّق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مالكها إجازة ترفع الحظر عن التصرّف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اشتراه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الابتياع والاستعمال ضدّين للأداء أو لا</w:t>
      </w:r>
    </w:p>
    <w:p>
      <w:pPr>
        <w:pStyle w:val="Heading3"/>
        <w:numPr>
          <w:ilvl w:val="2"/>
          <w:numId w:val="1"/>
        </w:numPr>
        <w:rPr/>
      </w:pPr>
      <w:bookmarkStart w:id="248" w:name="__RefHeading___Toc5284952_2320776876"/>
      <w:bookmarkStart w:id="249" w:name="_Toc87"/>
      <w:bookmarkEnd w:id="248"/>
      <w:r>
        <w:rPr>
          <w:rtl w:val="true"/>
        </w:rPr>
        <w:t>حکم الطواف و السعی بالثوب المغضوب أو علی الدابة المغصوبة</w:t>
      </w:r>
      <w:bookmarkEnd w:id="2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طاف أو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النعل أو </w:t>
      </w:r>
      <w:bookmarkStart w:id="250" w:name="pg20243_272180"/>
    </w:p>
    <w:p>
      <w:pPr>
        <w:pStyle w:val="BookText"/>
        <w:rPr/>
      </w:pPr>
      <w:bookmarkEnd w:id="250"/>
      <w:r>
        <w:rPr>
          <w:rFonts w:ascii="Amiri" w:hAnsi="Amiri" w:eastAsia="Amiri" w:cs="Amiri"/>
          <w:color w:val="111111"/>
          <w:sz w:val="28"/>
          <w:sz w:val="28"/>
          <w:szCs w:val="28"/>
          <w:rtl w:val="true"/>
          <w:lang w:bidi="ar-SA"/>
        </w:rPr>
        <w:t xml:space="preserve">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المباحة ذات السرج أو الرحل أو الوطاء أو النعل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وبطلت علىٰ الأقوىٰ </w:t>
      </w:r>
      <w:r>
        <w:rPr>
          <w:rStyle w:val="FootnoteAnchor"/>
          <w:rtl w:val="true"/>
        </w:rPr>
        <w:footnoteReference w:id="672"/>
      </w:r>
      <w:r>
        <w:rPr>
          <w:rFonts w:ascii="Amiri" w:hAnsi="Amiri" w:eastAsia="Amiri" w:cs="Amiri"/>
          <w:color w:val="111111"/>
          <w:sz w:val="28"/>
          <w:sz w:val="28"/>
          <w:szCs w:val="28"/>
          <w:rtl w:val="true"/>
          <w:lang w:bidi="ar-SA"/>
        </w:rPr>
        <w:t xml:space="preserve">، لاقتضاء النهى العبادة الفساد ، ولانصراف شرائطها إلىٰ المباحات ، وللإجماع في بعض وإلحاق بعض بالمناط المنقّح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284954_2320776876"/>
      <w:bookmarkStart w:id="252" w:name="_Toc88"/>
      <w:bookmarkEnd w:id="251"/>
      <w:r>
        <w:rPr>
          <w:rtl w:val="true"/>
        </w:rPr>
        <w:t>التطیف</w:t>
      </w:r>
      <w:bookmarkEnd w:id="2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والتطفيف</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التنقيص علىٰ وجه الخيانة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Style w:val="FootnoteAnchor"/>
          <w:rtl w:val="true"/>
        </w:rPr>
        <w:footnoteReference w:id="675"/>
      </w:r>
      <w:r>
        <w:rPr>
          <w:rFonts w:ascii="Amiri" w:hAnsi="Amiri" w:eastAsia="Amiri" w:cs="Amiri"/>
          <w:color w:val="111111"/>
          <w:sz w:val="28"/>
          <w:sz w:val="28"/>
          <w:szCs w:val="28"/>
          <w:rtl w:val="true"/>
          <w:lang w:bidi="ar-SA"/>
        </w:rPr>
        <w:t>في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 بهما </w:t>
      </w:r>
      <w:r>
        <w:rPr>
          <w:rStyle w:val="FootnoteAnchor"/>
          <w:rtl w:val="true"/>
        </w:rPr>
        <w:footnoteReference w:id="676"/>
      </w:r>
      <w:r>
        <w:rPr>
          <w:rFonts w:ascii="Amiri" w:hAnsi="Amiri" w:eastAsia="Amiri" w:cs="Amiri"/>
          <w:color w:val="111111"/>
          <w:sz w:val="28"/>
          <w:sz w:val="28"/>
          <w:szCs w:val="28"/>
          <w:rtl w:val="true"/>
          <w:lang w:bidi="ar-SA"/>
        </w:rPr>
        <w:t xml:space="preserve">، أو يعمّ معناه العدّ والذرع </w:t>
      </w:r>
      <w:r>
        <w:rPr>
          <w:rStyle w:val="FootnoteAnchor"/>
          <w:rtl w:val="true"/>
        </w:rPr>
        <w:footnoteReference w:id="677"/>
      </w:r>
      <w:r>
        <w:rPr>
          <w:rFonts w:ascii="Amiri" w:hAnsi="Amiri" w:eastAsia="Amiri" w:cs="Amiri"/>
          <w:color w:val="111111"/>
          <w:sz w:val="28"/>
          <w:sz w:val="28"/>
          <w:szCs w:val="28"/>
          <w:rtl w:val="true"/>
          <w:lang w:bidi="ar-SA"/>
        </w:rPr>
        <w:t xml:space="preserve">والخرص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التفسيرين ، وإنْ كان 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فيهما واحد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حرام عقلاً ، ونقلاً</w:t>
      </w:r>
      <w:r>
        <w:rPr>
          <w:rFonts w:eastAsia="Amiri" w:cs="Amiri" w:ascii="Amiri" w:hAnsi="Amiri"/>
          <w:color w:val="111111"/>
          <w:sz w:val="28"/>
          <w:szCs w:val="28"/>
          <w:rtl w:val="true"/>
          <w:lang w:bidi="ar-SA"/>
        </w:rPr>
        <w:t xml:space="preserve">: </w:t>
      </w:r>
      <w:bookmarkStart w:id="253" w:name="pg20243_272181"/>
    </w:p>
    <w:p>
      <w:pPr>
        <w:pStyle w:val="BookText"/>
        <w:rPr/>
      </w:pPr>
      <w:bookmarkEnd w:id="253"/>
      <w:r>
        <w:rPr>
          <w:rFonts w:ascii="Amiri" w:hAnsi="Amiri" w:eastAsia="Amiri" w:cs="Amiri"/>
          <w:color w:val="111111"/>
          <w:sz w:val="28"/>
          <w:sz w:val="28"/>
          <w:szCs w:val="28"/>
          <w:rtl w:val="true"/>
          <w:lang w:bidi="ar-SA"/>
        </w:rPr>
        <w:t>كتاباً</w:t>
      </w:r>
      <w:r>
        <w:rPr>
          <w:rStyle w:val="FootnoteAnchor"/>
          <w:rtl w:val="true"/>
        </w:rPr>
        <w:footnoteReference w:id="679"/>
      </w:r>
      <w:r>
        <w:rPr>
          <w:rFonts w:ascii="Amiri" w:hAnsi="Amiri" w:eastAsia="Amiri" w:cs="Amiri"/>
          <w:color w:val="111111"/>
          <w:sz w:val="28"/>
          <w:sz w:val="28"/>
          <w:szCs w:val="28"/>
          <w:rtl w:val="true"/>
          <w:lang w:bidi="ar-SA"/>
        </w:rPr>
        <w:t xml:space="preserve">، وسنّة </w:t>
      </w:r>
      <w:r>
        <w:rPr>
          <w:rStyle w:val="FootnoteAnchor"/>
          <w:rtl w:val="true"/>
        </w:rPr>
        <w:footnoteReference w:id="680"/>
      </w:r>
      <w:r>
        <w:rPr>
          <w:rFonts w:ascii="Amiri" w:hAnsi="Amiri" w:eastAsia="Amiri" w:cs="Amiri"/>
          <w:color w:val="111111"/>
          <w:sz w:val="28"/>
          <w:sz w:val="28"/>
          <w:szCs w:val="28"/>
          <w:rtl w:val="true"/>
          <w:lang w:bidi="ar-SA"/>
        </w:rPr>
        <w:t>، وإجماعاً ؛ ولدخوله تحت الظلم ، والعدوان ، والخيانة ، وأكل أموال الناس بالباطل ، وغير ذلك</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284956_2320776876"/>
      <w:bookmarkStart w:id="255" w:name="_Toc89"/>
      <w:bookmarkEnd w:id="254"/>
      <w:r>
        <w:rPr>
          <w:rtl w:val="true"/>
        </w:rPr>
        <w:t>الرشا فی الحکم</w:t>
      </w:r>
      <w:bookmarkEnd w:id="25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الرشوة </w:t>
      </w:r>
      <w:r>
        <w:rPr>
          <w:rStyle w:val="FootnoteAnchor"/>
          <w:rtl w:val="true"/>
        </w:rPr>
        <w:footnoteReference w:id="681"/>
      </w:r>
      <w:r>
        <w:rPr>
          <w:rFonts w:ascii="Amiri" w:hAnsi="Amiri" w:eastAsia="Amiri" w:cs="Amiri"/>
          <w:color w:val="111111"/>
          <w:sz w:val="28"/>
          <w:sz w:val="28"/>
          <w:szCs w:val="28"/>
          <w:rtl w:val="true"/>
          <w:lang w:bidi="ar-SA"/>
        </w:rPr>
        <w:t xml:space="preserve">؛ مثلثة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 علىٰ باذله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يؤثّر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مطلق الجعل كما في القاموس</w:t>
      </w:r>
      <w:r>
        <w:rPr>
          <w:rStyle w:val="FootnoteAnchor"/>
          <w:rtl w:val="true"/>
        </w:rPr>
        <w:footnoteReference w:id="683"/>
      </w:r>
      <w:r>
        <w:rPr>
          <w:rFonts w:ascii="Amiri" w:hAnsi="Amiri" w:eastAsia="Amiri" w:cs="Amiri"/>
          <w:color w:val="111111"/>
          <w:sz w:val="28"/>
          <w:sz w:val="28"/>
          <w:szCs w:val="28"/>
          <w:rtl w:val="true"/>
          <w:lang w:bidi="ar-SA"/>
        </w:rPr>
        <w:t xml:space="preserve">بل بينه وبين الاُجرة والجعل عموم من وجه ولا البذل علىٰ خصوص الباطل ، كما في النهاية </w:t>
      </w:r>
      <w:r>
        <w:rPr>
          <w:rStyle w:val="FootnoteAnchor"/>
          <w:rtl w:val="true"/>
        </w:rPr>
        <w:footnoteReference w:id="684"/>
      </w:r>
      <w:r>
        <w:rPr>
          <w:rFonts w:ascii="IRNazanin" w:hAnsi="IRNazanin" w:eastAsia="IRNazanin"/>
          <w:color w:val="111111"/>
          <w:sz w:val="28"/>
          <w:sz w:val="28"/>
          <w:szCs w:val="28"/>
          <w:rtl w:val="true"/>
          <w:lang w:bidi="fa-IR"/>
        </w:rPr>
        <w:t xml:space="preserve">والمجمع </w:t>
      </w:r>
      <w:r>
        <w:rPr>
          <w:rStyle w:val="FootnoteAnchor"/>
          <w:rtl w:val="true"/>
        </w:rPr>
        <w:footnoteReference w:id="685"/>
      </w:r>
      <w:r>
        <w:rPr>
          <w:rFonts w:ascii="IRNazanin" w:hAnsi="IRNazanin" w:eastAsia="IRNazanin"/>
          <w:color w:val="111111"/>
          <w:sz w:val="28"/>
          <w:sz w:val="28"/>
          <w:szCs w:val="28"/>
          <w:rtl w:val="true"/>
          <w:lang w:bidi="fa-IR"/>
        </w:rPr>
        <w:t xml:space="preserve">، ولا مطلق </w:t>
      </w:r>
    </w:p>
    <w:p>
      <w:pPr>
        <w:pStyle w:val="BookText"/>
        <w:rPr/>
      </w:pPr>
      <w:r>
        <w:rPr>
          <w:rFonts w:ascii="Amiri" w:hAnsi="Amiri" w:eastAsia="Amiri" w:cs="Amiri"/>
          <w:color w:val="111111"/>
          <w:sz w:val="28"/>
          <w:sz w:val="28"/>
          <w:szCs w:val="28"/>
          <w:rtl w:val="true"/>
          <w:lang w:bidi="ar-SA"/>
        </w:rPr>
        <w:t xml:space="preserve">البذل ولو علىٰ خصوص الحقّ ، بل هو البذل على الباطل ، أو على الحكم له ، حقاً أو باطلاً، مع التسمية و </w:t>
      </w:r>
      <w:r>
        <w:rPr>
          <w:rStyle w:val="FootnoteAnchor"/>
          <w:rtl w:val="true"/>
        </w:rPr>
        <w:footnoteReference w:id="686"/>
      </w:r>
      <w:r>
        <w:rPr>
          <w:rFonts w:ascii="Amiri" w:hAnsi="Amiri" w:eastAsia="Amiri" w:cs="Amiri"/>
          <w:color w:val="111111"/>
          <w:sz w:val="28"/>
          <w:sz w:val="28"/>
          <w:szCs w:val="28"/>
          <w:rtl w:val="true"/>
          <w:lang w:bidi="ar-SA"/>
        </w:rPr>
        <w:t xml:space="preserve">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بصورة الإجارة علىٰ أصل القضاء أو علىٰ خصوص الحقّ فيه فسيجيء الكلام فيه</w:t>
      </w:r>
    </w:p>
    <w:p>
      <w:pPr>
        <w:pStyle w:val="BookText"/>
        <w:rPr/>
      </w:pPr>
      <w:r>
        <w:rPr>
          <w:rFonts w:ascii="Amiri" w:hAnsi="Amiri" w:eastAsia="Amiri" w:cs="Amiri"/>
          <w:color w:val="111111"/>
          <w:sz w:val="28"/>
          <w:sz w:val="28"/>
          <w:szCs w:val="28"/>
          <w:rtl w:val="true"/>
          <w:lang w:bidi="ar-SA"/>
        </w:rPr>
        <w:t xml:space="preserve">وعلىٰ تحريمه إجماع المسلمين </w:t>
      </w:r>
      <w:r>
        <w:rPr>
          <w:rStyle w:val="FootnoteAnchor"/>
          <w:rtl w:val="true"/>
        </w:rPr>
        <w:footnoteReference w:id="687"/>
      </w:r>
      <w:r>
        <w:rPr>
          <w:rFonts w:ascii="Amiri" w:hAnsi="Amiri" w:eastAsia="Amiri" w:cs="Amiri"/>
          <w:color w:val="111111"/>
          <w:sz w:val="28"/>
          <w:sz w:val="28"/>
          <w:szCs w:val="28"/>
          <w:rtl w:val="true"/>
          <w:lang w:bidi="ar-SA"/>
        </w:rPr>
        <w:t xml:space="preserve">، بل الملّيين ، وفي بعض وفي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العظيم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والمرتشى</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ودفعه حرام ، كأخذه ؛ لما ذكر ، مع كونه إعانة علىٰ الإثم ، وترغيباً علىٰ المعصية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توقّف الوصول إلىٰ الحقّ علىٰ البذل جاز لا علىٰ وجه الرشوة كما سیجیء، كما يجوز إلىٰ العشّار والسارق والظالم لحفظ النفس أو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الساعي بينهما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في الإثم ، لتقويته أمر المعصية ومساعدته عليها كالأمر بالمنكر </w:t>
      </w:r>
      <w:r>
        <w:rPr>
          <w:rFonts w:eastAsia="Amiri" w:cs="Amiri" w:ascii="Amiri" w:hAnsi="Amiri"/>
          <w:color w:val="111111"/>
          <w:sz w:val="28"/>
          <w:szCs w:val="28"/>
          <w:rtl w:val="true"/>
          <w:lang w:bidi="ar-SA"/>
        </w:rPr>
        <w:t xml:space="preserve">. </w:t>
      </w:r>
      <w:bookmarkStart w:id="256" w:name="pg20243_272183"/>
    </w:p>
    <w:p>
      <w:pPr>
        <w:pStyle w:val="BookText"/>
        <w:rPr/>
      </w:pPr>
      <w:bookmarkEnd w:id="256"/>
      <w:r>
        <w:rPr>
          <w:rFonts w:ascii="Amiri" w:hAnsi="Amiri" w:eastAsia="Amiri" w:cs="Amiri"/>
          <w:color w:val="111111"/>
          <w:sz w:val="28"/>
          <w:sz w:val="28"/>
          <w:szCs w:val="28"/>
          <w:rtl w:val="true"/>
          <w:lang w:bidi="ar-SA"/>
        </w:rPr>
        <w:t xml:space="preserve">وإرسال الهدايا إلىٰ القضاة والحكّام ، توطئة لاحتمال وقوع الترافع بين المُهدي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يدخل تحت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تحت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الشهادة علىٰ باطل أو علىٰ الحالين من هذا القبيل ، وكذا الدفع لبذل النصرة والإعانة ظالماً أو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الرجوع عليه مع التلف أو بدونه مرّ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 إليه شيئاً بقصد القربة، وعلم من شرارة نفسه أنه يجور في الحكم بسببه ؛ وجب ردّه </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5284958_2320776876"/>
      <w:bookmarkStart w:id="258" w:name="_Toc90"/>
      <w:bookmarkEnd w:id="257"/>
      <w:r>
        <w:rPr>
          <w:rtl w:val="true"/>
        </w:rPr>
        <w:t>الخامس</w:t>
      </w:r>
      <w:r>
        <w:rPr>
          <w:rtl w:val="true"/>
        </w:rPr>
        <w:t xml:space="preserve">: </w:t>
      </w:r>
      <w:r>
        <w:rPr>
          <w:rtl w:val="true"/>
        </w:rPr>
        <w:t>ما یجب علی الانسان فعله</w:t>
      </w:r>
      <w:bookmarkEnd w:id="258"/>
    </w:p>
    <w:p>
      <w:pPr>
        <w:pStyle w:val="Heading3"/>
        <w:numPr>
          <w:ilvl w:val="2"/>
          <w:numId w:val="1"/>
        </w:numPr>
        <w:rPr/>
      </w:pPr>
      <w:bookmarkStart w:id="259" w:name="__RefHeading___Toc5284960_2320776876"/>
      <w:bookmarkStart w:id="260" w:name="_Toc91"/>
      <w:bookmarkEnd w:id="259"/>
      <w:r>
        <w:rPr>
          <w:rtl w:val="true"/>
        </w:rPr>
        <w:t>اشارة</w:t>
      </w:r>
      <w:bookmarkEnd w:id="26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مطلقاً ، أو مشروطاً بغير العوض وقد تحقق شرطه ، لتعلّق ملك أو حقّ مخلوقي أو خالقي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 وسائر الأعواض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عينيّاً كان كصلاة الفريضة وصوم شهر رمضان ، أو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كتغسيل الموتىٰ وتكفينهم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وتحنيطهم والصلاة عليهم، وحفر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 إلىٰ محالّها ، ونحوها ، من الأعمال اللّازمة التي لم تتعلّق بالمال، أصلياً كما مرّ ، أو عارضياً بنذر أو عهد ونحوهما ، لا لمنافاة القربة فيما يشترط بها، فيقتصر عليه ، كما ظُنّ </w:t>
      </w:r>
      <w:r>
        <w:rPr>
          <w:rStyle w:val="FootnoteAnchor"/>
          <w:rtl w:val="true"/>
        </w:rPr>
        <w:footnoteReference w:id="692"/>
      </w:r>
      <w:r>
        <w:rPr>
          <w:rFonts w:ascii="Amiri" w:hAnsi="Amiri" w:eastAsia="Amiri" w:cs="Amiri"/>
          <w:color w:val="111111"/>
          <w:sz w:val="28"/>
          <w:sz w:val="28"/>
          <w:szCs w:val="28"/>
          <w:rtl w:val="true"/>
          <w:lang w:bidi="ar-SA"/>
        </w:rPr>
        <w:t>؛ لأنّ تضاعف الوجوب يؤكّدها كما سيجيء تحقيقه ، بل لأنّ المملوك والمستَحَق لا يُمْلَك ولا يُسْتَحَق ثانياً</w:t>
      </w:r>
      <w:r>
        <w:rPr>
          <w:rStyle w:val="FootnoteAnchor"/>
          <w:rtl w:val="true"/>
        </w:rPr>
        <w:footnoteReference w:id="693"/>
      </w:r>
      <w:r>
        <w:rPr>
          <w:rFonts w:ascii="Amiri" w:hAnsi="Amiri" w:eastAsia="Amiri" w:cs="Amiri"/>
          <w:color w:val="111111"/>
          <w:sz w:val="28"/>
          <w:sz w:val="28"/>
          <w:szCs w:val="28"/>
          <w:rtl w:val="true"/>
          <w:lang w:bidi="ar-SA"/>
        </w:rPr>
        <w:t xml:space="preserve">، ولأنّ الإجارة لو تعلّقت </w:t>
      </w:r>
    </w:p>
    <w:p>
      <w:pPr>
        <w:pStyle w:val="BookText"/>
        <w:rPr/>
      </w:pPr>
      <w:r>
        <w:rPr>
          <w:rFonts w:ascii="Amiri" w:hAnsi="Amiri" w:eastAsia="Amiri" w:cs="Amiri"/>
          <w:color w:val="111111"/>
          <w:sz w:val="28"/>
          <w:sz w:val="28"/>
          <w:szCs w:val="28"/>
          <w:rtl w:val="true"/>
          <w:lang w:bidi="ar-SA"/>
        </w:rPr>
        <w:t xml:space="preserve">به ، كان للمستأجر سلطان عليه في الإيجاد والعدم، علىٰ نحو سلطان المُلّاك ، وكان له الإبراء والإقالة والتأجيل ، وكان للأجير قدرة علىٰ التسليم ؛ وفي الواجب يمتنع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العيني بالأصل أو بالعارض واضح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بفعله يتعيّن له ، فلا يدخل في ملك آخر ، ولعدم المستأجر فيما يملكه أو يستحقّه غيره ، لأنّه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لتملّكِ منفعتك المملوكة لك أو لغيرك </w:t>
      </w:r>
      <w:r>
        <w:rPr>
          <w:rStyle w:val="FootnoteAnchor"/>
          <w:rtl w:val="true"/>
        </w:rPr>
        <w:footnoteReference w:id="694"/>
      </w:r>
      <w:r>
        <w:rPr>
          <w:rFonts w:ascii="IRNazanin" w:hAnsi="IRNazanin" w:eastAsia="IRNazanin"/>
          <w:color w:val="111111"/>
          <w:sz w:val="28"/>
          <w:sz w:val="28"/>
          <w:szCs w:val="28"/>
          <w:rtl w:val="true"/>
          <w:lang w:bidi="fa-IR"/>
        </w:rPr>
        <w:t xml:space="preserve">، و </w:t>
      </w:r>
      <w:r>
        <w:rPr>
          <w:rStyle w:val="FootnoteAnchor"/>
          <w:rtl w:val="true"/>
        </w:rPr>
        <w:footnoteReference w:id="695"/>
      </w:r>
      <w:r>
        <w:rPr>
          <w:rFonts w:ascii="Amiri" w:hAnsi="Amiri" w:eastAsia="Amiri" w:cs="Amiri"/>
          <w:color w:val="111111"/>
          <w:sz w:val="28"/>
          <w:sz w:val="28"/>
          <w:szCs w:val="28"/>
          <w:rtl w:val="true"/>
          <w:lang w:bidi="ar-SA"/>
        </w:rPr>
        <w:t xml:space="preserve">لأنّ الظاهر عدم الدخول في عمومات المعاملات في الكتاب والسنّة ، فيبقىٰ علىٰ أصل عدم الانتقال عن </w:t>
      </w:r>
    </w:p>
    <w:p>
      <w:pPr>
        <w:pStyle w:val="BookText"/>
        <w:rPr/>
      </w:pPr>
      <w:r>
        <w:rPr>
          <w:rFonts w:ascii="Amiri" w:hAnsi="Amiri" w:eastAsia="Amiri" w:cs="Amiri"/>
          <w:color w:val="111111"/>
          <w:sz w:val="28"/>
          <w:sz w:val="28"/>
          <w:szCs w:val="28"/>
          <w:rtl w:val="true"/>
          <w:lang w:bidi="ar-SA"/>
        </w:rPr>
        <w:t xml:space="preserve">الحالة الاُولىٰ </w:t>
      </w:r>
      <w:r>
        <w:rPr>
          <w:rStyle w:val="FootnoteAnchor"/>
          <w:rtl w:val="true"/>
        </w:rPr>
        <w:footnoteReference w:id="69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واجباً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بواجب قبل حصول الشرط فتعلّق الإجارة به قبله لا مانع منه ، ولو كانت هي الشرط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وجب كفايةً من حِرَف وصناعات لم يجب إلا بشرط العوض بإجارة أو جعالة أو نحوهما ؛ فلا فرق بين وجوبها العيني للانحصار، ووجوبها الكفائي ، لتأخّر الوجوب عنها وعدمه قبلها </w:t>
      </w:r>
      <w:r>
        <w:rPr>
          <w:rStyle w:val="FootnoteAnchor"/>
          <w:rtl w:val="true"/>
        </w:rPr>
        <w:footnoteReference w:id="697"/>
      </w:r>
      <w:r>
        <w:rPr>
          <w:rFonts w:ascii="Amiri" w:hAnsi="Amiri" w:eastAsia="Amiri" w:cs="Amiri"/>
          <w:color w:val="111111"/>
          <w:sz w:val="28"/>
          <w:sz w:val="28"/>
          <w:szCs w:val="28"/>
          <w:rtl w:val="true"/>
          <w:lang w:bidi="ar-SA"/>
        </w:rPr>
        <w:t xml:space="preserve">، كما أنّ بذل الطعام والشراب للمضطر إنْ بقي علىٰ الكفاية أو تعيّن يستحق فيه أخذ العوض على الأصح ، لأنّ وجوبه مشروط ، بخلاف ما وجب مطلقاً ؛ بالأصالة كالنفقات ، </w:t>
      </w:r>
    </w:p>
    <w:p>
      <w:pPr>
        <w:pStyle w:val="BookText"/>
        <w:rPr/>
      </w:pPr>
      <w:r>
        <w:rPr>
          <w:rFonts w:ascii="Amiri" w:hAnsi="Amiri" w:eastAsia="Amiri" w:cs="Amiri"/>
          <w:color w:val="111111"/>
          <w:sz w:val="28"/>
          <w:sz w:val="28"/>
          <w:szCs w:val="28"/>
          <w:rtl w:val="true"/>
          <w:lang w:bidi="ar-SA"/>
        </w:rPr>
        <w:t xml:space="preserve">أو بالعارض كالمنذورات ونحوها </w:t>
      </w:r>
      <w:r>
        <w:rPr>
          <w:rStyle w:val="FootnoteAnchor"/>
          <w:rtl w:val="true"/>
        </w:rPr>
        <w:footnoteReference w:id="69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الإجماع المنقول عن جماعة </w:t>
      </w:r>
      <w:r>
        <w:rPr>
          <w:rStyle w:val="FootnoteAnchor"/>
          <w:rtl w:val="true"/>
        </w:rPr>
        <w:footnoteReference w:id="699"/>
      </w:r>
      <w:r>
        <w:rPr>
          <w:rFonts w:ascii="Amiri" w:hAnsi="Amiri" w:eastAsia="Amiri" w:cs="Amiri"/>
          <w:color w:val="111111"/>
          <w:sz w:val="28"/>
          <w:sz w:val="28"/>
          <w:szCs w:val="28"/>
          <w:rtl w:val="true"/>
          <w:lang w:bidi="ar-SA"/>
        </w:rPr>
        <w:t xml:space="preserve">علىٰ المنع في خصوص ما ذكر في المتن كفاية، ويفهم العموم من تعليلهم ذلك بالوجوب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المحصَّل غير بعيدة عند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الهدىٰ موافق في الأصل مخالف في الخصوصية </w:t>
      </w:r>
      <w:r>
        <w:rPr>
          <w:rStyle w:val="FootnoteAnchor"/>
          <w:rtl w:val="true"/>
        </w:rPr>
        <w:footnoteReference w:id="700"/>
      </w:r>
      <w:r>
        <w:rPr>
          <w:rFonts w:ascii="IRNazanin" w:hAnsi="IRNazanin" w:eastAsia="IRNazanin"/>
          <w:color w:val="111111"/>
          <w:sz w:val="28"/>
          <w:sz w:val="28"/>
          <w:szCs w:val="28"/>
          <w:rtl w:val="true"/>
          <w:lang w:bidi="fa-IR"/>
        </w:rPr>
        <w:t xml:space="preserve">لادعائه أنّ الوجوب في التغسيل ونحوه علىٰ الولی أولاً ، فيكون واجباً مرتّباً ، فلو استأجر عليه غيره </w:t>
      </w:r>
      <w:r>
        <w:rPr>
          <w:rStyle w:val="FootnoteAnchor"/>
          <w:rtl w:val="true"/>
        </w:rPr>
        <w:footnoteReference w:id="701"/>
      </w:r>
      <w:r>
        <w:rPr>
          <w:rFonts w:ascii="IRNazanin" w:hAnsi="IRNazanin" w:eastAsia="IRNazanin"/>
          <w:color w:val="111111"/>
          <w:sz w:val="28"/>
          <w:sz w:val="28"/>
          <w:szCs w:val="28"/>
          <w:rtl w:val="true"/>
          <w:lang w:bidi="fa-IR"/>
        </w:rPr>
        <w:t xml:space="preserve">، قبل الوجوب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702"/>
      </w:r>
      <w:r>
        <w:rPr>
          <w:rFonts w:ascii="Amiri" w:hAnsi="Amiri" w:eastAsia="Amiri" w:cs="Amiri"/>
          <w:color w:val="111111"/>
          <w:sz w:val="28"/>
          <w:sz w:val="28"/>
          <w:szCs w:val="28"/>
          <w:rtl w:val="true"/>
          <w:lang w:bidi="ar-SA"/>
        </w:rPr>
        <w:t xml:space="preserve">لم يكن فيه بأس، وهو خارج عن المسألة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نمنع ما ذكره أعلىٰ اللّٰه شأنه وأنار برهانه ، لأنّ التوقّف علىٰ الإذن لا ينافي الوجوب في أوّل درجته ، فيكون الوجوب مطلقاً والإيجاد مشروطاً بالإذن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يظهر خلافه فيما اشتبه إطلاقه وشرطيته ، فإنّا نمنع عن تعلّق الاستئجار به بناءً علىٰ ظاهر الإطلاق، والظاهر من طريقته تقديم الشرطية ، لأصالة عدم التكليف عند عدم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علمناه من الواجب المشروط ، كالصناعات من خياطة وحياكة ونحوهما ، ممّا يتعلّق بصلاح نظام الدنيا ؛ فلا نتأمّل في أخذ الأعواض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بسياسة الدين، وأحكام شريعة سيد المرسلين ، من العلوم والمقدّمات التوصّلية لمَن أراد التوصّل بها ، والفتاوىٰ الشرعية ، وتعليم الواجبات الحتمية ؛ فلا يجوز أخذ العوض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يشكّ فيه ملتحق عندنا به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فيما يتعلّق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الأربعة الباقية ؛ فالحرام منها قد تقدّم الكلام فيه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الأخر ؛ فلا مانع من جهة ذاتها ، ولا منافاة بين المعاوضة وبين صفاتها ، فإنْ حصل مانع خارج عنها حكمنا بالمنع منها ، كخلوّ النفع ، أو عدم إمكان تعلّق الملك ، أو عدم إمكان النيابة فيه، من غير فرق بين الندب وغيره ، فلو استأجره علىٰ خياطة ثوب نفسه، أو بناء حائطه ، أو كتابة مصحفه ، أو صلاة نافلته عن نفسه</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بطل عقده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استأجره لعمل تقع النيابة فيه من حجّ، أو زيارة، أو أداء مستحبّ ، أو فعل مكروه ، أو مباح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الحقّ أنّ النيابة عن الحيّ في المندوبات لا تدخل في العمومات ؛ فيقتصر علىٰ مورد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بعضهم </w:t>
      </w:r>
      <w:r>
        <w:rPr>
          <w:rStyle w:val="FootnoteAnchor"/>
          <w:rtl w:val="true"/>
        </w:rPr>
        <w:footnoteReference w:id="706"/>
      </w:r>
      <w:r>
        <w:rPr>
          <w:rFonts w:ascii="Amiri" w:hAnsi="Amiri" w:eastAsia="Amiri" w:cs="Amiri"/>
          <w:color w:val="111111"/>
          <w:sz w:val="28"/>
          <w:sz w:val="28"/>
          <w:szCs w:val="28"/>
          <w:rtl w:val="true"/>
          <w:lang w:bidi="ar-SA"/>
        </w:rPr>
        <w:t xml:space="preserve">حاكماً ، وبعضهم </w:t>
      </w:r>
      <w:r>
        <w:rPr>
          <w:rStyle w:val="FootnoteAnchor"/>
          <w:rtl w:val="true"/>
        </w:rPr>
        <w:footnoteReference w:id="707"/>
      </w:r>
      <w:r>
        <w:rPr>
          <w:rFonts w:ascii="Amiri" w:hAnsi="Amiri" w:eastAsia="Amiri" w:cs="Amiri"/>
          <w:color w:val="111111"/>
          <w:sz w:val="28"/>
          <w:sz w:val="28"/>
          <w:szCs w:val="28"/>
          <w:rtl w:val="true"/>
          <w:lang w:bidi="ar-SA"/>
        </w:rPr>
        <w:t xml:space="preserve">متردداً، من جواز الاستئجار والمعاوضة علىٰ جميع المندوبات عن الحيّ ؛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عموم الإجارة </w:t>
      </w:r>
      <w:r>
        <w:rPr>
          <w:rStyle w:val="FootnoteAnchor"/>
          <w:rtl w:val="true"/>
        </w:rPr>
        <w:footnoteReference w:id="708"/>
      </w:r>
      <w:r>
        <w:rPr>
          <w:rFonts w:ascii="Amiri" w:hAnsi="Amiri" w:eastAsia="Amiri" w:cs="Amiri"/>
          <w:color w:val="111111"/>
          <w:sz w:val="28"/>
          <w:sz w:val="28"/>
          <w:szCs w:val="28"/>
          <w:rtl w:val="true"/>
          <w:lang w:bidi="ar-SA"/>
        </w:rPr>
        <w:t xml:space="preserve">والنيابة له في محلّ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من ذلك أنّ المانع الذاتي من المعاوضات جار في الواجبات ،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عداها من المندوبات ، والمكروهات ، والمباحات ؛ فلا مانع لها من جهة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منعٌ فمن اُمور خارجيات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من اُمّهات المسائل، وينبغي لها استقصاء الفتاوىٰ والدلائل ، غير أنّ صاحب الذهن الوقّاد والفكر النقّاد يجد أنّ ما ذكرناه مع قلته فوق ما يراد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الأعواض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المستحبّ منها </w:t>
      </w:r>
    </w:p>
    <w:p>
      <w:pPr>
        <w:pStyle w:val="BookText"/>
        <w:rPr/>
      </w:pPr>
      <w:r>
        <w:rPr>
          <w:rFonts w:ascii="IRNazanin" w:hAnsi="IRNazanin" w:eastAsia="IRNazanin"/>
          <w:color w:val="111111"/>
          <w:sz w:val="28"/>
          <w:sz w:val="28"/>
          <w:szCs w:val="28"/>
          <w:rtl w:val="true"/>
          <w:lang w:bidi="fa-IR"/>
        </w:rPr>
        <w:t xml:space="preserve">فالأقرب جوازه </w:t>
      </w:r>
      <w:r>
        <w:rPr>
          <w:rStyle w:val="FootnoteAnchor"/>
          <w:rtl w:val="true"/>
        </w:rPr>
        <w:footnoteReference w:id="709"/>
      </w:r>
      <w:r>
        <w:rPr>
          <w:rFonts w:ascii="Amiri" w:hAnsi="Amiri" w:eastAsia="Amiri" w:cs="Amiri"/>
          <w:color w:val="111111"/>
          <w:sz w:val="28"/>
          <w:sz w:val="28"/>
          <w:szCs w:val="28"/>
          <w:rtl w:val="true"/>
          <w:lang w:bidi="ar-SA"/>
        </w:rPr>
        <w:t xml:space="preserve">وكذا علىٰ كلّ مستحبّ في غير ما استثنيناه ، ممّا لا يصلح للنيابة ، ولا يعود نفعه إلّا إلىٰ الأجير ، كقنوته ودعائه وبكائه وأذكاره المستحبّة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فرائضه ، ومندوباته</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ما أمكن القيام به علىٰ وجه النيابة ؛ صحّت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توابع المسألة المتقدّمة والشكّ فيما لا يشترط فيه القربة ، كمستحبّات التكفين والدفن، لا وجه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شرطه القربة ، كمستحبّات التغسيل والصلاة علىٰ الأموات ونحوها ؛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القربة ينافيها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الالتزام بالإجارة </w:t>
      </w:r>
      <w:bookmarkStart w:id="261" w:name="pg20243_272190"/>
    </w:p>
    <w:p>
      <w:pPr>
        <w:pStyle w:val="BookText"/>
        <w:rPr/>
      </w:pPr>
      <w:bookmarkEnd w:id="261"/>
      <w:r>
        <w:rPr>
          <w:rFonts w:ascii="Amiri" w:hAnsi="Amiri" w:eastAsia="Amiri" w:cs="Amiri"/>
          <w:color w:val="111111"/>
          <w:sz w:val="28"/>
          <w:sz w:val="28"/>
          <w:szCs w:val="28"/>
          <w:rtl w:val="true"/>
          <w:lang w:bidi="ar-SA"/>
        </w:rPr>
        <w:t xml:space="preserve">يؤكّد القربة فيها، كما يؤكّده النذر والعهد وسائر الالتزامات ، كما أكّدت إجارة الحجّ قربته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النيابة عن نوّابهم نيابة عنهم ، لا عن النوّاب ، فلا تكون عن الحىّ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284962_2320776876"/>
      <w:bookmarkStart w:id="263" w:name="_Toc92"/>
      <w:bookmarkEnd w:id="262"/>
      <w:r>
        <w:rPr>
          <w:rtl w:val="true"/>
        </w:rPr>
        <w:t>حرمة الاُجرة علی الأذان</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إعلامياً كان مع قصد الأذانية أو صلاتياً، مخاطباً به أو لا </w:t>
      </w:r>
      <w:r>
        <w:rPr>
          <w:rStyle w:val="FootnoteAnchor"/>
          <w:rtl w:val="true"/>
        </w:rPr>
        <w:footnoteReference w:id="711"/>
      </w:r>
      <w:r>
        <w:rPr>
          <w:rFonts w:ascii="Amiri" w:hAnsi="Amiri" w:eastAsia="Amiri" w:cs="Amiri"/>
          <w:color w:val="111111"/>
          <w:sz w:val="28"/>
          <w:sz w:val="28"/>
          <w:szCs w:val="28"/>
          <w:rtl w:val="true"/>
          <w:lang w:bidi="ar-SA"/>
        </w:rPr>
        <w:t xml:space="preserve">، مع صحّة النيابة فيدخل في قاعدة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فلا يدخل فيها ؛ ما لم يكن لصلاة النيابة ، فتقع الأجرة في الفرع وقوعها في الأصل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الحكم الروايات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واشتمالها علىٰ ما لا نقول به من تحريم اُجرة تعليم القرآن </w:t>
      </w:r>
      <w:r>
        <w:rPr>
          <w:rStyle w:val="FootnoteAnchor"/>
          <w:rtl w:val="true"/>
        </w:rPr>
        <w:footnoteReference w:id="713"/>
      </w:r>
      <w:r>
        <w:rPr>
          <w:rFonts w:ascii="Amiri" w:hAnsi="Amiri" w:eastAsia="Amiri" w:cs="Amiri"/>
          <w:color w:val="111111"/>
          <w:sz w:val="28"/>
          <w:sz w:val="28"/>
          <w:szCs w:val="28"/>
          <w:rtl w:val="true"/>
          <w:lang w:bidi="ar-SA"/>
        </w:rPr>
        <w:t>؛ لا يمنع الاستدلال والسند منجبر</w:t>
      </w:r>
      <w:r>
        <w:rPr>
          <w:rStyle w:val="FootnoteAnchor"/>
          <w:rtl w:val="true"/>
        </w:rPr>
        <w:footnoteReference w:id="714"/>
      </w:r>
      <w:r>
        <w:rPr>
          <w:rFonts w:ascii="Amiri" w:hAnsi="Amiri" w:eastAsia="Amiri" w:cs="Amiri"/>
          <w:color w:val="111111"/>
          <w:sz w:val="28"/>
          <w:sz w:val="28"/>
          <w:szCs w:val="28"/>
          <w:rtl w:val="true"/>
          <w:lang w:bidi="ar-SA"/>
        </w:rPr>
        <w:t xml:space="preserve">، علیٰ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فيه الصحيح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الدلالة </w:t>
      </w:r>
      <w:r>
        <w:rPr>
          <w:rStyle w:val="FootnoteAnchor"/>
          <w:rtl w:val="true"/>
        </w:rPr>
        <w:footnoteReference w:id="716"/>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منقولات الإجماعات </w:t>
      </w:r>
      <w:r>
        <w:rPr>
          <w:rStyle w:val="FootnoteAnchor"/>
          <w:rtl w:val="true"/>
        </w:rPr>
        <w:footnoteReference w:id="717"/>
      </w:r>
      <w:r>
        <w:rPr>
          <w:rFonts w:ascii="Amiri" w:hAnsi="Amiri" w:eastAsia="Amiri" w:cs="Amiri"/>
          <w:color w:val="111111"/>
          <w:sz w:val="28"/>
          <w:sz w:val="28"/>
          <w:szCs w:val="28"/>
          <w:rtl w:val="true"/>
          <w:lang w:bidi="ar-SA"/>
        </w:rPr>
        <w:t>وفهم خصوص الإعلامي منها غير معلوم</w:t>
      </w:r>
      <w:r>
        <w:rPr>
          <w:rStyle w:val="FootnoteAnchor"/>
          <w:rtl w:val="true"/>
        </w:rPr>
        <w:footnoteReference w:id="718"/>
      </w:r>
      <w:r>
        <w:rPr>
          <w:rFonts w:ascii="Amiri" w:hAnsi="Amiri" w:eastAsia="Amiri" w:cs="Amiri"/>
          <w:color w:val="111111"/>
          <w:sz w:val="28"/>
          <w:sz w:val="28"/>
          <w:szCs w:val="28"/>
          <w:rtl w:val="true"/>
          <w:lang w:bidi="ar-SA"/>
        </w:rPr>
        <w:t xml:space="preserve">ولا يدخل الأذان للمسافر </w:t>
      </w:r>
      <w:r>
        <w:rPr>
          <w:rStyle w:val="FootnoteAnchor"/>
          <w:rtl w:val="true"/>
        </w:rPr>
        <w:footnoteReference w:id="719"/>
      </w:r>
      <w:r>
        <w:rPr>
          <w:rFonts w:ascii="Amiri" w:hAnsi="Amiri" w:eastAsia="Amiri" w:cs="Amiri"/>
          <w:color w:val="111111"/>
          <w:sz w:val="28"/>
          <w:sz w:val="28"/>
          <w:szCs w:val="28"/>
          <w:rtl w:val="true"/>
          <w:lang w:bidi="ar-SA"/>
        </w:rPr>
        <w:t xml:space="preserve">، وفي اُذُن الصبي </w:t>
      </w:r>
      <w:r>
        <w:rPr>
          <w:rStyle w:val="FootnoteAnchor"/>
          <w:rtl w:val="true"/>
        </w:rPr>
        <w:footnoteReference w:id="720"/>
      </w:r>
      <w:r>
        <w:rPr>
          <w:rFonts w:ascii="Amiri" w:hAnsi="Amiri" w:eastAsia="Amiri" w:cs="Amiri"/>
          <w:color w:val="111111"/>
          <w:sz w:val="28"/>
          <w:sz w:val="28"/>
          <w:szCs w:val="28"/>
          <w:rtl w:val="true"/>
          <w:lang w:bidi="ar-SA"/>
        </w:rPr>
        <w:t xml:space="preserve">، ومَنْ ترك اللحم أربعين يوماً </w:t>
      </w:r>
      <w:r>
        <w:rPr>
          <w:rStyle w:val="FootnoteAnchor"/>
          <w:rtl w:val="true"/>
        </w:rPr>
        <w:footnoteReference w:id="721"/>
      </w:r>
      <w:r>
        <w:rPr>
          <w:rFonts w:ascii="Amiri" w:hAnsi="Amiri" w:eastAsia="Amiri" w:cs="Amiri"/>
          <w:color w:val="111111"/>
          <w:sz w:val="28"/>
          <w:sz w:val="28"/>
          <w:szCs w:val="28"/>
          <w:rtl w:val="true"/>
          <w:lang w:bidi="ar-SA"/>
        </w:rPr>
        <w:t xml:space="preserve">، وقول الصلاة ثلاثاً بدله في محلّه </w:t>
      </w:r>
      <w:r>
        <w:rPr>
          <w:rStyle w:val="FootnoteAnchor"/>
          <w:rtl w:val="true"/>
        </w:rPr>
        <w:footnoteReference w:id="722"/>
      </w:r>
      <w:r>
        <w:rPr>
          <w:rFonts w:ascii="IRNazanin" w:hAnsi="IRNazanin" w:eastAsia="IRNazanin"/>
          <w:color w:val="111111"/>
          <w:sz w:val="28"/>
          <w:sz w:val="28"/>
          <w:szCs w:val="28"/>
          <w:rtl w:val="true"/>
          <w:lang w:bidi="fa-IR"/>
        </w:rPr>
        <w:t xml:space="preserve">؛ للأصل ، وعدم شمول </w:t>
      </w:r>
    </w:p>
    <w:p>
      <w:pPr>
        <w:pStyle w:val="BookText"/>
        <w:rPr/>
      </w:pPr>
      <w:r>
        <w:rPr>
          <w:rFonts w:ascii="Amiri" w:hAnsi="Amiri" w:eastAsia="Amiri" w:cs="Amiri"/>
          <w:color w:val="111111"/>
          <w:sz w:val="28"/>
          <w:sz w:val="28"/>
          <w:szCs w:val="28"/>
          <w:rtl w:val="true"/>
          <w:lang w:bidi="ar-SA"/>
        </w:rPr>
        <w:t xml:space="preserve">دليل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ويفسد الأذان المشترط بنيّة القربة حيث يكون لمحض الأجرة خالياً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عصىٰ بأخذها وأخلص النيّة وقت الفعل ؛ صحّ، علىٰ وفق القاعدة ، كغيره من العبادات التي يحرم أخذ الاُجرة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قول مَن قال بالفساد </w:t>
      </w:r>
      <w:r>
        <w:rPr>
          <w:rStyle w:val="FootnoteAnchor"/>
          <w:rtl w:val="true"/>
        </w:rPr>
        <w:footnoteReference w:id="723"/>
      </w:r>
      <w:r>
        <w:rPr>
          <w:rFonts w:ascii="Amiri" w:hAnsi="Amiri" w:eastAsia="Amiri" w:cs="Amiri"/>
          <w:color w:val="111111"/>
          <w:sz w:val="28"/>
          <w:sz w:val="28"/>
          <w:szCs w:val="28"/>
          <w:rtl w:val="true"/>
          <w:lang w:bidi="ar-SA"/>
        </w:rPr>
        <w:t>، على الأوّل ؛ قريب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وتحريم أخذ الاُجرة علىٰ الإقامة فيما لا تصحّ فيه النيابة منها واضح، وأمّا مع صحّتها فالقول بالإباحة وجيه، وطريق الأولوية </w:t>
      </w:r>
      <w:r>
        <w:rPr>
          <w:rStyle w:val="FootnoteAnchor"/>
          <w:rtl w:val="true"/>
        </w:rPr>
        <w:footnoteReference w:id="724"/>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الأجرة من أوقاف المسجد ، أو بيت المال المعدّ </w:t>
      </w:r>
    </w:p>
    <w:p>
      <w:pPr>
        <w:pStyle w:val="BookText"/>
        <w:rPr/>
      </w:pPr>
      <w:r>
        <w:rPr>
          <w:rFonts w:ascii="Amiri" w:hAnsi="Amiri" w:eastAsia="Amiri" w:cs="Amiri"/>
          <w:color w:val="111111"/>
          <w:sz w:val="28"/>
          <w:sz w:val="28"/>
          <w:szCs w:val="28"/>
          <w:rtl w:val="true"/>
          <w:lang w:bidi="ar-SA"/>
        </w:rPr>
        <w:t xml:space="preserve">للمصالح من زكاة ونحوها ، أو من متبرّع </w:t>
      </w:r>
      <w:r>
        <w:rPr>
          <w:rStyle w:val="FootnoteAnchor"/>
          <w:rtl w:val="true"/>
        </w:rPr>
        <w:footnoteReference w:id="725"/>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ولو أخذ شيئاً منها لا بقصد المعاوضة </w:t>
      </w:r>
      <w:r>
        <w:rPr>
          <w:rStyle w:val="FootnoteAnchor"/>
          <w:rtl w:val="true"/>
        </w:rPr>
        <w:footnoteReference w:id="727"/>
      </w:r>
      <w:r>
        <w:rPr>
          <w:rFonts w:ascii="Amiri" w:hAnsi="Amiri" w:eastAsia="Amiri" w:cs="Amiri"/>
          <w:color w:val="111111"/>
          <w:sz w:val="28"/>
          <w:sz w:val="28"/>
          <w:szCs w:val="28"/>
          <w:rtl w:val="true"/>
          <w:lang w:bidi="ar-SA"/>
        </w:rPr>
        <w:t xml:space="preserve">فليس فيه بأس ، سواء توقّف أذانه علىٰ الأخذ لمنافاته الكسب ولا مدخل له سواه ، أو لم يتوقّف ولكن أخذه لأنّه أحد المصارف أو لدفع المتبرّع ؛ فيدخل علىٰ التقديرين في الارتزاق ، ولا بأس به ، للأصل، والإجماع المنقول </w:t>
      </w:r>
      <w:r>
        <w:rPr>
          <w:rStyle w:val="FootnoteAnchor"/>
          <w:rtl w:val="true"/>
        </w:rPr>
        <w:footnoteReference w:id="728"/>
      </w:r>
      <w:r>
        <w:rPr>
          <w:rFonts w:ascii="Amiri" w:hAnsi="Amiri" w:eastAsia="Amiri" w:cs="Amiri"/>
          <w:color w:val="111111"/>
          <w:sz w:val="28"/>
          <w:sz w:val="28"/>
          <w:szCs w:val="28"/>
          <w:rtl w:val="true"/>
          <w:lang w:bidi="ar-SA"/>
        </w:rPr>
        <w:t xml:space="preserve">، وجريان عادة ،المسلمين ، وتقوية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بأخذ الاُجرة علىٰ ما يستحبّ فيه وليس منه ، كالشهادة بالولاية العلي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الاُجرة ونحوها من عوض صلح أو جعل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كالإفتاء ، سواء أخذت من سلطان عادل أو غيره ، من بيت مال أو أوقاف ، أو من المتخاصمين </w:t>
      </w:r>
      <w:r>
        <w:rPr>
          <w:rStyle w:val="FootnoteAnchor"/>
          <w:rtl w:val="true"/>
        </w:rPr>
        <w:footnoteReference w:id="729"/>
      </w:r>
      <w:r>
        <w:rPr>
          <w:rFonts w:ascii="Amiri" w:hAnsi="Amiri" w:eastAsia="Amiri" w:cs="Amiri"/>
          <w:color w:val="111111"/>
          <w:sz w:val="28"/>
          <w:sz w:val="28"/>
          <w:szCs w:val="28"/>
          <w:rtl w:val="true"/>
          <w:lang w:bidi="ar-SA"/>
        </w:rPr>
        <w:t xml:space="preserve">، مع الحاجة وعدمها ، أو من متبرّع علىٰ أيّ نحو كان ؛ لوجوبه عيناً مع الاتحاد ، وكفايةً مع إمكان قيام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الواجبات المشروطة كالصنائع النظامية ، مع أنّ في الشكّ في دخولها تحتها </w:t>
      </w:r>
    </w:p>
    <w:p>
      <w:pPr>
        <w:pStyle w:val="BookText"/>
        <w:rPr/>
      </w:pPr>
      <w:r>
        <w:rPr>
          <w:rFonts w:ascii="Amiri" w:hAnsi="Amiri" w:eastAsia="Amiri" w:cs="Amiri"/>
          <w:color w:val="111111"/>
          <w:sz w:val="28"/>
          <w:sz w:val="28"/>
          <w:szCs w:val="28"/>
          <w:rtl w:val="true"/>
          <w:lang w:bidi="ar-SA"/>
        </w:rPr>
        <w:t xml:space="preserve">ما يغني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الدالّة عليه </w:t>
      </w:r>
      <w:r>
        <w:rPr>
          <w:rStyle w:val="FootnoteAnchor"/>
          <w:rtl w:val="true"/>
        </w:rPr>
        <w:footnoteReference w:id="730"/>
      </w:r>
      <w:r>
        <w:rPr>
          <w:rFonts w:ascii="Amiri" w:hAnsi="Amiri" w:eastAsia="Amiri" w:cs="Amiri"/>
          <w:color w:val="111111"/>
          <w:sz w:val="28"/>
          <w:sz w:val="28"/>
          <w:szCs w:val="28"/>
          <w:rtl w:val="true"/>
          <w:lang w:bidi="ar-SA"/>
        </w:rPr>
        <w:t xml:space="preserve">، وللإجماعات المنقول بعضها علىٰ منع الجعل المخصوص بما كان من المتخاصمين </w:t>
      </w:r>
      <w:r>
        <w:rPr>
          <w:rStyle w:val="FootnoteAnchor"/>
          <w:rtl w:val="true"/>
        </w:rPr>
        <w:footnoteReference w:id="731"/>
      </w:r>
      <w:r>
        <w:rPr>
          <w:rFonts w:ascii="Amiri" w:hAnsi="Amiri" w:eastAsia="Amiri" w:cs="Amiri"/>
          <w:color w:val="111111"/>
          <w:sz w:val="28"/>
          <w:sz w:val="28"/>
          <w:szCs w:val="28"/>
          <w:rtl w:val="true"/>
          <w:lang w:bidi="ar-SA"/>
        </w:rPr>
        <w:t xml:space="preserve">أو الأعمّ </w:t>
      </w:r>
      <w:r>
        <w:rPr>
          <w:rStyle w:val="FootnoteAnchor"/>
          <w:rtl w:val="true"/>
        </w:rPr>
        <w:footnoteReference w:id="732"/>
      </w:r>
      <w:r>
        <w:rPr>
          <w:rFonts w:ascii="Amiri" w:hAnsi="Amiri" w:eastAsia="Amiri" w:cs="Amiri"/>
          <w:color w:val="111111"/>
          <w:sz w:val="28"/>
          <w:sz w:val="28"/>
          <w:szCs w:val="28"/>
          <w:rtl w:val="true"/>
          <w:lang w:bidi="ar-SA"/>
        </w:rPr>
        <w:t>وبعضها على تحريم الأجرة</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أخذ الرزق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قصد المعاوضة ، مع التعيين</w:t>
      </w:r>
      <w:r>
        <w:rPr>
          <w:rStyle w:val="FootnoteAnchor"/>
          <w:rtl w:val="true"/>
        </w:rPr>
        <w:footnoteReference w:id="734"/>
      </w:r>
      <w:r>
        <w:rPr>
          <w:rFonts w:ascii="Amiri" w:hAnsi="Amiri" w:eastAsia="Amiri" w:cs="Amiri"/>
          <w:color w:val="111111"/>
          <w:sz w:val="28"/>
          <w:sz w:val="28"/>
          <w:szCs w:val="28"/>
          <w:rtl w:val="true"/>
          <w:lang w:bidi="ar-SA"/>
        </w:rPr>
        <w:t xml:space="preserve">وعدمه، ومع الحاجة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الأوقاف أو من متبرّع ، وقبول الهدايا ؛ للأصل ، والإجماع المنقول</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يجب الأخذ في القضاء اتحاده ، وعدم تمكنه من القيام به من غير اكتساب ، ومنافاة الاكتساب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جماعة من أصحابنا من تحريم الارتزاق </w:t>
      </w:r>
      <w:r>
        <w:rPr>
          <w:rStyle w:val="FootnoteAnchor"/>
          <w:rtl w:val="true"/>
        </w:rPr>
        <w:footnoteReference w:id="736"/>
      </w:r>
      <w:r>
        <w:rPr>
          <w:rFonts w:ascii="IRNazanin" w:hAnsi="IRNazanin" w:eastAsia="IRNazanin"/>
          <w:color w:val="111111"/>
          <w:sz w:val="28"/>
          <w:sz w:val="28"/>
          <w:szCs w:val="28"/>
          <w:rtl w:val="true"/>
          <w:lang w:bidi="fa-IR"/>
        </w:rPr>
        <w:t xml:space="preserve">یراد به الاُجرة، ويؤيده أنّ في بعض عباراتهم </w:t>
      </w:r>
      <w:r>
        <w:rPr>
          <w:rStyle w:val="FootnoteAnchor"/>
          <w:rtl w:val="true"/>
        </w:rPr>
        <w:footnoteReference w:id="737"/>
      </w:r>
      <w:r>
        <w:rPr>
          <w:rFonts w:ascii="Amiri" w:hAnsi="Amiri" w:eastAsia="Amiri" w:cs="Amiri"/>
          <w:color w:val="111111"/>
          <w:sz w:val="28"/>
          <w:sz w:val="28"/>
          <w:szCs w:val="28"/>
          <w:rtl w:val="true"/>
          <w:lang w:bidi="ar-SA"/>
        </w:rPr>
        <w:t xml:space="preserve">تفسير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الأخبار </w:t>
      </w:r>
      <w:r>
        <w:rPr>
          <w:rStyle w:val="FootnoteAnchor"/>
          <w:rtl w:val="true"/>
        </w:rPr>
        <w:footnoteReference w:id="738"/>
      </w:r>
      <w:r>
        <w:rPr>
          <w:rFonts w:ascii="Amiri" w:hAnsi="Amiri" w:eastAsia="Amiri" w:cs="Amiri"/>
          <w:color w:val="111111"/>
          <w:sz w:val="28"/>
          <w:sz w:val="28"/>
          <w:szCs w:val="28"/>
          <w:rtl w:val="true"/>
          <w:lang w:bidi="ar-SA"/>
        </w:rPr>
        <w:t xml:space="preserve">المانعة من الارتزاق في القضاء منزّلة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بداخل تحت الرشا، ولا الاُجرة ،والجعالة ، ولا غيرهما من 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علىٰ مقدّمات القضاء من سماع الشهادة أو التحليف أو التزكية والجرح ؛ أخذ علىٰ القضاء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منه الأخذ علىٰ الكتابة ، أو الرَّشْم </w:t>
      </w:r>
      <w:r>
        <w:rPr>
          <w:rStyle w:val="FootnoteAnchor"/>
          <w:rtl w:val="true"/>
        </w:rPr>
        <w:footnoteReference w:id="739"/>
      </w:r>
      <w:r>
        <w:rPr>
          <w:rFonts w:ascii="IRNazanin" w:hAnsi="IRNazanin" w:eastAsia="IRNazanin"/>
          <w:color w:val="111111"/>
          <w:sz w:val="28"/>
          <w:sz w:val="28"/>
          <w:szCs w:val="28"/>
          <w:rtl w:val="true"/>
          <w:lang w:bidi="fa-IR"/>
        </w:rPr>
        <w:t xml:space="preserve">، أو الخروج من داره إلىٰ </w:t>
      </w:r>
    </w:p>
    <w:p>
      <w:pPr>
        <w:pStyle w:val="BookText"/>
        <w:rPr/>
      </w:pPr>
      <w:r>
        <w:rPr>
          <w:rFonts w:ascii="Amiri" w:hAnsi="Amiri" w:eastAsia="Amiri" w:cs="Amiri"/>
          <w:color w:val="111111"/>
          <w:sz w:val="28"/>
          <w:sz w:val="28"/>
          <w:szCs w:val="28"/>
          <w:rtl w:val="true"/>
          <w:lang w:bidi="ar-SA"/>
        </w:rPr>
        <w:t>محلّ آخر طلبه أحد الخصمين ونحو ذلك ، غير أنّه لا يقع إلّا من السفلة إلّا مع إلجاءالضرورة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ثمن القرطاس وما يصرفه من المال فلا بأس بأخذه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ترافعا عند قاض وتمّ بالحكم </w:t>
      </w:r>
      <w:r>
        <w:rPr>
          <w:rStyle w:val="FootnoteAnchor"/>
          <w:rtl w:val="true"/>
        </w:rPr>
        <w:footnoteReference w:id="740"/>
      </w:r>
      <w:r>
        <w:rPr>
          <w:rFonts w:ascii="Amiri" w:hAnsi="Amiri" w:eastAsia="Amiri" w:cs="Amiri"/>
          <w:color w:val="111111"/>
          <w:sz w:val="28"/>
          <w:sz w:val="28"/>
          <w:szCs w:val="28"/>
          <w:rtl w:val="true"/>
          <w:lang w:bidi="ar-SA"/>
        </w:rPr>
        <w:t>، ورجعا إلىٰ آخر لإحكام الدعوىٰ ؛ احتمل جواز الأخذ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بأخذ الخدّام والعمال والمباشرين الاُجرة علىٰ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ويعصي الدافع في دفعه إلىٰ القاضي في أحد الوجهين ، إلّا إذا توقّف تحصيل الحقّ عليه فيجوز ، بخلاف الرشوة، فإنّها لا تجوز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دفعها العالم بالتحريم مختاراً ؛ ففي الرجوع بها ، ما مرّ سابقاً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العقود والإيقاعات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والخُطْبَة في الإملاك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 والصلّاة ، ونحوهما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المرأة ، ونحوها من المقدّمات ؛ </w:t>
      </w:r>
      <w:bookmarkStart w:id="264" w:name="pg20243_272197"/>
    </w:p>
    <w:p>
      <w:pPr>
        <w:pStyle w:val="BookText"/>
        <w:rPr/>
      </w:pPr>
      <w:bookmarkEnd w:id="264"/>
      <w:r>
        <w:rPr>
          <w:rFonts w:ascii="Amiri" w:hAnsi="Amiri" w:eastAsia="Amiri" w:cs="Amiri"/>
          <w:color w:val="111111"/>
          <w:sz w:val="28"/>
          <w:sz w:val="28"/>
          <w:szCs w:val="28"/>
          <w:rtl w:val="true"/>
          <w:lang w:bidi="ar-SA"/>
        </w:rPr>
        <w:t xml:space="preserve">للأصل السالم عن المعارض ، مع كونها من النظاميّة </w:t>
      </w:r>
      <w:r>
        <w:rPr>
          <w:rStyle w:val="FootnoteAnchor"/>
          <w:rtl w:val="true"/>
        </w:rPr>
        <w:footnoteReference w:id="742"/>
      </w:r>
      <w:r>
        <w:rPr>
          <w:rFonts w:ascii="Amiri" w:hAnsi="Amiri" w:eastAsia="Amiri" w:cs="Amiri"/>
          <w:color w:val="111111"/>
          <w:sz w:val="28"/>
          <w:sz w:val="28"/>
          <w:szCs w:val="28"/>
          <w:rtl w:val="true"/>
          <w:lang w:bidi="ar-SA"/>
        </w:rPr>
        <w:t xml:space="preserve">ولا يجوز علىٰ تعليم الصيغة ، للوجوب الكفائى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علىٰ عمومه بحث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وللإجماع المنقول</w:t>
      </w:r>
      <w:r>
        <w:rPr>
          <w:rStyle w:val="FootnoteAnchor"/>
          <w:rtl w:val="true"/>
        </w:rPr>
        <w:footnoteReference w:id="744"/>
      </w:r>
      <w:r>
        <w:rPr>
          <w:rFonts w:ascii="Amiri" w:hAnsi="Amiri" w:eastAsia="Amiri" w:cs="Amiri"/>
          <w:color w:val="111111"/>
          <w:sz w:val="28"/>
          <w:sz w:val="28"/>
          <w:szCs w:val="28"/>
          <w:rtl w:val="true"/>
          <w:lang w:bidi="ar-SA"/>
        </w:rPr>
        <w:t xml:space="preserve">،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بالأخذ علىٰ تعليم الخطبة ، والدعوات ، والأذكار المستحبّة والأشعار ، والرسائل ، والكتابة ، والآداب ، ونحو ذلك ، وعلىٰ قراءة القرآن وخبر المنع </w:t>
      </w:r>
      <w:r>
        <w:rPr>
          <w:rStyle w:val="FootnoteAnchor"/>
          <w:rtl w:val="true"/>
        </w:rPr>
        <w:footnoteReference w:id="745"/>
      </w:r>
      <w:r>
        <w:rPr>
          <w:rFonts w:ascii="Amiri" w:hAnsi="Amiri" w:eastAsia="Amiri" w:cs="Amiri"/>
          <w:color w:val="111111"/>
          <w:sz w:val="28"/>
          <w:sz w:val="28"/>
          <w:szCs w:val="28"/>
          <w:rtl w:val="true"/>
          <w:lang w:bidi="ar-SA"/>
        </w:rPr>
        <w:t xml:space="preserve">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تخصيصه بالحي </w:t>
      </w:r>
      <w:r>
        <w:rPr>
          <w:rStyle w:val="FootnoteAnchor"/>
          <w:rtl w:val="true"/>
        </w:rPr>
        <w:footnoteReference w:id="746"/>
      </w: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الزيارات ، والدعوات ، ونحوها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284964_2320776876"/>
      <w:bookmarkStart w:id="266" w:name="_Toc93"/>
      <w:bookmarkEnd w:id="265"/>
      <w:r>
        <w:rPr>
          <w:rtl w:val="true"/>
        </w:rPr>
        <w:t>حرمة الاُجره علی الإمامة</w:t>
      </w:r>
      <w:bookmarkEnd w:id="2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الأجرة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كفايةً في الجمعة والعيدين مع اجتماع الشرائط ، بل مطلق الإمامة ، لما دلّ عليها بالخصوص </w:t>
      </w:r>
      <w:r>
        <w:rPr>
          <w:rStyle w:val="FootnoteAnchor"/>
          <w:rtl w:val="true"/>
        </w:rPr>
        <w:footnoteReference w:id="747"/>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علىٰ مطلق الصلاة </w:t>
      </w:r>
      <w:r>
        <w:rPr>
          <w:rStyle w:val="FootnoteAnchor"/>
          <w:rtl w:val="true"/>
        </w:rPr>
        <w:footnoteReference w:id="748"/>
      </w:r>
      <w:r>
        <w:rPr>
          <w:rFonts w:ascii="Amiri" w:hAnsi="Amiri" w:eastAsia="Amiri" w:cs="Amiri"/>
          <w:color w:val="111111"/>
          <w:sz w:val="28"/>
          <w:sz w:val="28"/>
          <w:szCs w:val="28"/>
          <w:rtl w:val="true"/>
          <w:lang w:bidi="ar-SA"/>
        </w:rPr>
        <w:t xml:space="preserve">، والظاهر إرادتها ، ولما يظهر من الأخبار </w:t>
      </w:r>
      <w:r>
        <w:rPr>
          <w:rStyle w:val="FootnoteAnchor"/>
          <w:rtl w:val="true"/>
        </w:rPr>
        <w:footnoteReference w:id="749"/>
      </w:r>
      <w:r>
        <w:rPr>
          <w:rFonts w:ascii="Amiri" w:hAnsi="Amiri" w:eastAsia="Amiri" w:cs="Amiri"/>
          <w:color w:val="111111"/>
          <w:sz w:val="28"/>
          <w:sz w:val="28"/>
          <w:szCs w:val="28"/>
          <w:rtl w:val="true"/>
          <w:lang w:bidi="ar-SA"/>
        </w:rPr>
        <w:t xml:space="preserve">من أنّ هذه رتبة الإمام ، وعليه أنْ يجتنب جميع المنفّرات ، ليزيد الاعتماد عليه ، ويحصل الركون إليه ، ولأنّها من العبادات المطلوبة لنفس العامل ، ولتصريح جملة من الأصحاب </w:t>
      </w:r>
      <w:r>
        <w:rPr>
          <w:rStyle w:val="FootnoteAnchor"/>
          <w:rtl w:val="true"/>
        </w:rPr>
        <w:footnoteReference w:id="750"/>
      </w:r>
      <w:r>
        <w:rPr>
          <w:rFonts w:ascii="Amiri" w:hAnsi="Amiri" w:eastAsia="Amiri" w:cs="Amiri"/>
          <w:color w:val="111111"/>
          <w:sz w:val="28"/>
          <w:sz w:val="28"/>
          <w:szCs w:val="28"/>
          <w:rtl w:val="true"/>
          <w:lang w:bidi="ar-SA"/>
        </w:rPr>
        <w:t xml:space="preserve">بذلك من غير نقل خلاف علىٰ وجه يؤذن بالإجماع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 لوجوبه كفايةً كما هو ظاهر الأكثر </w:t>
      </w:r>
      <w:r>
        <w:rPr>
          <w:rStyle w:val="FootnoteAnchor"/>
          <w:rtl w:val="true"/>
        </w:rPr>
        <w:footnoteReference w:id="75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عيناً إذا دعى إليها كما يظهر من جماعة من أصحابنا </w:t>
      </w:r>
      <w:r>
        <w:rPr>
          <w:rStyle w:val="FootnoteAnchor"/>
          <w:rtl w:val="true"/>
        </w:rPr>
        <w:footnoteReference w:id="752"/>
      </w:r>
      <w:r>
        <w:rPr>
          <w:rFonts w:ascii="Amiri" w:hAnsi="Amiri" w:eastAsia="Amiri" w:cs="Amiri"/>
          <w:color w:val="111111"/>
          <w:sz w:val="28"/>
          <w:sz w:val="28"/>
          <w:szCs w:val="28"/>
          <w:rtl w:val="true"/>
          <w:lang w:bidi="ar-SA"/>
        </w:rPr>
        <w:t>، فطريق المسألة على القولين واضح</w:t>
      </w:r>
      <w:r>
        <w:rPr>
          <w:rStyle w:val="FootnoteAnchor"/>
          <w:rtl w:val="true"/>
        </w:rPr>
        <w:footnoteReference w:id="753"/>
      </w:r>
      <w:r>
        <w:rPr>
          <w:rFonts w:ascii="Amiri" w:hAnsi="Amiri" w:eastAsia="Amiri" w:cs="Amiri"/>
          <w:color w:val="111111"/>
          <w:sz w:val="28"/>
          <w:sz w:val="28"/>
          <w:szCs w:val="28"/>
          <w:rtl w:val="true"/>
          <w:lang w:bidi="ar-SA"/>
        </w:rPr>
        <w:t xml:space="preserve">من دون احتياج إلى الاستناد إلىٰ الآية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أنكر الوجوبين</w:t>
      </w:r>
      <w:r>
        <w:rPr>
          <w:rStyle w:val="FootnoteAnchor"/>
          <w:rtl w:val="true"/>
        </w:rPr>
        <w:footnoteReference w:id="755"/>
      </w:r>
      <w:r>
        <w:rPr>
          <w:rFonts w:ascii="Amiri" w:hAnsi="Amiri" w:eastAsia="Amiri" w:cs="Amiri"/>
          <w:color w:val="111111"/>
          <w:sz w:val="28"/>
          <w:sz w:val="28"/>
          <w:szCs w:val="28"/>
          <w:rtl w:val="true"/>
          <w:lang w:bidi="ar-SA"/>
        </w:rPr>
        <w:t xml:space="preserve">فقد جوّز أخذ الأجرة ، ولكنّه محجوج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مفسّرة في الصحيح </w:t>
      </w:r>
      <w:r>
        <w:rPr>
          <w:rStyle w:val="FootnoteAnchor"/>
          <w:rtl w:val="true"/>
        </w:rPr>
        <w:footnoteReference w:id="757"/>
      </w:r>
      <w:r>
        <w:rPr>
          <w:rFonts w:ascii="Amiri" w:hAnsi="Amiri" w:eastAsia="Amiri" w:cs="Amiri"/>
          <w:color w:val="111111"/>
          <w:sz w:val="28"/>
          <w:sz w:val="28"/>
          <w:szCs w:val="28"/>
          <w:rtl w:val="true"/>
          <w:lang w:bidi="ar-SA"/>
        </w:rPr>
        <w:t xml:space="preserve">بالتحمّل </w:t>
      </w:r>
      <w:bookmarkStart w:id="267" w:name="pg20243_272200"/>
    </w:p>
    <w:p>
      <w:pPr>
        <w:pStyle w:val="Heading3"/>
        <w:numPr>
          <w:ilvl w:val="2"/>
          <w:numId w:val="1"/>
        </w:numPr>
        <w:rPr/>
      </w:pPr>
      <w:bookmarkStart w:id="268" w:name="__RefHeading___Toc5284966_2320776876"/>
      <w:bookmarkStart w:id="269" w:name="_Toc94"/>
      <w:bookmarkEnd w:id="267"/>
      <w:bookmarkEnd w:id="268"/>
      <w:r>
        <w:rPr>
          <w:rtl w:val="true"/>
        </w:rPr>
        <w:t>حرمة الاُجرة علی أدائها</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كفايةً ، 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مع الإجماع المنقول</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ولو قام بالتحمّل والأداء قائم يغني في الإثبات ، وطلب الطالب لزيادة ؛ جاز أخذ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أدّاها مرّة فتمّ الغرض وطلب التأكيد ، أو طلبها مع إقرار الخصم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كان المنع فيه مستنداً إلىٰ صفة الوجوب ، دون مجرّد صدق الاسم ؛ يرتفع المنع عنه بارتفاع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حضور الشاهد علىٰ نقله من مكانه ، وتعذّر أو تعسّر شاهد الفرع ، وجب الانتقال عليه مع عدم المشقّة ، و ، ومع بذل ما تتوقّف حركته عليه من المال ، إذْ وجوب الشهادة لا يقتضي وجوب الغرامة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احتال القضاة والأئمة والمؤذنون والشهود ونحوهم بإيقاع الإجارة علیٰ أعمال خارجة ، أو الوصول إلىٰ محالّ خاصّة ، أو نحوهما ؛ كان لهم ذلك ، وإنْ حطّ في رتبتهم </w:t>
      </w:r>
      <w:r>
        <w:rPr>
          <w:rFonts w:eastAsia="IRNazanin" w:cs="IRNazanin"/>
          <w:color w:val="111111"/>
          <w:sz w:val="28"/>
          <w:szCs w:val="28"/>
          <w:rtl w:val="true"/>
          <w:lang w:bidi="fa-IR"/>
        </w:rPr>
        <w:t>.</w:t>
      </w:r>
    </w:p>
    <w:p>
      <w:pPr>
        <w:pStyle w:val="Heading2"/>
        <w:numPr>
          <w:ilvl w:val="1"/>
          <w:numId w:val="1"/>
        </w:numPr>
        <w:rPr/>
      </w:pPr>
      <w:bookmarkStart w:id="270" w:name="__RefHeading___Toc5284968_2320776876"/>
      <w:bookmarkStart w:id="271" w:name="_Toc95"/>
      <w:bookmarkEnd w:id="270"/>
      <w:r>
        <w:rPr>
          <w:rtl w:val="true"/>
        </w:rPr>
        <w:t>خاتمه</w:t>
      </w:r>
      <w:r>
        <w:rPr>
          <w:rtl w:val="true"/>
        </w:rPr>
        <w:t>:</w:t>
      </w:r>
      <w:r>
        <w:rPr>
          <w:rtl w:val="true"/>
        </w:rPr>
        <w:t>تشتمل علی أحکام</w:t>
      </w:r>
      <w:bookmarkEnd w:id="271"/>
    </w:p>
    <w:p>
      <w:pPr>
        <w:pStyle w:val="Heading3"/>
        <w:numPr>
          <w:ilvl w:val="2"/>
          <w:numId w:val="1"/>
        </w:numPr>
        <w:rPr/>
      </w:pPr>
      <w:bookmarkStart w:id="272" w:name="__RefHeading___Toc5284970_2320776876"/>
      <w:bookmarkStart w:id="273" w:name="_Toc96"/>
      <w:bookmarkEnd w:id="272"/>
      <w:r>
        <w:rPr>
          <w:rtl w:val="true"/>
        </w:rPr>
        <w:t>اشارة</w:t>
      </w:r>
      <w:bookmarkEnd w:id="27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القاصدين من الرجال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متحدين أو متعددين ، وإيقاع المعاملة معهم ، كلاهما ليس بمحظور ، علىٰ رأي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w:t>
      </w:r>
      <w:r>
        <w:rPr>
          <w:rStyle w:val="FootnoteAnchor"/>
          <w:rtl w:val="true"/>
        </w:rPr>
        <w:footnoteReference w:id="760"/>
      </w:r>
      <w:r>
        <w:rPr>
          <w:rFonts w:ascii="Amiri" w:hAnsi="Amiri" w:eastAsia="Amiri" w:cs="Amiri"/>
          <w:color w:val="111111"/>
          <w:sz w:val="28"/>
          <w:sz w:val="28"/>
          <w:szCs w:val="28"/>
          <w:rtl w:val="true"/>
          <w:lang w:bidi="ar-SA"/>
        </w:rPr>
        <w:t xml:space="preserve">، موافق للأصل ، وعمومات المشي والسعي في طلب المعاش </w:t>
      </w:r>
      <w:r>
        <w:rPr>
          <w:rStyle w:val="FootnoteAnchor"/>
          <w:rtl w:val="true"/>
        </w:rPr>
        <w:footnoteReference w:id="761"/>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مستنده أنّه من طلب الحريص المنصوص علىٰ كراهته </w:t>
      </w:r>
      <w:r>
        <w:rPr>
          <w:rStyle w:val="FootnoteAnchor"/>
          <w:rtl w:val="true"/>
        </w:rPr>
        <w:footnoteReference w:id="762"/>
      </w:r>
      <w:r>
        <w:rPr>
          <w:rFonts w:ascii="Amiri" w:hAnsi="Amiri" w:eastAsia="Amiri" w:cs="Amiri"/>
          <w:color w:val="111111"/>
          <w:sz w:val="28"/>
          <w:sz w:val="28"/>
          <w:szCs w:val="28"/>
          <w:rtl w:val="true"/>
          <w:lang w:bidi="ar-SA"/>
        </w:rPr>
        <w:t xml:space="preserve">، مع اشتماله علىٰ نوع من الخدع والمغالبة ، واتباع النفس الأمّارة </w:t>
      </w:r>
      <w:r>
        <w:rPr>
          <w:rStyle w:val="FootnoteAnchor"/>
          <w:rtl w:val="true"/>
        </w:rPr>
        <w:footnoteReference w:id="763"/>
      </w:r>
      <w:r>
        <w:rPr>
          <w:rFonts w:ascii="IRNazanin" w:hAnsi="IRNazanin" w:eastAsia="IRNazanin"/>
          <w:color w:val="111111"/>
          <w:sz w:val="28"/>
          <w:sz w:val="28"/>
          <w:szCs w:val="28"/>
          <w:rtl w:val="true"/>
          <w:lang w:bidi="fa-IR"/>
        </w:rPr>
        <w:t xml:space="preserve">، مع ما تقرر مراراً من الاكتفاء بقول بعض الفقهاء فضلاً عن قول المشهور في إثبات الآداب، مضافاً إلىٰ الإجماع المنقول ظاهراً على کراهته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مرّ يضعف قول المحرّم</w:t>
      </w:r>
      <w:r>
        <w:rPr>
          <w:rStyle w:val="FootnoteAnchor"/>
          <w:rtl w:val="true"/>
        </w:rPr>
        <w:footnoteReference w:id="765"/>
      </w:r>
      <w:r>
        <w:rPr>
          <w:rFonts w:ascii="IRNazanin" w:hAnsi="IRNazanin" w:eastAsia="IRNazanin"/>
          <w:color w:val="111111"/>
          <w:sz w:val="28"/>
          <w:sz w:val="28"/>
          <w:szCs w:val="28"/>
          <w:rtl w:val="true"/>
          <w:lang w:bidi="fa-IR"/>
        </w:rPr>
        <w:t xml:space="preserve">لأخبار </w:t>
      </w:r>
      <w:r>
        <w:rPr>
          <w:rStyle w:val="FootnoteAnchor"/>
          <w:rtl w:val="true"/>
        </w:rPr>
        <w:footnoteReference w:id="766"/>
      </w:r>
      <w:r>
        <w:rPr>
          <w:rFonts w:ascii="Amiri" w:hAnsi="Amiri" w:eastAsia="Amiri" w:cs="Amiri"/>
          <w:color w:val="111111"/>
          <w:sz w:val="28"/>
          <w:sz w:val="28"/>
          <w:szCs w:val="28"/>
          <w:rtl w:val="true"/>
          <w:lang w:bidi="ar-SA"/>
        </w:rPr>
        <w:t xml:space="preserve">مخالفة لشهرة الأصحاب </w:t>
      </w:r>
      <w:r>
        <w:rPr>
          <w:rStyle w:val="FootnoteAnchor"/>
          <w:rtl w:val="true"/>
        </w:rPr>
        <w:footnoteReference w:id="767"/>
      </w:r>
      <w:r>
        <w:rPr>
          <w:rFonts w:ascii="IRNazanin" w:hAnsi="IRNazanin" w:eastAsia="IRNazanin"/>
          <w:color w:val="111111"/>
          <w:sz w:val="28"/>
          <w:sz w:val="28"/>
          <w:szCs w:val="28"/>
          <w:rtl w:val="true"/>
          <w:lang w:bidi="fa-IR"/>
        </w:rPr>
        <w:t xml:space="preserve">، والأصل ، والعمومات </w:t>
      </w:r>
      <w:r>
        <w:rPr>
          <w:rStyle w:val="FootnoteAnchor"/>
          <w:rtl w:val="true"/>
        </w:rPr>
        <w:footnoteReference w:id="768"/>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769"/>
      </w:r>
      <w:r>
        <w:rPr>
          <w:rFonts w:ascii="Amiri" w:hAnsi="Amiri" w:eastAsia="Amiri" w:cs="Amiri"/>
          <w:color w:val="111111"/>
          <w:sz w:val="28"/>
          <w:sz w:val="28"/>
          <w:szCs w:val="28"/>
          <w:rtl w:val="true"/>
          <w:lang w:bidi="ar-SA"/>
        </w:rPr>
        <w:t xml:space="preserve">متروكة العمل عند أكثر القدماء مع نظرهم إليها واطلاعهم عليها، موافقة للعامّة </w:t>
      </w:r>
      <w:r>
        <w:rPr>
          <w:rStyle w:val="FootnoteAnchor"/>
          <w:rtl w:val="true"/>
        </w:rPr>
        <w:footnoteReference w:id="770"/>
      </w:r>
      <w:r>
        <w:rPr>
          <w:rFonts w:ascii="Amiri" w:hAnsi="Amiri" w:eastAsia="Amiri" w:cs="Amiri"/>
          <w:color w:val="111111"/>
          <w:sz w:val="28"/>
          <w:sz w:val="28"/>
          <w:szCs w:val="28"/>
          <w:rtl w:val="true"/>
          <w:lang w:bidi="ar-SA"/>
        </w:rPr>
        <w:t xml:space="preserve">، فلو سلمت من ضعف السند جاءَها الضعف من خارج ، مع أنّ مقامات الآداب لا تخفىٰ علىٰ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وأرباب التحقيق والنظر الدقيق لا محيص لهم عند إعراض أساطين الفقهاء </w:t>
      </w:r>
    </w:p>
    <w:p>
      <w:pPr>
        <w:pStyle w:val="BookText"/>
        <w:rPr/>
      </w:pPr>
      <w:r>
        <w:rPr>
          <w:rFonts w:ascii="Amiri" w:hAnsi="Amiri" w:eastAsia="Amiri" w:cs="Amiri"/>
          <w:color w:val="111111"/>
          <w:sz w:val="28"/>
          <w:sz w:val="28"/>
          <w:szCs w:val="28"/>
          <w:rtl w:val="true"/>
          <w:lang w:bidi="ar-SA"/>
        </w:rPr>
        <w:t xml:space="preserve">عن الروايات من طرحها لضعف المظنّة بصدورها أو تنزيلها لضعف المظنّة بمدلولها ، لأنّ المدار ليس على ألفاظ الأخبار بل علىٰ ما يفهم من مقاصد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القسم الثاني، فإنّ تنزيلها علىٰ الكراهة غير بعيد من اللّفظ ، وربّما نُزِّل عليها بعض عبارات المحرِّمين</w:t>
      </w:r>
      <w:r>
        <w:rPr>
          <w:rStyle w:val="FootnoteAnchor"/>
          <w:rtl w:val="true"/>
        </w:rPr>
        <w:footnoteReference w:id="771"/>
      </w:r>
      <w:r>
        <w:rPr>
          <w:rFonts w:ascii="Amiri" w:hAnsi="Amiri" w:eastAsia="Amiri" w:cs="Amiri"/>
          <w:color w:val="111111"/>
          <w:sz w:val="28"/>
          <w:sz w:val="28"/>
          <w:szCs w:val="28"/>
          <w:rtl w:val="true"/>
          <w:lang w:bidi="ar-SA"/>
        </w:rPr>
        <w:t>أيضاً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المقصد للركبان، دون السعي فيه ولو قارب الخروج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الخروج من محلّ آخر بشرط قصد الرجوع إليه بعد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من مواضع المعاملة ؛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المعاملة علىٰ الأعيان ، لا لقصد آخر ، ولا مع الخلوّ عن القصد ، ولا مع العدول عنه حيث لا يعامل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 منهم بسعر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بناءٍ علىٰ إخبارهم بحقيقة الحال ، ولا علىٰ اشتراط الخيار لهم ، ولا التماسٍ صدر منهم لإرادتهم سرعة الرجوع إلىٰ أوطانهم، أو من موكليهم أو مواليهم إنّ كانوا وكلاء أو لهم أولياء ؛ تعميماً للأدلّة وكلمات الأصحاب للعلّة المنّقحة، وتخصيصاً لها ببعض الأحوال للعلّة المصرّحة ، وكثير من القيود لتحقق الحكم لا لصدق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واضح صريح ، مع أنّ </w:t>
      </w:r>
      <w:bookmarkStart w:id="274" w:name="pg20243_272204"/>
    </w:p>
    <w:p>
      <w:pPr>
        <w:pStyle w:val="BookText"/>
        <w:rPr/>
      </w:pPr>
      <w:bookmarkEnd w:id="274"/>
      <w:r>
        <w:rPr>
          <w:rFonts w:ascii="Amiri" w:hAnsi="Amiri" w:eastAsia="Amiri" w:cs="Amiri"/>
          <w:color w:val="111111"/>
          <w:sz w:val="28"/>
          <w:sz w:val="28"/>
          <w:szCs w:val="28"/>
          <w:rtl w:val="true"/>
          <w:lang w:bidi="ar-SA"/>
        </w:rPr>
        <w:t xml:space="preserve">الإجماع منقول عليه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المحرِّم ليس له وجه صحيح </w:t>
      </w:r>
      <w:r>
        <w:rPr>
          <w:rStyle w:val="FootnoteAnchor"/>
          <w:rtl w:val="true"/>
        </w:rPr>
        <w:footnoteReference w:id="773"/>
      </w:r>
      <w:r>
        <w:rPr>
          <w:rFonts w:ascii="Amiri" w:hAnsi="Amiri" w:eastAsia="Amiri" w:cs="Amiri"/>
          <w:color w:val="111111"/>
          <w:sz w:val="28"/>
          <w:sz w:val="28"/>
          <w:szCs w:val="28"/>
          <w:rtl w:val="true"/>
          <w:lang w:bidi="ar-SA"/>
        </w:rPr>
        <w:t xml:space="preserve">النواهي في أخبار المسألة تعلّقت بنفس المعاملة ، لا بخارج عنها كما قيل </w:t>
      </w:r>
      <w:r>
        <w:rPr>
          <w:rStyle w:val="FootnoteAnchor"/>
          <w:rtl w:val="true"/>
        </w:rPr>
        <w:footnoteReference w:id="774"/>
      </w:r>
      <w:r>
        <w:rPr>
          <w:rFonts w:ascii="Amiri" w:hAnsi="Amiri" w:eastAsia="Amiri" w:cs="Amiri"/>
          <w:color w:val="111111"/>
          <w:sz w:val="28"/>
          <w:sz w:val="28"/>
          <w:szCs w:val="28"/>
          <w:rtl w:val="true"/>
          <w:lang w:bidi="ar-SA"/>
        </w:rPr>
        <w:t xml:space="preserve">مع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 ما تُلُقّي ولا تأكل منه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إلّا أن يستند إلىٰ ما نقل من الإجماع علىٰ الصحّة </w:t>
      </w:r>
      <w:r>
        <w:rPr>
          <w:rStyle w:val="FootnoteAnchor"/>
          <w:rtl w:val="true"/>
        </w:rPr>
        <w:footnoteReference w:id="776"/>
      </w:r>
      <w:r>
        <w:rPr>
          <w:rFonts w:ascii="Amiri" w:hAnsi="Amiri" w:eastAsia="Amiri" w:cs="Amiri"/>
          <w:color w:val="111111"/>
          <w:sz w:val="28"/>
          <w:sz w:val="28"/>
          <w:szCs w:val="28"/>
          <w:rtl w:val="true"/>
          <w:lang w:bidi="ar-SA"/>
        </w:rPr>
        <w:t xml:space="preserve">، فتفكك الروايات ، لأنّ تحريم الأكل علىٰ تقدير الصحّة بعيد جداً، والحمل علىٰ الكراهة من التفكيك ، والعمل علىٰ البعض دون البعض ركيك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284972_2320776876"/>
      <w:bookmarkStart w:id="276" w:name="_Toc97"/>
      <w:bookmarkEnd w:id="275"/>
      <w:r>
        <w:rPr>
          <w:rtl w:val="true"/>
        </w:rPr>
        <w:t>ثبوت الخیار مع الغبن الفاحش لهم</w:t>
      </w:r>
      <w:bookmarkEnd w:id="2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بحصول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حين إيقاع الصيغة من دون ملاحظة قيمة البلد، أو مع ملاحظتها حين إيقاع الصيغة ، أو حين دخوله، والأوّل أوفق بمذاق الأصحاب في خيار الغبن ، والأخير أوفق بأخبار الباب ، لعدم أهلية المعادلة بحسب الذات أو الزمان أو المكان، أو خصوص تلك المعاملة دون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باقي المعاملات ، أو تلك السلعة في حقّه لا بالنسبة إلىٰ القيمة السوقية دون غيرها، إلىٰ غيرها من الجهات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أو مشترياً ، متلقّياً أو متلقّى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بالبائع في بعض عباراتهم </w:t>
      </w:r>
      <w:r>
        <w:rPr>
          <w:rStyle w:val="FootnoteAnchor"/>
          <w:rtl w:val="true"/>
        </w:rPr>
        <w:footnoteReference w:id="778"/>
      </w:r>
      <w:r>
        <w:rPr>
          <w:rFonts w:ascii="Amiri" w:hAnsi="Amiri" w:eastAsia="Amiri" w:cs="Amiri"/>
          <w:color w:val="111111"/>
          <w:sz w:val="28"/>
          <w:sz w:val="28"/>
          <w:szCs w:val="28"/>
          <w:rtl w:val="true"/>
          <w:lang w:bidi="ar-SA"/>
        </w:rPr>
        <w:t xml:space="preserve">جري علىٰ الغالب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لا يكون عالماً ، ولا عاقداً عقد مسامحة ، ولا مشروطاً عليه سقوط الخيار ، ولا مسقطاً له بعد ثبوته ، ولا حصل مانع عن الردّ، فيكون جامعاً للشروط فاقداً للموانع ، لحديث نفي الضر والضرار </w:t>
      </w:r>
      <w:r>
        <w:rPr>
          <w:rStyle w:val="FootnoteAnchor"/>
          <w:rtl w:val="true"/>
        </w:rPr>
        <w:footnoteReference w:id="779"/>
      </w:r>
      <w:r>
        <w:rPr>
          <w:rFonts w:ascii="Amiri" w:hAnsi="Amiri" w:eastAsia="Amiri" w:cs="Amiri"/>
          <w:color w:val="111111"/>
          <w:sz w:val="28"/>
          <w:sz w:val="28"/>
          <w:szCs w:val="28"/>
          <w:rtl w:val="true"/>
          <w:lang w:bidi="ar-SA"/>
        </w:rPr>
        <w:t xml:space="preserve">، المقتضي لسلب الحقيقة في الشرع ، لتعذّر إرادة الحقيقة ، وإرادة النهي منه بعيدة عن اللفظ غير موافقة لفهم الفقهاء ، فيندفع البحث في الدلالة بسببه ، ولنقل الإجماع علىٰ خيار البائع هنا </w:t>
      </w:r>
      <w:r>
        <w:rPr>
          <w:rStyle w:val="FootnoteAnchor"/>
          <w:rtl w:val="true"/>
        </w:rPr>
        <w:footnoteReference w:id="780"/>
      </w:r>
      <w:r>
        <w:rPr>
          <w:rFonts w:ascii="Amiri" w:hAnsi="Amiri" w:eastAsia="Amiri" w:cs="Amiri"/>
          <w:color w:val="111111"/>
          <w:sz w:val="28"/>
          <w:sz w:val="28"/>
          <w:szCs w:val="28"/>
          <w:rtl w:val="true"/>
          <w:lang w:bidi="ar-SA"/>
        </w:rPr>
        <w:t xml:space="preserve">والعلّة مشتركة ، وعلىٰ خيار مطلق المغبون في بحث الخيار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تحريم غبن المؤمن </w:t>
      </w:r>
      <w:r>
        <w:rPr>
          <w:rStyle w:val="FootnoteAnchor"/>
          <w:rtl w:val="true"/>
        </w:rPr>
        <w:footnoteReference w:id="782"/>
      </w:r>
      <w:r>
        <w:rPr>
          <w:rFonts w:ascii="IRNazanin" w:hAnsi="IRNazanin" w:eastAsia="IRNazanin"/>
          <w:color w:val="111111"/>
          <w:sz w:val="28"/>
          <w:sz w:val="28"/>
          <w:szCs w:val="28"/>
          <w:rtl w:val="true"/>
          <w:lang w:bidi="fa-IR"/>
        </w:rPr>
        <w:t xml:space="preserve">أو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المسترسل </w:t>
      </w:r>
      <w:r>
        <w:rPr>
          <w:rStyle w:val="FootnoteAnchor"/>
          <w:rtl w:val="true"/>
        </w:rPr>
        <w:footnoteReference w:id="784"/>
      </w:r>
      <w:r>
        <w:rPr>
          <w:rFonts w:ascii="Amiri" w:hAnsi="Amiri" w:eastAsia="Amiri" w:cs="Amiri"/>
          <w:color w:val="111111"/>
          <w:sz w:val="28"/>
          <w:sz w:val="28"/>
          <w:szCs w:val="28"/>
          <w:rtl w:val="true"/>
          <w:lang w:bidi="ar-SA"/>
        </w:rPr>
        <w:t xml:space="preserve">إشارة إليه ، وفيما روي في كتبنا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خيار الركب بعد وصوله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الروايات </w:t>
      </w:r>
      <w:r>
        <w:rPr>
          <w:rStyle w:val="FootnoteAnchor"/>
          <w:rtl w:val="true"/>
        </w:rPr>
        <w:footnoteReference w:id="786"/>
      </w:r>
      <w:r>
        <w:rPr>
          <w:rFonts w:ascii="Amiri" w:hAnsi="Amiri" w:eastAsia="Amiri" w:cs="Amiri"/>
          <w:color w:val="111111"/>
          <w:sz w:val="28"/>
          <w:sz w:val="28"/>
          <w:szCs w:val="28"/>
          <w:rtl w:val="true"/>
          <w:lang w:bidi="ar-SA"/>
        </w:rPr>
        <w:t xml:space="preserve">من النهي عن التصرّف فيما </w:t>
      </w:r>
      <w:r>
        <w:rPr>
          <w:rStyle w:val="FootnoteAnchor"/>
          <w:rtl w:val="true"/>
        </w:rPr>
        <w:footnoteReference w:id="787"/>
      </w:r>
      <w:r>
        <w:rPr>
          <w:rFonts w:ascii="Amiri" w:hAnsi="Amiri" w:eastAsia="Amiri" w:cs="Amiri"/>
          <w:color w:val="111111"/>
          <w:sz w:val="28"/>
          <w:sz w:val="28"/>
          <w:szCs w:val="28"/>
          <w:rtl w:val="true"/>
          <w:lang w:bidi="ar-SA"/>
        </w:rPr>
        <w:t xml:space="preserve">يشترىٰ من الركب محمول علىٰ الفسخ من المغبون فيحرم علىٰ الغابن ، أو علىٰ الكراهة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إثبات الخيار يبقىٰ البحث في أنّه هل هو علىٰ التراخي ؟ لأصل بقائه بعد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سيجيء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المذهب جماعة من المتقدّمين والمتأخّرين </w:t>
      </w:r>
      <w:r>
        <w:rPr>
          <w:rStyle w:val="FootnoteAnchor"/>
          <w:rtl w:val="true"/>
        </w:rPr>
        <w:footnoteReference w:id="788"/>
      </w:r>
      <w:r>
        <w:rPr>
          <w:rFonts w:ascii="Amiri" w:hAnsi="Amiri" w:eastAsia="Amiri" w:cs="Amiri"/>
          <w:color w:val="111111"/>
          <w:sz w:val="28"/>
          <w:sz w:val="28"/>
          <w:szCs w:val="28"/>
          <w:rtl w:val="true"/>
          <w:lang w:bidi="ar-SA"/>
        </w:rPr>
        <w:t xml:space="preserve">، بل ربّما كان مشهوراً ، مستندين إلىٰ أنّ مقتضىٰ العقد اللّزوم علىٰ العموم في الأزمان ، كما شهد به الكتاب </w:t>
      </w:r>
      <w:r>
        <w:rPr>
          <w:rStyle w:val="FootnoteAnchor"/>
          <w:rtl w:val="true"/>
        </w:rPr>
        <w:footnoteReference w:id="789"/>
      </w:r>
      <w:r>
        <w:rPr>
          <w:rFonts w:ascii="Amiri" w:hAnsi="Amiri" w:eastAsia="Amiri" w:cs="Amiri"/>
          <w:color w:val="111111"/>
          <w:sz w:val="28"/>
          <w:sz w:val="28"/>
          <w:szCs w:val="28"/>
          <w:rtl w:val="true"/>
          <w:lang w:bidi="ar-SA"/>
        </w:rPr>
        <w:t xml:space="preserve">والسنّة </w:t>
      </w:r>
      <w:r>
        <w:rPr>
          <w:rStyle w:val="FootnoteAnchor"/>
          <w:rtl w:val="true"/>
        </w:rPr>
        <w:footnoteReference w:id="790"/>
      </w:r>
      <w:r>
        <w:rPr>
          <w:rFonts w:ascii="Amiri" w:hAnsi="Amiri" w:eastAsia="Amiri" w:cs="Amiri"/>
          <w:color w:val="111111"/>
          <w:sz w:val="28"/>
          <w:sz w:val="28"/>
          <w:szCs w:val="28"/>
          <w:rtl w:val="true"/>
          <w:lang w:bidi="ar-SA"/>
        </w:rPr>
        <w:t xml:space="preserve">، ودليل الخيار إنّما جاء من حديث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الضرار </w:t>
      </w:r>
      <w:r>
        <w:rPr>
          <w:rStyle w:val="FootnoteAnchor"/>
          <w:rtl w:val="true"/>
        </w:rPr>
        <w:footnoteReference w:id="791"/>
      </w:r>
      <w:r>
        <w:rPr>
          <w:rFonts w:ascii="IRNazanin" w:hAnsi="IRNazanin" w:eastAsia="IRNazanin"/>
          <w:color w:val="111111"/>
          <w:sz w:val="28"/>
          <w:sz w:val="28"/>
          <w:szCs w:val="28"/>
          <w:rtl w:val="true"/>
          <w:lang w:bidi="fa-IR"/>
        </w:rPr>
        <w:t xml:space="preserve">ومن الإجماع </w:t>
      </w:r>
      <w:r>
        <w:rPr>
          <w:rStyle w:val="FootnoteAnchor"/>
          <w:rtl w:val="true"/>
        </w:rPr>
        <w:footnoteReference w:id="792"/>
      </w:r>
      <w:r>
        <w:rPr>
          <w:rFonts w:ascii="Amiri" w:hAnsi="Amiri" w:eastAsia="Amiri" w:cs="Amiri"/>
          <w:color w:val="111111"/>
          <w:sz w:val="28"/>
          <w:sz w:val="28"/>
          <w:szCs w:val="28"/>
          <w:rtl w:val="true"/>
          <w:lang w:bidi="ar-SA"/>
        </w:rPr>
        <w:t xml:space="preserve">المفيدين لاستثناء بعض أفرادها ، فيقتصر عليها ، ويبقى العامّ حجّة في الباقي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لا يحكم علىٰ الدليل </w:t>
      </w:r>
      <w:r>
        <w:rPr>
          <w:rStyle w:val="FootnoteAnchor"/>
          <w:rtl w:val="true"/>
        </w:rPr>
        <w:footnoteReference w:id="794"/>
      </w:r>
      <w:r>
        <w:rPr>
          <w:rFonts w:ascii="IRNazanin" w:hAnsi="IRNazanin" w:eastAsia="IRNazanin"/>
          <w:color w:val="111111"/>
          <w:sz w:val="28"/>
          <w:sz w:val="28"/>
          <w:szCs w:val="28"/>
          <w:rtl w:val="true"/>
          <w:lang w:bidi="fa-IR"/>
        </w:rPr>
        <w:t xml:space="preserve">وإنّما يجري لو تعلّق الحكم بالذوات ، فيكون متعلّق الاستصحاب غير متعلّق الدليل، فلا يضعف عن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الأخبار ما يفيد ثبوت الأشياء الخيار علىٰ الاستمرار ، فثبوته لعارض الضرورة كثبوت إباحة بعض الأشیاء في مقام الضرورة للمحرِم أو الصائم أو المصلّي مثلاً، وليس للاستصحاب حينئذ معنىٰ ، ولعدم جريه في التابع بعد زوال المتبوع ، ولا في المقيّد بعد زوال القيد </w:t>
      </w:r>
      <w:r>
        <w:rPr>
          <w:rStyle w:val="FootnoteAnchor"/>
          <w:rtl w:val="true"/>
        </w:rPr>
        <w:footnoteReference w:id="795"/>
      </w:r>
      <w:r>
        <w:rPr>
          <w:rFonts w:ascii="Amiri" w:hAnsi="Amiri" w:eastAsia="Amiri" w:cs="Amiri"/>
          <w:color w:val="111111"/>
          <w:sz w:val="28"/>
          <w:sz w:val="28"/>
          <w:szCs w:val="28"/>
          <w:rtl w:val="true"/>
          <w:lang w:bidi="ar-SA"/>
        </w:rPr>
        <w:t xml:space="preserve">، فيبطل القول بالتراخي مطلقاً ، كما عليه طائفة مطلقاً ، كما عليه طائفة من علمائنا </w:t>
      </w:r>
      <w:r>
        <w:rPr>
          <w:rStyle w:val="FootnoteAnchor"/>
          <w:rtl w:val="true"/>
        </w:rPr>
        <w:footnoteReference w:id="796"/>
      </w:r>
      <w:r>
        <w:rPr>
          <w:rFonts w:ascii="Amiri" w:hAnsi="Amiri" w:eastAsia="Amiri" w:cs="Amiri"/>
          <w:color w:val="111111"/>
          <w:sz w:val="28"/>
          <w:sz w:val="28"/>
          <w:szCs w:val="28"/>
          <w:rtl w:val="true"/>
          <w:lang w:bidi="ar-SA"/>
        </w:rPr>
        <w:t xml:space="preserve">، مستندين إلىٰ استصحاب بقاء الخيار ، وأنّه إنّما يثبت بعد أنْ زالت علّة اللّزوم ، والأصل عدم عودها ؛ وهو محجوج بما مرّ، والقول به </w:t>
      </w:r>
      <w:r>
        <w:rPr>
          <w:rStyle w:val="FootnoteAnchor"/>
          <w:rtl w:val="true"/>
        </w:rPr>
        <w:footnoteReference w:id="797"/>
      </w:r>
      <w:r>
        <w:rPr>
          <w:rFonts w:ascii="Amiri" w:hAnsi="Amiri" w:eastAsia="Amiri" w:cs="Amiri"/>
          <w:color w:val="111111"/>
          <w:sz w:val="28"/>
          <w:sz w:val="28"/>
          <w:szCs w:val="28"/>
          <w:rtl w:val="true"/>
          <w:lang w:bidi="ar-SA"/>
        </w:rPr>
        <w:t xml:space="preserve">إلىٰ مضي </w:t>
      </w:r>
    </w:p>
    <w:p>
      <w:pPr>
        <w:pStyle w:val="BookText"/>
        <w:rPr/>
      </w:pPr>
      <w:r>
        <w:rPr>
          <w:rFonts w:ascii="Amiri" w:hAnsi="Amiri" w:eastAsia="Amiri" w:cs="Amiri"/>
          <w:color w:val="111111"/>
          <w:sz w:val="28"/>
          <w:sz w:val="28"/>
          <w:szCs w:val="28"/>
          <w:rtl w:val="true"/>
          <w:lang w:bidi="ar-SA"/>
        </w:rPr>
        <w:t xml:space="preserve">ثلاثة أيام ، إلحاقاً له بالتدليس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 واضح </w:t>
      </w:r>
      <w:r>
        <w:rPr>
          <w:rStyle w:val="FootnoteAnchor"/>
          <w:rtl w:val="true"/>
        </w:rPr>
        <w:footnoteReference w:id="798"/>
      </w:r>
      <w:r>
        <w:rPr>
          <w:rFonts w:ascii="Amiri" w:hAnsi="Amiri" w:eastAsia="Amiri" w:cs="Amiri"/>
          <w:color w:val="111111"/>
          <w:sz w:val="28"/>
          <w:sz w:val="28"/>
          <w:szCs w:val="28"/>
          <w:rtl w:val="true"/>
          <w:lang w:bidi="ar-SA"/>
        </w:rPr>
        <w:t xml:space="preserve">فتعيّن القول بالفور ، لكن يراد به العرفي ، إذْ لا يندفع الضرر غالباً علىٰ اعتبار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يندفع بثبوته فوراً إلّا بالنسبة إلىٰ العالم ، أمّا الجاهل بالموضوع لعدم مباشرته ، وبالحكم لعدم معرفته ، والغافل والناسي لغفلته ونسيانه ، ونحوهم من أرباب الأعذار ؛ فيستمرّ خيارهم باستمرار عذرهم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مرّ أنّه لا فرق بين الركب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الشراء منهم والبيع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المعاملات المبنيّة علىٰ المداقّة في نقل الأعيان دون المنافع ، فإنّها لا تدخل في الاسم وإن شاركت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لو وقع اتفاقاً ، ولا إذا كان الخروج لغير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قصدت بعد الوصول إليه ، وكذا لو قصدت قبله في أثناء المسافة علىٰ إشكال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سفر تجارة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 الأربعة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إلحاق الأربعة بالزائد دون الناقص</w:t>
      </w:r>
      <w:r>
        <w:rPr>
          <w:rStyle w:val="FootnoteAnchor"/>
          <w:rtl w:val="true"/>
        </w:rPr>
        <w:footnoteReference w:id="800"/>
      </w:r>
      <w:r>
        <w:rPr>
          <w:rFonts w:ascii="IRNazanin" w:hAnsi="IRNazanin" w:eastAsia="IRNazanin"/>
          <w:color w:val="111111"/>
          <w:sz w:val="28"/>
          <w:sz w:val="28"/>
          <w:szCs w:val="28"/>
          <w:rtl w:val="true"/>
          <w:lang w:bidi="fa-IR"/>
        </w:rPr>
        <w:t>، وفاقاً لبعضهم</w:t>
      </w:r>
      <w:r>
        <w:rPr>
          <w:rStyle w:val="FootnoteAnchor"/>
          <w:rtl w:val="true"/>
        </w:rPr>
        <w:footnoteReference w:id="801"/>
      </w:r>
      <w:r>
        <w:rPr>
          <w:rFonts w:ascii="Amiri" w:hAnsi="Amiri" w:eastAsia="Amiri" w:cs="Amiri"/>
          <w:color w:val="111111"/>
          <w:sz w:val="28"/>
          <w:sz w:val="28"/>
          <w:szCs w:val="28"/>
          <w:rtl w:val="true"/>
          <w:lang w:bidi="ar-SA"/>
        </w:rPr>
        <w:t xml:space="preserve">، وتنزيلاً لعبارات آخرين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802"/>
      </w:r>
      <w:r>
        <w:rPr>
          <w:rFonts w:ascii="Amiri" w:hAnsi="Amiri" w:eastAsia="Amiri" w:cs="Amiri"/>
          <w:color w:val="111111"/>
          <w:sz w:val="28"/>
          <w:sz w:val="28"/>
          <w:szCs w:val="28"/>
          <w:rtl w:val="true"/>
          <w:lang w:bidi="ar-SA"/>
        </w:rPr>
        <w:t xml:space="preserve">، لأنّ انطباق نفس الحدّ على تمام البدن ممتنع ، ومتىٰ انتهىٰ إلىٰ الأربعة دخل فى الزائد ، ولأنّه أوفق بجمع الأخبار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محصّلاً ومنقولاً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له طريقان فسلك أقصرهما ؛ لزمته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سلك بالغ الحدّ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الحدّ فصادفه دونه لم يكن متلقّياً، أو قصد دونه فبلغه ارتفعت كراهة المعاملة وإنْ فعل مكروهاً في قطع الطريق قبل العزم علىٰ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المعاملة على الأعيان فعامل علىٰ غيرها ، أو قصد غيرها فعامل عليها ؛ لم يكن متلقّياً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وجاهل المسافة متلقّ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ركباً مخصوصاً فصادف غيره، أو تركه وعامل غيره ؛ فالكراهة في تلقّيه دون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ما فوق المسافة عازماً علىٰ المعاملة فيما دونها فلا يبعد إلحاقه بالتلقّي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أجرى الصيغة هناك ولم يقبض إلا دونها فلا تلقّي ، ولاسيّما إذا لم يكن القبض شرطاً في حصول الملك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277" w:name="pg20243_272210"/>
    </w:p>
    <w:p>
      <w:pPr>
        <w:pStyle w:val="BookText"/>
        <w:rPr/>
      </w:pPr>
      <w:bookmarkEnd w:id="277"/>
      <w:r>
        <w:rPr>
          <w:rFonts w:ascii="Amiri" w:hAnsi="Amiri" w:eastAsia="Amiri" w:cs="Amiri"/>
          <w:color w:val="111111"/>
          <w:sz w:val="28"/>
          <w:sz w:val="28"/>
          <w:szCs w:val="28"/>
          <w:rtl w:val="true"/>
          <w:lang w:bidi="ar-SA"/>
        </w:rPr>
        <w:t>أمهلهم في المعاملة إلىٰ دخول البلد ، وإنّما قصد باستقبالهم إظهار المحبّة لهم لتوقّع شفقتهم ؛ لم يكن به بأس</w:t>
      </w:r>
    </w:p>
    <w:p>
      <w:pPr>
        <w:pStyle w:val="Heading3"/>
        <w:numPr>
          <w:ilvl w:val="2"/>
          <w:numId w:val="1"/>
        </w:numPr>
        <w:rPr/>
      </w:pPr>
      <w:bookmarkStart w:id="278" w:name="__RefHeading___Toc5284974_2320776876"/>
      <w:bookmarkStart w:id="279" w:name="_Toc98"/>
      <w:bookmarkEnd w:id="278"/>
      <w:r>
        <w:rPr>
          <w:rtl w:val="true"/>
        </w:rPr>
        <w:t>حرمة النجش</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 ويُسَكّن </w:t>
      </w:r>
      <w:r>
        <w:rPr>
          <w:rStyle w:val="FootnoteAnchor"/>
          <w:rtl w:val="true"/>
        </w:rPr>
        <w:footnoteReference w:id="8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الأثير ،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تنفير الوحش من مكان إلى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ابن منظور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 وهو استخراج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الشيء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الفيّومي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 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قصده ، ومنه يقال للصائد ناجش ، لاستتاره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الشهيد الثاني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الهروي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الشيء واطراؤه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واللّعن لفاعله في النبوي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المؤيَّد بالشهرة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فيه لعن الناجش والمنجوش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والإجماع المنقول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ودلالة العقل علىٰ قبحه ، لأنّه خدع وخيانة وتدليس</w:t>
      </w:r>
    </w:p>
    <w:p>
      <w:pPr>
        <w:pStyle w:val="BookText"/>
        <w:rPr/>
      </w:pPr>
      <w:r>
        <w:rPr>
          <w:rFonts w:ascii="Amiri" w:hAnsi="Amiri" w:eastAsia="Amiri" w:cs="Amiri"/>
          <w:color w:val="111111"/>
          <w:sz w:val="28"/>
          <w:sz w:val="28"/>
          <w:szCs w:val="28"/>
          <w:rtl w:val="true"/>
          <w:lang w:bidi="ar-SA"/>
        </w:rPr>
        <w:t xml:space="preserve">وتلبيس وإغراء بالجهل وظلم وإضرار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يزيد الرجل في ثمن السلعة وهو لا يريد شراءَها ، ليسمعه غيره ، فيزيد لزيادته ، بشرط المواطاة مع البائع </w:t>
      </w:r>
      <w:r>
        <w:rPr>
          <w:rStyle w:val="FootnoteAnchor"/>
          <w:rtl w:val="true"/>
        </w:rPr>
        <w:footnoteReference w:id="807"/>
      </w:r>
      <w:r>
        <w:rPr>
          <w:rFonts w:ascii="Amiri" w:hAnsi="Amiri" w:eastAsia="Amiri" w:cs="Amiri"/>
          <w:color w:val="111111"/>
          <w:sz w:val="28"/>
          <w:sz w:val="28"/>
          <w:szCs w:val="28"/>
          <w:rtl w:val="true"/>
          <w:lang w:bidi="ar-SA"/>
        </w:rPr>
        <w:t xml:space="preserve">، أو الأعمّ من ذلك </w:t>
      </w:r>
      <w:r>
        <w:rPr>
          <w:rStyle w:val="FootnoteAnchor"/>
          <w:rtl w:val="true"/>
        </w:rPr>
        <w:footnoteReference w:id="808"/>
      </w:r>
      <w:r>
        <w:rPr>
          <w:rFonts w:ascii="Amiri" w:hAnsi="Amiri" w:eastAsia="Amiri" w:cs="Amiri"/>
          <w:color w:val="111111"/>
          <w:sz w:val="28"/>
          <w:sz w:val="28"/>
          <w:szCs w:val="28"/>
          <w:rtl w:val="true"/>
          <w:lang w:bidi="ar-SA"/>
        </w:rPr>
        <w:t xml:space="preserve">، على اختلاف التفسيرين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أيضاً بأنْ يمدح السلعة في البيع لينفقها ويروّجها لمواطاة بينه وبين البائع</w:t>
      </w:r>
      <w:r>
        <w:rPr>
          <w:rStyle w:val="FootnoteAnchor"/>
          <w:rtl w:val="true"/>
        </w:rPr>
        <w:footnoteReference w:id="809"/>
      </w:r>
      <w:r>
        <w:rPr>
          <w:rFonts w:ascii="IRNazanin" w:hAnsi="IRNazanin" w:eastAsia="IRNazanin"/>
          <w:color w:val="111111"/>
          <w:sz w:val="28"/>
          <w:sz w:val="28"/>
          <w:szCs w:val="28"/>
          <w:rtl w:val="true"/>
          <w:lang w:bidi="fa-IR"/>
        </w:rPr>
        <w:t xml:space="preserve">، أو بدونها </w:t>
      </w:r>
      <w:r>
        <w:rPr>
          <w:rStyle w:val="FootnoteAnchor"/>
          <w:rtl w:val="true"/>
        </w:rPr>
        <w:footnoteReference w:id="810"/>
      </w:r>
      <w:r>
        <w:rPr>
          <w:rFonts w:ascii="Amiri" w:hAnsi="Amiri" w:eastAsia="Amiri" w:cs="Amiri"/>
          <w:color w:val="111111"/>
          <w:sz w:val="28"/>
          <w:sz w:val="28"/>
          <w:szCs w:val="28"/>
          <w:rtl w:val="true"/>
          <w:lang w:bidi="ar-SA"/>
        </w:rPr>
        <w:t xml:space="preserve">، على اختلاف في تعريفهم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القسم الثاني من المعنىٰ الثاني لا يخلو من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لزيادة من واطاه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w:t>
      </w:r>
      <w:r>
        <w:rPr>
          <w:rStyle w:val="FootnoteAnchor"/>
          <w:rtl w:val="true"/>
        </w:rPr>
        <w:footnoteReference w:id="811"/>
      </w:r>
      <w:r>
        <w:rPr>
          <w:rFonts w:ascii="Amiri" w:hAnsi="Amiri" w:eastAsia="Amiri" w:cs="Amiri"/>
          <w:color w:val="111111"/>
          <w:sz w:val="28"/>
          <w:sz w:val="28"/>
          <w:szCs w:val="28"/>
          <w:rtl w:val="true"/>
          <w:lang w:bidi="ar-SA"/>
        </w:rPr>
        <w:t xml:space="preserve">؛ فلا وجه لتعلّق التحريم به </w:t>
      </w:r>
      <w:r>
        <w:rPr>
          <w:rStyle w:val="FootnoteAnchor"/>
          <w:rtl w:val="true"/>
        </w:rPr>
        <w:footnoteReference w:id="812"/>
      </w:r>
      <w:r>
        <w:rPr>
          <w:rFonts w:ascii="Amiri" w:hAnsi="Amiri" w:eastAsia="Amiri" w:cs="Amiri"/>
          <w:color w:val="111111"/>
          <w:sz w:val="28"/>
          <w:sz w:val="28"/>
          <w:szCs w:val="28"/>
          <w:rtl w:val="true"/>
          <w:lang w:bidi="ar-SA"/>
        </w:rPr>
        <w:t xml:space="preserve">، إلّا أن يراد التعريف بالغاية ، </w:t>
      </w:r>
    </w:p>
    <w:p>
      <w:pPr>
        <w:pStyle w:val="BookText"/>
        <w:rPr/>
      </w:pPr>
      <w:r>
        <w:rPr>
          <w:rFonts w:ascii="Amiri" w:hAnsi="Amiri" w:eastAsia="Amiri" w:cs="Amiri"/>
          <w:color w:val="111111"/>
          <w:sz w:val="28"/>
          <w:sz w:val="28"/>
          <w:szCs w:val="28"/>
          <w:rtl w:val="true"/>
          <w:lang w:bidi="ar-SA"/>
        </w:rPr>
        <w:t xml:space="preserve">فيكون عبارة عن الزيادة الأولىٰ المسببة للثانية ، أو يراد قدر المال الزائد علىٰ ثمن المثل المسبّب عن الخدع </w:t>
      </w:r>
      <w:r>
        <w:rPr>
          <w:rStyle w:val="FootnoteAnchor"/>
          <w:rtl w:val="true"/>
        </w:rPr>
        <w:footnoteReference w:id="813"/>
      </w:r>
      <w:r>
        <w:rPr>
          <w:rFonts w:ascii="Amiri" w:hAnsi="Amiri" w:eastAsia="Amiri" w:cs="Amiri"/>
          <w:color w:val="111111"/>
          <w:sz w:val="28"/>
          <w:sz w:val="28"/>
          <w:szCs w:val="28"/>
          <w:rtl w:val="true"/>
          <w:lang w:bidi="ar-SA"/>
        </w:rPr>
        <w:t xml:space="preserve">، فإنّه يحرم على البائع ، أو يراد الزيادة علىٰ البذل الحاصلة بسبب زيادة المواطاة ، أو تمام الثمن المشتمل عليها فيكون عبارة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أذا صحّ البيع كيف يحرم الثمن </w:t>
      </w:r>
      <w:r>
        <w:rPr>
          <w:rStyle w:val="FootnoteAnchor"/>
          <w:rtl w:val="true"/>
        </w:rPr>
        <w:footnoteReference w:id="814"/>
      </w:r>
      <w:r>
        <w:rPr>
          <w:rFonts w:ascii="Amiri" w:hAnsi="Amiri" w:eastAsia="Amiri" w:cs="Amiri"/>
          <w:color w:val="111111"/>
          <w:sz w:val="28"/>
          <w:sz w:val="28"/>
          <w:szCs w:val="28"/>
          <w:rtl w:val="true"/>
          <w:lang w:bidi="ar-SA"/>
        </w:rPr>
        <w:t xml:space="preserve">ثم ذكر البيع والبائع مثال ، فيعمّ النجش سائر المعاملات ، فإنْ بنينا 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 وإن بنينا على الجمود في الاسم تسرّينا في الحكم ؛ لتنقيح المناط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الحكم أن يواطئه المشتري في دفع الناقص ليرغب البائع في بيعه بأقلّ ثمن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مواطاة المشتري في دفع الزائد إليه والذهاب عنه ، ليمتنع عن بیعه برجاء الزيادة حتىٰ يتفرّق الطالبون ويبقىٰ حيران ، فيشتريه بأقل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أسباب الحيل والخدع والمكر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العقد </w:t>
      </w:r>
      <w:r>
        <w:rPr>
          <w:rStyle w:val="FootnoteAnchor"/>
          <w:rtl w:val="true"/>
        </w:rPr>
        <w:footnoteReference w:id="816"/>
      </w:r>
      <w:r>
        <w:rPr>
          <w:rFonts w:ascii="Amiri" w:hAnsi="Amiri" w:eastAsia="Amiri" w:cs="Amiri"/>
          <w:color w:val="111111"/>
          <w:sz w:val="28"/>
          <w:sz w:val="28"/>
          <w:szCs w:val="28"/>
          <w:rtl w:val="true"/>
          <w:lang w:bidi="ar-SA"/>
        </w:rPr>
        <w:t xml:space="preserve">بل يلزم </w:t>
      </w:r>
      <w:r>
        <w:rPr>
          <w:rStyle w:val="FootnoteAnchor"/>
          <w:rtl w:val="true"/>
        </w:rPr>
        <w:footnoteReference w:id="817"/>
      </w:r>
      <w:r>
        <w:rPr>
          <w:rFonts w:ascii="IRNazanin" w:hAnsi="IRNazanin" w:eastAsia="IRNazanin"/>
          <w:color w:val="111111"/>
          <w:sz w:val="28"/>
          <w:sz w:val="28"/>
          <w:szCs w:val="28"/>
          <w:rtl w:val="true"/>
          <w:lang w:bidi="fa-IR"/>
        </w:rPr>
        <w:t xml:space="preserve">معه ، وإن عصى بفعله ؛ للأصل </w:t>
      </w:r>
      <w:bookmarkStart w:id="280" w:name="pg20243_272213"/>
    </w:p>
    <w:p>
      <w:pPr>
        <w:pStyle w:val="BookText"/>
        <w:rPr/>
      </w:pPr>
      <w:bookmarkEnd w:id="280"/>
      <w:r>
        <w:rPr>
          <w:rFonts w:ascii="IRNazanin" w:hAnsi="IRNazanin" w:eastAsia="IRNazanin"/>
          <w:color w:val="111111"/>
          <w:sz w:val="28"/>
          <w:sz w:val="28"/>
          <w:szCs w:val="28"/>
          <w:rtl w:val="true"/>
          <w:lang w:bidi="fa-IR"/>
        </w:rPr>
        <w:t>والعمومات</w:t>
      </w:r>
      <w:r>
        <w:rPr>
          <w:rStyle w:val="FootnoteAnchor"/>
          <w:rtl w:val="true"/>
        </w:rPr>
        <w:footnoteReference w:id="818"/>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819"/>
      </w:r>
    </w:p>
    <w:p>
      <w:pPr>
        <w:pStyle w:val="Heading3"/>
        <w:numPr>
          <w:ilvl w:val="2"/>
          <w:numId w:val="1"/>
        </w:numPr>
        <w:rPr/>
      </w:pPr>
      <w:bookmarkStart w:id="281" w:name="__RefHeading___Toc5284976_2320776876"/>
      <w:bookmarkStart w:id="282" w:name="_Toc99"/>
      <w:bookmarkEnd w:id="281"/>
      <w:r>
        <w:rPr>
          <w:rtl w:val="true"/>
        </w:rPr>
        <w:t>ثبوت الخیار فیه مع الغبن الفاحش</w:t>
      </w:r>
      <w:bookmarkEnd w:id="2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المغبون</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من غير تردد ، لقوّة دليله ، ونقل الإجماع عليه فيه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علىٰ غيره ، وقد مرّ الكلام فيه </w:t>
      </w:r>
      <w:r>
        <w:rPr>
          <w:rStyle w:val="FootnoteAnchor"/>
          <w:rtl w:val="true"/>
        </w:rPr>
        <w:footnoteReference w:id="822"/>
      </w:r>
      <w:bookmarkStart w:id="283" w:name="pg20243_272214"/>
    </w:p>
    <w:p>
      <w:pPr>
        <w:pStyle w:val="Heading2"/>
        <w:numPr>
          <w:ilvl w:val="1"/>
          <w:numId w:val="1"/>
        </w:numPr>
        <w:rPr/>
      </w:pPr>
      <w:bookmarkStart w:id="284" w:name="__RefHeading___Toc5284978_2320776876"/>
      <w:bookmarkStart w:id="285" w:name="_Toc100"/>
      <w:bookmarkEnd w:id="283"/>
      <w:bookmarkEnd w:id="284"/>
      <w:r>
        <w:rPr>
          <w:rtl w:val="true"/>
        </w:rPr>
        <w:t>الثانی حرمة الاحتکار</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كلّ ما يحتاجه أرباب النفوس المحترمة ويضطرون إليه ، ولا مندوحة لهم عنه ، من مأكول أو مشروب أو ملبوس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يقيّد هذا بزمان دون زمان، ولا بأعيان دون أعيان ، ولا انتقال بعقد ولا تحديد بحدّ ؛ إذ المدار على حصول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ويسعّر عليه بما يكون مقدوراً للطالبين إذا تجاوز الحدّ في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الحاجة ووفور الأشياء ؛ يحرم مع قصد الإضرار بحصول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قصده مع عدم قصد الإضرار به ؛ قام احتمال التحريم أيضاً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وبدون القصد ؛ علىٰ الإباحة أو الرجحان الذاتي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الحاجة وعدم الاضطرار ؛ فيحرم الاحتكار بالمعنىٰ الآتي في متعلّقات خاصّة ، وأحوال معيّنة ، يجيء بيانها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راجح على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فتوىً ودليلاً، مستنداً إلىٰ القبح العقلي المستفاد من ترتّب الضرر علىٰ المسلمين ، وكون منشئه الحرص المذموم عقلاً ، ومنافاته للمروّة ورقّة القلب المأمور بهما كذلك ، وإلىٰ الأخبار المنقسمة إلىٰ ناهٍ عن الحكرة </w:t>
      </w:r>
      <w:r>
        <w:rPr>
          <w:rStyle w:val="FootnoteAnchor"/>
          <w:rtl w:val="true"/>
        </w:rPr>
        <w:footnoteReference w:id="826"/>
      </w:r>
      <w:r>
        <w:rPr>
          <w:rFonts w:ascii="IRNazanin" w:hAnsi="IRNazanin" w:eastAsia="IRNazanin"/>
          <w:color w:val="111111"/>
          <w:sz w:val="28"/>
          <w:sz w:val="28"/>
          <w:szCs w:val="28"/>
          <w:rtl w:val="true"/>
          <w:lang w:bidi="fa-IR"/>
        </w:rPr>
        <w:t xml:space="preserve">، ولاعن لصاحبها </w:t>
      </w:r>
      <w:r>
        <w:rPr>
          <w:rStyle w:val="FootnoteAnchor"/>
          <w:rtl w:val="true"/>
        </w:rPr>
        <w:footnoteReference w:id="827"/>
      </w:r>
      <w:r>
        <w:rPr>
          <w:rFonts w:ascii="IRNazanin" w:hAnsi="IRNazanin" w:eastAsia="IRNazanin"/>
          <w:color w:val="111111"/>
          <w:sz w:val="28"/>
          <w:sz w:val="28"/>
          <w:szCs w:val="28"/>
          <w:rtl w:val="true"/>
          <w:lang w:bidi="fa-IR"/>
        </w:rPr>
        <w:t xml:space="preserve">، وواصف له بالخاطئ </w:t>
      </w:r>
      <w:r>
        <w:rPr>
          <w:rStyle w:val="FootnoteAnchor"/>
          <w:rtl w:val="true"/>
        </w:rPr>
        <w:footnoteReference w:id="828"/>
      </w:r>
      <w:r>
        <w:rPr>
          <w:rFonts w:ascii="IRNazanin" w:hAnsi="IRNazanin" w:eastAsia="IRNazanin"/>
          <w:color w:val="111111"/>
          <w:sz w:val="28"/>
          <w:sz w:val="28"/>
          <w:szCs w:val="28"/>
          <w:rtl w:val="true"/>
          <w:lang w:bidi="fa-IR"/>
        </w:rPr>
        <w:t xml:space="preserve">، وجاعل له أعظم وزراً من السارق </w:t>
      </w:r>
      <w:r>
        <w:rPr>
          <w:rStyle w:val="FootnoteAnchor"/>
          <w:rtl w:val="true"/>
        </w:rPr>
        <w:footnoteReference w:id="829"/>
      </w:r>
      <w:r>
        <w:rPr>
          <w:rFonts w:ascii="Amiri" w:hAnsi="Amiri" w:eastAsia="Amiri" w:cs="Amiri"/>
          <w:color w:val="111111"/>
          <w:sz w:val="28"/>
          <w:sz w:val="28"/>
          <w:szCs w:val="28"/>
          <w:rtl w:val="true"/>
          <w:lang w:bidi="ar-SA"/>
        </w:rPr>
        <w:t xml:space="preserve">، وأمر له بالبيع والإخراج </w:t>
      </w:r>
      <w:r>
        <w:rPr>
          <w:rStyle w:val="FootnoteAnchor"/>
          <w:rtl w:val="true"/>
        </w:rPr>
        <w:footnoteReference w:id="830"/>
      </w:r>
      <w:r>
        <w:rPr>
          <w:rFonts w:ascii="Amiri" w:hAnsi="Amiri" w:eastAsia="Amiri" w:cs="Amiri"/>
          <w:color w:val="111111"/>
          <w:sz w:val="28"/>
          <w:sz w:val="28"/>
          <w:szCs w:val="28"/>
          <w:rtl w:val="true"/>
          <w:lang w:bidi="ar-SA"/>
        </w:rPr>
        <w:t xml:space="preserve">دالّ بالملازمة أو الظهور، ومشتمل علىٰ لفظ الكراهة </w:t>
      </w:r>
      <w:r>
        <w:rPr>
          <w:rStyle w:val="FootnoteAnchor"/>
          <w:rtl w:val="true"/>
        </w:rPr>
        <w:footnoteReference w:id="831"/>
      </w:r>
      <w:r>
        <w:rPr>
          <w:rFonts w:ascii="Amiri" w:hAnsi="Amiri" w:eastAsia="Amiri" w:cs="Amiri"/>
          <w:color w:val="111111"/>
          <w:sz w:val="28"/>
          <w:sz w:val="28"/>
          <w:szCs w:val="28"/>
          <w:rtl w:val="true"/>
          <w:lang w:bidi="ar-SA"/>
        </w:rPr>
        <w:t xml:space="preserve">المقابلة لنفى البأس ، ومحتسب له من الثلاثة الذين لهم واد في جهنّم </w:t>
      </w:r>
      <w:r>
        <w:rPr>
          <w:rStyle w:val="FootnoteAnchor"/>
          <w:rtl w:val="true"/>
        </w:rPr>
        <w:footnoteReference w:id="832"/>
      </w:r>
      <w:r>
        <w:rPr>
          <w:rFonts w:ascii="Amiri" w:hAnsi="Amiri" w:eastAsia="Amiri" w:cs="Amiri"/>
          <w:color w:val="111111"/>
          <w:sz w:val="28"/>
          <w:sz w:val="28"/>
          <w:szCs w:val="28"/>
          <w:rtl w:val="true"/>
          <w:lang w:bidi="ar-SA"/>
        </w:rPr>
        <w:t>، ومشتمل على أنّه لو تصدّق بثمن ما باعه لم يكن كفارة لما صنع</w:t>
      </w:r>
      <w:r>
        <w:rPr>
          <w:rStyle w:val="FootnoteAnchor"/>
          <w:rtl w:val="true"/>
        </w:rPr>
        <w:footnoteReference w:id="833"/>
      </w:r>
      <w:r>
        <w:rPr>
          <w:rFonts w:ascii="Amiri" w:hAnsi="Amiri" w:eastAsia="Amiri" w:cs="Amiri"/>
          <w:color w:val="111111"/>
          <w:sz w:val="28"/>
          <w:sz w:val="28"/>
          <w:szCs w:val="28"/>
          <w:rtl w:val="true"/>
          <w:lang w:bidi="ar-SA"/>
        </w:rPr>
        <w:t xml:space="preserve">، وإلىٰ أنّه ممّا يُدخله العقل في كفّة الباطل عند الملاحظة </w:t>
      </w:r>
      <w:r>
        <w:rPr>
          <w:rStyle w:val="FootnoteAnchor"/>
          <w:rtl w:val="true"/>
        </w:rPr>
        <w:footnoteReference w:id="834"/>
      </w:r>
      <w:r>
        <w:rPr>
          <w:rFonts w:ascii="Amiri" w:hAnsi="Amiri" w:eastAsia="Amiri" w:cs="Amiri"/>
          <w:color w:val="111111"/>
          <w:sz w:val="28"/>
          <w:sz w:val="28"/>
          <w:szCs w:val="28"/>
          <w:rtl w:val="true"/>
          <w:lang w:bidi="ar-SA"/>
        </w:rPr>
        <w:t xml:space="preserve">وفي مقابلة هذا القول قول بالكراهة </w:t>
      </w:r>
      <w:r>
        <w:rPr>
          <w:rStyle w:val="FootnoteAnchor"/>
          <w:rtl w:val="true"/>
        </w:rPr>
        <w:footnoteReference w:id="835"/>
      </w:r>
      <w:r>
        <w:rPr>
          <w:rFonts w:ascii="Amiri" w:hAnsi="Amiri" w:eastAsia="Amiri" w:cs="Amiri"/>
          <w:color w:val="111111"/>
          <w:sz w:val="28"/>
          <w:sz w:val="28"/>
          <w:szCs w:val="28"/>
          <w:rtl w:val="true"/>
          <w:lang w:bidi="ar-SA"/>
        </w:rPr>
        <w:t xml:space="preserve">يعادله بل يقوى عليه فتوى </w:t>
      </w:r>
    </w:p>
    <w:p>
      <w:pPr>
        <w:pStyle w:val="BookText"/>
        <w:rPr/>
      </w:pPr>
      <w:r>
        <w:rPr>
          <w:rFonts w:ascii="Amiri" w:hAnsi="Amiri" w:eastAsia="Amiri" w:cs="Amiri"/>
          <w:color w:val="111111"/>
          <w:sz w:val="28"/>
          <w:sz w:val="28"/>
          <w:szCs w:val="28"/>
          <w:rtl w:val="true"/>
          <w:lang w:bidi="ar-SA"/>
        </w:rPr>
        <w:t>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أدلته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الإباحة ، وقاعدة تسليط الملّاك علىٰ أموالهم </w:t>
      </w:r>
      <w:r>
        <w:rPr>
          <w:rStyle w:val="FootnoteAnchor"/>
          <w:rtl w:val="true"/>
        </w:rPr>
        <w:footnoteReference w:id="837"/>
      </w:r>
      <w:r>
        <w:rPr>
          <w:rFonts w:ascii="Amiri" w:hAnsi="Amiri" w:eastAsia="Amiri" w:cs="Amiri"/>
          <w:color w:val="111111"/>
          <w:sz w:val="28"/>
          <w:sz w:val="28"/>
          <w:szCs w:val="28"/>
          <w:rtl w:val="true"/>
          <w:lang w:bidi="ar-SA"/>
        </w:rPr>
        <w:t xml:space="preserve">يصنعون بها ما شاؤوا ، وأنّ المعاملة مبنيّة علىٰ المغابنة ولا فرق بين العامّة والخاصّة ، وأنّه ربّما دخل فى الحزم وحسن التعيّش والتدبير ، فيرجح </w:t>
      </w:r>
      <w:r>
        <w:rPr>
          <w:rStyle w:val="FootnoteAnchor"/>
          <w:rtl w:val="true"/>
        </w:rPr>
        <w:footnoteReference w:id="83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الدليل علىٰ خلافه، فلا أقلّ من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بذلك ورود الكراهة في بعض الأخبار </w:t>
      </w:r>
      <w:r>
        <w:rPr>
          <w:rStyle w:val="FootnoteAnchor"/>
          <w:rtl w:val="true"/>
        </w:rPr>
        <w:footnoteReference w:id="839"/>
      </w:r>
      <w:r>
        <w:rPr>
          <w:rFonts w:ascii="IRNazanin" w:hAnsi="IRNazanin" w:eastAsia="IRNazanin"/>
          <w:color w:val="111111"/>
          <w:sz w:val="28"/>
          <w:sz w:val="28"/>
          <w:szCs w:val="28"/>
          <w:rtl w:val="true"/>
          <w:lang w:bidi="fa-IR"/>
        </w:rPr>
        <w:t xml:space="preserve">، وأنّ الحرمة إنّما هی لحصول </w:t>
      </w:r>
      <w:r>
        <w:rPr>
          <w:rStyle w:val="FootnoteAnchor"/>
          <w:rtl w:val="true"/>
        </w:rPr>
        <w:footnoteReference w:id="840"/>
      </w:r>
      <w:r>
        <w:rPr>
          <w:rFonts w:ascii="IRNazanin" w:hAnsi="IRNazanin" w:eastAsia="IRNazanin"/>
          <w:color w:val="111111"/>
          <w:sz w:val="28"/>
          <w:sz w:val="28"/>
          <w:szCs w:val="28"/>
          <w:rtl w:val="true"/>
          <w:lang w:bidi="fa-IR"/>
        </w:rPr>
        <w:t xml:space="preserve">الضرر ، وهذا جار فی جمیع الأشياء ، ولا قائل به، والعقل هنا لا حكم له ، والروايات تُرمى بالضعف، والصحيح منها </w:t>
      </w:r>
      <w:r>
        <w:rPr>
          <w:rStyle w:val="FootnoteAnchor"/>
          <w:rtl w:val="true"/>
        </w:rPr>
        <w:footnoteReference w:id="841"/>
      </w:r>
      <w:r>
        <w:rPr>
          <w:rFonts w:ascii="Amiri" w:hAnsi="Amiri" w:eastAsia="Amiri" w:cs="Amiri"/>
          <w:color w:val="111111"/>
          <w:sz w:val="28"/>
          <w:sz w:val="28"/>
          <w:szCs w:val="28"/>
          <w:rtl w:val="true"/>
          <w:lang w:bidi="ar-SA"/>
        </w:rPr>
        <w:t xml:space="preserve">الخطاب فيه مخصوص ، وفي بعضها </w:t>
      </w:r>
      <w:r>
        <w:rPr>
          <w:rStyle w:val="FootnoteAnchor"/>
          <w:rtl w:val="true"/>
        </w:rPr>
        <w:footnoteReference w:id="842"/>
      </w:r>
      <w:r>
        <w:rPr>
          <w:rFonts w:ascii="IRNazanin" w:hAnsi="IRNazanin" w:eastAsia="IRNazanin"/>
          <w:color w:val="111111"/>
          <w:sz w:val="28"/>
          <w:sz w:val="28"/>
          <w:szCs w:val="28"/>
          <w:rtl w:val="true"/>
          <w:lang w:bidi="fa-IR"/>
        </w:rPr>
        <w:t>ما يؤذن بتحريم القسم الأوّل منه ، وتنزيل غيره عليه قريب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بالبيع والإجبار عليه لا يقتضي وجوبه ، كزيارة النبي صلی اللّٰه علیه و آله وحضور الجماعة في 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التخصيص بالأمصار في الأخبار </w:t>
      </w:r>
      <w:r>
        <w:rPr>
          <w:rStyle w:val="FootnoteAnchor"/>
          <w:rtl w:val="true"/>
        </w:rPr>
        <w:footnoteReference w:id="843"/>
      </w:r>
      <w:r>
        <w:rPr>
          <w:rFonts w:ascii="IRNazanin" w:hAnsi="IRNazanin" w:eastAsia="IRNazanin"/>
          <w:color w:val="111111"/>
          <w:sz w:val="28"/>
          <w:sz w:val="28"/>
          <w:szCs w:val="28"/>
          <w:rtl w:val="true"/>
          <w:lang w:bidi="fa-IR"/>
        </w:rPr>
        <w:t xml:space="preserve">، والحمل علىٰ </w:t>
      </w:r>
    </w:p>
    <w:p>
      <w:pPr>
        <w:pStyle w:val="BookText"/>
        <w:rPr/>
      </w:pPr>
      <w:r>
        <w:rPr>
          <w:rFonts w:ascii="IRNazanin" w:hAnsi="IRNazanin" w:eastAsia="IRNazanin"/>
          <w:color w:val="111111"/>
          <w:sz w:val="28"/>
          <w:sz w:val="28"/>
          <w:szCs w:val="28"/>
          <w:rtl w:val="true"/>
          <w:lang w:bidi="fa-IR"/>
        </w:rPr>
        <w:t xml:space="preserve">خصوص قصد ترتّب الغلاء أو </w:t>
      </w:r>
      <w:r>
        <w:rPr>
          <w:rStyle w:val="FootnoteAnchor"/>
          <w:rtl w:val="true"/>
        </w:rPr>
        <w:footnoteReference w:id="844"/>
      </w:r>
      <w:r>
        <w:rPr>
          <w:rFonts w:ascii="Amiri" w:hAnsi="Amiri" w:eastAsia="Amiri" w:cs="Amiri"/>
          <w:color w:val="111111"/>
          <w:sz w:val="28"/>
          <w:sz w:val="28"/>
          <w:szCs w:val="28"/>
          <w:rtl w:val="true"/>
          <w:lang w:bidi="ar-SA"/>
        </w:rPr>
        <w:t>الإضرار ليس ببعيد كما يظهر من بعض الأخبار</w:t>
      </w:r>
      <w:r>
        <w:rPr>
          <w:rStyle w:val="FootnoteAnchor"/>
          <w:rtl w:val="true"/>
        </w:rPr>
        <w:footnoteReference w:id="845"/>
      </w:r>
      <w:r>
        <w:rPr>
          <w:rFonts w:ascii="IRNazanin" w:hAnsi="IRNazanin" w:eastAsia="IRNazanin"/>
          <w:color w:val="111111"/>
          <w:sz w:val="28"/>
          <w:sz w:val="28"/>
          <w:szCs w:val="28"/>
          <w:rtl w:val="true"/>
          <w:lang w:bidi="fa-IR"/>
        </w:rPr>
        <w:t xml:space="preserve">، ولا أقلّ من حصول الشكّ فيرجع إلىٰ الأصل ، وهو الأقوىٰ ، أنّ طريق الاحتياط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فمرجوحيته بالمعنىٰ الأعمّ محلّ اتفاق ، ولكنّها تختلف شدةً وضعفاً بشدّة الحاجة وضعفها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ويستوي في الحكم الأصيل والوكيل المطلق ، وكذا الوصي في وجه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والذمّي وشبهه يجري علىٰ مذهبه فلا يمنع منه لو جاز فيه ، بخلاف غيره ما لم يكن معذوراً كالمجتهد من أهل الحقّ ومقلديه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والاحتكار بالمعنىٰ الأخير الشرعي ، أو متعلّق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الحنطة والشعير والتمر والزبيب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الإجماع عليه من جماعة </w:t>
      </w:r>
      <w:r>
        <w:rPr>
          <w:rStyle w:val="FootnoteAnchor"/>
          <w:rtl w:val="true"/>
        </w:rPr>
        <w:footnoteReference w:id="846"/>
      </w:r>
      <w:r>
        <w:rPr>
          <w:rFonts w:ascii="Amiri" w:hAnsi="Amiri" w:eastAsia="Amiri" w:cs="Amiri"/>
          <w:color w:val="111111"/>
          <w:sz w:val="28"/>
          <w:sz w:val="28"/>
          <w:szCs w:val="28"/>
          <w:rtl w:val="true"/>
          <w:lang w:bidi="ar-SA"/>
        </w:rPr>
        <w:t xml:space="preserve">، بل الإجماع محصّل في أنّه من الاحتكار ، ولدخوله أيضاً تحت تعريفه بأنّه احتباس الأطعمة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من احتسبها وأضاف الزيت </w:t>
      </w:r>
      <w:r>
        <w:rPr>
          <w:rStyle w:val="FootnoteAnchor"/>
          <w:rtl w:val="true"/>
        </w:rPr>
        <w:footnoteReference w:id="84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كليهما </w:t>
      </w:r>
      <w:r>
        <w:rPr>
          <w:rStyle w:val="FootnoteAnchor"/>
          <w:rtl w:val="true"/>
        </w:rPr>
        <w:footnoteReference w:id="85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كادت أن تكون متفقة علىٰ الخمسة الاُوَل</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إلحاق الزيت </w:t>
      </w:r>
      <w:r>
        <w:rPr>
          <w:rStyle w:val="FootnoteAnchor"/>
          <w:rtl w:val="true"/>
        </w:rPr>
        <w:footnoteReference w:id="852"/>
      </w:r>
      <w:r>
        <w:rPr>
          <w:rFonts w:ascii="Amiri" w:hAnsi="Amiri" w:eastAsia="Amiri" w:cs="Amiri"/>
          <w:color w:val="111111"/>
          <w:sz w:val="28"/>
          <w:sz w:val="28"/>
          <w:szCs w:val="28"/>
          <w:rtl w:val="true"/>
          <w:lang w:bidi="ar-SA"/>
        </w:rPr>
        <w:t xml:space="preserve">والاقتصار علىٰ الخمسة هو قول أكثر الأصحاب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بالأخبار </w:t>
      </w:r>
      <w:r>
        <w:rPr>
          <w:rStyle w:val="FootnoteAnchor"/>
          <w:rtl w:val="true"/>
        </w:rPr>
        <w:footnoteReference w:id="854"/>
      </w:r>
      <w:r>
        <w:rPr>
          <w:rFonts w:ascii="Amiri" w:hAnsi="Amiri" w:eastAsia="Amiri" w:cs="Amiri"/>
          <w:color w:val="111111"/>
          <w:sz w:val="28"/>
          <w:sz w:val="28"/>
          <w:szCs w:val="28"/>
          <w:rtl w:val="true"/>
          <w:lang w:bidi="ar-SA"/>
        </w:rPr>
        <w:t xml:space="preserve">، الموافق للاعتبار ، لزيادة حاجة الناس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الملح فقد ألحقه بعض الأصحاب </w:t>
      </w:r>
      <w:r>
        <w:rPr>
          <w:rStyle w:val="FootnoteAnchor"/>
          <w:rtl w:val="true"/>
        </w:rPr>
        <w:footnoteReference w:id="855"/>
      </w:r>
      <w:r>
        <w:rPr>
          <w:rFonts w:ascii="Amiri" w:hAnsi="Amiri" w:eastAsia="Amiri" w:cs="Amiri"/>
          <w:color w:val="111111"/>
          <w:sz w:val="28"/>
          <w:sz w:val="28"/>
          <w:szCs w:val="28"/>
          <w:rtl w:val="true"/>
          <w:lang w:bidi="ar-SA"/>
        </w:rPr>
        <w:t xml:space="preserve">، اعتماداً على العلّة المذكورة ؛ إذ لا نصّ فيه ، وفيه بحث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اختلاف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عادّ ستة </w:t>
      </w:r>
      <w:r>
        <w:rPr>
          <w:rStyle w:val="FootnoteAnchor"/>
          <w:rtl w:val="true"/>
        </w:rPr>
        <w:footnoteReference w:id="856"/>
      </w:r>
      <w:r>
        <w:rPr>
          <w:rFonts w:ascii="Amiri" w:hAnsi="Amiri" w:eastAsia="Amiri" w:cs="Amiri"/>
          <w:color w:val="111111"/>
          <w:sz w:val="28"/>
          <w:sz w:val="28"/>
          <w:szCs w:val="28"/>
          <w:rtl w:val="true"/>
          <w:lang w:bidi="ar-SA"/>
        </w:rPr>
        <w:t xml:space="preserve">، وعادّ </w:t>
      </w:r>
    </w:p>
    <w:p>
      <w:pPr>
        <w:pStyle w:val="BookText"/>
        <w:rPr/>
      </w:pPr>
      <w:r>
        <w:rPr>
          <w:rFonts w:ascii="Amiri" w:hAnsi="Amiri" w:eastAsia="Amiri" w:cs="Amiri"/>
          <w:color w:val="111111"/>
          <w:sz w:val="28"/>
          <w:sz w:val="28"/>
          <w:szCs w:val="28"/>
          <w:rtl w:val="true"/>
          <w:lang w:bidi="ar-SA"/>
        </w:rPr>
        <w:t>خمسة</w:t>
      </w:r>
      <w:r>
        <w:rPr>
          <w:rStyle w:val="FootnoteAnchor"/>
          <w:rtl w:val="true"/>
        </w:rPr>
        <w:footnoteReference w:id="857"/>
      </w:r>
      <w:r>
        <w:rPr>
          <w:rFonts w:ascii="Amiri" w:hAnsi="Amiri" w:eastAsia="Amiri" w:cs="Amiri"/>
          <w:color w:val="111111"/>
          <w:sz w:val="28"/>
          <w:sz w:val="28"/>
          <w:szCs w:val="28"/>
          <w:rtl w:val="true"/>
          <w:lang w:bidi="ar-SA"/>
        </w:rPr>
        <w:t xml:space="preserve">، ومقتصر علىٰ أربعة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يرجّح أمر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وتنزيلها علىٰ المثال في جميع ما يحتاجه الناس ، لا علىٰ التعبّد ؛ قريب ، فتعمّ الكراهة غير المذكورات ، وتخصّ بعض أفرادها ، فلا كراهة في احتكار الزيت إلّا الشامات ، ولا في الملح إلّا في مواضع يعتاد استعماله فيها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فهمنا إرادة الحاجة لما كان معتاداً في طعام نوع الإنسان ؛ لم يكن </w:t>
      </w:r>
      <w:r>
        <w:rPr>
          <w:rStyle w:val="FootnoteAnchor"/>
          <w:rtl w:val="true"/>
        </w:rPr>
        <w:footnoteReference w:id="859"/>
      </w:r>
      <w:r>
        <w:rPr>
          <w:rFonts w:ascii="IRNazanin" w:hAnsi="IRNazanin" w:eastAsia="IRNazanin"/>
          <w:color w:val="111111"/>
          <w:sz w:val="28"/>
          <w:sz w:val="28"/>
          <w:szCs w:val="28"/>
          <w:rtl w:val="true"/>
          <w:lang w:bidi="fa-IR"/>
        </w:rPr>
        <w:t xml:space="preserve">احتكاراً في الشعير في أكثر بلدان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اعتاد الناس طعاماً في أيام القحط مبتدعاً ؛ جرىٰ فيه الحكم لو بني علىٰ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الأخبار ما ینادي بأنّ المدار علىٰ الاحتياج </w:t>
      </w:r>
      <w:r>
        <w:rPr>
          <w:rStyle w:val="FootnoteAnchor"/>
          <w:rtl w:val="true"/>
        </w:rPr>
        <w:footnoteReference w:id="860"/>
      </w:r>
      <w:r>
        <w:rPr>
          <w:rFonts w:ascii="Amiri" w:hAnsi="Amiri" w:eastAsia="Amiri" w:cs="Amiri"/>
          <w:color w:val="111111"/>
          <w:sz w:val="28"/>
          <w:sz w:val="28"/>
          <w:szCs w:val="28"/>
          <w:rtl w:val="true"/>
          <w:lang w:bidi="ar-SA"/>
        </w:rPr>
        <w:t>وهو مؤيّد للتنزيل علىٰ المثال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الحكم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خارجين عن حقيقته كما هو مقتضىٰ الشرطية، أو مقوّمين لها علىٰ المجازية فيهما ، أو مختلفين علىٰ المجازية أحدهما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وتعذر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غير مجانس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الاُخر ؛ خارجاً ،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انطبق اشتراط التعذر علىٰ الاحتكار المؤدّي إلىٰ الاضطرار </w:t>
      </w:r>
      <w:r>
        <w:rPr>
          <w:rStyle w:val="FootnoteAnchor"/>
          <w:rtl w:val="true"/>
        </w:rPr>
        <w:footnoteReference w:id="861"/>
      </w:r>
      <w:r>
        <w:rPr>
          <w:rFonts w:ascii="Amiri" w:hAnsi="Amiri" w:eastAsia="Amiri" w:cs="Amiri"/>
          <w:color w:val="111111"/>
          <w:sz w:val="28"/>
          <w:sz w:val="28"/>
          <w:szCs w:val="28"/>
          <w:rtl w:val="true"/>
          <w:lang w:bidi="ar-SA"/>
        </w:rPr>
        <w:t xml:space="preserve">، وتكون </w:t>
      </w:r>
    </w:p>
    <w:p>
      <w:pPr>
        <w:pStyle w:val="BookText"/>
        <w:rPr/>
      </w:pPr>
      <w:r>
        <w:rPr>
          <w:rFonts w:ascii="Amiri" w:hAnsi="Amiri" w:eastAsia="Amiri" w:cs="Amiri"/>
          <w:color w:val="111111"/>
          <w:sz w:val="28"/>
          <w:sz w:val="28"/>
          <w:szCs w:val="28"/>
          <w:rtl w:val="true"/>
          <w:lang w:bidi="ar-SA"/>
        </w:rPr>
        <w:t xml:space="preserve">كثير من عبارات المحرّمين المشتملة عليه </w:t>
      </w:r>
      <w:r>
        <w:rPr>
          <w:rStyle w:val="FootnoteAnchor"/>
          <w:rtl w:val="true"/>
        </w:rPr>
        <w:footnoteReference w:id="862"/>
      </w:r>
      <w:r>
        <w:rPr>
          <w:rFonts w:ascii="Amiri" w:hAnsi="Amiri" w:eastAsia="Amiri" w:cs="Amiri"/>
          <w:color w:val="111111"/>
          <w:sz w:val="28"/>
          <w:sz w:val="28"/>
          <w:szCs w:val="28"/>
          <w:rtl w:val="true"/>
          <w:lang w:bidi="ar-SA"/>
        </w:rPr>
        <w:t xml:space="preserve">منزّلة على ذلك ، أو يعمّم التعذّر للتعسّر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بينه وبين الاضطرار ، ويكفي في صدقه مطلق الحاجة المستفادة من الأخبار </w:t>
      </w:r>
      <w:r>
        <w:rPr>
          <w:rStyle w:val="FootnoteAnchor"/>
          <w:rtl w:val="true"/>
        </w:rPr>
        <w:footnoteReference w:id="86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أضاف انتقاله بالشراء </w:t>
      </w:r>
      <w:r>
        <w:rPr>
          <w:rStyle w:val="FootnoteAnchor"/>
          <w:rtl w:val="true"/>
        </w:rPr>
        <w:footnoteReference w:id="864"/>
      </w:r>
      <w:r>
        <w:rPr>
          <w:rFonts w:ascii="Amiri" w:hAnsi="Amiri" w:eastAsia="Amiri" w:cs="Amiri"/>
          <w:color w:val="111111"/>
          <w:sz w:val="28"/>
          <w:sz w:val="28"/>
          <w:szCs w:val="28"/>
          <w:rtl w:val="true"/>
          <w:lang w:bidi="ar-SA"/>
        </w:rPr>
        <w:t xml:space="preserve">اقتصاراً علىٰ المتيقّن ، وعملاً بالصحيح </w:t>
      </w:r>
      <w:r>
        <w:rPr>
          <w:rStyle w:val="FootnoteAnchor"/>
          <w:rtl w:val="true"/>
        </w:rPr>
        <w:footnoteReference w:id="86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تفسيره ، وبغيره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بالفتوىٰ </w:t>
      </w:r>
      <w:r>
        <w:rPr>
          <w:rStyle w:val="FootnoteAnchor"/>
          <w:rtl w:val="true"/>
        </w:rPr>
        <w:footnoteReference w:id="867"/>
      </w:r>
      <w:r>
        <w:rPr>
          <w:rFonts w:ascii="Amiri" w:hAnsi="Amiri" w:eastAsia="Amiri" w:cs="Amiri"/>
          <w:color w:val="111111"/>
          <w:sz w:val="28"/>
          <w:sz w:val="28"/>
          <w:szCs w:val="28"/>
          <w:rtl w:val="true"/>
          <w:lang w:bidi="ar-SA"/>
        </w:rPr>
        <w:t xml:space="preserve">والرواية </w:t>
      </w:r>
      <w:r>
        <w:rPr>
          <w:rStyle w:val="FootnoteAnchor"/>
          <w:rtl w:val="true"/>
        </w:rPr>
        <w:footnoteReference w:id="868"/>
      </w:r>
      <w:r>
        <w:rPr>
          <w:rFonts w:ascii="Amiri" w:hAnsi="Amiri" w:eastAsia="Amiri" w:cs="Amiri"/>
          <w:color w:val="111111"/>
          <w:sz w:val="28"/>
          <w:sz w:val="28"/>
          <w:szCs w:val="28"/>
          <w:rtl w:val="true"/>
          <w:lang w:bidi="ar-SA"/>
        </w:rPr>
        <w:t xml:space="preserve">مطلق المعاوضة حملاً علىٰ المثال ، في مقابلة المملوك بالزراعة والإرث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كونَه قوتاً </w:t>
      </w:r>
      <w:r>
        <w:rPr>
          <w:rStyle w:val="FootnoteAnchor"/>
          <w:rtl w:val="true"/>
        </w:rPr>
        <w:footnoteReference w:id="869"/>
      </w:r>
      <w:r>
        <w:rPr>
          <w:rFonts w:ascii="Amiri" w:hAnsi="Amiri" w:eastAsia="Amiri" w:cs="Amiri"/>
          <w:color w:val="111111"/>
          <w:sz w:val="28"/>
          <w:sz w:val="28"/>
          <w:szCs w:val="28"/>
          <w:rtl w:val="true"/>
          <w:lang w:bidi="ar-SA"/>
        </w:rPr>
        <w:t xml:space="preserve">، فما اختص بالدواب ولو من تلك الأجناس </w:t>
      </w:r>
      <w:r>
        <w:rPr>
          <w:rStyle w:val="FootnoteAnchor"/>
          <w:rtl w:val="true"/>
        </w:rPr>
        <w:footnoteReference w:id="870"/>
      </w:r>
      <w:r>
        <w:rPr>
          <w:rFonts w:ascii="Amiri" w:hAnsi="Amiri" w:eastAsia="Amiri" w:cs="Amiri"/>
          <w:color w:val="111111"/>
          <w:sz w:val="28"/>
          <w:sz w:val="28"/>
          <w:szCs w:val="28"/>
          <w:rtl w:val="true"/>
          <w:lang w:bidi="ar-SA"/>
        </w:rPr>
        <w:t xml:space="preserve">، أو لم يكن من المطعوم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الاحتياج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الأدهان المتخذة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للإسراج ، ونحوها ؛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Style w:val="FootnoteAnchor"/>
          <w:rtl w:val="true"/>
        </w:rPr>
        <w:footnoteReference w:id="871"/>
      </w:r>
      <w:r>
        <w:rPr>
          <w:rFonts w:ascii="Amiri" w:hAnsi="Amiri" w:eastAsia="Amiri" w:cs="Amiri"/>
          <w:color w:val="111111"/>
          <w:sz w:val="28"/>
          <w:sz w:val="28"/>
          <w:szCs w:val="28"/>
          <w:rtl w:val="true"/>
          <w:lang w:bidi="ar-SA"/>
        </w:rPr>
        <w:t xml:space="preserve">أن يضيّق علىٰ الناس بشرائه، فلو لم يكن بفعله ضيق، أو </w:t>
      </w:r>
    </w:p>
    <w:p>
      <w:pPr>
        <w:pStyle w:val="BookText"/>
        <w:rPr/>
      </w:pPr>
      <w:r>
        <w:rPr>
          <w:rFonts w:ascii="Amiri" w:hAnsi="Amiri" w:eastAsia="Amiri" w:cs="Amiri"/>
          <w:color w:val="111111"/>
          <w:sz w:val="28"/>
          <w:sz w:val="28"/>
          <w:szCs w:val="28"/>
          <w:rtl w:val="true"/>
          <w:lang w:bidi="ar-SA"/>
        </w:rPr>
        <w:t xml:space="preserve">كان ببقائه لا بابتدائه ؛ لم يكن احتكاراً، ويظهر من بعض الأخبار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انتظاره للغلاء لأجل الإنفاق وقت الاضطرار لزيادة الأجر ، وأنْ لا يكون أهل المصرقد تركوا شراءَه عمداً ليباع بأقلّ القيمة فلا يبقىٰ لهم احترام فى غير مقام الاضطرار، وأنْ لا يكون له مانع عن البيع وقت الرخاء فينتظر الغلاء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بالتحريم لاقتصرنا علىٰ المتيقّن ، وأدخلنا المشكوك فيه تحت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الكراهة يسهل الخطب ، ويعمّ الحكم مع 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الاختلاف يتأيّد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فلا احتكار إلا مع الإبقاء انتظاراً للغلاء مع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استبقاها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كقوته ، ووفاء دينه ، أو بذر زراعته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باذلاً ترتفع به شدّة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الأخبار </w:t>
      </w:r>
      <w:r>
        <w:rPr>
          <w:rStyle w:val="FootnoteAnchor"/>
          <w:rtl w:val="true"/>
        </w:rPr>
        <w:footnoteReference w:id="873"/>
      </w:r>
      <w:r>
        <w:rPr>
          <w:rFonts w:ascii="Amiri" w:hAnsi="Amiri" w:eastAsia="Amiri" w:cs="Amiri"/>
          <w:color w:val="111111"/>
          <w:sz w:val="28"/>
          <w:sz w:val="28"/>
          <w:szCs w:val="28"/>
          <w:rtl w:val="true"/>
          <w:lang w:bidi="ar-SA"/>
        </w:rPr>
        <w:t xml:space="preserve">الموافقة للأصل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تبيّن أنّه لا مدخلية لطول مدّة البقاء وقصرها ، كما هو </w:t>
      </w:r>
    </w:p>
    <w:p>
      <w:pPr>
        <w:pStyle w:val="BookText"/>
        <w:rPr/>
      </w:pPr>
      <w:r>
        <w:rPr>
          <w:rFonts w:ascii="IRNazanin" w:hAnsi="IRNazanin" w:eastAsia="IRNazanin"/>
          <w:color w:val="111111"/>
          <w:sz w:val="28"/>
          <w:sz w:val="28"/>
          <w:szCs w:val="28"/>
          <w:rtl w:val="true"/>
          <w:lang w:bidi="fa-IR"/>
        </w:rPr>
        <w:t xml:space="preserve">المشهور والحقّ المنصور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الكتب لبعض القدماء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يستبقيها ثلاثة أيام في الغلاء ، وأربعين في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بعض الروايات </w:t>
      </w:r>
      <w:r>
        <w:rPr>
          <w:rStyle w:val="FootnoteAnchor"/>
          <w:rtl w:val="true"/>
        </w:rPr>
        <w:footnoteReference w:id="875"/>
      </w:r>
      <w:r>
        <w:rPr>
          <w:rFonts w:ascii="Amiri" w:hAnsi="Amiri" w:eastAsia="Amiri" w:cs="Amiri"/>
          <w:color w:val="111111"/>
          <w:sz w:val="28"/>
          <w:sz w:val="28"/>
          <w:szCs w:val="28"/>
          <w:rtl w:val="true"/>
          <w:lang w:bidi="ar-SA"/>
        </w:rPr>
        <w:t xml:space="preserve">الضعيفة في ذاتها، ولمخالفتها الشهرة ، بل الإجماع المحصّل السابق علىٰ القائلين بذلك اللّاحق لهم مع كونهم معلومي النَسَب ، والإجماع المنقول عن جماعة </w:t>
      </w:r>
      <w:r>
        <w:rPr>
          <w:rStyle w:val="FootnoteAnchor"/>
          <w:rtl w:val="true"/>
        </w:rPr>
        <w:footnoteReference w:id="876"/>
      </w:r>
      <w:r>
        <w:rPr>
          <w:rFonts w:ascii="Amiri" w:hAnsi="Amiri" w:eastAsia="Amiri" w:cs="Amiri"/>
          <w:color w:val="111111"/>
          <w:sz w:val="28"/>
          <w:sz w:val="28"/>
          <w:szCs w:val="28"/>
          <w:rtl w:val="true"/>
          <w:lang w:bidi="ar-SA"/>
        </w:rPr>
        <w:t xml:space="preserve">، المعارضة بالأخبار الكثيرة المعتبرة </w:t>
      </w:r>
      <w:r>
        <w:rPr>
          <w:rStyle w:val="FootnoteAnchor"/>
          <w:rtl w:val="true"/>
        </w:rPr>
        <w:footnoteReference w:id="877"/>
      </w:r>
      <w:r>
        <w:rPr>
          <w:rFonts w:ascii="Amiri" w:hAnsi="Amiri" w:eastAsia="Amiri" w:cs="Amiri"/>
          <w:color w:val="111111"/>
          <w:sz w:val="28"/>
          <w:sz w:val="28"/>
          <w:szCs w:val="28"/>
          <w:rtl w:val="true"/>
          <w:lang w:bidi="ar-SA"/>
        </w:rPr>
        <w:t xml:space="preserve">؛ فلزم إمّا تأويلها بتنزيلها علىٰ حصول الحاجة ؛ جمعاً بين الأخبار المختلفة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أصحابنا </w:t>
      </w:r>
      <w:r>
        <w:rPr>
          <w:rStyle w:val="FootnoteAnchor"/>
          <w:rtl w:val="true"/>
        </w:rPr>
        <w:footnoteReference w:id="879"/>
      </w:r>
      <w:r>
        <w:rPr>
          <w:rFonts w:ascii="Amiri" w:hAnsi="Amiri" w:eastAsia="Amiri" w:cs="Amiri"/>
          <w:color w:val="111111"/>
          <w:sz w:val="28"/>
          <w:sz w:val="28"/>
          <w:szCs w:val="28"/>
          <w:rtl w:val="true"/>
          <w:lang w:bidi="ar-SA"/>
        </w:rPr>
        <w:t xml:space="preserve">في الجمع بين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اطّراحها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من الكراهة يسهل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الأخبار على اختلاف الشدّة </w:t>
      </w:r>
    </w:p>
    <w:p>
      <w:pPr>
        <w:pStyle w:val="BookText"/>
        <w:rPr/>
      </w:pPr>
      <w:r>
        <w:rPr>
          <w:rFonts w:ascii="Amiri" w:hAnsi="Amiri" w:eastAsia="Amiri" w:cs="Amiri"/>
          <w:color w:val="111111"/>
          <w:sz w:val="28"/>
          <w:sz w:val="28"/>
          <w:szCs w:val="28"/>
          <w:rtl w:val="true"/>
          <w:lang w:bidi="ar-SA"/>
        </w:rPr>
        <w:t xml:space="preserve">والضعف وجيه جداً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أو عدول المسلمين مع بُعده ؛ الأصيلُ والوكيلُ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مقامها من عقود المعاوضات، للإجماع المنقول علىٰ لسان جماعة </w:t>
      </w:r>
      <w:r>
        <w:rPr>
          <w:rStyle w:val="FootnoteAnchor"/>
          <w:rtl w:val="true"/>
        </w:rPr>
        <w:footnoteReference w:id="881"/>
      </w:r>
      <w:r>
        <w:rPr>
          <w:rFonts w:ascii="IRNazanin" w:hAnsi="IRNazanin" w:eastAsia="IRNazanin"/>
          <w:color w:val="111111"/>
          <w:sz w:val="28"/>
          <w:sz w:val="28"/>
          <w:szCs w:val="28"/>
          <w:rtl w:val="true"/>
          <w:lang w:bidi="fa-IR"/>
        </w:rPr>
        <w:t xml:space="preserve">، والأخبار </w:t>
      </w:r>
      <w:r>
        <w:rPr>
          <w:rStyle w:val="FootnoteAnchor"/>
          <w:rtl w:val="true"/>
        </w:rPr>
        <w:footnoteReference w:id="882"/>
      </w:r>
      <w:r>
        <w:rPr>
          <w:rFonts w:ascii="Amiri" w:hAnsi="Amiri" w:eastAsia="Amiri" w:cs="Amiri"/>
          <w:color w:val="111111"/>
          <w:sz w:val="28"/>
          <w:sz w:val="28"/>
          <w:szCs w:val="28"/>
          <w:rtl w:val="true"/>
          <w:lang w:bidi="ar-SA"/>
        </w:rPr>
        <w:t>وإجبار الشرع يلحق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إجباره قام الإمام أو العدل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القيام مع عدم التعذّر خصوصاً للإمام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وبين التحريم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بينه وبين الكراهة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عن المعاوضة وطلب الصدقة اُجيب إليها في حقّ مَنْ لا يدخله النقص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خيار الردّ للمجلس ، ولا للحيوان </w:t>
      </w:r>
      <w:r>
        <w:rPr>
          <w:rStyle w:val="FootnoteAnchor"/>
          <w:rtl w:val="true"/>
        </w:rPr>
        <w:footnoteReference w:id="883"/>
      </w:r>
      <w:r>
        <w:rPr>
          <w:rFonts w:ascii="Amiri" w:hAnsi="Amiri" w:eastAsia="Amiri" w:cs="Amiri"/>
          <w:color w:val="111111"/>
          <w:sz w:val="28"/>
          <w:sz w:val="28"/>
          <w:szCs w:val="28"/>
          <w:rtl w:val="true"/>
          <w:lang w:bidi="ar-SA"/>
        </w:rPr>
        <w:t>، وله ذلك فيما عداهما من ذوات الأسباب ، فيفسخ ويجدّد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اشتراط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الطعامُ بعد إجراء الصيغة وبعد التفرّق ؛ فلا ردّ وقبل أحدهما ؛ يكون الأمر إليه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يجوز الإجبار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التسعير علىٰ رأي</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قوي ، للأصل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بسلطان المالك </w:t>
      </w:r>
      <w:r>
        <w:rPr>
          <w:rStyle w:val="FootnoteAnchor"/>
          <w:rtl w:val="true"/>
        </w:rPr>
        <w:footnoteReference w:id="885"/>
      </w:r>
      <w:r>
        <w:rPr>
          <w:rFonts w:ascii="Amiri" w:hAnsi="Amiri" w:eastAsia="Amiri" w:cs="Amiri"/>
          <w:color w:val="111111"/>
          <w:sz w:val="28"/>
          <w:sz w:val="28"/>
          <w:szCs w:val="28"/>
          <w:rtl w:val="true"/>
          <w:lang w:bidi="ar-SA"/>
        </w:rPr>
        <w:t xml:space="preserve">، والإجماع المنقول علىٰ لسان جماعة </w:t>
      </w:r>
      <w:r>
        <w:rPr>
          <w:rStyle w:val="FootnoteAnchor"/>
          <w:rtl w:val="true"/>
        </w:rPr>
        <w:footnoteReference w:id="886"/>
      </w:r>
      <w:r>
        <w:rPr>
          <w:rFonts w:ascii="IRNazanin" w:hAnsi="IRNazanin" w:eastAsia="IRNazanin"/>
          <w:color w:val="111111"/>
          <w:sz w:val="28"/>
          <w:sz w:val="28"/>
          <w:szCs w:val="28"/>
          <w:rtl w:val="true"/>
          <w:lang w:bidi="fa-IR"/>
        </w:rPr>
        <w:t xml:space="preserve">، والأخبار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w:t>
      </w:r>
      <w:r>
        <w:rPr>
          <w:rStyle w:val="FootnoteAnchor"/>
          <w:rtl w:val="true"/>
        </w:rPr>
        <w:footnoteReference w:id="888"/>
      </w:r>
      <w:r>
        <w:rPr>
          <w:rFonts w:ascii="Amiri" w:hAnsi="Amiri" w:eastAsia="Amiri" w:cs="Amiri"/>
          <w:color w:val="111111"/>
          <w:sz w:val="28"/>
          <w:sz w:val="28"/>
          <w:szCs w:val="28"/>
          <w:rtl w:val="true"/>
          <w:lang w:bidi="ar-SA"/>
        </w:rPr>
        <w:t xml:space="preserve">محجوج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اُخذ بظاهره ضاعت فائدة الإجبار علىٰ البيع </w:t>
      </w:r>
      <w:r>
        <w:rPr>
          <w:rStyle w:val="FootnoteAnchor"/>
          <w:rtl w:val="true"/>
        </w:rPr>
        <w:footnoteReference w:id="889"/>
      </w:r>
      <w:r>
        <w:rPr>
          <w:rFonts w:ascii="Amiri" w:hAnsi="Amiri" w:eastAsia="Amiri" w:cs="Amiri"/>
          <w:color w:val="111111"/>
          <w:sz w:val="28"/>
          <w:sz w:val="28"/>
          <w:szCs w:val="28"/>
          <w:rtl w:val="true"/>
          <w:lang w:bidi="ar-SA"/>
        </w:rPr>
        <w:t xml:space="preserve">، إذْ لو طلب ثمناً فوق الطاقة والاستطاعة تعذّر </w:t>
      </w:r>
    </w:p>
    <w:p>
      <w:pPr>
        <w:pStyle w:val="BookText"/>
        <w:rPr/>
      </w:pPr>
      <w:r>
        <w:rPr>
          <w:rFonts w:ascii="Amiri" w:hAnsi="Amiri" w:eastAsia="Amiri" w:cs="Amiri"/>
          <w:color w:val="111111"/>
          <w:sz w:val="28"/>
          <w:sz w:val="28"/>
          <w:szCs w:val="28"/>
          <w:rtl w:val="true"/>
          <w:lang w:bidi="ar-SA"/>
        </w:rPr>
        <w:t xml:space="preserve">البيع والشراء ، فلابدّ حينئذ من أمر الحاكم له بالنزول عن تلك القيمة </w:t>
      </w:r>
      <w:r>
        <w:rPr>
          <w:rStyle w:val="FootnoteAnchor"/>
          <w:rtl w:val="true"/>
        </w:rPr>
        <w:footnoteReference w:id="890"/>
      </w:r>
      <w:r>
        <w:rPr>
          <w:rFonts w:ascii="Amiri" w:hAnsi="Amiri" w:eastAsia="Amiri" w:cs="Amiri"/>
          <w:color w:val="111111"/>
          <w:sz w:val="28"/>
          <w:sz w:val="28"/>
          <w:szCs w:val="28"/>
          <w:rtl w:val="true"/>
          <w:lang w:bidi="ar-SA"/>
        </w:rPr>
        <w:t xml:space="preserve">، ولعلّه لا يُسمّىٰ تسعيراً ، فلذا ترك ذكره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امتنع عن ذلك سعّر الحاكم وباع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طلب جنساً من الثمن لا وجود له ، امتحاناً ؛ جبره </w:t>
      </w:r>
      <w:r>
        <w:rPr>
          <w:rStyle w:val="FootnoteAnchor"/>
          <w:rtl w:val="true"/>
        </w:rPr>
        <w:footnoteReference w:id="891"/>
      </w:r>
      <w:r>
        <w:rPr>
          <w:rFonts w:ascii="Amiri" w:hAnsi="Amiri" w:eastAsia="Amiri" w:cs="Amiri"/>
          <w:color w:val="111111"/>
          <w:sz w:val="28"/>
          <w:sz w:val="28"/>
          <w:szCs w:val="28"/>
          <w:rtl w:val="true"/>
          <w:lang w:bidi="ar-SA"/>
        </w:rPr>
        <w:t xml:space="preserve">علىٰ ذكر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 إلّا لواحد جملةً بشرط دفعه الثمن إليّ قبل أن يبيع ، مع تعذّر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بإجباره علىٰ البيع موزّعاً ولو أمكن انفراد الواحد به ؛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التسعير إلى الحاكم ، ومع بُعده إلىٰ عدول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تولّي الأفضل والأعدل ، وإنْ كان الأقوىٰ عدم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تقديم شديد الحاجة علىٰ ضعيفها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الاضطرار للبعض دون البعض ؛ يجب تقديم المضطرّ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عصىٰ وصحّ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المحتكر مجتهداً جبره </w:t>
      </w:r>
      <w:r>
        <w:rPr>
          <w:rStyle w:val="FootnoteAnchor"/>
          <w:rtl w:val="true"/>
        </w:rPr>
        <w:footnoteReference w:id="892"/>
      </w:r>
      <w:r>
        <w:rPr>
          <w:rFonts w:ascii="Amiri" w:hAnsi="Amiri" w:eastAsia="Amiri" w:cs="Amiri"/>
          <w:color w:val="111111"/>
          <w:sz w:val="28"/>
          <w:sz w:val="28"/>
          <w:szCs w:val="28"/>
          <w:rtl w:val="true"/>
          <w:lang w:bidi="ar-SA"/>
        </w:rPr>
        <w:t>المجتهد الآخر وإنْ كان مفضولاً ، فانْ لم يكن فعدول المقلّدين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له سلطان عليه بملك أو ولاية أو وكالة ؛ من هدية ، أو صدقة واجبة ، أو مندوبة، أو خمس مطلقاً إن كان مجتهداً أو مأذوناً منه ، أو ما عدا سهم الإمام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يضعه أو يقسّمه أو يدفعه بهذا القالب ونحوه ،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للفقراء ، ونحوه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أو ادفعه أو أعطه ، من غير فرق بينها ، كما يظهر من تتبّع كلامهم ، خلافاً لمن قصر المنع علىٰ الصيغة الأخيرة ، ولمن قصره علىٰ سابقتها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قبيل</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أو مَن يضاف إلىٰ القبيل ، معبّراً عنه بالاسم أو بالوصف ، مع التحلية باللّام وبدونها، محصور أو غير 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مندرجاً تحت الاسم أو الوصف فأولاد البنات لا يدخلون في الطائفة ، معلوم الاندراج فلا نصيب للخنثىٰ المشكل فيما تعلّق بأحد الصنفين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ولو بالقرائن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تجز له المخالفة ، لتسلّط المالك علىٰ ماله </w:t>
      </w:r>
      <w:r>
        <w:rPr>
          <w:rStyle w:val="FootnoteAnchor"/>
          <w:rtl w:val="true"/>
        </w:rPr>
        <w:footnoteReference w:id="895"/>
      </w:r>
      <w:r>
        <w:rPr>
          <w:rFonts w:ascii="Amiri" w:hAnsi="Amiri" w:eastAsia="Amiri" w:cs="Amiri"/>
          <w:color w:val="111111"/>
          <w:sz w:val="28"/>
          <w:sz w:val="28"/>
          <w:szCs w:val="28"/>
          <w:rtl w:val="true"/>
          <w:lang w:bidi="ar-SA"/>
        </w:rPr>
        <w:t xml:space="preserve">، وعدم إباحته إلّا بطيب نفسه عقلاً وسمعاً </w:t>
      </w:r>
      <w:r>
        <w:rPr>
          <w:rStyle w:val="FootnoteAnchor"/>
          <w:rtl w:val="true"/>
        </w:rPr>
        <w:footnoteReference w:id="896"/>
      </w:r>
      <w:r>
        <w:rPr>
          <w:rStyle w:val="FootnoteAnchor"/>
          <w:rtl w:val="true"/>
        </w:rPr>
        <w:footnoteReference w:id="897"/>
      </w:r>
      <w:r>
        <w:rPr>
          <w:rFonts w:ascii="Amiri" w:hAnsi="Amiri" w:eastAsia="Amiri" w:cs="Amiri"/>
          <w:color w:val="111111"/>
          <w:sz w:val="28"/>
          <w:sz w:val="28"/>
          <w:szCs w:val="28"/>
          <w:rtl w:val="true"/>
          <w:lang w:bidi="ar-SA"/>
        </w:rPr>
        <w:t xml:space="preserve">، والإجماع محصّلاً ومنقولاً </w:t>
      </w:r>
      <w:r>
        <w:rPr>
          <w:rStyle w:val="FootnoteAnchor"/>
          <w:rtl w:val="true"/>
        </w:rPr>
        <w:footnoteReference w:id="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 في يد قابضه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رجوع له عليه مع جهله وإنْ رجع المالك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المالك علىٰ القابض الجاهل رجع علىٰ الدافع حيث كان غارّاً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 عمّم صريحاً ؛ جاز له الأخذ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آتياً بأيّ صيغة كانت من الصيغ السابقة، متعلّقة بأيّ موضوع كان من الموضوعات المتقدّمة، بأيّ نحو اتفق ، علىٰ نحو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تحريم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لكثير من الأصحاب من القدماء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والمتأخّرين </w:t>
      </w:r>
      <w:r>
        <w:rPr>
          <w:rStyle w:val="FootnoteAnchor"/>
          <w:rtl w:val="true"/>
        </w:rPr>
        <w:footnoteReference w:id="899"/>
      </w:r>
      <w:r>
        <w:rPr>
          <w:rFonts w:ascii="Amiri" w:hAnsi="Amiri" w:eastAsia="Amiri" w:cs="Amiri"/>
          <w:color w:val="111111"/>
          <w:sz w:val="28"/>
          <w:sz w:val="28"/>
          <w:szCs w:val="28"/>
          <w:rtl w:val="true"/>
          <w:lang w:bidi="ar-SA"/>
        </w:rPr>
        <w:t xml:space="preserve">، للأصل ، وعدم دخوله تحت متعلّق الخطاب عرفاً ، كما في التوكيل في أمر النكاح وغيره </w:t>
      </w:r>
      <w:r>
        <w:rPr>
          <w:rStyle w:val="FootnoteAnchor"/>
          <w:rtl w:val="true"/>
        </w:rPr>
        <w:footnoteReference w:id="900"/>
      </w:r>
      <w:r>
        <w:rPr>
          <w:rFonts w:ascii="IRNazanin" w:hAnsi="IRNazanin" w:eastAsia="IRNazanin"/>
          <w:color w:val="111111"/>
          <w:sz w:val="28"/>
          <w:sz w:val="28"/>
          <w:szCs w:val="28"/>
          <w:rtl w:val="true"/>
          <w:lang w:bidi="fa-IR"/>
        </w:rPr>
        <w:t xml:space="preserve">، وصحيحة عبد الرحمن المسندة إلىٰ الصادق علیه السلام في التحرير </w:t>
      </w:r>
      <w:r>
        <w:rPr>
          <w:rStyle w:val="FootnoteAnchor"/>
          <w:rtl w:val="true"/>
        </w:rPr>
        <w:footnoteReference w:id="901"/>
      </w:r>
      <w:r>
        <w:rPr>
          <w:rFonts w:ascii="Amiri" w:hAnsi="Amiri" w:eastAsia="Amiri" w:cs="Amiri"/>
          <w:color w:val="111111"/>
          <w:sz w:val="28"/>
          <w:sz w:val="28"/>
          <w:szCs w:val="28"/>
          <w:rtl w:val="true"/>
          <w:lang w:bidi="ar-SA"/>
        </w:rPr>
        <w:t xml:space="preserve">، المضمرة في غيره </w:t>
      </w:r>
      <w:r>
        <w:rPr>
          <w:rStyle w:val="FootnoteAnchor"/>
          <w:rtl w:val="true"/>
        </w:rPr>
        <w:footnoteReference w:id="902"/>
      </w:r>
      <w:r>
        <w:rPr>
          <w:rFonts w:ascii="Amiri" w:hAnsi="Amiri" w:eastAsia="Amiri" w:cs="Amiri"/>
          <w:color w:val="111111"/>
          <w:sz w:val="28"/>
          <w:sz w:val="28"/>
          <w:szCs w:val="28"/>
          <w:rtl w:val="true"/>
          <w:lang w:bidi="ar-SA"/>
        </w:rPr>
        <w:t>، الناهية لمن اُعطى مالاً ليقسّمه في محاويج أو مساكين، وهو محتاج ، عن أنْ يأخذ لنفسه شيئاً حتىٰ يأذن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الأقرب الجواز مطلقاً ، أو في بعض الأقسام كما أشرنا إليه سابقاً، وهو قول الأكثر في رواية بعض</w:t>
      </w:r>
      <w:r>
        <w:rPr>
          <w:rStyle w:val="FootnoteAnchor"/>
          <w:rtl w:val="true"/>
        </w:rPr>
        <w:footnoteReference w:id="903"/>
      </w:r>
      <w:r>
        <w:rPr>
          <w:rFonts w:ascii="Amiri" w:hAnsi="Amiri" w:eastAsia="Amiri" w:cs="Amiri"/>
          <w:color w:val="111111"/>
          <w:sz w:val="28"/>
          <w:sz w:val="28"/>
          <w:szCs w:val="28"/>
          <w:rtl w:val="true"/>
          <w:lang w:bidi="ar-SA"/>
        </w:rPr>
        <w:t xml:space="preserve">والمشهور في </w:t>
      </w:r>
    </w:p>
    <w:p>
      <w:pPr>
        <w:pStyle w:val="BookText"/>
        <w:rPr/>
      </w:pPr>
      <w:r>
        <w:rPr>
          <w:rFonts w:ascii="Amiri" w:hAnsi="Amiri" w:eastAsia="Amiri" w:cs="Amiri"/>
          <w:color w:val="111111"/>
          <w:sz w:val="28"/>
          <w:sz w:val="28"/>
          <w:szCs w:val="28"/>
          <w:rtl w:val="true"/>
          <w:lang w:bidi="ar-SA"/>
        </w:rPr>
        <w:t xml:space="preserve">اُخرىٰ </w:t>
      </w:r>
      <w:r>
        <w:rPr>
          <w:rStyle w:val="FootnoteAnchor"/>
          <w:rtl w:val="true"/>
        </w:rPr>
        <w:footnoteReference w:id="904"/>
      </w:r>
      <w:r>
        <w:rPr>
          <w:rFonts w:ascii="Amiri" w:hAnsi="Amiri" w:eastAsia="Amiri" w:cs="Amiri"/>
          <w:color w:val="111111"/>
          <w:sz w:val="28"/>
          <w:sz w:val="28"/>
          <w:szCs w:val="28"/>
          <w:rtl w:val="true"/>
          <w:lang w:bidi="ar-SA"/>
        </w:rPr>
        <w:t xml:space="preserve">، استناداً </w:t>
      </w:r>
      <w:r>
        <w:rPr>
          <w:rStyle w:val="FootnoteAnchor"/>
          <w:rtl w:val="true"/>
        </w:rPr>
        <w:footnoteReference w:id="905"/>
      </w:r>
      <w:r>
        <w:rPr>
          <w:rFonts w:ascii="Amiri" w:hAnsi="Amiri" w:eastAsia="Amiri" w:cs="Amiri"/>
          <w:color w:val="111111"/>
          <w:sz w:val="28"/>
          <w:sz w:val="28"/>
          <w:szCs w:val="28"/>
          <w:rtl w:val="true"/>
          <w:lang w:bidi="ar-SA"/>
        </w:rPr>
        <w:t xml:space="preserve">إلىٰ أنّ للوكيل حكم الموكّل ، والوكالة مطلقة والشمول مستفاد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الروايات الصحيحة المشتملة علىٰ عبارات مختلفة، في بعضها </w:t>
      </w:r>
      <w:r>
        <w:rPr>
          <w:rStyle w:val="FootnoteAnchor"/>
          <w:rtl w:val="true"/>
        </w:rPr>
        <w:footnoteReference w:id="906"/>
      </w:r>
      <w:r>
        <w:rPr>
          <w:rFonts w:ascii="Amiri" w:hAnsi="Amiri" w:eastAsia="Amiri" w:cs="Amiri"/>
          <w:color w:val="111111"/>
          <w:sz w:val="28"/>
          <w:sz w:val="28"/>
          <w:szCs w:val="28"/>
          <w:rtl w:val="true"/>
          <w:lang w:bidi="ar-SA"/>
        </w:rPr>
        <w:t xml:space="preserve">الإذن في الأخذ لمن اُعطي الزكاة يقسّمها في أصحابه ، وفي الاُخرىٰ </w:t>
      </w:r>
      <w:r>
        <w:rPr>
          <w:rStyle w:val="FootnoteAnchor"/>
          <w:rtl w:val="true"/>
        </w:rPr>
        <w:footnoteReference w:id="907"/>
      </w:r>
      <w:r>
        <w:rPr>
          <w:rFonts w:ascii="Amiri" w:hAnsi="Amiri" w:eastAsia="Amiri" w:cs="Amiri"/>
          <w:color w:val="111111"/>
          <w:sz w:val="28"/>
          <w:sz w:val="28"/>
          <w:szCs w:val="28"/>
          <w:rtl w:val="true"/>
          <w:lang w:bidi="ar-SA"/>
        </w:rPr>
        <w:t xml:space="preserve">الإذن لمن اُعطي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 فيمَن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منه مثل ما يعطي غيره ، وفي اُخرىٰ </w:t>
      </w:r>
      <w:r>
        <w:rPr>
          <w:rStyle w:val="FootnoteAnchor"/>
          <w:rtl w:val="true"/>
        </w:rPr>
        <w:footnoteReference w:id="908"/>
      </w:r>
      <w:r>
        <w:rPr>
          <w:rFonts w:ascii="Amiri" w:hAnsi="Amiri" w:eastAsia="Amiri" w:cs="Amiri"/>
          <w:color w:val="111111"/>
          <w:sz w:val="28"/>
          <w:sz w:val="28"/>
          <w:szCs w:val="28"/>
          <w:rtl w:val="true"/>
          <w:lang w:bidi="ar-SA"/>
        </w:rPr>
        <w:t xml:space="preserve">الإذن لمن أعطي الدراهم يقسمها ويضعها في مواضعها، وهو ممّن تحل له الصدقة أن يأخذ لنفسه كما يعطى غيره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يقضي به التحقيق والنظر الدقيق أنّه ليس الغرض من هذه الأخبار إثبات حكم قاطع من الشرع علىٰ تنزيل الألفاظ علىٰ الشمول والدخول ولو لم يفهم من اللفظ ، كما جرىٰ في بعض ألفاظ الوصايا </w:t>
      </w:r>
      <w:r>
        <w:rPr>
          <w:rStyle w:val="FootnoteAnchor"/>
          <w:rtl w:val="true"/>
        </w:rPr>
        <w:footnoteReference w:id="90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المعنىٰ اللّغوي والعرفي لخفائه ، كما كشف كثيراً من الألفاظ المشتبهة المعاني عرفا</w:t>
      </w:r>
      <w:r>
        <w:rPr>
          <w:rStyle w:val="FootnoteAnchor"/>
          <w:rtl w:val="true"/>
        </w:rPr>
        <w:footnoteReference w:id="910"/>
      </w:r>
      <w:r>
        <w:rPr>
          <w:rFonts w:ascii="Amiri" w:hAnsi="Amiri" w:eastAsia="Amiri" w:cs="Amiri"/>
          <w:color w:val="111111"/>
          <w:sz w:val="28"/>
          <w:sz w:val="28"/>
          <w:szCs w:val="28"/>
          <w:rtl w:val="true"/>
          <w:lang w:bidi="ar-SA"/>
        </w:rPr>
        <w:t xml:space="preserve">، فتنزّل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أيضاً اختلاف العرف بحسب الزمان ، فيكون زمانهم غير زماننا ، وليس مدلول هذه الروايات عامّاً لجميع العبارات المتعلّقة بالقبيل وما هو هذا القبيل، بل هذه الألفاظ المخصوصة بالأنحاء المخصوصة ، وهي دالّة علىٰ الشمول ، لأنّ تسميتها زكاة، وذكر الأصحاب ، وطلب التفريق فيمَن يحلّ له ، وطلب الوضع في مواضعها ؛ كالصريح في إلغاء الخصوصية بخلاف الرواية الأولى، فإنّ طلب القسمة في محاويج أو مساكين بلفظ التنكير ظاهر في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فلو قلنا بالتعبّد ؛ لزم الجمود علىٰ مقتضى الأخبار ودعوىٰ الإجماع علىٰ عدم الفرق</w:t>
      </w:r>
      <w:r>
        <w:rPr>
          <w:rStyle w:val="FootnoteAnchor"/>
          <w:rtl w:val="true"/>
        </w:rPr>
        <w:footnoteReference w:id="911"/>
      </w:r>
      <w:r>
        <w:rPr>
          <w:rFonts w:ascii="Amiri" w:hAnsi="Amiri" w:eastAsia="Amiri" w:cs="Amiri"/>
          <w:color w:val="111111"/>
          <w:sz w:val="28"/>
          <w:sz w:val="28"/>
          <w:szCs w:val="28"/>
          <w:rtl w:val="true"/>
          <w:lang w:bidi="ar-SA"/>
        </w:rPr>
        <w:t xml:space="preserve">؛ في محلّ المنع </w:t>
      </w:r>
      <w:r>
        <w:rPr>
          <w:rStyle w:val="FootnoteAnchor"/>
          <w:rtl w:val="true"/>
        </w:rPr>
        <w:footnoteReference w:id="912"/>
      </w:r>
      <w:r>
        <w:rPr>
          <w:rFonts w:ascii="Amiri" w:hAnsi="Amiri" w:eastAsia="Amiri" w:cs="Amiri"/>
          <w:color w:val="111111"/>
          <w:sz w:val="28"/>
          <w:sz w:val="28"/>
          <w:szCs w:val="28"/>
          <w:rtl w:val="true"/>
          <w:lang w:bidi="ar-SA"/>
        </w:rPr>
        <w:t xml:space="preserve">ويجب إمعان النظر في العبارات الآمرة بصرف بعض الأموال في </w:t>
      </w:r>
    </w:p>
    <w:p>
      <w:pPr>
        <w:pStyle w:val="BookText"/>
        <w:rPr/>
      </w:pPr>
      <w:r>
        <w:rPr>
          <w:rFonts w:ascii="Amiri" w:hAnsi="Amiri" w:eastAsia="Amiri" w:cs="Amiri"/>
          <w:color w:val="111111"/>
          <w:sz w:val="28"/>
          <w:sz w:val="28"/>
          <w:szCs w:val="28"/>
          <w:rtl w:val="true"/>
          <w:lang w:bidi="ar-SA"/>
        </w:rPr>
        <w:t xml:space="preserve">جماعة، من أخماس ، أو صدقات ، أو أوقاف، أو هبات ، أو وصايا ، أو غيرها ممّا يتعلّق بالنيابات ؛ فإنّها تختلف أشدّ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الشكّ في الدخول تحت المدلول فالمنع هو الموافق للاُصول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أخبار الجواز قابلة للتقييد بما في الرواية الأولىٰ من قيد الإذن</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وتقييد الأولى بأخذ الزائد </w:t>
      </w:r>
      <w:r>
        <w:rPr>
          <w:rStyle w:val="FootnoteAnchor"/>
          <w:rtl w:val="true"/>
        </w:rPr>
        <w:footnoteReference w:id="914"/>
      </w:r>
      <w:r>
        <w:rPr>
          <w:rFonts w:ascii="Amiri" w:hAnsi="Amiri" w:eastAsia="Amiri" w:cs="Amiri"/>
          <w:color w:val="111111"/>
          <w:sz w:val="28"/>
          <w:sz w:val="28"/>
          <w:szCs w:val="28"/>
          <w:rtl w:val="true"/>
          <w:lang w:bidi="ar-SA"/>
        </w:rPr>
        <w:t xml:space="preserve">أبعد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أكثر العبارات المتعلّقة بالعبادات والطاعات </w:t>
      </w:r>
      <w:r>
        <w:rPr>
          <w:rStyle w:val="FootnoteAnchor"/>
          <w:rtl w:val="true"/>
        </w:rPr>
        <w:footnoteReference w:id="915"/>
      </w:r>
      <w:r>
        <w:rPr>
          <w:rFonts w:ascii="Amiri" w:hAnsi="Amiri" w:eastAsia="Amiri" w:cs="Amiri"/>
          <w:color w:val="111111"/>
          <w:sz w:val="28"/>
          <w:sz w:val="28"/>
          <w:szCs w:val="28"/>
          <w:rtl w:val="true"/>
          <w:lang w:bidi="ar-SA"/>
        </w:rPr>
        <w:t xml:space="preserve">إرادة الصنف والمصرف، وعدم ملاحظة الخصوصية، خصوصاً مع التعبير بالصفة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نقول بجواز الأخذ بالإذن الشرعي المقدّم علىٰ إذن المالك ؛ وجب الاقتصار علىٰ المتيقّن ، وهو أخذ المساوي دون الزائد ، للأصل ، وعملاً بظاهر الروايتين </w:t>
      </w:r>
      <w:r>
        <w:rPr>
          <w:rStyle w:val="FootnoteAnchor"/>
          <w:rtl w:val="true"/>
        </w:rPr>
        <w:footnoteReference w:id="916"/>
      </w:r>
      <w:r>
        <w:rPr>
          <w:rFonts w:ascii="Amiri" w:hAnsi="Amiri" w:eastAsia="Amiri" w:cs="Amiri"/>
          <w:color w:val="111111"/>
          <w:sz w:val="28"/>
          <w:sz w:val="28"/>
          <w:szCs w:val="28"/>
          <w:rtl w:val="true"/>
          <w:lang w:bidi="ar-SA"/>
        </w:rPr>
        <w:t>، ولما يظهر من بعضهم من أنّ عليه إجماع المجوّزين</w:t>
      </w:r>
      <w:r>
        <w:rPr>
          <w:rStyle w:val="FootnoteAnchor"/>
          <w:rtl w:val="true"/>
        </w:rPr>
        <w:footnoteReference w:id="91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المرجع إذن المالك المستفاد من العبارة فلا منع من أخذ الزائد في باب التقسيم علىٰ المصارف ، لأنّ الظاهر أنّ غرض الملّاك اتباع الشرع فيما يبرئ الذمة </w:t>
      </w:r>
      <w:r>
        <w:rPr>
          <w:rFonts w:eastAsia="Amiri" w:cs="Amiri" w:ascii="Amiri" w:hAnsi="Amiri"/>
          <w:color w:val="111111"/>
          <w:sz w:val="28"/>
          <w:szCs w:val="28"/>
          <w:rtl w:val="true"/>
          <w:lang w:bidi="ar-SA"/>
        </w:rPr>
        <w:t xml:space="preserve">. </w:t>
      </w:r>
      <w:bookmarkStart w:id="286" w:name="pg20243_272232"/>
    </w:p>
    <w:p>
      <w:pPr>
        <w:pStyle w:val="BookText"/>
        <w:rPr/>
      </w:pPr>
      <w:bookmarkEnd w:id="286"/>
      <w:r>
        <w:rPr>
          <w:rFonts w:ascii="Amiri" w:hAnsi="Amiri" w:eastAsia="Amiri" w:cs="Amiri"/>
          <w:color w:val="111111"/>
          <w:sz w:val="28"/>
          <w:sz w:val="28"/>
          <w:szCs w:val="28"/>
          <w:rtl w:val="true"/>
          <w:lang w:bidi="ar-SA"/>
        </w:rPr>
        <w:t xml:space="preserve">أمّا ما لم يكن من المصارف الشرعية فمع الحصر تظهر المساواة ،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الخبرين علىٰ منع الزائد منظور فيه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يراد به التشبيه في أصل الأخذ ، أو إقامة الدليل علىٰ الجواز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دلّا علىٰ عدم جواز أخذ الزائد فإنّما المتيقّن منه المنع من الزائد علىٰ الجميع لا علىٰ البعض، وعليه فلا دلالة لهما علىٰ لزوم عدم تفاوت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إجماع المجوّزين في محلّ المنع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ذوي الأفهام المتفكرين في أهوال يوم القيام يهرب من مثل هذه الأمور مسيرة ألف ألف 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يدفع إلىٰ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 وأرحامه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الإذن ، ودلالة الخبر </w:t>
      </w:r>
      <w:r>
        <w:rPr>
          <w:rStyle w:val="FootnoteAnchor"/>
          <w:rtl w:val="true"/>
        </w:rPr>
        <w:footnoteReference w:id="920"/>
      </w:r>
      <w:r>
        <w:rPr>
          <w:rFonts w:ascii="Amiri" w:hAnsi="Amiri" w:eastAsia="Amiri" w:cs="Amiri"/>
          <w:color w:val="111111"/>
          <w:sz w:val="28"/>
          <w:sz w:val="28"/>
          <w:szCs w:val="28"/>
          <w:rtl w:val="true"/>
          <w:lang w:bidi="ar-SA"/>
        </w:rPr>
        <w:t xml:space="preserve">، والإجماع محصّلاً ومنقولاً </w:t>
      </w:r>
      <w:r>
        <w:rPr>
          <w:rStyle w:val="FootnoteAnchor"/>
          <w:rtl w:val="true"/>
        </w:rPr>
        <w:footnoteReference w:id="921"/>
      </w:r>
      <w:r>
        <w:rPr>
          <w:rFonts w:ascii="Amiri" w:hAnsi="Amiri" w:eastAsia="Amiri" w:cs="Amiri"/>
          <w:color w:val="111111"/>
          <w:sz w:val="28"/>
          <w:sz w:val="28"/>
          <w:szCs w:val="28"/>
          <w:rtl w:val="true"/>
          <w:lang w:bidi="ar-SA"/>
        </w:rPr>
        <w:t xml:space="preserve">بل ربّما يقال برجحانهم علىٰ غيرهم، غير أنّ صاحب الورع يجده عظيماً في بعض تلك الأقسام لشدّة تقواه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5284980_2320776876"/>
      <w:bookmarkStart w:id="288" w:name="_Toc101"/>
      <w:bookmarkEnd w:id="287"/>
      <w:r>
        <w:rPr>
          <w:rtl w:val="true"/>
        </w:rPr>
        <w:t>الرابع حکم أکل ما ینثر فی الأعراس</w:t>
      </w:r>
      <w:bookmarkEnd w:id="28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 ينثر في الأعراس</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المعدّة </w:t>
      </w:r>
    </w:p>
    <w:p>
      <w:pPr>
        <w:pStyle w:val="BookText"/>
        <w:rPr/>
      </w:pPr>
      <w:r>
        <w:rPr>
          <w:rFonts w:ascii="IRNazanin" w:hAnsi="IRNazanin" w:eastAsia="IRNazanin"/>
          <w:color w:val="111111"/>
          <w:sz w:val="28"/>
          <w:sz w:val="28"/>
          <w:szCs w:val="28"/>
          <w:rtl w:val="true"/>
          <w:lang w:bidi="fa-IR"/>
        </w:rPr>
        <w:t xml:space="preserve">للأفراح </w:t>
      </w:r>
      <w:r>
        <w:rPr>
          <w:rStyle w:val="FootnoteAnchor"/>
          <w:rtl w:val="true"/>
        </w:rPr>
        <w:footnoteReference w:id="923"/>
      </w:r>
      <w:r>
        <w:rPr>
          <w:rFonts w:ascii="Amiri" w:hAnsi="Amiri" w:eastAsia="Amiri" w:cs="Amiri"/>
          <w:color w:val="111111"/>
          <w:sz w:val="28"/>
          <w:sz w:val="28"/>
          <w:szCs w:val="28"/>
          <w:rtl w:val="true"/>
          <w:lang w:bidi="ar-SA"/>
        </w:rPr>
        <w:t xml:space="preserve">، من المأكول ، ونقل ما يكون من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 أو ظنّه الباعث علىٰ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 من إشارة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بغلبة العادة ، كحال ما يوضع فيها بلا نثر ، أو للأضياف ، أو في الطرقات للمارّة ، ونحو ذلك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ومنقولاً </w:t>
      </w:r>
      <w:r>
        <w:rPr>
          <w:rStyle w:val="FootnoteAnchor"/>
          <w:rtl w:val="true"/>
        </w:rPr>
        <w:footnoteReference w:id="924"/>
      </w:r>
      <w:r>
        <w:rPr>
          <w:rFonts w:ascii="Amiri" w:hAnsi="Amiri" w:eastAsia="Amiri" w:cs="Amiri"/>
          <w:color w:val="111111"/>
          <w:sz w:val="28"/>
          <w:sz w:val="28"/>
          <w:szCs w:val="28"/>
          <w:rtl w:val="true"/>
          <w:lang w:bidi="ar-SA"/>
        </w:rPr>
        <w:t xml:space="preserve">، وللرواية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والجوز والسكّر فيها محمول علىٰ المثال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المراد بالأخذ المنقول عليه الإجماع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للغضاضة، ومخالفة المروّة ، وإشعاره بالحرص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يخصّ بقاصد عدم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Style w:val="FootnoteAnchor"/>
          <w:rtl w:val="true"/>
        </w:rPr>
        <w:footnoteReference w:id="927"/>
      </w:r>
      <w:r>
        <w:rPr>
          <w:rFonts w:ascii="Amiri" w:hAnsi="Amiri" w:eastAsia="Amiri" w:cs="Amiri"/>
          <w:color w:val="111111"/>
          <w:sz w:val="28"/>
          <w:sz w:val="28"/>
          <w:szCs w:val="28"/>
          <w:rtl w:val="true"/>
          <w:lang w:bidi="ar-SA"/>
        </w:rPr>
        <w:t xml:space="preserve">كراهة أكل المنهوب ، وفيه ظهور في كراهة الانتهاب، وإنْ كانا قد يفترقان كما في نهب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عن الملك بالنثر ولا بالأخذ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الإعراض ، أو الهبة ، أو التوكيل فيها للموجب القابل ، في محلّ المنع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جواز الرجوع إلى حين التلف عقلاً ، أو عرفاً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دخول المعدة بل الازدراد بل اللّوك في الفم مع غلبة الرطوبة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بالانتقال بعقد لازم في </w:t>
      </w:r>
      <w:bookmarkStart w:id="289" w:name="pg20243_272234"/>
    </w:p>
    <w:p>
      <w:pPr>
        <w:pStyle w:val="BookText"/>
        <w:rPr/>
      </w:pPr>
      <w:bookmarkEnd w:id="289"/>
      <w:r>
        <w:rPr>
          <w:rFonts w:ascii="Amiri" w:hAnsi="Amiri" w:eastAsia="Amiri" w:cs="Amiri"/>
          <w:color w:val="111111"/>
          <w:sz w:val="28"/>
          <w:sz w:val="28"/>
          <w:szCs w:val="28"/>
          <w:rtl w:val="true"/>
          <w:lang w:bidi="ar-SA"/>
        </w:rPr>
        <w:t xml:space="preserve">وجه قويّ ، أو جائز على احتمال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بقاء الأعواض علىٰ ملكه ، فله الرجوع عليها ، أو لا ؛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يظنّ الظنّ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في شيء من الأكل أو النقل أو الجمع أو النهب أو غيرها من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للاُصول العقلية، والشرعية المستفادة من الكتاب </w:t>
      </w:r>
      <w:r>
        <w:rPr>
          <w:rStyle w:val="FootnoteAnchor"/>
          <w:rtl w:val="true"/>
        </w:rPr>
        <w:footnoteReference w:id="930"/>
      </w:r>
      <w:r>
        <w:rPr>
          <w:rFonts w:ascii="Amiri" w:hAnsi="Amiri" w:eastAsia="Amiri" w:cs="Amiri"/>
          <w:color w:val="111111"/>
          <w:sz w:val="28"/>
          <w:sz w:val="28"/>
          <w:szCs w:val="28"/>
          <w:rtl w:val="true"/>
          <w:lang w:bidi="ar-SA"/>
        </w:rPr>
        <w:t xml:space="preserve">والسنّة </w:t>
      </w:r>
      <w:r>
        <w:rPr>
          <w:rStyle w:val="FootnoteAnchor"/>
          <w:rtl w:val="true"/>
        </w:rPr>
        <w:footnoteReference w:id="931"/>
      </w:r>
      <w:r>
        <w:rPr>
          <w:rFonts w:ascii="Amiri" w:hAnsi="Amiri" w:eastAsia="Amiri" w:cs="Amiri"/>
          <w:color w:val="111111"/>
          <w:sz w:val="28"/>
          <w:sz w:val="28"/>
          <w:szCs w:val="28"/>
          <w:rtl w:val="true"/>
          <w:lang w:bidi="ar-SA"/>
        </w:rPr>
        <w:t xml:space="preserve">، والإجماع ، بل الضرورة الدالّة علىٰ تحريم التصرّف بمال المسلم بغير إذن منه </w:t>
      </w:r>
      <w:r>
        <w:rPr>
          <w:rStyle w:val="FootnoteAnchor"/>
          <w:rtl w:val="true"/>
        </w:rPr>
        <w:footnoteReference w:id="932"/>
      </w:r>
      <w:r>
        <w:rPr>
          <w:rFonts w:ascii="Amiri" w:hAnsi="Amiri" w:eastAsia="Amiri" w:cs="Amiri"/>
          <w:color w:val="111111"/>
          <w:sz w:val="28"/>
          <w:sz w:val="28"/>
          <w:szCs w:val="28"/>
          <w:rtl w:val="true"/>
          <w:lang w:bidi="ar-SA"/>
        </w:rPr>
        <w:t xml:space="preserve">، أو ممّن له عليه الولاية شرعاً ، معلومة عند المتصرّف </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5284982_2320776876"/>
      <w:bookmarkStart w:id="291" w:name="_Toc102"/>
      <w:bookmarkEnd w:id="290"/>
      <w:r>
        <w:rPr>
          <w:rtl w:val="true"/>
        </w:rPr>
        <w:t>الخامس حکم الولایة من قبل الإمام العادل</w:t>
      </w:r>
      <w:bookmarkEnd w:id="291"/>
    </w:p>
    <w:p>
      <w:pPr>
        <w:pStyle w:val="Heading3"/>
        <w:numPr>
          <w:ilvl w:val="2"/>
          <w:numId w:val="1"/>
        </w:numPr>
        <w:rPr/>
      </w:pPr>
      <w:bookmarkStart w:id="292" w:name="__RefHeading___Toc5284984_2320776876"/>
      <w:bookmarkStart w:id="293" w:name="_Toc103"/>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لقضاء أو تدبير نظام أو سياسة أو نحوها ، أو خاصّة لوصاية علىٰ طفل أو مجنون ، أو قيمومة علىٰ مال غائب أو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والأليق في المقام الأوّل من القسمين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أو مطلق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بلا خلاف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مع عدم الموجب أو قيام الغير ، أو من جهة طلبها ، أو خصوصيتها وإنْ وجبت كفاية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الأعمّ منه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العزل لأنّه مفترض الطاعة ، ولغيره مع خوف الفساد علىٰ المنصوب عليهم ، ومع مراعاة الأصلح إشكال، وبدونهما يقوىٰ المنع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افتقر 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الواجبين عليه عيناً، أو القيام بواجب آخر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bookmarkStart w:id="294" w:name="pg20243_272235"/>
    </w:p>
    <w:p>
      <w:pPr>
        <w:pStyle w:val="BookText"/>
        <w:rPr/>
      </w:pPr>
      <w:bookmarkEnd w:id="294"/>
      <w:r>
        <w:rPr>
          <w:rFonts w:ascii="Amiri" w:hAnsi="Amiri" w:eastAsia="Amiri" w:cs="Amiri"/>
          <w:color w:val="111111"/>
          <w:sz w:val="28"/>
          <w:sz w:val="28"/>
          <w:szCs w:val="28"/>
          <w:rtl w:val="true"/>
          <w:lang w:bidi="ar-SA"/>
        </w:rPr>
        <w:t xml:space="preserve">ومع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القيام بما له أهليّته مع حصول سبب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الأهل أو قارب التعذّر وجب السعي في الوصول إلىٰ الرتبة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284986_2320776876"/>
      <w:bookmarkStart w:id="296" w:name="_Toc104"/>
      <w:bookmarkEnd w:id="295"/>
      <w:r>
        <w:rPr>
          <w:rtl w:val="true"/>
        </w:rPr>
        <w:t>حکم الولایة من الجائر</w:t>
      </w:r>
      <w:bookmarkEnd w:id="29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أو كافراً، مؤمناً أو مخالفاً ؛ عقلاً وشرعاً ، لتضمّنها التشريع فيما يتعلّق بالمناصب الشرعية ، ولاشتمالها على التبعية والتذلل والخضوع والركون والتقويم وإعلاء الشأن والرفعة لمَن يجب نفي ذلك عنه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ويتضاعف الإثم بتضمّنها ظلم الرعية في نفوسهم ، أو أعراضهم ، أو أموالهم ، أو بإدخال الرعب عليهم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خيراً محضاً أو شراً كذلك أو ملفّقة ، لما ذكرناه من ضروب الاستدلال ، وللآيات </w:t>
      </w:r>
      <w:r>
        <w:rPr>
          <w:rStyle w:val="FootnoteAnchor"/>
          <w:rtl w:val="true"/>
        </w:rPr>
        <w:footnoteReference w:id="933"/>
      </w:r>
      <w:r>
        <w:rPr>
          <w:rFonts w:ascii="Amiri" w:hAnsi="Amiri" w:eastAsia="Amiri" w:cs="Amiri"/>
          <w:color w:val="111111"/>
          <w:sz w:val="28"/>
          <w:sz w:val="28"/>
          <w:szCs w:val="28"/>
          <w:rtl w:val="true"/>
          <w:lang w:bidi="ar-SA"/>
        </w:rPr>
        <w:t xml:space="preserve">، والأخبار المتواترة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فالمنصوبون من أيدي ظلمة سلاطين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قضاة ، أو شيوخ إسلام ، أو نوّاباً ، أو نحوهم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فقدوا القابلية واعتقدوا التأثير ؛ كانوا عاصين في أفعالهم واعتقاداتهم ، لكونهم مشرّعين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وجد القابلية وداخله الاعتقاد ؛ كان عاصياً في تشريعه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لم يداخله الاعتقاد الفاسد مع قابليته ؛ فليس من ولاة الجائرين وعمّالهم ، لأنّ الولاية لهم من قبل اللّٰه ، وإنّما أدخلوا أنفسهم تحت هذا الاسم لينالوا بعض منصبهم ، وليستوفوا بعض حقّهم، كما يستعان بالظالم لاستنقاذ الحقوق ، فمَنْ كانت ولايته من الأئمة علیهم السلام بإذن خاصّة كابني يقطين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وابن بزيع </w:t>
      </w:r>
      <w:r>
        <w:rPr>
          <w:rStyle w:val="FootnoteAnchor"/>
          <w:rtl w:val="true"/>
        </w:rPr>
        <w:footnoteReference w:id="936"/>
      </w:r>
      <w:r>
        <w:rPr>
          <w:rFonts w:ascii="Amiri" w:hAnsi="Amiri" w:eastAsia="Amiri" w:cs="Amiri"/>
          <w:color w:val="111111"/>
          <w:sz w:val="28"/>
          <w:sz w:val="28"/>
          <w:szCs w:val="28"/>
          <w:rtl w:val="true"/>
          <w:lang w:bidi="ar-SA"/>
        </w:rPr>
        <w:t xml:space="preserve">والنجاشي </w:t>
      </w:r>
      <w:r>
        <w:rPr>
          <w:rStyle w:val="FootnoteAnchor"/>
          <w:rtl w:val="true"/>
        </w:rPr>
        <w:footnoteReference w:id="937"/>
      </w:r>
      <w:r>
        <w:rPr>
          <w:rFonts w:ascii="Amiri" w:hAnsi="Amiri" w:eastAsia="Amiri" w:cs="Amiri"/>
          <w:color w:val="111111"/>
          <w:sz w:val="28"/>
          <w:sz w:val="28"/>
          <w:szCs w:val="28"/>
          <w:rtl w:val="true"/>
          <w:lang w:bidi="ar-SA"/>
        </w:rPr>
        <w:t xml:space="preserve">ونحوهم ، أو عامّة كعَلَم الهدىٰ </w:t>
      </w:r>
      <w:r>
        <w:rPr>
          <w:rStyle w:val="FootnoteAnchor"/>
          <w:rtl w:val="true"/>
        </w:rPr>
        <w:footnoteReference w:id="938"/>
      </w:r>
      <w:r>
        <w:rPr>
          <w:rFonts w:ascii="IRNazanin" w:hAnsi="IRNazanin" w:eastAsia="IRNazanin"/>
          <w:color w:val="111111"/>
          <w:sz w:val="28"/>
          <w:sz w:val="28"/>
          <w:szCs w:val="28"/>
          <w:rtl w:val="true"/>
          <w:lang w:bidi="fa-IR"/>
        </w:rPr>
        <w:t>والخاجة نصير الدین</w:t>
      </w:r>
      <w:r>
        <w:rPr>
          <w:rStyle w:val="FootnoteAnchor"/>
          <w:rtl w:val="true"/>
        </w:rPr>
        <w:footnoteReference w:id="939"/>
      </w:r>
      <w:r>
        <w:rPr>
          <w:rFonts w:ascii="Amiri" w:hAnsi="Amiri" w:eastAsia="Amiri" w:cs="Amiri"/>
          <w:color w:val="111111"/>
          <w:sz w:val="28"/>
          <w:sz w:val="28"/>
          <w:szCs w:val="28"/>
          <w:rtl w:val="true"/>
          <w:lang w:bidi="ar-SA"/>
        </w:rPr>
        <w:t xml:space="preserve">والمحقق الثاني </w:t>
      </w:r>
      <w:r>
        <w:rPr>
          <w:rStyle w:val="FootnoteAnchor"/>
          <w:rtl w:val="true"/>
        </w:rPr>
        <w:footnoteReference w:id="940"/>
      </w:r>
      <w:r>
        <w:rPr>
          <w:rFonts w:ascii="Amiri" w:hAnsi="Amiri" w:eastAsia="Amiri" w:cs="Amiri"/>
          <w:color w:val="111111"/>
          <w:sz w:val="28"/>
          <w:sz w:val="28"/>
          <w:szCs w:val="28"/>
          <w:rtl w:val="true"/>
          <w:lang w:bidi="ar-SA"/>
        </w:rPr>
        <w:t xml:space="preserve">والبهائي </w:t>
      </w:r>
      <w:r>
        <w:rPr>
          <w:rStyle w:val="FootnoteAnchor"/>
          <w:rtl w:val="true"/>
        </w:rPr>
        <w:footnoteReference w:id="941"/>
      </w:r>
      <w:r>
        <w:rPr>
          <w:rFonts w:ascii="IRNazanin" w:hAnsi="IRNazanin" w:eastAsia="IRNazanin"/>
          <w:color w:val="111111"/>
          <w:sz w:val="28"/>
          <w:sz w:val="28"/>
          <w:szCs w:val="28"/>
          <w:rtl w:val="true"/>
          <w:lang w:bidi="fa-IR"/>
        </w:rPr>
        <w:t xml:space="preserve">والمجلسى </w:t>
      </w:r>
      <w:r>
        <w:rPr>
          <w:rStyle w:val="FootnoteAnchor"/>
          <w:rtl w:val="true"/>
        </w:rPr>
        <w:footnoteReference w:id="942"/>
      </w:r>
      <w:r>
        <w:rPr>
          <w:rFonts w:ascii="Amiri" w:hAnsi="Amiri" w:eastAsia="Amiri" w:cs="Amiri"/>
          <w:color w:val="111111"/>
          <w:sz w:val="28"/>
          <w:sz w:val="28"/>
          <w:szCs w:val="28"/>
          <w:rtl w:val="true"/>
          <w:lang w:bidi="ar-SA"/>
        </w:rPr>
        <w:t xml:space="preserve">ونحوهم ؛ يدخلون في ولاة إمام العدل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التمكن 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لتوقّفهما عليها ، فيجب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 الدخول تحت اسم ولاة الجائر ، ليقوموا بما لزمهم من إقامة الأحكام التي نصّبهم الإمام العادل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الأمر بالمعروف والنهي عن المنكر يعمّ الإذن فيه وولايته مَنْ جمع شرائطها من فقيه أو غيره، كان المتمكّن منهما منصوباً من الإمام العادل لهما، فيجوز بل يجب الدخول </w:t>
      </w:r>
      <w:r>
        <w:rPr>
          <w:rStyle w:val="FootnoteAnchor"/>
          <w:rtl w:val="true"/>
        </w:rPr>
        <w:footnoteReference w:id="943"/>
      </w:r>
      <w:r>
        <w:rPr>
          <w:rFonts w:ascii="Amiri" w:hAnsi="Amiri" w:eastAsia="Amiri" w:cs="Amiri"/>
          <w:color w:val="111111"/>
          <w:sz w:val="28"/>
          <w:sz w:val="28"/>
          <w:szCs w:val="28"/>
          <w:rtl w:val="true"/>
          <w:lang w:bidi="ar-SA"/>
        </w:rPr>
        <w:t xml:space="preserve">من باب المقدّمة تحت الاسم ، ليؤدّي ما فرض عليه بسبب الولاية الشرعيّة ، بشرط أن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ظنّاً </w:t>
      </w:r>
    </w:p>
    <w:p>
      <w:pPr>
        <w:pStyle w:val="BookText"/>
        <w:rPr/>
      </w:pPr>
      <w:r>
        <w:rPr>
          <w:rFonts w:ascii="Amiri" w:hAnsi="Amiri" w:eastAsia="Amiri" w:cs="Amiri"/>
          <w:color w:val="111111"/>
          <w:sz w:val="28"/>
          <w:sz w:val="28"/>
          <w:szCs w:val="28"/>
          <w:rtl w:val="true"/>
          <w:lang w:bidi="ar-SA"/>
        </w:rPr>
        <w:t xml:space="preserve">باعثاً على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المحظورات والإخلال بالواجبات ، للإجماع المنقول </w:t>
      </w:r>
      <w:r>
        <w:rPr>
          <w:rStyle w:val="FootnoteAnchor"/>
          <w:rtl w:val="true"/>
        </w:rPr>
        <w:footnoteReference w:id="944"/>
      </w:r>
      <w:r>
        <w:rPr>
          <w:rFonts w:ascii="IRNazanin" w:hAnsi="IRNazanin" w:eastAsia="IRNazanin"/>
          <w:color w:val="111111"/>
          <w:sz w:val="28"/>
          <w:sz w:val="28"/>
          <w:szCs w:val="28"/>
          <w:rtl w:val="true"/>
          <w:lang w:bidi="fa-IR"/>
        </w:rPr>
        <w:t xml:space="preserve">، وولاية يوسف علیه السلام من قبل فرعون وطلبها منه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وثبوت الحكم بالنسبة إلينا استصحاباً، أو لقاعدة أنّ ما أسنده اللّٰه إلىٰ أوليائه أو مطلقاً في كتابه يحمل على موافقة ملة الاسلام إلّا مع قيام دليل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الاطمئنان من العصيان ، والتمكّن من قضاء حوائج الإخوان ، وإصلاح العباد ، وتدبير نظام البلاد ، فيقوىٰ فيه الجواز أيضاً ؛ لظاهر الأخبار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العمل بها يكون مأذوناً بالإذن العامّ ، فيدخل في ولاة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تصفية النيّة ، وقصد التوصّل إلىٰ المطالب الشرعيّة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 أنّه لا يجوز الدخول في ولاية الجائر إلّا 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امتثال أمره فيما لا يُرضي اللّٰه إلّا مع الإكراه وحده في الولاية واستمراره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أو ضرر 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بالحال من تلف أو حجب، أو العِرض من جهة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الأهل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بالخوف فيما عدا الوسط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المؤمنين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من قبله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أنواع التعدّي علىٰ الخلق مقدِّماً للأهون فالأهون ، يبدأ بمال المعاهد ثمّ الذمّي ، ثمّ المخالف ، ثمّ المؤمن ، مقدّماً للفاسق علىٰ غيره، وغير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المحتاج علىٰ غيره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دلّ علىٰ حكم التقيّة من كتاب </w:t>
      </w:r>
      <w:r>
        <w:rPr>
          <w:rStyle w:val="FootnoteAnchor"/>
          <w:rtl w:val="true"/>
        </w:rPr>
        <w:footnoteReference w:id="948"/>
      </w:r>
      <w:r>
        <w:rPr>
          <w:rFonts w:ascii="Amiri" w:hAnsi="Amiri" w:eastAsia="Amiri" w:cs="Amiri"/>
          <w:color w:val="111111"/>
          <w:sz w:val="28"/>
          <w:sz w:val="28"/>
          <w:szCs w:val="28"/>
          <w:rtl w:val="true"/>
          <w:lang w:bidi="ar-SA"/>
        </w:rPr>
        <w:t xml:space="preserve">وسنّة </w:t>
      </w:r>
      <w:r>
        <w:rPr>
          <w:rStyle w:val="FootnoteAnchor"/>
          <w:rtl w:val="true"/>
        </w:rPr>
        <w:footnoteReference w:id="949"/>
      </w:r>
      <w:r>
        <w:rPr>
          <w:rFonts w:ascii="Amiri" w:hAnsi="Amiri" w:eastAsia="Amiri" w:cs="Amiri"/>
          <w:color w:val="111111"/>
          <w:sz w:val="28"/>
          <w:sz w:val="28"/>
          <w:szCs w:val="28"/>
          <w:rtl w:val="true"/>
          <w:lang w:bidi="ar-SA"/>
        </w:rPr>
        <w:t xml:space="preserve">وإجماع دالّ علىٰ ذلك ، والأخبار المتكاثرة بل المتواترة </w:t>
      </w:r>
      <w:r>
        <w:rPr>
          <w:rStyle w:val="FootnoteAnchor"/>
          <w:rtl w:val="true"/>
        </w:rPr>
        <w:footnoteReference w:id="950"/>
      </w:r>
      <w:r>
        <w:rPr>
          <w:rFonts w:ascii="Amiri" w:hAnsi="Amiri" w:eastAsia="Amiri" w:cs="Amiri"/>
          <w:color w:val="111111"/>
          <w:sz w:val="28"/>
          <w:sz w:val="28"/>
          <w:szCs w:val="28"/>
          <w:rtl w:val="true"/>
          <w:lang w:bidi="ar-SA"/>
        </w:rPr>
        <w:t xml:space="preserve">الدالّة علىٰ الرخصة والإذن فى الولاية من حاكم الجور منزّلة عليها أو علىٰ ما سبق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القتل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 فلا تقيّة فيه حتى على النفس ، دون غيره فيها علىٰ الأقوىٰ ، وإنّما لا يجوز لأنّه لا تقيّة في لأنه لا تقيّة في الدماء ، للإجماع محصّلاً ومنقولاً </w:t>
      </w:r>
      <w:r>
        <w:rPr>
          <w:rStyle w:val="FootnoteAnchor"/>
          <w:rtl w:val="true"/>
        </w:rPr>
        <w:footnoteReference w:id="951"/>
      </w:r>
      <w:r>
        <w:rPr>
          <w:rFonts w:ascii="Amiri" w:hAnsi="Amiri" w:eastAsia="Amiri" w:cs="Amiri"/>
          <w:color w:val="111111"/>
          <w:sz w:val="28"/>
          <w:sz w:val="28"/>
          <w:szCs w:val="28"/>
          <w:rtl w:val="true"/>
          <w:lang w:bidi="ar-SA"/>
        </w:rPr>
        <w:t xml:space="preserve">، والروايات </w:t>
      </w:r>
      <w:r>
        <w:rPr>
          <w:rStyle w:val="FootnoteAnchor"/>
          <w:rtl w:val="true"/>
        </w:rPr>
        <w:footnoteReference w:id="952"/>
      </w:r>
      <w:r>
        <w:rPr>
          <w:rFonts w:ascii="Amiri" w:hAnsi="Amiri" w:eastAsia="Amiri" w:cs="Amiri"/>
          <w:color w:val="111111"/>
          <w:sz w:val="28"/>
          <w:sz w:val="28"/>
          <w:szCs w:val="28"/>
          <w:rtl w:val="true"/>
          <w:lang w:bidi="ar-SA"/>
        </w:rPr>
        <w:t>؛ فتعمّ التقيّة إذَن الأموال والأعراض والجروح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الجرح بالقتل ، كما نُقل </w:t>
      </w:r>
      <w:r>
        <w:rPr>
          <w:rStyle w:val="FootnoteAnchor"/>
          <w:rtl w:val="true"/>
        </w:rPr>
        <w:footnoteReference w:id="953"/>
      </w:r>
      <w:r>
        <w:rPr>
          <w:rFonts w:ascii="Amiri" w:hAnsi="Amiri" w:eastAsia="Amiri" w:cs="Amiri"/>
          <w:color w:val="111111"/>
          <w:sz w:val="28"/>
          <w:sz w:val="28"/>
          <w:szCs w:val="28"/>
          <w:rtl w:val="true"/>
          <w:lang w:bidi="ar-SA"/>
        </w:rPr>
        <w:t xml:space="preserve">عن بعضهم ؛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أيضاً عدم لحوق الحمل قبل حلول الروح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الصحيح والمريض ولو حال السياق ، والشيخ والشاب ، والمرأة والرجل ؛ فلا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يُفرّق بين مستحقّ القتل بزنا أو لواط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في مستحق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أمكنه التخلّص بهرب مع السلامة من الضرر، أو بالاستناد إلى مَنْ يتحصن به ، أو بإعطاء الرشوة التي لا تضرّ بحاله ؛ لزمه ذلك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التعادل بين ما يخاف علىٰ الناس وبين </w:t>
      </w:r>
      <w:bookmarkStart w:id="297" w:name="pg20243_272239"/>
    </w:p>
    <w:p>
      <w:pPr>
        <w:pStyle w:val="BookText"/>
        <w:rPr/>
      </w:pPr>
      <w:bookmarkEnd w:id="297"/>
      <w:r>
        <w:rPr>
          <w:rFonts w:ascii="Amiri" w:hAnsi="Amiri" w:eastAsia="Amiri" w:cs="Amiri"/>
          <w:color w:val="111111"/>
          <w:sz w:val="28"/>
          <w:sz w:val="28"/>
          <w:szCs w:val="28"/>
          <w:rtl w:val="true"/>
          <w:lang w:bidi="ar-SA"/>
        </w:rPr>
        <w:t xml:space="preserve">ما يخافه علىٰ نفسه ، وإن كان الأقوىٰ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إمعان النظر فيما يغتفر بالخوف علىٰ أحد الثلاثة متعلّقاً به أو ببعض المؤمنين من التعدّي علىٰ الغير بأحدها مع المماثلة أو المخالفة الأفعال أو الرتب مع المعادلة وعدمها، ثمّ فيما يغتفر به الخروج عن الشرع فيما يتعلّق بأصل أو فرع، فإنّ المسألة طويلة الذيل كثيرة الأقسام والقول بالفرق بين الابتداء والعروض اتفاقاً في </w:t>
      </w:r>
      <w:r>
        <w:rPr>
          <w:rStyle w:val="FootnoteAnchor"/>
          <w:rtl w:val="true"/>
        </w:rPr>
        <w:footnoteReference w:id="955"/>
      </w:r>
      <w:r>
        <w:rPr>
          <w:rFonts w:ascii="Amiri" w:hAnsi="Amiri" w:eastAsia="Amiri" w:cs="Amiri"/>
          <w:color w:val="111111"/>
          <w:sz w:val="28"/>
          <w:sz w:val="28"/>
          <w:szCs w:val="28"/>
          <w:rtl w:val="true"/>
          <w:lang w:bidi="ar-SA"/>
        </w:rPr>
        <w:t xml:space="preserve">الصور ؛ غير بعيد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فيها تحقّق الجبر شرعاً، وهو رافع للتكليف ، كالصغر ، وعموم التقيّة ، إلا ما قام الدليل على خلافه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خاف ضرراً يسيراً بترك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عن النفع </w:t>
      </w:r>
      <w:r>
        <w:rPr>
          <w:rStyle w:val="FootnoteAnchor"/>
          <w:rtl w:val="true"/>
        </w:rPr>
        <w:footnoteReference w:id="957"/>
      </w: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له الولاية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اليسير ، لتسلّطه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بأمره في ضرر الخلق فلا يجوز إلّا مع الضرر المعتبر دون غيره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ولو نصب الفقيه المنصوب من الإمام بالإذن العام سلطاناً أو حاكماً الأهل الإسلام ؛ لم يكن من حكّام الجور ، كما كان ذلك في بني إسرائيل فإنّ حاكم الشرع والعرف كليهما منصوبان من الشرع</w:t>
      </w:r>
    </w:p>
    <w:p>
      <w:pPr>
        <w:pStyle w:val="Heading2"/>
        <w:numPr>
          <w:ilvl w:val="1"/>
          <w:numId w:val="1"/>
        </w:numPr>
        <w:rPr/>
      </w:pPr>
      <w:bookmarkStart w:id="298" w:name="__RefHeading___Toc5284988_2320776876"/>
      <w:bookmarkStart w:id="299" w:name="_Toc105"/>
      <w:bookmarkEnd w:id="298"/>
      <w:r>
        <w:rPr>
          <w:rtl w:val="true"/>
        </w:rPr>
        <w:t>السادس حکم جوائز الظالم</w:t>
      </w:r>
      <w:bookmarkEnd w:id="2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الظالم</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الآخذ للأموال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w:t>
      </w:r>
    </w:p>
    <w:p>
      <w:pPr>
        <w:pStyle w:val="BookText"/>
        <w:rPr/>
      </w:pPr>
      <w:r>
        <w:rPr>
          <w:rFonts w:ascii="Amiri" w:hAnsi="Amiri" w:eastAsia="Amiri" w:cs="Amiri"/>
          <w:color w:val="111111"/>
          <w:sz w:val="28"/>
          <w:sz w:val="28"/>
          <w:szCs w:val="28"/>
          <w:rtl w:val="true"/>
          <w:lang w:bidi="ar-SA"/>
        </w:rPr>
        <w:t xml:space="preserve">بوجودها في جملة أمواله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سلطان أو عامل أو عشّار أو سارق أو مربٍ أو مرتشٍ إلى غير ذلك ، وإن كان الظاهر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مأخوذة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ممّا يتولاه الإمام ممّا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نحو كان ، متميزة ، أو ممزوجة ، أو في ضمن محصور</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961"/>
      </w:r>
      <w:r>
        <w:rPr>
          <w:rFonts w:ascii="Amiri" w:hAnsi="Amiri" w:eastAsia="Amiri" w:cs="Amiri"/>
          <w:color w:val="111111"/>
          <w:sz w:val="28"/>
          <w:sz w:val="28"/>
          <w:szCs w:val="28"/>
          <w:rtl w:val="true"/>
          <w:lang w:bidi="ar-SA"/>
        </w:rPr>
        <w:t xml:space="preserve">، وسنّة </w:t>
      </w:r>
      <w:r>
        <w:rPr>
          <w:rStyle w:val="FootnoteAnchor"/>
          <w:rtl w:val="true"/>
        </w:rPr>
        <w:footnoteReference w:id="962"/>
      </w:r>
      <w:r>
        <w:rPr>
          <w:rFonts w:ascii="Amiri" w:hAnsi="Amiri" w:eastAsia="Amiri" w:cs="Amiri"/>
          <w:color w:val="111111"/>
          <w:sz w:val="28"/>
          <w:sz w:val="28"/>
          <w:szCs w:val="28"/>
          <w:rtl w:val="true"/>
          <w:lang w:bidi="ar-SA"/>
        </w:rPr>
        <w:t>،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ممّا ظاهره إباحة القسم الثاني </w:t>
      </w:r>
      <w:r>
        <w:rPr>
          <w:rStyle w:val="FootnoteAnchor"/>
          <w:rtl w:val="true"/>
        </w:rPr>
        <w:footnoteReference w:id="963"/>
      </w:r>
      <w:r>
        <w:rPr>
          <w:rFonts w:ascii="IRNazanin" w:hAnsi="IRNazanin" w:eastAsia="IRNazanin"/>
          <w:color w:val="111111"/>
          <w:sz w:val="28"/>
          <w:sz w:val="28"/>
          <w:szCs w:val="28"/>
          <w:rtl w:val="true"/>
          <w:lang w:bidi="fa-IR"/>
        </w:rPr>
        <w:t xml:space="preserve">معارض بما هو أقوىٰ منه </w:t>
      </w:r>
      <w:r>
        <w:rPr>
          <w:rStyle w:val="FootnoteAnchor"/>
          <w:rtl w:val="true"/>
        </w:rPr>
        <w:footnoteReference w:id="964"/>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مطلقاً ، </w:t>
      </w:r>
    </w:p>
    <w:p>
      <w:pPr>
        <w:pStyle w:val="BookText"/>
        <w:rPr/>
      </w:pPr>
      <w:r>
        <w:rPr>
          <w:rFonts w:ascii="Amiri" w:hAnsi="Amiri" w:eastAsia="Amiri" w:cs="Amiri"/>
          <w:color w:val="111111"/>
          <w:sz w:val="28"/>
          <w:sz w:val="28"/>
          <w:szCs w:val="28"/>
          <w:rtl w:val="true"/>
          <w:lang w:bidi="ar-SA"/>
        </w:rPr>
        <w:t xml:space="preserve">وبمثلها في المثلي، أو بقيمتها في القيمي ؛ مع الاختيار في الأخذ أو التقصير في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بالأجرة من المجاز اختياراً ، أو قهراً من الحاكم أو عدول المسلمين ، ابتداءً مع عدم المزج ، أو بعد الإفراز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علمه القبض أو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بلغ به حدّ اليأس لاشتباهه في غير محصور، أو عَلِمَه وتعذّر الوصول أو الإيصال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طرق الإيصال ، وللإجماع ، والأخبار في نظائره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الحفظ والوصيّة به ، احتياطاً </w:t>
      </w:r>
      <w:r>
        <w:rPr>
          <w:rStyle w:val="FootnoteAnchor"/>
          <w:rtl w:val="true"/>
        </w:rPr>
        <w:footnoteReference w:id="967"/>
      </w:r>
      <w:r>
        <w:rPr>
          <w:rFonts w:ascii="Amiri" w:hAnsi="Amiri" w:eastAsia="Amiri" w:cs="Amiri"/>
          <w:color w:val="111111"/>
          <w:sz w:val="28"/>
          <w:sz w:val="28"/>
          <w:szCs w:val="28"/>
          <w:rtl w:val="true"/>
          <w:lang w:bidi="ar-SA"/>
        </w:rPr>
        <w:t xml:space="preserve">خلافُ الاحتياط ، وكذا التخيير بين الأمرين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يتعيّن تولّي الحاكم لها وإنْ جاز تسليمه ، بل لعلّه الأولىٰ ، ولسلامته من الضمان حينئذ ، متولّياً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للنيّة عازماً علىٰ الضمان ثمّ الأداء لو ظهر فاختار أنّه يردّ إليه ثواب الصدقة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ويأخذ ماله ، ولا يحتسب من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محترم المال من غير أهل الحقّ ، من كافر ذمّي أو مخالف ؛ فالصدقة أيضاً علىٰ أهل الحق عنه وإنْ لم ينتفع بها وفى إجراء حكم أهل مذهبه فيه وجه ، والأوّل أوجه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إعادتها</w:t>
      </w:r>
    </w:p>
    <w:p>
      <w:pPr>
        <w:pStyle w:val="BookText"/>
        <w:rPr/>
      </w:pPr>
      <w:r>
        <w:rPr>
          <w:rFonts w:ascii="Amiri" w:hAnsi="Amiri" w:eastAsia="Amiri" w:cs="Amiri"/>
          <w:color w:val="111111"/>
          <w:sz w:val="28"/>
          <w:sz w:val="28"/>
          <w:szCs w:val="28"/>
          <w:rtl w:val="true"/>
          <w:lang w:bidi="ar-SA"/>
        </w:rPr>
        <w:t>إلىٰ الظالم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ويضمن لو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الاضطرار وعدم العلم لا عصيان وإنْ ترتّب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يجبر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يده بعد القبض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وتؤخذ من الظالم قهراً مع الإمكان إنْ بقيت في يده ، وعوضها مع التلف ، ويقاصّ بها من أمواله مع حياته ولو كانت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سيجيء في كتاب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في يده من المظالم تالفاً لا يلحقه حكم الديون في التقديم علىٰ الوصايا والمواريث ، لعدم انصراف الدين إليه وإن كان منه ، وبقاء عموم الوصيّة والمواريث علىٰ حاله ، وللسيرة المأخوذة يداً بيد من مبدأ الإسلام إلىٰ يومنا هذا ، فعلىٰ ذلك لو أوصىٰ بها بعد التلف خرجت من الثلث </w:t>
      </w:r>
      <w:r>
        <w:rPr>
          <w:rStyle w:val="FootnoteAnchor"/>
          <w:rtl w:val="true"/>
        </w:rPr>
        <w:footnoteReference w:id="970"/>
      </w:r>
      <w:r>
        <w:rPr>
          <w:rFonts w:ascii="Amiri" w:hAnsi="Amiri" w:eastAsia="Amiri" w:cs="Amiri"/>
          <w:color w:val="111111"/>
          <w:sz w:val="28"/>
          <w:sz w:val="28"/>
          <w:szCs w:val="28"/>
          <w:rtl w:val="true"/>
          <w:lang w:bidi="ar-SA"/>
        </w:rPr>
        <w:t xml:space="preserve">، وما كان منها باقياً يجب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امتنعوا عنه حلّ الحلال وحرم الحرام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يعلم كونها</w:t>
      </w:r>
      <w:r>
        <w:rPr>
          <w:rStyle w:val="FootnoteAnchor"/>
          <w:rtl w:val="true"/>
        </w:rPr>
        <w:footnoteReference w:id="971"/>
      </w:r>
      <w:r>
        <w:rPr>
          <w:rFonts w:ascii="IRNazanin" w:hAnsi="IRNazanin" w:eastAsia="IRNazanin"/>
          <w:color w:val="111111"/>
          <w:sz w:val="28"/>
          <w:sz w:val="28"/>
          <w:szCs w:val="28"/>
          <w:rtl w:val="true"/>
          <w:lang w:bidi="fa-IR"/>
        </w:rPr>
        <w:t xml:space="preserve">غصباً جاز أخذها من الجائر مطلقاً </w:t>
      </w:r>
      <w:r>
        <w:rPr>
          <w:rStyle w:val="FootnoteAnchor"/>
          <w:rtl w:val="true"/>
        </w:rPr>
        <w:footnoteReference w:id="972"/>
      </w:r>
      <w:r>
        <w:rPr>
          <w:rFonts w:ascii="IRNazanin" w:hAnsi="IRNazanin" w:eastAsia="IRNazanin"/>
          <w:color w:val="111111"/>
          <w:sz w:val="28"/>
          <w:sz w:val="28"/>
          <w:szCs w:val="28"/>
          <w:rtl w:val="true"/>
          <w:lang w:bidi="fa-IR"/>
        </w:rPr>
        <w:t xml:space="preserve">للإجماع ، والأخبار </w:t>
      </w:r>
      <w:r>
        <w:rPr>
          <w:rStyle w:val="FootnoteAnchor"/>
          <w:rtl w:val="true"/>
        </w:rPr>
        <w:footnoteReference w:id="973"/>
      </w:r>
      <w:r>
        <w:rPr>
          <w:rFonts w:ascii="Amiri" w:hAnsi="Amiri" w:eastAsia="Amiri" w:cs="Amiri"/>
          <w:color w:val="111111"/>
          <w:sz w:val="28"/>
          <w:sz w:val="28"/>
          <w:szCs w:val="28"/>
          <w:rtl w:val="true"/>
          <w:lang w:bidi="ar-SA"/>
        </w:rPr>
        <w:t xml:space="preserve">، ومن غيره، ما لم يعلم إقدامه علىٰ المشتبه </w:t>
      </w:r>
    </w:p>
    <w:p>
      <w:pPr>
        <w:pStyle w:val="BookText"/>
        <w:rPr/>
      </w:pPr>
      <w:r>
        <w:rPr>
          <w:rFonts w:ascii="Amiri" w:hAnsi="Amiri" w:eastAsia="Amiri" w:cs="Amiri"/>
          <w:color w:val="111111"/>
          <w:sz w:val="28"/>
          <w:sz w:val="28"/>
          <w:szCs w:val="28"/>
          <w:rtl w:val="true"/>
          <w:lang w:bidi="ar-SA"/>
        </w:rPr>
        <w:t xml:space="preserve">المحصور ، لقضاء اليد، وأصالة الصحّة ، فيجوز الأخذ حينئذٍ وإنْ جاء بها من دار أو دكان أو حجرة أو صندوق فيه غصب ، أو أشار إلىٰ معيّن من جملة كذلك ، ولا يعلم حصوله في المدفوع والمعيّن ، إلّا أنّ التجنّب الانحصار من شيم الأبرار ، وتختلف مراتب الرجحان باختلافه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أشار إلىٰ مبهم منها قوي المنع ، كالأخذ للمقاصّة، والأكل للمارّة لو جاز ، وللدخول تحت رفع الجناح إلّا بعلاج ، عملاً بالأصل في غير محلّ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المنع في محلّه مخصوص بما لم يكن للاستنقاذ ، فما كان له فهو إحسان ، لا يترتّب عليه غرامة اُجرة ردّ ،ونحوها ، ولا ضمان إلّا فيما يتوقّف علىٰ الإتلاف ، فإنّ له إتلافه مع قصد </w:t>
      </w:r>
      <w:r>
        <w:rPr>
          <w:rStyle w:val="FootnoteAnchor"/>
          <w:rtl w:val="true"/>
        </w:rPr>
        <w:footnoteReference w:id="974"/>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المحتاج إلىٰ البحث والنظر ما كان من المحصور، وأمّا مع عدم الانحصار فقد قضت الضرورة والبديهة بجواز أخذ أموال الظلمة والانتفاع بها في المعاملات ، وإلّا لم يقم للمسلمين سوق ، لأنّ الدراهم المتداولة من خزائنهم ، والأطعمة والتمور المجلوبة جُلّها من أموالهم ، ولا فرق بين المعاوضة عليها وقبولها جائزة ، علىٰ أنّ في قبول أبي الحسن علیه السلام جوائز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ردّها مرّة أخرىٰ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وقبول الحسنين علیهما السلام جوائز معاوية </w:t>
      </w:r>
      <w:r>
        <w:rPr>
          <w:rStyle w:val="FootnoteAnchor"/>
          <w:rtl w:val="true"/>
        </w:rPr>
        <w:footnoteReference w:id="977"/>
      </w:r>
      <w:r>
        <w:rPr>
          <w:rStyle w:val="FootnoteAnchor"/>
          <w:rtl w:val="true"/>
        </w:rPr>
        <w:footnoteReference w:id="978"/>
      </w:r>
      <w:r>
        <w:rPr>
          <w:rFonts w:ascii="Amiri" w:hAnsi="Amiri" w:eastAsia="Amiri" w:cs="Amiri"/>
          <w:color w:val="111111"/>
          <w:sz w:val="28"/>
          <w:sz w:val="28"/>
          <w:szCs w:val="28"/>
          <w:rtl w:val="true"/>
          <w:lang w:bidi="ar-SA"/>
        </w:rPr>
        <w:t xml:space="preserve">، الرشيد </w:t>
      </w:r>
    </w:p>
    <w:p>
      <w:pPr>
        <w:pStyle w:val="BookText"/>
        <w:rPr/>
      </w:pPr>
      <w:r>
        <w:rPr>
          <w:rFonts w:ascii="Amiri" w:hAnsi="Amiri" w:eastAsia="Amiri" w:cs="Amiri"/>
          <w:color w:val="111111"/>
          <w:sz w:val="28"/>
          <w:sz w:val="28"/>
          <w:szCs w:val="28"/>
          <w:rtl w:val="true"/>
          <w:lang w:bidi="ar-SA"/>
        </w:rPr>
        <w:t xml:space="preserve">وقبول الأصحاب جوائز الاُمويين والعباسيين </w:t>
      </w:r>
      <w:r>
        <w:rPr>
          <w:rStyle w:val="FootnoteAnchor"/>
          <w:rtl w:val="true"/>
        </w:rPr>
        <w:footnoteReference w:id="979"/>
      </w:r>
      <w:r>
        <w:rPr>
          <w:rFonts w:ascii="Amiri" w:hAnsi="Amiri" w:eastAsia="Amiri" w:cs="Amiri"/>
          <w:color w:val="111111"/>
          <w:sz w:val="28"/>
          <w:sz w:val="28"/>
          <w:szCs w:val="28"/>
          <w:rtl w:val="true"/>
          <w:lang w:bidi="ar-SA"/>
        </w:rPr>
        <w:t xml:space="preserve">، والعلماء جوائز السلاطين ؛ أبين 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القول بكراهة أخذها، مع عدم إخبارهم بإباحتها ؛ قريب، لمنافاته الاحتياط ، وفحوىٰ حكم كسب الصبيان ومَن لا يتجنّب الحرام </w:t>
      </w:r>
      <w:r>
        <w:rPr>
          <w:rStyle w:val="FootnoteAnchor"/>
          <w:rtl w:val="true"/>
        </w:rPr>
        <w:footnoteReference w:id="980"/>
      </w:r>
      <w:r>
        <w:rPr>
          <w:rFonts w:ascii="Amiri" w:hAnsi="Amiri" w:eastAsia="Amiri" w:cs="Amiri"/>
          <w:color w:val="111111"/>
          <w:sz w:val="28"/>
          <w:sz w:val="28"/>
          <w:szCs w:val="28"/>
          <w:rtl w:val="true"/>
          <w:lang w:bidi="ar-SA"/>
        </w:rPr>
        <w:t>، ولما يظهر من نقل الإجماع</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استحباب التجنّب مطلقاً، لما دلّ علىٰ رجحان التعفّف </w:t>
      </w:r>
      <w:r>
        <w:rPr>
          <w:rStyle w:val="FootnoteAnchor"/>
          <w:rtl w:val="true"/>
        </w:rPr>
        <w:footnoteReference w:id="982"/>
      </w:r>
      <w:r>
        <w:rPr>
          <w:rFonts w:ascii="Amiri" w:hAnsi="Amiri" w:eastAsia="Amiri" w:cs="Amiri"/>
          <w:color w:val="111111"/>
          <w:sz w:val="28"/>
          <w:sz w:val="28"/>
          <w:szCs w:val="28"/>
          <w:rtl w:val="true"/>
          <w:lang w:bidi="ar-SA"/>
        </w:rPr>
        <w:t xml:space="preserve">وعزّة النفس </w:t>
      </w:r>
      <w:r>
        <w:rPr>
          <w:rStyle w:val="FootnoteAnchor"/>
          <w:rtl w:val="true"/>
        </w:rPr>
        <w:footnoteReference w:id="983"/>
      </w:r>
      <w:r>
        <w:rPr>
          <w:rFonts w:ascii="Amiri" w:hAnsi="Amiri" w:eastAsia="Amiri" w:cs="Amiri"/>
          <w:color w:val="111111"/>
          <w:sz w:val="28"/>
          <w:sz w:val="28"/>
          <w:szCs w:val="28"/>
          <w:rtl w:val="true"/>
          <w:lang w:bidi="ar-SA"/>
        </w:rPr>
        <w:t xml:space="preserve">، والتباعد عن منّة الفسّاق والفجّار </w:t>
      </w:r>
      <w:r>
        <w:rPr>
          <w:rStyle w:val="FootnoteAnchor"/>
          <w:rtl w:val="true"/>
        </w:rPr>
        <w:footnoteReference w:id="984"/>
      </w:r>
      <w:r>
        <w:rPr>
          <w:rFonts w:ascii="Amiri" w:hAnsi="Amiri" w:eastAsia="Amiri" w:cs="Amiri"/>
          <w:color w:val="111111"/>
          <w:sz w:val="28"/>
          <w:sz w:val="28"/>
          <w:szCs w:val="28"/>
          <w:rtl w:val="true"/>
          <w:lang w:bidi="ar-SA"/>
        </w:rPr>
        <w:t xml:space="preserve">، بل التجنّب عن منّة الخلق جميعاً أولى </w:t>
      </w:r>
      <w:r>
        <w:rPr>
          <w:rStyle w:val="FootnoteAnchor"/>
          <w:rtl w:val="true"/>
        </w:rPr>
        <w:footnoteReference w:id="985"/>
      </w:r>
      <w:r>
        <w:rPr>
          <w:rFonts w:ascii="IRNazanin" w:hAnsi="IRNazanin" w:eastAsia="IRNazanin"/>
          <w:color w:val="111111"/>
          <w:sz w:val="28"/>
          <w:sz w:val="28"/>
          <w:szCs w:val="28"/>
          <w:rtl w:val="true"/>
          <w:lang w:bidi="fa-IR"/>
        </w:rPr>
        <w:t xml:space="preserve">غیر أنّه لو حصلت مرجّحات أقوىٰ منها غلبت علیها، كما إذا كان الغرض التوصّل إلىٰ طلب العلم ، وإعانة الفقراء ، وصلة الأرحام ، وغير ذلك ، فإنّه ينقلب الرجحان ، وعليه يحمل اختلاف حالي أبى الحسن علیه السلام في القبول والردّ </w:t>
      </w:r>
      <w:r>
        <w:rPr>
          <w:rStyle w:val="FootnoteAnchor"/>
          <w:rtl w:val="true"/>
        </w:rPr>
        <w:footnoteReference w:id="986"/>
      </w:r>
      <w:r>
        <w:rPr>
          <w:rFonts w:ascii="Amiri" w:hAnsi="Amiri" w:eastAsia="Amiri" w:cs="Amiri"/>
          <w:color w:val="111111"/>
          <w:sz w:val="28"/>
          <w:sz w:val="28"/>
          <w:szCs w:val="28"/>
          <w:rtl w:val="true"/>
          <w:lang w:bidi="ar-SA"/>
        </w:rPr>
        <w:t xml:space="preserve">، مع أنّ في الروايات ما يشهد </w:t>
      </w:r>
    </w:p>
    <w:p>
      <w:pPr>
        <w:pStyle w:val="BookText"/>
        <w:rPr/>
      </w:pPr>
      <w:r>
        <w:rPr>
          <w:rFonts w:ascii="Amiri" w:hAnsi="Amiri" w:eastAsia="Amiri" w:cs="Amiri"/>
          <w:color w:val="111111"/>
          <w:sz w:val="28"/>
          <w:sz w:val="28"/>
          <w:szCs w:val="28"/>
          <w:rtl w:val="true"/>
          <w:lang w:bidi="ar-SA"/>
        </w:rPr>
        <w:t>بذلك</w:t>
      </w:r>
      <w:r>
        <w:rPr>
          <w:rStyle w:val="FootnoteAnchor"/>
          <w:rtl w:val="true"/>
        </w:rPr>
        <w:footnoteReference w:id="987"/>
      </w:r>
      <w:r>
        <w:rPr>
          <w:rFonts w:ascii="Amiri" w:hAnsi="Amiri" w:eastAsia="Amiri" w:cs="Amiri"/>
          <w:color w:val="111111"/>
          <w:sz w:val="28"/>
          <w:sz w:val="28"/>
          <w:szCs w:val="28"/>
          <w:rtl w:val="true"/>
          <w:lang w:bidi="ar-SA"/>
        </w:rPr>
        <w:t xml:space="preserve">ولا فرق في محلّ الجواز بين أن يعلم أنّ له مدخلاً حلالاً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w:t>
      </w:r>
      <w:r>
        <w:rPr>
          <w:rStyle w:val="FootnoteAnchor"/>
          <w:rtl w:val="true"/>
        </w:rPr>
        <w:footnoteReference w:id="988"/>
      </w:r>
      <w:r>
        <w:rPr>
          <w:rFonts w:ascii="Amiri" w:hAnsi="Amiri" w:eastAsia="Amiri" w:cs="Amiri"/>
          <w:color w:val="111111"/>
          <w:sz w:val="28"/>
          <w:sz w:val="28"/>
          <w:szCs w:val="28"/>
          <w:rtl w:val="true"/>
          <w:lang w:bidi="ar-SA"/>
        </w:rPr>
        <w:t xml:space="preserve">علىٰ اشتراط ذلك منزّل علىٰ أنّ ذلك يصير سبباً للعلم بعين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إخراج الخمس منها </w:t>
      </w:r>
      <w:r>
        <w:rPr>
          <w:rStyle w:val="FootnoteAnchor"/>
          <w:rtl w:val="true"/>
        </w:rPr>
        <w:footnoteReference w:id="989"/>
      </w:r>
      <w:r>
        <w:rPr>
          <w:rFonts w:ascii="Amiri" w:hAnsi="Amiri" w:eastAsia="Amiri" w:cs="Amiri"/>
          <w:color w:val="111111"/>
          <w:sz w:val="28"/>
          <w:sz w:val="28"/>
          <w:szCs w:val="28"/>
          <w:rtl w:val="true"/>
          <w:lang w:bidi="ar-SA"/>
        </w:rPr>
        <w:t xml:space="preserve">، وليس من قسم ما يتعلّق به </w:t>
      </w:r>
      <w:r>
        <w:rPr>
          <w:rStyle w:val="FootnoteAnchor"/>
          <w:rtl w:val="true"/>
        </w:rPr>
        <w:footnoteReference w:id="990"/>
      </w:r>
      <w:r>
        <w:rPr>
          <w:rFonts w:ascii="Amiri" w:hAnsi="Amiri" w:eastAsia="Amiri" w:cs="Amiri"/>
          <w:color w:val="111111"/>
          <w:sz w:val="28"/>
          <w:sz w:val="28"/>
          <w:szCs w:val="28"/>
          <w:rtl w:val="true"/>
          <w:lang w:bidi="ar-SA"/>
        </w:rPr>
        <w:t xml:space="preserve">لكن إخراجه لاحتمال الاختلاط لا بأس به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والقول باستحباب الصدقة ببعضه علىٰ الإخوان ، حتى يثبت فيه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بالمرتبة الأولىٰ ، فلو انتقل إلى الثانية ، أو الثالثة ؛ زالت الكراهة </w:t>
      </w:r>
    </w:p>
    <w:p>
      <w:pPr>
        <w:pStyle w:val="BookText"/>
        <w:rPr/>
      </w:pPr>
      <w:r>
        <w:rPr>
          <w:rFonts w:ascii="Amiri" w:hAnsi="Amiri" w:eastAsia="Amiri" w:cs="Amiri"/>
          <w:color w:val="111111"/>
          <w:sz w:val="28"/>
          <w:sz w:val="28"/>
          <w:szCs w:val="28"/>
          <w:rtl w:val="true"/>
          <w:lang w:bidi="ar-SA"/>
        </w:rPr>
        <w:t>ثمّ إباحة الجوائز مقصورة علىٰ ما يكون لغير العمّال أو لهم لا في مقابلة عمل محرّم ، فكلّ مَن دفعت إليه اُجرة علىٰ مساعدة علىٰ ظلم ، أو معصية ؛ حرمت عليه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يأخذه الجائر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المتغلّب بجنوده وأتباعه ، ذا طبل أو جمعة أو عيد أو لا ، فرعاً أو أصلاً، مؤمناً أو مخالفاً ، مستحلّاً أو لا، من مؤمن أو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 المخالفين أظهر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في الروايات </w:t>
      </w:r>
      <w:r>
        <w:rPr>
          <w:rStyle w:val="FootnoteAnchor"/>
          <w:rtl w:val="true"/>
        </w:rPr>
        <w:footnoteReference w:id="99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العبارات </w:t>
      </w:r>
      <w:r>
        <w:rPr>
          <w:rStyle w:val="FootnoteAnchor"/>
          <w:rtl w:val="true"/>
        </w:rPr>
        <w:footnoteReference w:id="996"/>
      </w:r>
      <w:r>
        <w:rPr>
          <w:rFonts w:ascii="IRNazanin" w:hAnsi="IRNazanin" w:eastAsia="IRNazanin"/>
          <w:color w:val="111111"/>
          <w:sz w:val="28"/>
          <w:sz w:val="28"/>
          <w:szCs w:val="28"/>
          <w:rtl w:val="true"/>
          <w:lang w:bidi="fa-IR"/>
        </w:rPr>
        <w:t xml:space="preserve">وبعض منقول الإجماعات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حاصل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المقاسمة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علىٰ السيرة المألوفة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يفرط في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كان في أرض الخراج أو الصلح أو غيرهما ممّا جرت عادة السلاطين بالتسلط عليها، مع التوافق مع العمّال أو الرعيّة وبدونه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الأموال باسم الخراج عن حقّ الأرض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بتوزيع النقود عليها ، أو علىٰ زروعها أو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الأنعام</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تتعلّق به الزكاة في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يوافق مذهب أهل الحقّ ، دون العكس في وجه ، أو ولو بطريق الإبداع في وجه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الذميّين باسم الجزية، ومن غيرهم من محترمي المال </w:t>
      </w:r>
    </w:p>
    <w:p>
      <w:pPr>
        <w:pStyle w:val="BookText"/>
        <w:rPr/>
      </w:pPr>
      <w:r>
        <w:rPr>
          <w:rFonts w:ascii="Amiri" w:hAnsi="Amiri" w:eastAsia="Amiri" w:cs="Amiri"/>
          <w:color w:val="111111"/>
          <w:sz w:val="28"/>
          <w:sz w:val="28"/>
          <w:szCs w:val="28"/>
          <w:rtl w:val="true"/>
          <w:lang w:bidi="ar-SA"/>
        </w:rPr>
        <w:t xml:space="preserve">من الكفار باسم الشرط حيث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 وغيره</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إشكال فی الأخير </w:t>
      </w:r>
      <w:r>
        <w:rPr>
          <w:rStyle w:val="FootnoteAnchor"/>
          <w:rtl w:val="true"/>
        </w:rPr>
        <w:footnoteReference w:id="10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 واتهابه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وقبول الإحالة به قبل قبضه وبعده ، وتملّكه بسائر وجوه التملّكات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ما يأخذه المخالف من مثله علىٰ وجه يحلّ في مذهبه وإن حرم في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إعادته علىٰ أصحابه وإنْ عُرفوا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طلبوه 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لهم الامتناع عن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إباحته لسلطان آخر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للإجماع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وندرة المخالف </w:t>
      </w:r>
      <w:r>
        <w:rPr>
          <w:rStyle w:val="FootnoteAnchor"/>
          <w:rtl w:val="true"/>
        </w:rPr>
        <w:footnoteReference w:id="1003"/>
      </w:r>
      <w:r>
        <w:rPr>
          <w:rFonts w:ascii="Amiri" w:hAnsi="Amiri" w:eastAsia="Amiri" w:cs="Amiri"/>
          <w:color w:val="111111"/>
          <w:sz w:val="28"/>
          <w:sz w:val="28"/>
          <w:szCs w:val="28"/>
          <w:rtl w:val="true"/>
          <w:lang w:bidi="ar-SA"/>
        </w:rPr>
        <w:t xml:space="preserve">لا تنافيه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ومنقولاً </w:t>
      </w:r>
      <w:r>
        <w:rPr>
          <w:rStyle w:val="FootnoteAnchor"/>
          <w:rtl w:val="true"/>
        </w:rPr>
        <w:footnoteReference w:id="1004"/>
      </w:r>
      <w:r>
        <w:rPr>
          <w:rFonts w:ascii="Amiri" w:hAnsi="Amiri" w:eastAsia="Amiri" w:cs="Amiri"/>
          <w:color w:val="111111"/>
          <w:sz w:val="28"/>
          <w:sz w:val="28"/>
          <w:szCs w:val="28"/>
          <w:rtl w:val="true"/>
          <w:lang w:bidi="ar-SA"/>
        </w:rPr>
        <w:t xml:space="preserve">وللروايات المعتبرة </w:t>
      </w:r>
      <w:r>
        <w:rPr>
          <w:rStyle w:val="FootnoteAnchor"/>
          <w:rtl w:val="true"/>
        </w:rPr>
        <w:footnoteReference w:id="1005"/>
      </w:r>
      <w:r>
        <w:rPr>
          <w:rFonts w:ascii="Amiri" w:hAnsi="Amiri" w:eastAsia="Amiri" w:cs="Amiri"/>
          <w:color w:val="111111"/>
          <w:sz w:val="28"/>
          <w:sz w:val="28"/>
          <w:szCs w:val="28"/>
          <w:rtl w:val="true"/>
          <w:lang w:bidi="ar-SA"/>
        </w:rPr>
        <w:t xml:space="preserve">، مع انجبارها بالإجماع والشهرة والقدح في دلالتها </w:t>
      </w:r>
      <w:r>
        <w:rPr>
          <w:rStyle w:val="FootnoteAnchor"/>
          <w:rtl w:val="true"/>
        </w:rPr>
        <w:footnoteReference w:id="1006"/>
      </w:r>
      <w:r>
        <w:rPr>
          <w:rFonts w:ascii="Amiri" w:hAnsi="Amiri" w:eastAsia="Amiri" w:cs="Amiri"/>
          <w:color w:val="111111"/>
          <w:sz w:val="28"/>
          <w:sz w:val="28"/>
          <w:szCs w:val="28"/>
          <w:rtl w:val="true"/>
          <w:lang w:bidi="ar-SA"/>
        </w:rPr>
        <w:t xml:space="preserve">يردّه التأمل في عباراتها ، وفهم الفقهاء ذلك منها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وحرمته علىٰ الجائر وعمّاله ، وعدم دخوله في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لتهجّمهم </w:t>
      </w:r>
    </w:p>
    <w:p>
      <w:pPr>
        <w:pStyle w:val="BookText"/>
        <w:rPr/>
      </w:pPr>
      <w:r>
        <w:rPr>
          <w:rFonts w:ascii="Amiri" w:hAnsi="Amiri" w:eastAsia="Amiri" w:cs="Amiri"/>
          <w:color w:val="111111"/>
          <w:sz w:val="28"/>
          <w:sz w:val="28"/>
          <w:szCs w:val="28"/>
          <w:rtl w:val="true"/>
          <w:lang w:bidi="ar-SA"/>
        </w:rPr>
        <w:t xml:space="preserve">علىٰ مال الإمام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 لأنّه كفضولي الغاصب </w:t>
      </w:r>
      <w:r>
        <w:rPr>
          <w:rStyle w:val="FootnoteAnchor"/>
          <w:rtl w:val="true"/>
        </w:rPr>
        <w:footnoteReference w:id="1007"/>
      </w:r>
      <w:r>
        <w:rPr>
          <w:rFonts w:ascii="Amiri" w:hAnsi="Amiri" w:eastAsia="Amiri" w:cs="Amiri"/>
          <w:color w:val="111111"/>
          <w:sz w:val="28"/>
          <w:sz w:val="28"/>
          <w:szCs w:val="28"/>
          <w:rtl w:val="true"/>
          <w:lang w:bidi="ar-SA"/>
        </w:rPr>
        <w:t xml:space="preserve">، ولأنّ المالك الأصلي رتّب هذه الأحكام ، وأجاز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حرمة سرقة الحصّة وخيانتها ، والامتناع عن تسليمها، أو عن تسليم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الجائر، وإنْ حرمت عليه ودخل تسليمها في الإعانة علىٰ الإثم في البداية أو الغاية، لنصّ الأصحاب علىٰ ذلك </w:t>
      </w:r>
      <w:r>
        <w:rPr>
          <w:rStyle w:val="FootnoteAnchor"/>
          <w:rtl w:val="true"/>
        </w:rPr>
        <w:footnoteReference w:id="1008"/>
      </w:r>
      <w:r>
        <w:rPr>
          <w:rFonts w:ascii="Amiri" w:hAnsi="Amiri" w:eastAsia="Amiri" w:cs="Amiri"/>
          <w:color w:val="111111"/>
          <w:sz w:val="28"/>
          <w:sz w:val="28"/>
          <w:szCs w:val="28"/>
          <w:rtl w:val="true"/>
          <w:lang w:bidi="ar-SA"/>
        </w:rPr>
        <w:t xml:space="preserve">، ودعوىٰ الإجماع فيه </w:t>
      </w:r>
      <w:r>
        <w:rPr>
          <w:rStyle w:val="FootnoteAnchor"/>
          <w:rtl w:val="true"/>
        </w:rPr>
        <w:footnoteReference w:id="1009"/>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من الجعل له علىٰ حماية بيضة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له ؛ لم يقم عليه دليل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هذه الأحكام لزوم فساد النظام ، والضيق علىٰ أهل الإسلام ، والتجرّي علىٰ ما يخالف التقيّة ، وأنّ قوة الجائر فيها دفع الفساد عن العباد بحفظ بيضة الإسلام، ومنع قطّاع الطريق والسرّاق ، وحقن الدماء ، وحفظ الأعراض ، إلىٰ غير ذلك ؛ فيكون </w:t>
      </w:r>
    </w:p>
    <w:p>
      <w:pPr>
        <w:pStyle w:val="BookText"/>
        <w:rPr/>
      </w:pPr>
      <w:r>
        <w:rPr>
          <w:rFonts w:ascii="Amiri" w:hAnsi="Amiri" w:eastAsia="Amiri" w:cs="Amiri"/>
          <w:color w:val="111111"/>
          <w:sz w:val="28"/>
          <w:sz w:val="28"/>
          <w:szCs w:val="28"/>
          <w:rtl w:val="true"/>
          <w:lang w:bidi="ar-SA"/>
        </w:rPr>
        <w:t xml:space="preserve">ذلك صَرفاً في مصالح المسلمين وإنْ كان علىٰ يد مَنْ لم يكن أهلاً لإمرة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السلطان الجائر فالمرجع إلىٰ الفقيه المأمون فيما يتعلّق بأمور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بجواز أخذ الجميع للمؤمنين فيما يكتسبونه بزراعتهم عند عدم تسلّط الجائر هو الأقوىٰ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سيجيء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الأخبار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ولو عُزل الجائر بعد البيع ، أو الحوالة ، أو الإجارة ؛ بقي اللّزوم مع القبض وبدونه ، ولا مانع من معارضته في أصل الولاية على الأقوى ، وتُسلّم الحصّة إلى الجائر الجديد مع عدم قبض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تساوىٰ الجائران في الولاية، وتضادّا ، برئت الذمّة بالدفع إلىٰ أحدهما ، والأحوط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عامل الجائر كافراً ، محترم المال أولا ؛ فلا سبيل له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ثبوت الحكم في المنتحلين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تقبّل سهم مقاسمة ، أو خراج ؛ فلا تجوز خيانته ، وهو حلال بالنسبة إليه مالم يكن والياً عادياً </w:t>
      </w:r>
    </w:p>
    <w:p>
      <w:pPr>
        <w:pStyle w:val="BookText"/>
        <w:rPr/>
      </w:pPr>
      <w:r>
        <w:rPr>
          <w:rFonts w:ascii="Amiri" w:hAnsi="Amiri" w:eastAsia="Amiri" w:cs="Amiri"/>
          <w:color w:val="111111"/>
          <w:sz w:val="28"/>
          <w:sz w:val="28"/>
          <w:szCs w:val="28"/>
          <w:rtl w:val="true"/>
          <w:lang w:bidi="ar-SA"/>
        </w:rPr>
        <w:t>ومَنْ دُعِيَ سلطاناً بلا شوكة ، كبعض سلاطين الهند ؛ لا يدخل تحت الحكم ، ولا مدخل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سقوط حقّ الزكاة لو أخذها </w:t>
      </w:r>
      <w:r>
        <w:rPr>
          <w:rStyle w:val="FootnoteAnchor"/>
          <w:rtl w:val="true"/>
        </w:rPr>
        <w:footnoteReference w:id="1013"/>
      </w:r>
      <w:r>
        <w:rPr>
          <w:rFonts w:ascii="Amiri" w:hAnsi="Amiri" w:eastAsia="Amiri" w:cs="Amiri"/>
          <w:color w:val="111111"/>
          <w:sz w:val="28"/>
          <w:sz w:val="28"/>
          <w:szCs w:val="28"/>
          <w:rtl w:val="true"/>
          <w:lang w:bidi="ar-SA"/>
        </w:rPr>
        <w:t xml:space="preserve">، لكنّه يحتسب ما بقي بعد أخذها، فيزكّىٰ وإنْ نقص عن النصاب بعده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 الأجزاء ، أو اختلط خلط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الطلق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 قابليته لتملّكه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Style w:val="FootnoteAnchor"/>
          <w:rtl w:val="true"/>
        </w:rPr>
        <w:footnoteReference w:id="1014"/>
      </w:r>
      <w:r>
        <w:rPr>
          <w:rFonts w:ascii="Amiri" w:hAnsi="Amiri" w:eastAsia="Amiri" w:cs="Amiri"/>
          <w:color w:val="111111"/>
          <w:sz w:val="28"/>
          <w:sz w:val="28"/>
          <w:szCs w:val="28"/>
          <w:rtl w:val="true"/>
          <w:lang w:bidi="ar-SA"/>
        </w:rPr>
        <w:t xml:space="preserve">وجب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بما يرتضونه ، مع عدم الإجحاف، فإنْ طلبوا زائداً صولحوا صلحاً قهرياً </w:t>
      </w:r>
      <w:r>
        <w:rPr>
          <w:rStyle w:val="FootnoteAnchor"/>
          <w:rtl w:val="true"/>
        </w:rPr>
        <w:footnoteReference w:id="1015"/>
      </w:r>
      <w:r>
        <w:rPr>
          <w:rFonts w:ascii="Amiri" w:hAnsi="Amiri" w:eastAsia="Amiri" w:cs="Amiri"/>
          <w:color w:val="111111"/>
          <w:sz w:val="28"/>
          <w:sz w:val="28"/>
          <w:szCs w:val="28"/>
          <w:rtl w:val="true"/>
          <w:lang w:bidi="ar-SA"/>
        </w:rPr>
        <w:t xml:space="preserve">، لوجوب التخلّص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جميع المحتمل </w:t>
      </w:r>
      <w:r>
        <w:rPr>
          <w:rStyle w:val="FootnoteAnchor"/>
          <w:rtl w:val="true"/>
        </w:rPr>
        <w:footnoteReference w:id="1016"/>
      </w:r>
      <w:r>
        <w:rPr>
          <w:rFonts w:ascii="Amiri" w:hAnsi="Amiri" w:eastAsia="Amiri" w:cs="Amiri"/>
          <w:color w:val="111111"/>
          <w:sz w:val="28"/>
          <w:sz w:val="28"/>
          <w:szCs w:val="28"/>
          <w:rtl w:val="true"/>
          <w:lang w:bidi="ar-SA"/>
        </w:rPr>
        <w:t>، لتحصيل يقين البراءَة ؛ إجحاف وإضرار والاقتصار فى الردّ على المتيقّن</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وافق الأصل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إجحاف بالطرف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بالتنصيف</w:t>
      </w:r>
      <w:r>
        <w:rPr>
          <w:rStyle w:val="FootnoteAnchor"/>
          <w:rtl w:val="true"/>
        </w:rPr>
        <w:footnoteReference w:id="1018"/>
      </w:r>
      <w:r>
        <w:rPr>
          <w:rFonts w:ascii="Amiri" w:hAnsi="Amiri" w:eastAsia="Amiri" w:cs="Amiri"/>
          <w:color w:val="111111"/>
          <w:sz w:val="28"/>
          <w:sz w:val="28"/>
          <w:szCs w:val="28"/>
          <w:rtl w:val="true"/>
          <w:lang w:bidi="ar-SA"/>
        </w:rPr>
        <w:t>، لوحدة النسبة ؛ مردود باتحاد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الحكم في الغصب وسائر الحقوق المجملة أعياناً وذمماً ، غير أنّ الصلح في بعضها ،قهريّ، وفي بعضها مشروط بالتراضى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هنا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الخمس لا وجه 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البحث 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يرجى بعده معرفتهم ، اقتصاراً علىٰ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w:t>
      </w:r>
      <w:r>
        <w:rPr>
          <w:rStyle w:val="FootnoteAnchor"/>
          <w:rtl w:val="true"/>
        </w:rPr>
        <w:footnoteReference w:id="1020"/>
      </w:r>
      <w:r>
        <w:rPr>
          <w:rFonts w:ascii="IRNazanin" w:hAnsi="IRNazanin" w:eastAsia="IRNazanin"/>
          <w:color w:val="111111"/>
          <w:sz w:val="28"/>
          <w:sz w:val="28"/>
          <w:szCs w:val="28"/>
          <w:rtl w:val="true"/>
          <w:lang w:bidi="fa-IR"/>
        </w:rPr>
        <w:t>و الأخبار</w:t>
      </w:r>
      <w:r>
        <w:rPr>
          <w:rStyle w:val="FootnoteAnchor"/>
          <w:rtl w:val="true"/>
        </w:rPr>
        <w:footnoteReference w:id="1021"/>
      </w:r>
      <w:r>
        <w:rPr>
          <w:rFonts w:ascii="Amiri" w:hAnsi="Amiri" w:eastAsia="Amiri" w:cs="Amiri"/>
          <w:color w:val="111111"/>
          <w:sz w:val="28"/>
          <w:sz w:val="28"/>
          <w:szCs w:val="28"/>
          <w:rtl w:val="true"/>
          <w:lang w:bidi="ar-SA"/>
        </w:rPr>
        <w:t xml:space="preserve">لبني هاشم خاصّة </w:t>
      </w:r>
      <w:r>
        <w:rPr>
          <w:rStyle w:val="FootnoteAnchor"/>
          <w:rtl w:val="true"/>
        </w:rPr>
        <w:footnoteReference w:id="1022"/>
      </w:r>
      <w:r>
        <w:rPr>
          <w:rFonts w:ascii="IRNazanin" w:hAnsi="IRNazanin" w:eastAsia="IRNazanin"/>
          <w:color w:val="111111"/>
          <w:sz w:val="28"/>
          <w:sz w:val="28"/>
          <w:szCs w:val="28"/>
          <w:rtl w:val="true"/>
          <w:lang w:bidi="fa-IR"/>
        </w:rPr>
        <w:t xml:space="preserve">، للأصل ، وظاهر إطلاق لفظ الخمس </w:t>
      </w:r>
      <w:r>
        <w:rPr>
          <w:rStyle w:val="FootnoteAnchor"/>
          <w:rtl w:val="true"/>
        </w:rPr>
        <w:footnoteReference w:id="102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فهمه أكثر الأصحاب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خلطه الغوص والمعادن والغنيمة </w:t>
      </w:r>
      <w:r>
        <w:rPr>
          <w:rStyle w:val="FootnoteAnchor"/>
          <w:rtl w:val="true"/>
        </w:rPr>
        <w:footnoteReference w:id="1025"/>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رضي من المال بالخمس</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 xml:space="preserve">، ولفظ التصدّق </w:t>
      </w:r>
      <w:r>
        <w:rPr>
          <w:rStyle w:val="FootnoteAnchor"/>
          <w:rtl w:val="true"/>
        </w:rPr>
        <w:footnoteReference w:id="1027"/>
      </w:r>
      <w:r>
        <w:rPr>
          <w:rFonts w:ascii="Amiri" w:hAnsi="Amiri" w:eastAsia="Amiri" w:cs="Amiri"/>
          <w:color w:val="111111"/>
          <w:sz w:val="28"/>
          <w:sz w:val="28"/>
          <w:szCs w:val="28"/>
          <w:rtl w:val="true"/>
          <w:lang w:bidi="ar-SA"/>
        </w:rPr>
        <w:t>لا ينافيه</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يلزم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علىٰ المتيقّن فيما خالف الأصل، أو من غير فرق بین ذلک و بین ما إذا علم النقص عن الخمس أو الزيادة عليه ، تعبّداً ؛ استناداً إلىٰ إطلاق الدليل ، والأقوىٰ هو الأوّل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يحتمل لزوم الصلح </w:t>
      </w:r>
      <w:r>
        <w:rPr>
          <w:rStyle w:val="FootnoteAnchor"/>
          <w:rtl w:val="true"/>
        </w:rPr>
        <w:footnoteReference w:id="1030"/>
      </w:r>
      <w:r>
        <w:rPr>
          <w:rFonts w:ascii="Amiri" w:hAnsi="Amiri" w:eastAsia="Amiri" w:cs="Amiri"/>
          <w:color w:val="111111"/>
          <w:sz w:val="28"/>
          <w:sz w:val="28"/>
          <w:szCs w:val="28"/>
          <w:rtl w:val="true"/>
          <w:lang w:bidi="ar-SA"/>
        </w:rPr>
        <w:t xml:space="preserve">في مقام الزيادة ثم الصدقة ، أو دفع خُمُسَين أو أكثر مع حصول </w:t>
      </w:r>
    </w:p>
    <w:p>
      <w:pPr>
        <w:pStyle w:val="BookText"/>
        <w:rPr/>
      </w:pPr>
      <w:r>
        <w:rPr>
          <w:rFonts w:ascii="Amiri" w:hAnsi="Amiri" w:eastAsia="Amiri" w:cs="Amiri"/>
          <w:color w:val="111111"/>
          <w:sz w:val="28"/>
          <w:sz w:val="28"/>
          <w:szCs w:val="28"/>
          <w:rtl w:val="true"/>
          <w:lang w:bidi="ar-SA"/>
        </w:rPr>
        <w:t xml:space="preserve">الشرط ، أو التصدّق بكل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الناقص ؛ إمّا الصدقة بالمحتمل ، أو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العلم بالمقدار تتعيّن الصدقة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ذلك بین ما أخذ من يد الجائر وغيره، والعلم بجهة الحرام كخمس وزكاة علم بالأرباب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والمتولّي لتلك الأمور المالك مع قابليته ، وإلّا فوليّه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الدفع إلىٰ الحاكم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الامتزاج بالوقف فقط يتعيّن الصلح ويجعل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الوقف وغيره اُعطي كلٌّ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أبوه أو أحد محارمه ممّن ينعتق عليه في الحرام مع حصول الشرط ؛ قوي العمل بالإطلاق ، فيحكم بالدخول تحت الخمس ولو كان عددهما في السابق معلوماً ، فحصل الجهل من جهة النتاج ؛ احتمل العمل علىٰ الإطلاق، والتوزيع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تعيّن لبعض الحرام أرباب دون البعض الآخر كان لكلٍّ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الخليط المجهول من اللُّقطة صولح وعرّف ، و يحتمل سقوطه والاكتفاء بالخمس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الصلح مع الحاكم في مقامه ، أو اُعطى الخمس ، فاتفق أنْ علم صاحبه ؛ ردّ إليه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ضمان علىٰ الدافع ، ولا الآخذ من الفقراء والمساكين ، لا في صورة الخمس ولا في غيره ، إنْ كان الدافع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المتصدّق مَن في يده ضمن ، وله الأجر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الحرام وقفاً عاماً جُهلت جهته ، أو خاصّاً مجهول الصاحب ، واختلط بمثله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مجانس أو غير مجانس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بملك ؛ احتمل جريان الحكم وانفساخ الوقف، وبقاؤه وإرجاعه إلىٰ القواعد</w:t>
      </w:r>
      <w:r>
        <w:rPr>
          <w:rFonts w:eastAsia="Amiri" w:cs="Amiri" w:ascii="Amiri" w:hAnsi="Amiri"/>
          <w:color w:val="111111"/>
          <w:sz w:val="28"/>
          <w:szCs w:val="28"/>
          <w:rtl w:val="true"/>
          <w:lang w:bidi="ar-SA"/>
        </w:rPr>
        <w:t xml:space="preserve">. </w:t>
      </w:r>
      <w:bookmarkStart w:id="300" w:name="pg20243_272255"/>
    </w:p>
    <w:p>
      <w:pPr>
        <w:pStyle w:val="Heading2"/>
        <w:numPr>
          <w:ilvl w:val="1"/>
          <w:numId w:val="1"/>
        </w:numPr>
        <w:rPr/>
      </w:pPr>
      <w:bookmarkStart w:id="301" w:name="__RefHeading___Toc5284990_2320776876"/>
      <w:bookmarkStart w:id="302" w:name="_Toc106"/>
      <w:bookmarkEnd w:id="300"/>
      <w:bookmarkEnd w:id="301"/>
      <w:r>
        <w:rPr>
          <w:rtl w:val="true"/>
        </w:rPr>
        <w:t>الثامن حکم الأجیر الخاص</w:t>
      </w:r>
      <w:bookmarkEnd w:id="30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للأجير الخاص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 المأخوذ عليه المباشرة لعمل مطلق أو معيّن ، في وقت معيّن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العمل توقيتاً أو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مبدئه أو وسطه أو منتهاه أو المركّب منها ، لشخص أن يكون أجيراً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لا يجامع الأوّل في محلّ التعيين ، لأنّه لا سلطان له علىٰ نفسه، ولا يقدر علىٰ التسليم شرعاً ، كمَن تعيّن عليه صوم يوم لرمضان أو نذر أو عهد أو نحوها أو حجّ في سنة مخصوصة إسلامي أو نذري أو نحوهما ، فإنّ الإجارة والجعالة الخاصّتين غير صحيحتين ، للإجماع ، والأخبار </w:t>
      </w:r>
      <w:r>
        <w:rPr>
          <w:rStyle w:val="FootnoteAnchor"/>
          <w:rtl w:val="true"/>
        </w:rPr>
        <w:footnoteReference w:id="1034"/>
      </w:r>
      <w:r>
        <w:rPr>
          <w:rFonts w:ascii="Amiri" w:hAnsi="Amiri" w:eastAsia="Amiri" w:cs="Amiri"/>
          <w:color w:val="111111"/>
          <w:sz w:val="28"/>
          <w:sz w:val="28"/>
          <w:szCs w:val="28"/>
          <w:rtl w:val="true"/>
          <w:lang w:bidi="ar-SA"/>
        </w:rPr>
        <w:t xml:space="preserve">، وخصوص موردها يعمّ 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الإطلاق بعد الإطلاق وبعد الخصوص ، والخصوص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لعمله ، لا لنفسه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مَن استاجره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 وهو واضح حيث يكون عبادة ، لعدم إمكان توجّه الأمر بعد حرمة الاستيفاء ، ولامتناع تعلّق الإجارة الثانية بالمحال ، ولاستحالة التكليف بالمحال ، ولزوم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العبادة ؛ لدخوله تحت العدوان </w:t>
      </w:r>
    </w:p>
    <w:p>
      <w:pPr>
        <w:pStyle w:val="BookText"/>
        <w:rPr/>
      </w:pPr>
      <w:r>
        <w:rPr>
          <w:rFonts w:ascii="Amiri" w:hAnsi="Amiri" w:eastAsia="Amiri" w:cs="Amiri"/>
          <w:color w:val="111111"/>
          <w:sz w:val="28"/>
          <w:sz w:val="28"/>
          <w:szCs w:val="28"/>
          <w:rtl w:val="true"/>
          <w:lang w:bidi="ar-SA"/>
        </w:rPr>
        <w:t xml:space="preserve">والظلم بالاستيفاء من مال الغير ومنفعته ، أو استعماله جوارح تعلّق بها حقّ الأوّل تعلّق الرهانة ، وللإجماع محصّلاً ومنقولاً </w:t>
      </w:r>
      <w:r>
        <w:rPr>
          <w:rStyle w:val="FootnoteAnchor"/>
          <w:rtl w:val="true"/>
        </w:rPr>
        <w:footnoteReference w:id="1035"/>
      </w:r>
      <w:r>
        <w:rPr>
          <w:rFonts w:ascii="Amiri" w:hAnsi="Amiri" w:eastAsia="Amiri" w:cs="Amiri"/>
          <w:color w:val="111111"/>
          <w:sz w:val="28"/>
          <w:sz w:val="28"/>
          <w:szCs w:val="28"/>
          <w:rtl w:val="true"/>
          <w:lang w:bidi="ar-SA"/>
        </w:rPr>
        <w:t xml:space="preserve">، والأخبار في بعض الموارد </w:t>
      </w:r>
      <w:r>
        <w:rPr>
          <w:rStyle w:val="FootnoteAnchor"/>
          <w:rtl w:val="true"/>
        </w:rPr>
        <w:footnoteReference w:id="1036"/>
      </w:r>
      <w:r>
        <w:rPr>
          <w:rFonts w:ascii="Amiri" w:hAnsi="Amiri" w:eastAsia="Amiri" w:cs="Amiri"/>
          <w:color w:val="111111"/>
          <w:sz w:val="28"/>
          <w:sz w:val="28"/>
          <w:szCs w:val="28"/>
          <w:rtl w:val="true"/>
          <w:lang w:bidi="ar-SA"/>
        </w:rPr>
        <w:t xml:space="preserve">وتعمّ بتنقيح المناط ، فليس طريق المسألة مقصوراً علىٰ مسألة النهي عن الضدّ الخاص </w:t>
      </w:r>
      <w:r>
        <w:rPr>
          <w:rStyle w:val="FootnoteAnchor"/>
          <w:rtl w:val="true"/>
        </w:rPr>
        <w:footnoteReference w:id="1037"/>
      </w:r>
      <w:r>
        <w:rPr>
          <w:rFonts w:ascii="Amiri" w:hAnsi="Amiri" w:eastAsia="Amiri" w:cs="Amiri"/>
          <w:color w:val="111111"/>
          <w:sz w:val="28"/>
          <w:sz w:val="28"/>
          <w:szCs w:val="28"/>
          <w:rtl w:val="true"/>
          <w:lang w:bidi="ar-SA"/>
        </w:rPr>
        <w:t>حتىٰ يختصّ فساد العبادة لغير الأوّل بصورة العلم والعمد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ونحوه قبل التضيّق ، إذْ لا منافاة حيث لا يزاحم ما يلزم بتركه الإهمال، لعدم البناء علىٰ الفور ، بل ولا المباشرة في مطلقات الإجارات من العبادات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الإطلاق علىٰ الحلول مسلّم ، لكن بمعنىٰ جواز الفعل لا فوريّته ، علىٰ أنّ حلول كلّ شيء بالنسبة إلى حاله ، مع أنّ القرينة القاطعة شاهدة علىٰ إرادة التوسعة ، فلا فرق بين أن يعيّن له وقتاً غير ما عيّن للأوّل ، أو يطلق فيتقيّد بغير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فهم الفورية أو المباشرة عند الإطلاق في خصوص العبادات أو مطلقاً </w:t>
      </w:r>
      <w:r>
        <w:rPr>
          <w:rStyle w:val="FootnoteAnchor"/>
          <w:rtl w:val="true"/>
        </w:rPr>
        <w:footnoteReference w:id="10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محلّ المنع والقياس علىٰ أوامر الشرع في العبادات مردود بظهور الفرق ، فإنّ الظاهر من حال من أراد العبودية والانقياد والخضوع والتذلّل إرادة المباشرة ، ومن كان غرضه مجرّد إيجاد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خلاف ذلك ، وربّما كان في العبادات أظهر ، لأنّ الغرض فراغ ذمّة المنوب عنه أو مجرّد وصول ثواب الفعل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قرينة علىٰ تعيين الوقت ، أو الفاعل ؛ 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العمل بالمطلق في محلّ الخاص تجيء مسألة الضدّ الخاص ، وتزيد عليه </w:t>
      </w:r>
      <w:r>
        <w:rPr>
          <w:rStyle w:val="FootnoteAnchor"/>
          <w:rtl w:val="true"/>
        </w:rPr>
        <w:footnoteReference w:id="1039"/>
      </w:r>
      <w:r>
        <w:rPr>
          <w:rFonts w:ascii="Amiri" w:hAnsi="Amiri" w:eastAsia="Amiri" w:cs="Amiri"/>
          <w:color w:val="111111"/>
          <w:sz w:val="28"/>
          <w:sz w:val="28"/>
          <w:szCs w:val="28"/>
          <w:rtl w:val="true"/>
          <w:lang w:bidi="ar-SA"/>
        </w:rPr>
        <w:t xml:space="preserve">ببعض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من مسألة حمل المطلق علىٰ المقيّد لا يخلو من بعد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المباشرة والتوقيت ، وكون الأجير خاصّاً، وتماثل العملين ، أو دخول أحدهما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أجاز المستأجر الإجارة الثانية استحق الأجرة المسمّاة ، وأعطىٰ الأجير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يجزها ، أو لم يكن إجارة ، أو كانت مطلقة وقد استوفى الثاني تمام المدّة؛ تخيّر بين الرجوع علىٰ الأجير أو المستوفى بأجرة المثل للعمل المستوفى أو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الأجير حرّاً علىٰ أقرب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الرجوع علىٰ المستوفي بأجرة الفائت يرجع علىٰ الأجير بالتفاوت حيث يكون مغروراً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على الأجير بأجرة المستوفى رجع علىٰ المستوفي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 وأجاز الأجير الثانية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بصحّة هذا النوع من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الثانية ولزم المسمّىٰ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أو أفسدناها فليس للأجير علىٰ الثاني سوىٰ اُجرة المستوفىٰ دون المسمّىٰ مع </w:t>
      </w:r>
    </w:p>
    <w:p>
      <w:pPr>
        <w:pStyle w:val="BookText"/>
        <w:rPr/>
      </w:pPr>
      <w:r>
        <w:rPr>
          <w:rFonts w:ascii="Amiri" w:hAnsi="Amiri" w:eastAsia="Amiri" w:cs="Amiri"/>
          <w:color w:val="111111"/>
          <w:sz w:val="28"/>
          <w:sz w:val="28"/>
          <w:szCs w:val="28"/>
          <w:rtl w:val="true"/>
          <w:lang w:bidi="ar-SA"/>
        </w:rPr>
        <w:t xml:space="preserve">عدم غروره ، ومع الغرور أقلّ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شرّك في العمل بين المستأجر والغير تسلّط المستأجر علىٰ الفسخ للتبعيض والإمضاء ، فيرجع بأجرة المستوفى علىٰ مَن شاء من الأجير وغيره، أو اُجرة المدّة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الأجير العمل لهما انفسخت الإجارة والكلام في الرجوع بالمقبوض من مال الإجارة مبنيّ علىٰ تعيين المستحقّ وقد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التضادّ مع الإجارة تفسد الأولى وتصحّ الثانية ويختصّ مسمّاها بالأجير، ومع عدمها فللأوّل الرجوع بالفائت علىٰ مَن شاء منهما ، غير أنّه مع الرجوع على المستأجر يرجع المستأجر علىٰ الأجير بالتفاوت مع غروره ، وليس للأجير مع الرجوع عليه سوىٰ الأقلّ من اُجرة المستوفى أو المسمّى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بثمرة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 منها ، بحيث لا يعدّ قاصداً عرفاً </w:t>
      </w:r>
      <w:r>
        <w:rPr>
          <w:rStyle w:val="FootnoteAnchor"/>
          <w:rtl w:val="true"/>
        </w:rPr>
        <w:footnoteReference w:id="1040"/>
      </w:r>
      <w:r>
        <w:rPr>
          <w:rFonts w:ascii="Amiri" w:hAnsi="Amiri" w:eastAsia="Amiri" w:cs="Amiri"/>
          <w:color w:val="111111"/>
          <w:sz w:val="28"/>
          <w:sz w:val="28"/>
          <w:szCs w:val="28"/>
          <w:rtl w:val="true"/>
          <w:lang w:bidi="ar-SA"/>
        </w:rPr>
        <w:t xml:space="preserve">، ولو قبل التأبير </w:t>
      </w:r>
      <w:r>
        <w:rPr>
          <w:rStyle w:val="FootnoteAnchor"/>
          <w:rtl w:val="true"/>
        </w:rPr>
        <w:footnoteReference w:id="1041"/>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الشجر معتادة أولا ، ولو حين الانعقاد علىٰ إشكال أيضاً، ومنها ثمرة النخل والعنب </w:t>
      </w:r>
    </w:p>
    <w:p>
      <w:pPr>
        <w:pStyle w:val="BookText"/>
        <w:rPr/>
      </w:pPr>
      <w:r>
        <w:rPr>
          <w:rFonts w:ascii="Amiri" w:hAnsi="Amiri" w:eastAsia="Amiri" w:cs="Amiri"/>
          <w:color w:val="111111"/>
          <w:sz w:val="28"/>
          <w:sz w:val="28"/>
          <w:szCs w:val="28"/>
          <w:rtl w:val="true"/>
          <w:lang w:bidi="ar-SA"/>
        </w:rPr>
        <w:t xml:space="preserve">والرمّان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ولا من وليّه لخصوص تلك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مبدأ المسافة ولا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صدق اسم المرور ، و للإجماع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عيّنها بالإشارة واختلف الاسم كان قاصداً ، بخلاف العكس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مقتصرين عليها</w:t>
      </w:r>
      <w:r>
        <w:rPr>
          <w:rStyle w:val="FootnoteAnchor"/>
          <w:rtl w:val="true"/>
        </w:rPr>
        <w:footnoteReference w:id="1042"/>
      </w:r>
      <w:r>
        <w:rPr>
          <w:rFonts w:ascii="Amiri" w:hAnsi="Amiri" w:eastAsia="Amiri" w:cs="Amiri"/>
          <w:color w:val="111111"/>
          <w:sz w:val="28"/>
          <w:sz w:val="28"/>
          <w:szCs w:val="28"/>
          <w:rtl w:val="true"/>
          <w:lang w:bidi="ar-SA"/>
        </w:rPr>
        <w:t xml:space="preserve">، ونقل الإجماع عليه من جماعة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بإضافة الزرع والخُضر </w:t>
      </w:r>
      <w:r>
        <w:rPr>
          <w:rStyle w:val="FootnoteAnchor"/>
          <w:rtl w:val="true"/>
        </w:rPr>
        <w:footnoteReference w:id="1044"/>
      </w:r>
      <w:r>
        <w:rPr>
          <w:rFonts w:ascii="Amiri" w:hAnsi="Amiri" w:eastAsia="Amiri" w:cs="Amiri"/>
          <w:color w:val="111111"/>
          <w:sz w:val="28"/>
          <w:sz w:val="28"/>
          <w:szCs w:val="28"/>
          <w:rtl w:val="true"/>
          <w:lang w:bidi="ar-SA"/>
        </w:rPr>
        <w:t xml:space="preserve">، ونقلت عليه الشهرة </w:t>
      </w:r>
      <w:r>
        <w:rPr>
          <w:rStyle w:val="FootnoteAnchor"/>
          <w:rtl w:val="true"/>
        </w:rPr>
        <w:footnoteReference w:id="1045"/>
      </w:r>
      <w:r>
        <w:rPr>
          <w:rFonts w:ascii="Amiri" w:hAnsi="Amiri" w:eastAsia="Amiri" w:cs="Amiri"/>
          <w:color w:val="111111"/>
          <w:sz w:val="28"/>
          <w:sz w:val="28"/>
          <w:szCs w:val="28"/>
          <w:rtl w:val="true"/>
          <w:lang w:bidi="ar-SA"/>
        </w:rPr>
        <w:t xml:space="preserve">، ونقل أنّه قول الأكثر </w:t>
      </w:r>
      <w:r>
        <w:rPr>
          <w:rStyle w:val="FootnoteAnchor"/>
          <w:rtl w:val="true"/>
        </w:rPr>
        <w:footnoteReference w:id="1046"/>
      </w:r>
      <w:r>
        <w:rPr>
          <w:rFonts w:ascii="Amiri" w:hAnsi="Amiri" w:eastAsia="Amiri" w:cs="Amiri"/>
          <w:color w:val="111111"/>
          <w:sz w:val="28"/>
          <w:sz w:val="28"/>
          <w:szCs w:val="28"/>
          <w:rtl w:val="true"/>
          <w:lang w:bidi="ar-SA"/>
        </w:rPr>
        <w:t>، ونُسب إلى بعض نقل الإجماع فيه</w:t>
      </w:r>
      <w:r>
        <w:rPr>
          <w:rStyle w:val="FootnoteAnchor"/>
          <w:rtl w:val="true"/>
        </w:rPr>
        <w:footnoteReference w:id="104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واقتصر قوم علىٰ خصوص النخل </w:t>
      </w:r>
      <w:r>
        <w:rPr>
          <w:rStyle w:val="FootnoteAnchor"/>
          <w:rtl w:val="true"/>
        </w:rPr>
        <w:footnoteReference w:id="1048"/>
      </w:r>
      <w:r>
        <w:rPr>
          <w:rFonts w:ascii="Amiri" w:hAnsi="Amiri" w:eastAsia="Amiri" w:cs="Amiri"/>
          <w:color w:val="111111"/>
          <w:sz w:val="28"/>
          <w:sz w:val="28"/>
          <w:szCs w:val="28"/>
          <w:rtl w:val="true"/>
          <w:lang w:bidi="ar-SA"/>
        </w:rPr>
        <w:t xml:space="preserve">، ونقلت عليه الشهرة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قوم في ثبوت الحكم في غيره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الكلّ علىٰ تخصيص الجواز بالأكل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النقل ، للأصل ، والإجماع ، والرواية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بيده شيئاً متشاغلاً بالأكل لم يدخل في ممنوع الحمل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كما عليه جمع كثير من أصحابنا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أقوىٰ ، لقضاء العقل ، والسمع من الكتاب </w:t>
      </w:r>
      <w:r>
        <w:rPr>
          <w:rStyle w:val="FootnoteAnchor"/>
          <w:rtl w:val="true"/>
        </w:rPr>
        <w:footnoteReference w:id="1053"/>
      </w:r>
      <w:r>
        <w:rPr>
          <w:rFonts w:ascii="Amiri" w:hAnsi="Amiri" w:eastAsia="Amiri" w:cs="Amiri"/>
          <w:color w:val="111111"/>
          <w:sz w:val="28"/>
          <w:sz w:val="28"/>
          <w:szCs w:val="28"/>
          <w:rtl w:val="true"/>
          <w:lang w:bidi="ar-SA"/>
        </w:rPr>
        <w:t xml:space="preserve">والسنّة المتواترة </w:t>
      </w:r>
      <w:r>
        <w:rPr>
          <w:rStyle w:val="FootnoteAnchor"/>
          <w:rtl w:val="true"/>
        </w:rPr>
        <w:footnoteReference w:id="1054"/>
      </w:r>
      <w:r>
        <w:rPr>
          <w:rFonts w:ascii="Amiri" w:hAnsi="Amiri" w:eastAsia="Amiri" w:cs="Amiri"/>
          <w:color w:val="111111"/>
          <w:sz w:val="28"/>
          <w:sz w:val="28"/>
          <w:szCs w:val="28"/>
          <w:rtl w:val="true"/>
          <w:lang w:bidi="ar-SA"/>
        </w:rPr>
        <w:t xml:space="preserve">والإجماع ، بل ضرورة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الظلم والجور والخيانة والسرقة وتحريم أكل أموال الناس بالباطل </w:t>
      </w:r>
      <w:r>
        <w:rPr>
          <w:rStyle w:val="FootnoteAnchor"/>
          <w:rtl w:val="true"/>
        </w:rPr>
        <w:footnoteReference w:id="1055"/>
      </w:r>
      <w:r>
        <w:rPr>
          <w:rFonts w:ascii="Amiri" w:hAnsi="Amiri" w:eastAsia="Amiri" w:cs="Amiri"/>
          <w:color w:val="111111"/>
          <w:sz w:val="28"/>
          <w:sz w:val="28"/>
          <w:szCs w:val="28"/>
          <w:rtl w:val="true"/>
          <w:lang w:bidi="ar-SA"/>
        </w:rPr>
        <w:t xml:space="preserve">، مضافاً إلىٰ أنّ فتح هذا الباب يقتضي أنْ تضمحلّ أموال الناس في مواضع المارّة ، فلا تبقىٰ ثمرة لأحد، مع أنّ أكثر الثمار تكون على الطرق المسلوكة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1056"/>
      </w:r>
      <w:r>
        <w:rPr>
          <w:rFonts w:ascii="Amiri" w:hAnsi="Amiri" w:eastAsia="Amiri" w:cs="Amiri"/>
          <w:color w:val="111111"/>
          <w:sz w:val="28"/>
          <w:sz w:val="28"/>
          <w:szCs w:val="28"/>
          <w:rtl w:val="true"/>
          <w:lang w:bidi="ar-SA"/>
        </w:rPr>
        <w:t xml:space="preserve">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الإذن في ذلك باعث علىٰ فتح باب التجرّي علىٰ الحرام ، حتى أنّ كلّ مَن يجيء يقول لم أكن قاصداً ، ومَن كان له عداوة مع أحد يتقصّد إضراره وله عذر واضح ، ولزوم استباحة الأغنياء زكاة الفقراء ، وغير السادات خمسهم مع القول بالتعلّق بالعين ولزوم الضمان علىٰ القول بالتعلّق بالذمّة ، ولما في الأخبار من المنع</w:t>
      </w:r>
      <w:r>
        <w:rPr>
          <w:rStyle w:val="FootnoteAnchor"/>
          <w:rtl w:val="true"/>
        </w:rPr>
        <w:footnoteReference w:id="1057"/>
      </w:r>
      <w:r>
        <w:rPr>
          <w:rFonts w:ascii="Amiri" w:hAnsi="Amiri" w:eastAsia="Amiri" w:cs="Amiri"/>
          <w:color w:val="111111"/>
          <w:sz w:val="28"/>
          <w:sz w:val="28"/>
          <w:szCs w:val="28"/>
          <w:rtl w:val="true"/>
          <w:lang w:bidi="ar-SA"/>
        </w:rPr>
        <w:t xml:space="preserve">والإشارة إلى التعليل المذكور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دلّ على الجواز </w:t>
      </w:r>
      <w:r>
        <w:rPr>
          <w:rStyle w:val="FootnoteAnchor"/>
          <w:rtl w:val="true"/>
        </w:rPr>
        <w:footnoteReference w:id="1058"/>
      </w:r>
      <w:r>
        <w:rPr>
          <w:rFonts w:ascii="Amiri" w:hAnsi="Amiri" w:eastAsia="Amiri" w:cs="Amiri"/>
          <w:color w:val="111111"/>
          <w:sz w:val="28"/>
          <w:sz w:val="28"/>
          <w:szCs w:val="28"/>
          <w:rtl w:val="true"/>
          <w:lang w:bidi="ar-SA"/>
        </w:rPr>
        <w:t>لا يقوىٰ علىٰ تخصيص هذه الأدلّة القاطعة لأنّ الإجماع مختلف النقل، وكذا الشهرة، وكم من إجماع وروايات يكثر نقلها تركنا العمل عليها لقوّة المعارض ، كالمنقولَين علىٰ نجاسة البئر</w:t>
      </w:r>
      <w:r>
        <w:rPr>
          <w:rStyle w:val="FootnoteAnchor"/>
          <w:rtl w:val="true"/>
        </w:rPr>
        <w:footnoteReference w:id="105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ومضايقة القضاء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مقابلها ما يعارضها ، مع أنّ أكثرها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في سنده ، وبعضها لا يخلو من بحث في دلالته مع قلّة العامل بظاهرها ويمكن حمل كثير منها ومن عبارات الفقهاء علىٰ شهادة القرينة بالإذن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خبر تخريق الجدران </w:t>
      </w:r>
      <w:r>
        <w:rPr>
          <w:rStyle w:val="FootnoteAnchor"/>
          <w:rtl w:val="true"/>
        </w:rPr>
        <w:footnoteReference w:id="1062"/>
      </w:r>
      <w:r>
        <w:rPr>
          <w:rFonts w:ascii="Amiri" w:hAnsi="Amiri" w:eastAsia="Amiri" w:cs="Amiri"/>
          <w:color w:val="111111"/>
          <w:sz w:val="28"/>
          <w:sz w:val="28"/>
          <w:szCs w:val="28"/>
          <w:rtl w:val="true"/>
          <w:lang w:bidi="ar-SA"/>
        </w:rPr>
        <w:t xml:space="preserve">، ولعلّ لذلك العصر خصوصية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حال الضرورة </w:t>
      </w:r>
      <w:r>
        <w:rPr>
          <w:rStyle w:val="FootnoteAnchor"/>
          <w:rtl w:val="true"/>
        </w:rPr>
        <w:footnoteReference w:id="1063"/>
      </w:r>
      <w:r>
        <w:rPr>
          <w:rFonts w:ascii="Amiri" w:hAnsi="Amiri" w:eastAsia="Amiri" w:cs="Amiri"/>
          <w:color w:val="111111"/>
          <w:sz w:val="28"/>
          <w:sz w:val="28"/>
          <w:szCs w:val="28"/>
          <w:rtl w:val="true"/>
          <w:lang w:bidi="ar-SA"/>
        </w:rPr>
        <w:t xml:space="preserve">، أو علىٰ تعليم أهل الثمار </w:t>
      </w:r>
    </w:p>
    <w:p>
      <w:pPr>
        <w:pStyle w:val="BookText"/>
        <w:rPr/>
      </w:pPr>
      <w:r>
        <w:rPr>
          <w:rFonts w:ascii="Amiri" w:hAnsi="Amiri" w:eastAsia="Amiri" w:cs="Amiri"/>
          <w:color w:val="111111"/>
          <w:sz w:val="28"/>
          <w:sz w:val="28"/>
          <w:szCs w:val="28"/>
          <w:rtl w:val="true"/>
          <w:lang w:bidi="ar-SA"/>
        </w:rPr>
        <w:t xml:space="preserve">للرخصة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أيضاً على خصوص من اُذن لهم في الآية ، أو علىٰ إرادة الذوق </w:t>
      </w:r>
      <w:r>
        <w:rPr>
          <w:rStyle w:val="FootnoteAnchor"/>
          <w:rtl w:val="true"/>
        </w:rPr>
        <w:footnoteReference w:id="1064"/>
      </w:r>
      <w:r>
        <w:rPr>
          <w:rFonts w:ascii="Amiri" w:hAnsi="Amiri" w:eastAsia="Amiri" w:cs="Amiri"/>
          <w:color w:val="111111"/>
          <w:sz w:val="28"/>
          <w:sz w:val="28"/>
          <w:szCs w:val="28"/>
          <w:rtl w:val="true"/>
          <w:lang w:bidi="ar-SA"/>
        </w:rPr>
        <w:t xml:space="preserve">، وهما بعيدان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فلا أقلّ من حصول الشكّ، فيرجع إلىٰ قاعدة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الأخبار علىٰ الاكتفاء بالمظنّة بالرخصة ، كاكتفاء الضيف بها في دخول الدار وأكل الطعام ، وكاستباحة النثار ، وغير ذلك ؛ قويّ كلّ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تجامع أخبار المارّة أحاديث التقبيل للشجر والنخيل</w:t>
      </w:r>
      <w:r>
        <w:rPr>
          <w:rStyle w:val="FootnoteAnchor"/>
          <w:rtl w:val="true"/>
        </w:rPr>
        <w:footnoteReference w:id="1065"/>
      </w:r>
      <w:r>
        <w:rPr>
          <w:rFonts w:ascii="Amiri" w:hAnsi="Amiri" w:eastAsia="Amiri" w:cs="Amiri"/>
          <w:color w:val="111111"/>
          <w:sz w:val="28"/>
          <w:sz w:val="28"/>
          <w:szCs w:val="28"/>
          <w:rtl w:val="true"/>
          <w:lang w:bidi="ar-SA"/>
        </w:rPr>
        <w:t xml:space="preserve">، وأخبار الخرص في الزكاة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النخلة ونحوها لأجل المارة</w:t>
      </w:r>
      <w:r>
        <w:rPr>
          <w:rStyle w:val="FootnoteAnchor"/>
          <w:rtl w:val="true"/>
        </w:rPr>
        <w:footnoteReference w:id="1067"/>
      </w:r>
      <w:r>
        <w:rPr>
          <w:rFonts w:ascii="Amiri" w:hAnsi="Amiri" w:eastAsia="Amiri" w:cs="Amiri"/>
          <w:color w:val="111111"/>
          <w:sz w:val="28"/>
          <w:sz w:val="28"/>
          <w:szCs w:val="28"/>
          <w:rtl w:val="true"/>
          <w:lang w:bidi="ar-SA"/>
        </w:rPr>
        <w:t xml:space="preserve">؟ ممّا يشهد بالتساهل في أمرها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الحيطان ، ووضع الأبواب، وعدم شيوع مثل هذا الأمر حتىٰ يبلغ التواتر ؛ شاهد علىٰ ما قررناه ، فلا وجه للقول بالجواز إلّا مع المظنّة المقرونة بالاطمئنان بالاذن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ذلك باختلاف المالك ، والسالك ، والبساتين، وسبل المسلمين </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w:t>
      </w:r>
      <w:r>
        <w:rPr>
          <w:rStyle w:val="FootnoteAnchor"/>
          <w:rtl w:val="true"/>
        </w:rPr>
        <w:footnoteReference w:id="1069"/>
      </w:r>
      <w:r>
        <w:rPr>
          <w:rFonts w:ascii="Amiri" w:hAnsi="Amiri" w:eastAsia="Amiri" w:cs="Amiri"/>
          <w:color w:val="111111"/>
          <w:sz w:val="28"/>
          <w:sz w:val="28"/>
          <w:szCs w:val="28"/>
          <w:rtl w:val="true"/>
          <w:lang w:bidi="ar-SA"/>
        </w:rPr>
        <w:t xml:space="preserve">ولا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الإفساد </w:t>
      </w:r>
      <w:r>
        <w:rPr>
          <w:rStyle w:val="FootnoteAnchor"/>
          <w:rtl w:val="true"/>
        </w:rPr>
        <w:footnoteReference w:id="1071"/>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حدّه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القصد يقف</w:t>
      </w:r>
      <w:r>
        <w:rPr>
          <w:rStyle w:val="FootnoteAnchor"/>
          <w:rtl w:val="true"/>
        </w:rPr>
        <w:footnoteReference w:id="1072"/>
      </w:r>
      <w:r>
        <w:rPr>
          <w:rFonts w:ascii="Amiri" w:hAnsi="Amiri" w:eastAsia="Amiri" w:cs="Amiri"/>
          <w:color w:val="111111"/>
          <w:sz w:val="28"/>
          <w:sz w:val="28"/>
          <w:szCs w:val="28"/>
          <w:rtl w:val="true"/>
          <w:lang w:bidi="ar-SA"/>
        </w:rPr>
        <w:t>الجواز عند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حصول الفساد من واحد أو من جماعة ، فلو أكلت المارّة حتىٰ قرب الفساد حرم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ترتب الفساد علىٰ المجموع اقترعوا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مع الفساد في الجملة ممّا يقضي به الأصل، والعقل ، والكتاب </w:t>
      </w:r>
      <w:r>
        <w:rPr>
          <w:rStyle w:val="FootnoteAnchor"/>
          <w:rtl w:val="true"/>
        </w:rPr>
        <w:footnoteReference w:id="1073"/>
      </w:r>
      <w:r>
        <w:rPr>
          <w:rFonts w:ascii="Amiri" w:hAnsi="Amiri" w:eastAsia="Amiri" w:cs="Amiri"/>
          <w:color w:val="111111"/>
          <w:sz w:val="28"/>
          <w:sz w:val="28"/>
          <w:szCs w:val="28"/>
          <w:rtl w:val="true"/>
          <w:lang w:bidi="ar-SA"/>
        </w:rPr>
        <w:t xml:space="preserve">، والسنّة </w:t>
      </w:r>
      <w:r>
        <w:rPr>
          <w:rStyle w:val="FootnoteAnchor"/>
          <w:rtl w:val="true"/>
        </w:rPr>
        <w:footnoteReference w:id="107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والإجماع محصّله ومنقوله </w:t>
      </w:r>
      <w:r>
        <w:rPr>
          <w:rStyle w:val="FootnoteAnchor"/>
          <w:rtl w:val="true"/>
        </w:rPr>
        <w:footnoteReference w:id="1075"/>
      </w:r>
      <w:r>
        <w:rPr>
          <w:rFonts w:ascii="IRNazanin" w:hAnsi="IRNazanin" w:eastAsia="IRNazanin"/>
          <w:color w:val="111111"/>
          <w:sz w:val="28"/>
          <w:sz w:val="28"/>
          <w:szCs w:val="28"/>
          <w:rtl w:val="true"/>
          <w:lang w:bidi="fa-IR"/>
        </w:rPr>
        <w:t>، وبعض أخبار الباب</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فرق بين الإفساد في الشجر والثمر ، وفي الجدران والسواقي والمساقي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ذلك تظهر قوّة التحريم ، لأنّ المارّ لا يعلم قدر الثمرة ابتداءً حتىٰ يعرف الفساد ، فربّما أكل من صاع هو بقيّة ألف صاع من حيث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ثبوت الضمان عليه مع العمد في الإفساد وبدونه ، وأجرة المثل لو مكث زائداً علىٰ مقدار ما يحتاج إليه في التناول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يتمكّن من الوصول إلىٰ الثمرة إلّا بآلة لم يجب علىٰ صاحبها الحمل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له استعمال الآلة بدون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يقتصر فی الأكل علىٰ أكله المعتاد علىٰ وفق المعتاد، فإنْ زاد ضمن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الخيار في اختيار أقسام الثمرة ولو عيّن المالك شيئاً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الإفساد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 والإجماع محصّله ومنقوله </w:t>
      </w:r>
      <w:r>
        <w:rPr>
          <w:rStyle w:val="FootnoteAnchor"/>
          <w:rtl w:val="true"/>
        </w:rPr>
        <w:footnoteReference w:id="1077"/>
      </w:r>
      <w:r>
        <w:rPr>
          <w:rFonts w:ascii="IRNazanin" w:hAnsi="IRNazanin" w:eastAsia="IRNazanin"/>
          <w:color w:val="111111"/>
          <w:sz w:val="28"/>
          <w:sz w:val="28"/>
          <w:szCs w:val="28"/>
          <w:rtl w:val="true"/>
          <w:lang w:bidi="fa-IR"/>
        </w:rPr>
        <w:t xml:space="preserve">، والأخبار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كون الثمرة علىٰ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w:t>
      </w:r>
      <w:r>
        <w:rPr>
          <w:rStyle w:val="FootnoteAnchor"/>
          <w:rtl w:val="true"/>
        </w:rPr>
        <w:footnoteReference w:id="1079"/>
      </w:r>
      <w:r>
        <w:rPr>
          <w:rFonts w:ascii="Amiri" w:hAnsi="Amiri" w:eastAsia="Amiri" w:cs="Amiri"/>
          <w:color w:val="111111"/>
          <w:sz w:val="28"/>
          <w:sz w:val="28"/>
          <w:szCs w:val="28"/>
          <w:rtl w:val="true"/>
          <w:lang w:bidi="ar-SA"/>
        </w:rPr>
        <w:t xml:space="preserve">اقتصاراً علىٰ المتيقّن ، وكون المارّ مسلماً حيث يكون المالك كذلك، إذ لا سبيل لغيره عليه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الإيمان مع المؤمن لا يخلو من وجه واشتراط أنْ لا يكون له ثمر متصل بثمر الغير ، وأنْ لا يكون حاملاً من جنسه ؛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عدم علم الكراهة </w:t>
      </w:r>
      <w:r>
        <w:rPr>
          <w:rStyle w:val="FootnoteAnchor"/>
          <w:rtl w:val="true"/>
        </w:rPr>
        <w:footnoteReference w:id="1081"/>
      </w:r>
      <w:r>
        <w:rPr>
          <w:rFonts w:ascii="Amiri" w:hAnsi="Amiri" w:eastAsia="Amiri" w:cs="Amiri"/>
          <w:color w:val="111111"/>
          <w:sz w:val="28"/>
          <w:sz w:val="28"/>
          <w:szCs w:val="28"/>
          <w:rtl w:val="true"/>
          <w:lang w:bidi="ar-SA"/>
        </w:rPr>
        <w:t xml:space="preserve">أو ظنّها </w:t>
      </w:r>
      <w:r>
        <w:rPr>
          <w:rStyle w:val="FootnoteAnchor"/>
          <w:rtl w:val="true"/>
        </w:rPr>
        <w:footnoteReference w:id="1082"/>
      </w:r>
      <w:r>
        <w:rPr>
          <w:rFonts w:ascii="IRNazanin" w:hAnsi="IRNazanin" w:eastAsia="IRNazanin"/>
          <w:color w:val="111111"/>
          <w:sz w:val="28"/>
          <w:sz w:val="28"/>
          <w:szCs w:val="28"/>
          <w:rtl w:val="true"/>
          <w:lang w:bidi="fa-IR"/>
        </w:rPr>
        <w:t xml:space="preserve">، وعدم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السور والباب </w:t>
      </w:r>
      <w:r>
        <w:rPr>
          <w:rStyle w:val="FootnoteAnchor"/>
          <w:rtl w:val="true"/>
        </w:rPr>
        <w:footnoteReference w:id="1083"/>
      </w:r>
      <w:r>
        <w:rPr>
          <w:rFonts w:ascii="Amiri" w:hAnsi="Amiri" w:eastAsia="Amiri" w:cs="Amiri"/>
          <w:color w:val="111111"/>
          <w:sz w:val="28"/>
          <w:sz w:val="28"/>
          <w:szCs w:val="28"/>
          <w:rtl w:val="true"/>
          <w:lang w:bidi="ar-SA"/>
        </w:rPr>
        <w:t xml:space="preserve">، ينافيه ما في بعض روايات الباب </w:t>
      </w:r>
      <w:r>
        <w:rPr>
          <w:rStyle w:val="FootnoteAnchor"/>
          <w:rtl w:val="true"/>
        </w:rPr>
        <w:footnoteReference w:id="1084"/>
      </w:r>
      <w:r>
        <w:rPr>
          <w:rFonts w:ascii="Amiri" w:hAnsi="Amiri" w:eastAsia="Amiri" w:cs="Amiri"/>
          <w:color w:val="111111"/>
          <w:sz w:val="28"/>
          <w:sz w:val="28"/>
          <w:szCs w:val="28"/>
          <w:rtl w:val="true"/>
          <w:lang w:bidi="ar-SA"/>
        </w:rPr>
        <w:t xml:space="preserve">، ولا محيص عن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يهب مارّاً ولا غيره، أو يجعله نائباً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أكلته المارّة حين تعلّق الزكاة أو الخمس جار على الجميع ، فلاشيء للفقراء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حقّ المارّة ممّا يجوز نقله بصلح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استناب أحداً التناول له جاز </w:t>
      </w:r>
      <w:r>
        <w:rPr>
          <w:rStyle w:val="FootnoteAnchor"/>
          <w:rtl w:val="true"/>
        </w:rPr>
        <w:footnoteReference w:id="10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المالك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من غير تعيين ولو مع فقد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ثمن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واجبه وندبه ، إذْ لا يجب بذله للميت حيث لا يكون له شيء ، كغيره من الأمور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والندب وسدره وكافوره ، وأجرة العمل غير الواجب كالتكفين بالقطع المسنونة ، وحفر القبر زائداً على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المشيعيّن له إلى قبره الزائدين على ما يتوقّف عليهم نقله الواجب ، أو خصوص المتقدمين عليه</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عملوا </w:t>
      </w:r>
      <w:bookmarkStart w:id="303" w:name="pg20243_272268"/>
    </w:p>
    <w:p>
      <w:pPr>
        <w:pStyle w:val="BookText"/>
        <w:rPr/>
      </w:pPr>
      <w:bookmarkEnd w:id="303"/>
      <w:r>
        <w:rPr>
          <w:rFonts w:ascii="Amiri" w:hAnsi="Amiri" w:eastAsia="Amiri" w:cs="Amiri"/>
          <w:color w:val="111111"/>
          <w:sz w:val="28"/>
          <w:sz w:val="28"/>
          <w:szCs w:val="28"/>
          <w:rtl w:val="true"/>
          <w:lang w:bidi="ar-SA"/>
        </w:rPr>
        <w:t>من غير طلب كانوا متبرّعين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الطلب ؛ الاُجرة عليه ، إلّا إذا قامت قرينة إرادة التبرّع ، كما في هذه الأوقات في أكثر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بالبذرقة ظاهرها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 القوافل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أنسب بالمقام</w:t>
      </w:r>
      <w:r>
        <w:rPr>
          <w:rStyle w:val="FootnoteAnchor"/>
          <w:rtl w:val="true"/>
        </w:rPr>
        <w:footnoteReference w:id="1089"/>
      </w:r>
    </w:p>
    <w:p>
      <w:pPr>
        <w:pStyle w:val="Heading2"/>
        <w:numPr>
          <w:ilvl w:val="1"/>
          <w:numId w:val="1"/>
        </w:numPr>
        <w:rPr/>
      </w:pPr>
      <w:bookmarkStart w:id="304" w:name="__RefHeading___Toc5284992_2320776876"/>
      <w:bookmarkStart w:id="305" w:name="_Toc107"/>
      <w:bookmarkEnd w:id="304"/>
      <w:r>
        <w:rPr>
          <w:rtl w:val="true"/>
        </w:rPr>
        <w:t>الحادی عشر حکم أخذ الرجل من مال ولده</w:t>
      </w:r>
      <w:bookmarkEnd w:id="305"/>
    </w:p>
    <w:p>
      <w:pPr>
        <w:pStyle w:val="Heading3"/>
        <w:numPr>
          <w:ilvl w:val="2"/>
          <w:numId w:val="1"/>
        </w:numPr>
        <w:rPr/>
      </w:pPr>
      <w:bookmarkStart w:id="306" w:name="__RefHeading___Toc5284994_2320776876"/>
      <w:bookmarkStart w:id="307" w:name="_Toc108"/>
      <w:bookmarkEnd w:id="306"/>
      <w:r>
        <w:rPr>
          <w:rtl w:val="true"/>
        </w:rPr>
        <w:t>اشارة</w:t>
      </w:r>
      <w:bookmarkEnd w:id="30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أباً وإنّ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من مال ولده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ولاية له عليه وإنْ 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المستثنىٰ بالآية </w:t>
      </w:r>
      <w:r>
        <w:rPr>
          <w:rStyle w:val="FootnoteAnchor"/>
          <w:rtl w:val="true"/>
        </w:rPr>
        <w:footnoteReference w:id="1090"/>
      </w:r>
      <w:r>
        <w:rPr>
          <w:rFonts w:ascii="Amiri" w:hAnsi="Amiri" w:eastAsia="Amiri" w:cs="Amiri"/>
          <w:color w:val="111111"/>
          <w:sz w:val="28"/>
          <w:sz w:val="28"/>
          <w:szCs w:val="28"/>
          <w:rtl w:val="true"/>
          <w:lang w:bidi="ar-SA"/>
        </w:rPr>
        <w:t xml:space="preserve">، ودليل المارّة لو قلنا به،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أو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الضرورة المخوف معها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المبيحة لأخذ مال الغير من غير إذنه ؛ للأصل ، وقضاء العقل ، والنقل ، من كتاب </w:t>
      </w:r>
      <w:r>
        <w:rPr>
          <w:rStyle w:val="FootnoteAnchor"/>
          <w:rtl w:val="true"/>
        </w:rPr>
        <w:footnoteReference w:id="1091"/>
      </w:r>
      <w:r>
        <w:rPr>
          <w:rFonts w:ascii="Amiri" w:hAnsi="Amiri" w:eastAsia="Amiri" w:cs="Amiri"/>
          <w:color w:val="111111"/>
          <w:sz w:val="28"/>
          <w:sz w:val="28"/>
          <w:szCs w:val="28"/>
          <w:rtl w:val="true"/>
          <w:lang w:bidi="ar-SA"/>
        </w:rPr>
        <w:t xml:space="preserve">وسنّة </w:t>
      </w:r>
      <w:r>
        <w:rPr>
          <w:rStyle w:val="FootnoteAnchor"/>
          <w:rtl w:val="true"/>
        </w:rPr>
        <w:footnoteReference w:id="1092"/>
      </w:r>
      <w:r>
        <w:rPr>
          <w:rFonts w:ascii="IRNazanin" w:hAnsi="IRNazanin" w:eastAsia="IRNazanin"/>
          <w:color w:val="111111"/>
          <w:sz w:val="28"/>
          <w:sz w:val="28"/>
          <w:szCs w:val="28"/>
          <w:rtl w:val="true"/>
          <w:lang w:bidi="fa-IR"/>
        </w:rPr>
        <w:t xml:space="preserve">وإجماع محصّل ومنقول </w:t>
      </w:r>
      <w:r>
        <w:rPr>
          <w:rStyle w:val="FootnoteAnchor"/>
          <w:rtl w:val="true"/>
        </w:rPr>
        <w:footnoteReference w:id="1093"/>
      </w:r>
      <w:r>
        <w:rPr>
          <w:rFonts w:ascii="Amiri" w:hAnsi="Amiri" w:eastAsia="Amiri" w:cs="Amiri"/>
          <w:color w:val="111111"/>
          <w:sz w:val="28"/>
          <w:sz w:val="28"/>
          <w:szCs w:val="28"/>
          <w:rtl w:val="true"/>
          <w:lang w:bidi="ar-SA"/>
        </w:rPr>
        <w:t xml:space="preserve">، بحرمة التصرّف بمال الغير،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وللإجماع بقسميه هنا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وندرة المخالف </w:t>
      </w:r>
      <w:r>
        <w:rPr>
          <w:rStyle w:val="FootnoteAnchor"/>
          <w:rtl w:val="true"/>
        </w:rPr>
        <w:footnoteReference w:id="1095"/>
      </w:r>
      <w:r>
        <w:rPr>
          <w:rFonts w:ascii="Amiri" w:hAnsi="Amiri" w:eastAsia="Amiri" w:cs="Amiri"/>
          <w:color w:val="111111"/>
          <w:sz w:val="28"/>
          <w:sz w:val="28"/>
          <w:szCs w:val="28"/>
          <w:rtl w:val="true"/>
          <w:lang w:bidi="ar-SA"/>
        </w:rPr>
        <w:t xml:space="preserve">مع مسبوقيته به وملحوقيته له ؛ لا تنافيه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في الباب </w:t>
      </w:r>
      <w:r>
        <w:rPr>
          <w:rStyle w:val="FootnoteAnchor"/>
          <w:rtl w:val="true"/>
        </w:rPr>
        <w:footnoteReference w:id="1096"/>
      </w:r>
      <w:r>
        <w:rPr>
          <w:rFonts w:ascii="IRNazanin" w:hAnsi="IRNazanin" w:eastAsia="IRNazanin"/>
          <w:color w:val="111111"/>
          <w:sz w:val="28"/>
          <w:sz w:val="28"/>
          <w:szCs w:val="28"/>
          <w:rtl w:val="true"/>
          <w:lang w:bidi="fa-IR"/>
        </w:rPr>
        <w:t xml:space="preserve">، فلا وجه للقول بالجواز مطلقاً </w:t>
      </w:r>
      <w:r>
        <w:rPr>
          <w:rStyle w:val="FootnoteAnchor"/>
          <w:rtl w:val="true"/>
        </w:rPr>
        <w:footnoteReference w:id="1097"/>
      </w:r>
      <w:r>
        <w:rPr>
          <w:rFonts w:ascii="Amiri" w:hAnsi="Amiri" w:eastAsia="Amiri" w:cs="Amiri"/>
          <w:color w:val="111111"/>
          <w:sz w:val="28"/>
          <w:sz w:val="28"/>
          <w:szCs w:val="28"/>
          <w:rtl w:val="true"/>
          <w:lang w:bidi="ar-SA"/>
        </w:rPr>
        <w:t xml:space="preserve">، أو في خصوص حجّ الإسلام </w:t>
      </w:r>
      <w:r>
        <w:rPr>
          <w:rStyle w:val="FootnoteAnchor"/>
          <w:rtl w:val="true"/>
        </w:rPr>
        <w:footnoteReference w:id="1098"/>
      </w:r>
      <w:r>
        <w:rPr>
          <w:rFonts w:ascii="Amiri" w:hAnsi="Amiri" w:eastAsia="Amiri" w:cs="Amiri"/>
          <w:color w:val="111111"/>
          <w:sz w:val="28"/>
          <w:sz w:val="28"/>
          <w:szCs w:val="28"/>
          <w:rtl w:val="true"/>
          <w:lang w:bidi="ar-SA"/>
        </w:rPr>
        <w:t xml:space="preserve">، أو وطء الجارية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المقامات </w:t>
      </w:r>
    </w:p>
    <w:p>
      <w:pPr>
        <w:pStyle w:val="BookText"/>
        <w:rPr/>
      </w:pPr>
      <w:r>
        <w:rPr>
          <w:rFonts w:ascii="Amiri" w:hAnsi="Amiri" w:eastAsia="Amiri" w:cs="Amiri"/>
          <w:color w:val="111111"/>
          <w:sz w:val="28"/>
          <w:sz w:val="28"/>
          <w:szCs w:val="28"/>
          <w:rtl w:val="true"/>
          <w:lang w:bidi="ar-SA"/>
        </w:rPr>
        <w:t xml:space="preserve">الثلاثة </w:t>
      </w:r>
      <w:r>
        <w:rPr>
          <w:rStyle w:val="FootnoteAnchor"/>
          <w:rtl w:val="true"/>
        </w:rPr>
        <w:footnoteReference w:id="1100"/>
      </w:r>
      <w:r>
        <w:rPr>
          <w:rFonts w:ascii="Amiri" w:hAnsi="Amiri" w:eastAsia="Amiri" w:cs="Amiri"/>
          <w:color w:val="111111"/>
          <w:sz w:val="28"/>
          <w:sz w:val="28"/>
          <w:szCs w:val="28"/>
          <w:rtl w:val="true"/>
          <w:lang w:bidi="ar-SA"/>
        </w:rPr>
        <w:t xml:space="preserve">لا تنهض في هدم تلك القاعدة المحكمة المتقنة ، علىٰ أنّها معارضة بما مرّ </w:t>
      </w:r>
      <w:r>
        <w:rPr>
          <w:rStyle w:val="FootnoteAnchor"/>
          <w:rtl w:val="true"/>
        </w:rPr>
        <w:footnoteReference w:id="1101"/>
      </w:r>
      <w:r>
        <w:rPr>
          <w:rFonts w:ascii="Amiri" w:hAnsi="Amiri" w:eastAsia="Amiri" w:cs="Amiri"/>
          <w:color w:val="111111"/>
          <w:sz w:val="28"/>
          <w:sz w:val="28"/>
          <w:szCs w:val="28"/>
          <w:rtl w:val="true"/>
          <w:lang w:bidi="ar-SA"/>
        </w:rPr>
        <w:t xml:space="preserve">، مخالفة لمذهب الخاصّة </w:t>
      </w:r>
      <w:r>
        <w:rPr>
          <w:rStyle w:val="FootnoteAnchor"/>
          <w:rtl w:val="true"/>
        </w:rPr>
        <w:footnoteReference w:id="1102"/>
      </w:r>
      <w:r>
        <w:rPr>
          <w:rFonts w:ascii="Amiri" w:hAnsi="Amiri" w:eastAsia="Amiri" w:cs="Amiri"/>
          <w:color w:val="111111"/>
          <w:sz w:val="28"/>
          <w:sz w:val="28"/>
          <w:szCs w:val="28"/>
          <w:rtl w:val="true"/>
          <w:lang w:bidi="ar-SA"/>
        </w:rPr>
        <w:t xml:space="preserve">، موافقة للعامّة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علىٰ الولد مطلقاً ، لأنه من كسب أبيه ، وهو سبب وجوده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حمل المحدّث البحراني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eastAsia="IRNazanin" w:cs="IRNazanin"/>
          <w:color w:val="111111"/>
          <w:sz w:val="28"/>
          <w:szCs w:val="28"/>
          <w:lang w:bidi="fa-IR"/>
        </w:rPr>
        <w:t>280/18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الأخبار المجوّزة علىٰ التقيّة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ويشير إلىٰ ما ذكرناه من الحمل المذكور الخبر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في الصحيح ، عن أبي حمزة الثمالي ،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لرجل أنت ومالك لأبيك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يأخذ من مال ابنه إلّا ما احتاج إليه ممّا لابدّ منه، إنّ اللّٰه عزّ وجل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انّه علیه السلام بعد أن نقل الخبر النبوى الدال علىٰ الحكم المذكور أضرب عنه تنبيهاً وإشارة إلىٰ عدم صحته ، وإلّا فكيف ينقله وهو صحيح عنده ثم يخالفه ويسمّيٰ ذلك فساداً وإنّ اللّٰه لا يحب الفساد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ولكن قال الشيخ الطوسي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كان لولده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أنّه يجب عليه الحج ، ويأخذ منه قدر كفايته ، ويحج به ، وليس للابن الامتناع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جميع الفقهاء في ذلك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والمراد فقهاء العامّة ، وإذا صحّت هذه النسبة فما ورد في خصوص الحجّ لا يكون موافقاً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احتج عليهم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وأيضاً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أنّ ملك الأبن مال الأب ، وإذا كان له فقد وجد الاستطاعة ، فوجب عليه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واحتجاجه عليهم بهذا دليل على عملهم بهذا الحديث وتجويزهم أخذ الوالد من مال ولده مطلقاً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طرحها </w:t>
      </w:r>
      <w:r>
        <w:rPr>
          <w:rStyle w:val="FootnoteAnchor"/>
          <w:rtl w:val="true"/>
        </w:rPr>
        <w:footnoteReference w:id="1104"/>
      </w:r>
      <w:r>
        <w:rPr>
          <w:rFonts w:ascii="Amiri" w:hAnsi="Amiri" w:eastAsia="Amiri" w:cs="Amiri"/>
          <w:color w:val="111111"/>
          <w:sz w:val="28"/>
          <w:sz w:val="28"/>
          <w:szCs w:val="28"/>
          <w:rtl w:val="true"/>
          <w:lang w:bidi="ar-SA"/>
        </w:rPr>
        <w:t xml:space="preserve">، أو تأويلها في بعض أحادها علىٰ حال الاضطرار ، وفي بعضٍ علىٰ حال وجوب النفقة ، وفي بعضٍ علىٰ الأخذ قرضاً من مال الطفل ، وفى بعضٍ علىٰ الاستحباب في حقّ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الإذن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على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التمييز عن الولد والأمّ لبعض تلك الوجوه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النبوي ، الذي هو المدار لأكثر هذه الأخبار </w:t>
      </w:r>
      <w:r>
        <w:rPr>
          <w:rStyle w:val="FootnoteAnchor"/>
          <w:rtl w:val="true"/>
        </w:rPr>
        <w:footnoteReference w:id="1106"/>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مصروف عن حقيقته قطعاً، مع أنّه ورد فيه أنّه قضية في واقعة </w:t>
      </w:r>
      <w:r>
        <w:rPr>
          <w:rStyle w:val="FootnoteAnchor"/>
          <w:rtl w:val="true"/>
        </w:rPr>
        <w:footnoteReference w:id="1107"/>
      </w:r>
      <w:r>
        <w:rPr>
          <w:rFonts w:ascii="Amiri" w:hAnsi="Amiri" w:eastAsia="Amiri" w:cs="Amiri"/>
          <w:color w:val="111111"/>
          <w:sz w:val="28"/>
          <w:sz w:val="28"/>
          <w:szCs w:val="28"/>
          <w:rtl w:val="true"/>
          <w:lang w:bidi="ar-SA"/>
        </w:rPr>
        <w:t xml:space="preserve">وإنّما يحرم علىٰ الأب وكلّ واجب النفقة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فقيراً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إنفاق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يكفيه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بدونه فيتصرّف بمقدار ما يلزم له من النفقة مستقلاً إن كان وليّاً ، أو مع الإذن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 الرجوع إليه ، أو إلى مَن قام مقامه ؛ يتصرّف من غير ولاية ولا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بعدم التوقّف علىٰ الإذن في خصوص الأب مطلقاً، لظاهر الأخبار </w:t>
      </w:r>
      <w:r>
        <w:rPr>
          <w:rStyle w:val="FootnoteAnchor"/>
          <w:rtl w:val="true"/>
        </w:rPr>
        <w:footnoteReference w:id="1108"/>
      </w:r>
      <w:r>
        <w:rPr>
          <w:rFonts w:ascii="Amiri" w:hAnsi="Amiri" w:eastAsia="Amiri" w:cs="Amiri"/>
          <w:color w:val="111111"/>
          <w:sz w:val="28"/>
          <w:sz w:val="28"/>
          <w:szCs w:val="28"/>
          <w:rtl w:val="true"/>
          <w:lang w:bidi="ar-SA"/>
        </w:rPr>
        <w:t xml:space="preserve">كان قويّاً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صغيراً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تجدد جنونه بعد البلوغ علىٰ رأي </w:t>
      </w:r>
      <w:r>
        <w:rPr>
          <w:rStyle w:val="FootnoteAnchor"/>
          <w:rtl w:val="true"/>
        </w:rPr>
        <w:footnoteReference w:id="1109"/>
      </w:r>
      <w:r>
        <w:rPr>
          <w:rFonts w:ascii="IRNazanin" w:hAnsi="IRNazanin" w:eastAsia="IRNazanin"/>
          <w:color w:val="111111"/>
          <w:sz w:val="28"/>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سفيها مستصحب السفاهة من الصغر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فالولاية له ، فله الاقتراض مع العسر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الأكثر </w:t>
      </w:r>
      <w:r>
        <w:rPr>
          <w:rStyle w:val="FootnoteAnchor"/>
          <w:rtl w:val="true"/>
        </w:rPr>
        <w:footnoteReference w:id="1111"/>
      </w:r>
      <w:r>
        <w:rPr>
          <w:rFonts w:ascii="Amiri" w:hAnsi="Amiri" w:eastAsia="Amiri" w:cs="Amiri"/>
          <w:color w:val="111111"/>
          <w:sz w:val="28"/>
          <w:sz w:val="28"/>
          <w:szCs w:val="28"/>
          <w:rtl w:val="true"/>
          <w:lang w:bidi="ar-SA"/>
        </w:rPr>
        <w:t xml:space="preserve">، ودلّت عليه الأخبار </w:t>
      </w:r>
      <w:r>
        <w:rPr>
          <w:rStyle w:val="FootnoteAnchor"/>
          <w:rtl w:val="true"/>
        </w:rPr>
        <w:footnoteReference w:id="1112"/>
      </w:r>
      <w:r>
        <w:rPr>
          <w:rFonts w:ascii="Amiri" w:hAnsi="Amiri" w:eastAsia="Amiri" w:cs="Amiri"/>
          <w:color w:val="111111"/>
          <w:sz w:val="28"/>
          <w:sz w:val="28"/>
          <w:szCs w:val="28"/>
          <w:rtl w:val="true"/>
          <w:lang w:bidi="ar-SA"/>
        </w:rPr>
        <w:t xml:space="preserve">بإطلاقها ، ولما يظهر منها من أنّ للأب امتيازاً عن باقي الأولياء ، وشراء الجارية نسيئة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نوع من القرض، والقرض لحجّة الإسلام </w:t>
      </w:r>
      <w:r>
        <w:rPr>
          <w:rStyle w:val="FootnoteAnchor"/>
          <w:rtl w:val="true"/>
        </w:rPr>
        <w:footnoteReference w:id="1114"/>
      </w:r>
      <w:r>
        <w:rPr>
          <w:rFonts w:ascii="Amiri" w:hAnsi="Amiri" w:eastAsia="Amiri" w:cs="Amiri"/>
          <w:color w:val="111111"/>
          <w:sz w:val="28"/>
          <w:sz w:val="28"/>
          <w:szCs w:val="28"/>
          <w:rtl w:val="true"/>
          <w:lang w:bidi="ar-SA"/>
        </w:rPr>
        <w:t xml:space="preserve">كغيره من آحاد القرض ، والمناط في المقام منقّح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 أن يشترى من مال ولده الصغير لنفسه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الأولياء في حقّ مَن لهم عليهم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الولاية، مع عموم العقود ، مع الإجماع في خصوص المقام محصّلاً ومنقولاً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يقوّم جاريته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المثل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ويطأها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بلفظ التقويم أو معناه ، أو آتياً بلفظ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تجويز المعاطاة وكونها مملّكة يسهل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علىٰ مراعاة صلاح الطفل ، بل يكفي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تفترق ولاية الآباء عن ولاية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الإعلان كما في الأخبار</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المانع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ما لم يتضمّن فساداً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وللأب المعسر التناول من مال ولده المؤسر قدر 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استئذان أحد إنْ كان صغيراً وله عليه ولاية ، وإنْ لم يكن له ولاية استأذن من البالغ أو الولي علىٰ الأصل، فإنْ لم يمكن أخذ من دون رجوع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الأخذ مستقلاًّ مطلقاً ، لظاهر الأخبار </w:t>
      </w:r>
      <w:r>
        <w:rPr>
          <w:rStyle w:val="FootnoteAnchor"/>
          <w:rtl w:val="true"/>
        </w:rPr>
        <w:footnoteReference w:id="1117"/>
      </w:r>
      <w:r>
        <w:rPr>
          <w:rFonts w:ascii="Amiri" w:hAnsi="Amiri" w:eastAsia="Amiri" w:cs="Amiri"/>
          <w:color w:val="111111"/>
          <w:sz w:val="28"/>
          <w:sz w:val="28"/>
          <w:szCs w:val="28"/>
          <w:rtl w:val="true"/>
          <w:lang w:bidi="ar-SA"/>
        </w:rPr>
        <w:t xml:space="preserve">، كان قوياً </w:t>
      </w:r>
      <w:bookmarkStart w:id="308" w:name="pg20243_272275"/>
    </w:p>
    <w:p>
      <w:pPr>
        <w:pStyle w:val="Heading3"/>
        <w:numPr>
          <w:ilvl w:val="2"/>
          <w:numId w:val="1"/>
        </w:numPr>
        <w:rPr/>
      </w:pPr>
      <w:bookmarkStart w:id="309" w:name="__RefHeading___Toc5284996_2320776876"/>
      <w:bookmarkStart w:id="310" w:name="_Toc109"/>
      <w:bookmarkEnd w:id="308"/>
      <w:bookmarkEnd w:id="309"/>
      <w:r>
        <w:rPr>
          <w:rtl w:val="true"/>
        </w:rPr>
        <w:t>حکم أخذ الولد من مال والده</w:t>
      </w:r>
      <w:bookmarkEnd w:id="310"/>
    </w:p>
    <w:p>
      <w:pPr>
        <w:pStyle w:val="BookText"/>
        <w:rPr/>
      </w:pP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الولد أن يأخذ من مال والده شيئاً إلّا بإذنه ، ويحرم علىٰ الاُمّ أن تأخذ من مال ولدها شيئاً ، وبالعكس ، 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يوجب لهم الاحتياج نفقة، ولم يدخلوا تحت الآية </w:t>
      </w:r>
      <w:r>
        <w:rPr>
          <w:rStyle w:val="FootnoteAnchor"/>
          <w:rtl w:val="true"/>
        </w:rPr>
        <w:footnoteReference w:id="1118"/>
      </w:r>
      <w:r>
        <w:rPr>
          <w:rFonts w:ascii="Amiri" w:hAnsi="Amiri" w:eastAsia="Amiri" w:cs="Amiri"/>
          <w:color w:val="111111"/>
          <w:sz w:val="28"/>
          <w:sz w:val="28"/>
          <w:szCs w:val="28"/>
          <w:rtl w:val="true"/>
          <w:lang w:bidi="ar-SA"/>
        </w:rPr>
        <w:t>، فحالهم كحال الأجانب ، لا يأخذون إلّا مع الضرورة قرضاً مع الإذن مع إمكانها ، وبدونها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 الرجوع إلى الحاكم يقوىٰ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أنْ تقترض من مال ولدها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وصيّةً عن وليّه ، فضلاً عن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للولد أنْ يقترض من مال والديه ، وحالهما كحال الأجانب</w:t>
      </w:r>
    </w:p>
    <w:p>
      <w:pPr>
        <w:pStyle w:val="Heading3"/>
        <w:numPr>
          <w:ilvl w:val="2"/>
          <w:numId w:val="1"/>
        </w:numPr>
        <w:rPr/>
      </w:pPr>
      <w:bookmarkStart w:id="311" w:name="__RefHeading___Toc5284998_2320776876"/>
      <w:bookmarkStart w:id="312" w:name="_Toc110"/>
      <w:bookmarkEnd w:id="311"/>
      <w:r>
        <w:rPr>
          <w:rtl w:val="true"/>
        </w:rPr>
        <w:t>حکم أخذ الزوجة من مال زوجها</w:t>
      </w:r>
      <w:bookmarkEnd w:id="31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فضلاً عن المتمتّع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تأخذ من مال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نفقتها لو وجبت وامتنع عن إيصالها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نصّاً أو 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تنقله أو منفعته بأحد النواقل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الأجانب ، للقاعدة المحكمة، والأصول المتقنة، وللإجماع محصّله ومنقوله </w:t>
      </w:r>
      <w:r>
        <w:rPr>
          <w:rStyle w:val="FootnoteAnchor"/>
          <w:rtl w:val="true"/>
        </w:rPr>
        <w:footnoteReference w:id="1119"/>
      </w:r>
      <w:r>
        <w:rPr>
          <w:rFonts w:ascii="Amiri" w:hAnsi="Amiri" w:eastAsia="Amiri" w:cs="Amiri"/>
          <w:color w:val="111111"/>
          <w:sz w:val="28"/>
          <w:sz w:val="28"/>
          <w:szCs w:val="28"/>
          <w:rtl w:val="true"/>
          <w:lang w:bidi="ar-SA"/>
        </w:rPr>
        <w:t xml:space="preserve">، والروايات الدالّة بالعموم </w:t>
      </w:r>
      <w:r>
        <w:rPr>
          <w:rStyle w:val="FootnoteAnchor"/>
          <w:rtl w:val="true"/>
        </w:rPr>
        <w:footnoteReference w:id="1120"/>
      </w:r>
      <w:r>
        <w:rPr>
          <w:rFonts w:ascii="IRNazanin" w:hAnsi="IRNazanin" w:eastAsia="IRNazanin"/>
          <w:color w:val="111111"/>
          <w:sz w:val="28"/>
          <w:sz w:val="28"/>
          <w:szCs w:val="28"/>
          <w:rtl w:val="true"/>
          <w:lang w:bidi="fa-IR"/>
        </w:rPr>
        <w:t xml:space="preserve">والخصوص </w:t>
      </w:r>
      <w:r>
        <w:rPr>
          <w:rStyle w:val="FootnoteAnchor"/>
          <w:rtl w:val="true"/>
        </w:rPr>
        <w:footnoteReference w:id="1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لها أنْ تأخذ 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ملح أو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الخلّ والدهن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وترددوا في الخبز والفاكهة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الاقتصار علىٰ محلّ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الحال </w:t>
      </w:r>
    </w:p>
    <w:p>
      <w:pPr>
        <w:pStyle w:val="BookText"/>
        <w:rPr/>
      </w:pPr>
      <w:r>
        <w:rPr>
          <w:rFonts w:ascii="Amiri" w:hAnsi="Amiri" w:eastAsia="Amiri" w:cs="Amiri"/>
          <w:color w:val="111111"/>
          <w:sz w:val="28"/>
          <w:sz w:val="28"/>
          <w:szCs w:val="28"/>
          <w:rtl w:val="true"/>
          <w:lang w:bidi="ar-SA"/>
        </w:rPr>
        <w:t xml:space="preserve">باختلاف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في الزوجة علىٰ الدائمة ، المدخول بها ، المتوجهة لأمر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حقّ الزوجية هنا المطلّقة الرجعية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الجواز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آتية بشرائط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الإجحاف باختلاف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اشتراط كونه يسيراً كما صرّح به الأصحاب </w:t>
      </w:r>
      <w:r>
        <w:rPr>
          <w:rStyle w:val="FootnoteAnchor"/>
          <w:rtl w:val="true"/>
        </w:rPr>
        <w:footnoteReference w:id="1124"/>
      </w:r>
      <w:r>
        <w:rPr>
          <w:rFonts w:ascii="Amiri" w:hAnsi="Amiri" w:eastAsia="Amiri" w:cs="Amiri"/>
          <w:color w:val="111111"/>
          <w:sz w:val="28"/>
          <w:sz w:val="28"/>
          <w:szCs w:val="28"/>
          <w:rtl w:val="true"/>
          <w:lang w:bidi="ar-SA"/>
        </w:rPr>
        <w:t xml:space="preserve">، وأنْ لا يكون ذا قيمة لا يعتاد إعطاؤه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بمنعه بقرينة الحال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فيما خالف القاعدة المحكمة المتقنة والأدلّة العامة والخاصة علىٰ المتيقّن بالإجماع </w:t>
      </w:r>
      <w:r>
        <w:rPr>
          <w:rStyle w:val="FootnoteAnchor"/>
          <w:rtl w:val="true"/>
        </w:rPr>
        <w:footnoteReference w:id="1125"/>
      </w:r>
      <w:r>
        <w:rPr>
          <w:rFonts w:ascii="Amiri" w:hAnsi="Amiri" w:eastAsia="Amiri" w:cs="Amiri"/>
          <w:color w:val="111111"/>
          <w:sz w:val="28"/>
          <w:sz w:val="28"/>
          <w:szCs w:val="28"/>
          <w:rtl w:val="true"/>
          <w:lang w:bidi="ar-SA"/>
        </w:rPr>
        <w:t xml:space="preserve">والرواية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للبنت ، ولا للأخت ، ولا للأمّ ، ولا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لسائر الأرحام ، والمحارم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فضلاً عن غيره ، ما لم يدخل في صريح الآية </w:t>
      </w:r>
      <w:r>
        <w:rPr>
          <w:rStyle w:val="FootnoteAnchor"/>
          <w:rtl w:val="true"/>
        </w:rPr>
        <w:footnoteReference w:id="1127"/>
      </w:r>
      <w:r>
        <w:rPr>
          <w:rFonts w:ascii="Amiri" w:hAnsi="Amiri" w:eastAsia="Amiri" w:cs="Amiri"/>
          <w:color w:val="111111"/>
          <w:sz w:val="28"/>
          <w:sz w:val="28"/>
          <w:szCs w:val="28"/>
          <w:rtl w:val="true"/>
          <w:lang w:bidi="ar-SA"/>
        </w:rPr>
        <w:t xml:space="preserve">أو متناولها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أو مقالية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من مال زوجته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أو بشهادة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دفعت إليه مالاً لينتفع به ، كره 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يقترضه لنفسه أو يتملّكه بوجه 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به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يتملّكها بوجه آخر ، قاصداً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يدفعه عن ثمنها ، أو يجعله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صداقاً لزوجته ، أو جُعلاً علىٰ تحصيلها ، ونحو ذلك ؛ أو يدفعه عوضاً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والغالب أنّ إطلاق الإذن منها يشهد الحال بأنّه مقيّد بغير هذا القسم من الانتفاع ، فيحرم إذَنْ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ما دلّ علىٰ التحريم عند الإطلاق</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صريح الإذن وإنْ جوّز ذلك ، إلا أنّه لا يبعد بقاء الكراهة لمنافاة ذلك حسن الوفاء وجزاء الإحسان </w:t>
      </w:r>
      <w:r>
        <w:rPr>
          <w:rStyle w:val="FootnoteAnchor"/>
          <w:rtl w:val="true"/>
        </w:rPr>
        <w:footnoteReference w:id="1130"/>
      </w:r>
      <w:r>
        <w:rPr>
          <w:rFonts w:ascii="Amiri" w:hAnsi="Amiri" w:eastAsia="Amiri" w:cs="Amiri"/>
          <w:color w:val="111111"/>
          <w:sz w:val="28"/>
          <w:sz w:val="28"/>
          <w:szCs w:val="28"/>
          <w:rtl w:val="true"/>
          <w:lang w:bidi="ar-SA"/>
        </w:rPr>
        <w:t xml:space="preserve">، إلّا أنْ يعلم طيب نفسها ، وأنّىٰ له بذلك </w:t>
      </w:r>
      <w:bookmarkStart w:id="313" w:name="pg20243_272278"/>
    </w:p>
    <w:p>
      <w:pPr>
        <w:pStyle w:val="Heading2"/>
        <w:numPr>
          <w:ilvl w:val="1"/>
          <w:numId w:val="1"/>
        </w:numPr>
        <w:rPr/>
      </w:pPr>
      <w:bookmarkStart w:id="314" w:name="__RefHeading___Toc5285000_2320776876"/>
      <w:bookmarkStart w:id="315" w:name="_Toc111"/>
      <w:bookmarkEnd w:id="313"/>
      <w:bookmarkEnd w:id="314"/>
      <w:r>
        <w:rPr>
          <w:rtl w:val="true"/>
        </w:rPr>
        <w:t>الفصل الثانی في الآداب</w:t>
      </w:r>
      <w:bookmarkEnd w:id="315"/>
    </w:p>
    <w:p>
      <w:pPr>
        <w:pStyle w:val="Heading3"/>
        <w:numPr>
          <w:ilvl w:val="2"/>
          <w:numId w:val="1"/>
        </w:numPr>
        <w:rPr/>
      </w:pPr>
      <w:bookmarkStart w:id="316" w:name="__RefHeading___Toc5285002_2320776876"/>
      <w:bookmarkStart w:id="317" w:name="_Toc112"/>
      <w:bookmarkEnd w:id="316"/>
      <w:r>
        <w:rPr>
          <w:rtl w:val="true"/>
        </w:rPr>
        <w:t>مایستحب لطالب التجارة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لطالب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صنعة أصيلاً أو وكيلاً</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الاستحباب الأصلي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يتفقّه فيها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ويتعرّف شرائطها وموانعها ، ويطلّع علىٰ ظواهرها وبواطنها ، باجتهاد أو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عمل علىٰ العادة في غير موضع الشكّ لاطمئنانه بشرعيّته ؛ لم يكن عليه شيء ، كما في العبادات والمباحات ، فلو ظهر الخلاف جاء بما لزمه ، 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ارتطم في الربا ثمّ ارتطم</w:t>
      </w:r>
      <w:r>
        <w:rPr>
          <w:rFonts w:eastAsia="IRNazanin" w:cs="IRNazanin"/>
          <w:color w:val="111111"/>
          <w:sz w:val="28"/>
          <w:szCs w:val="28"/>
          <w:rtl w:val="true"/>
          <w:lang w:bidi="fa-IR"/>
        </w:rPr>
        <w:t xml:space="preserve">»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الشكّ يجوز له الدخول في المعاملة، والاستمرار علىٰ العبادة مع طروه بعد الشروع فيها لا قبله ، متبعاً له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 يأتي بالأفراد المحتملة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إمكانه يتعيّن تقديمه علىٰ العمل في العبادات مع عروض الشكّ قبل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عدا ذلك ففي الاحتياط غنية عن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يظهر من تتبع الأدلّة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والإقالة للمستقيل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 بل من المسلمين ، بل مطلق النادمين وإنْ لم يكونوا مستقيلين ،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أقال مسلماً نادماً أقال اللّٰه عثرته يوم القيامة</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وإعطاء الراجح وأخذ الناقص</w:t>
      </w:r>
      <w:r>
        <w:rPr>
          <w:rFonts w:eastAsia="IRNazanin" w:cs="IRNazanin"/>
          <w:color w:val="111111"/>
          <w:sz w:val="28"/>
          <w:szCs w:val="28"/>
          <w:rtl w:val="true"/>
          <w:lang w:bidi="fa-IR"/>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التنازع يقدّم الآخذ بعد الصفقة، والمعطى قبلها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المعاملين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بترجيح أهل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 الربح للموعود بالإحسان </w:t>
      </w:r>
      <w:r>
        <w:rPr>
          <w:rStyle w:val="FootnoteAnchor"/>
          <w:rtl w:val="true"/>
        </w:rPr>
        <w:footnoteReference w:id="1137"/>
      </w:r>
      <w:r>
        <w:rPr>
          <w:rFonts w:ascii="Amiri" w:hAnsi="Amiri" w:eastAsia="Amiri" w:cs="Amiri"/>
          <w:color w:val="111111"/>
          <w:sz w:val="28"/>
          <w:sz w:val="28"/>
          <w:szCs w:val="28"/>
          <w:rtl w:val="true"/>
          <w:lang w:bidi="ar-SA"/>
        </w:rPr>
        <w:t>، وللمؤمن إلّا اليسير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الربح علىٰ المؤمن مطلقاً ، إلّا أن يشتري بأكثر من مئة درهم فيربح عليه قوت يومه</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مقصور على بعض الأفراد ، أو يكون تاجراً فيرفق به ، أو يكون هو مضطراً فيقتصر علىٰ ما تندفع به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الإذن في الربح علىٰ المؤمن في زمان الغيبة </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والتسامح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مَع من يعرف ذلك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والقضاء والاقتضاء</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 xml:space="preserve">لأنّه من صفات المؤمن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دخول السوق</w:t>
      </w:r>
      <w:r>
        <w:rPr>
          <w:rFonts w:eastAsia="IRNazanin" w:cs="IRNazanin"/>
          <w:color w:val="111111"/>
          <w:sz w:val="28"/>
          <w:szCs w:val="28"/>
          <w:rtl w:val="true"/>
          <w:lang w:bidi="fa-IR"/>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أو ما يشبهه من مواضع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 اللّٰه تعالى أن يبارك له فيما يشتريه ، ويخير له فيما يبيعه </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والتكبير </w:t>
      </w:r>
      <w:r>
        <w:rPr>
          <w:rStyle w:val="FootnoteAnchor"/>
          <w:rtl w:val="true"/>
        </w:rPr>
        <w:footnoteReference w:id="1144"/>
      </w:r>
      <w:r>
        <w:rPr>
          <w:rFonts w:ascii="IRNazanin" w:hAnsi="IRNazanin" w:eastAsia="IRNazanin"/>
          <w:color w:val="111111"/>
          <w:sz w:val="28"/>
          <w:sz w:val="28"/>
          <w:szCs w:val="28"/>
          <w:rtl w:val="true"/>
          <w:lang w:bidi="fa-IR"/>
        </w:rPr>
        <w:t xml:space="preserve">والشهادتان </w:t>
      </w:r>
      <w:r>
        <w:rPr>
          <w:rStyle w:val="FootnoteAnchor"/>
          <w:rtl w:val="true"/>
        </w:rPr>
        <w:footnoteReference w:id="1145"/>
      </w:r>
      <w:r>
        <w:rPr>
          <w:rFonts w:ascii="IRNazanin" w:hAnsi="IRNazanin" w:eastAsia="IRNazanin"/>
          <w:color w:val="111111"/>
          <w:sz w:val="28"/>
          <w:sz w:val="28"/>
          <w:szCs w:val="28"/>
          <w:rtl w:val="true"/>
          <w:lang w:bidi="fa-IR"/>
        </w:rPr>
        <w:t xml:space="preserve">عند </w:t>
      </w:r>
      <w:r>
        <w:rPr>
          <w:rStyle w:val="FootnoteAnchor"/>
          <w:rtl w:val="true"/>
        </w:rPr>
        <w:footnoteReference w:id="1146"/>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الدعاء بالمأثور عند دخوله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خيرها وخير أهلها، وأعوذ بك من شرّها وشرّ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تشهّد الشهادتين وصلّىٰ علىٰ النبي وآله عليهم السلام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اسألك من فضلك رزقاً حلالاً من طيّباً ، وأعوذ بك من أنْ أظلِم واُظلَم ، وأعوذ بك من صفقة خاسرة ويمين كاذبة</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اشترىٰ شيئاً قال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فضلك فاجعل لي فيه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رزقك فاجعل لي فيه رزقاً</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طلب شراء دابّة أو رأس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bookmarkStart w:id="318" w:name="pg20243_272281"/>
    </w:p>
    <w:p>
      <w:pPr>
        <w:pStyle w:val="BookText"/>
        <w:rPr/>
      </w:pPr>
      <w:bookmarkEnd w:id="318"/>
      <w:r>
        <w:rPr>
          <w:rFonts w:ascii="IRNazanin" w:hAnsi="IRNazanin" w:eastAsia="IRNazanin"/>
          <w:color w:val="111111"/>
          <w:sz w:val="28"/>
          <w:sz w:val="28"/>
          <w:szCs w:val="28"/>
          <w:rtl w:val="true"/>
          <w:lang w:bidi="fa-IR"/>
        </w:rPr>
        <w:t>قدّر لي أطولها حياةً وأكثرها منفعة وخيرها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شراء جارية قال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كانت عظيمة البركة فاضلة المنفعة ، ميمونة الناصية ؛ فیسّر لى شراءَها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غير ذلك فاصرفني عنها إلىٰ الذي هو خير لي منها ، فإنّك تعلم ولا أعلم ، وتقدر ولا أقدر ، وأنت علّام الغيوب</w:t>
      </w:r>
      <w:r>
        <w:rPr>
          <w:rFonts w:eastAsia="IRNazanin" w:cs="IRNazanin"/>
          <w:color w:val="111111"/>
          <w:sz w:val="28"/>
          <w:szCs w:val="28"/>
          <w:rtl w:val="true"/>
          <w:lang w:bidi="fa-IR"/>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الدعوات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المحافظة علىٰ آداب الدعاء ووظائفه ، وذكر غير الشراء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بذكر الوكيل نفسه أو لزوم الإتيان باسم الأصيل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توقّف رجحان الدعاء علىٰ رجحان المدعوّ به ؛ وجهان أيضاً </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5285004_2320776876"/>
      <w:bookmarkStart w:id="320" w:name="_Toc113"/>
      <w:bookmarkEnd w:id="319"/>
      <w:r>
        <w:rPr>
          <w:rtl w:val="true"/>
        </w:rPr>
        <w:t>ما یتبع ذلک من مستحبات و آداب</w:t>
      </w:r>
      <w:bookmarkEnd w:id="320"/>
    </w:p>
    <w:p>
      <w:pPr>
        <w:pStyle w:val="BookText"/>
        <w:rPr/>
      </w:pPr>
      <w:r>
        <w:rPr>
          <w:rFonts w:ascii="Amiri" w:hAnsi="Amiri" w:eastAsia="Amiri" w:cs="Amiri"/>
          <w:color w:val="111111"/>
          <w:sz w:val="28"/>
          <w:sz w:val="28"/>
          <w:szCs w:val="28"/>
          <w:rtl w:val="true"/>
          <w:lang w:bidi="ar-SA"/>
        </w:rPr>
        <w:t xml:space="preserve">ويتبعها مستحبات كثيرة وآداب </w:t>
      </w:r>
      <w:r>
        <w:rPr>
          <w:rStyle w:val="FootnoteAnchor"/>
          <w:rtl w:val="true"/>
        </w:rPr>
        <w:footnoteReference w:id="115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في الطلب ،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طلبك للمعيشة فوق كسب المضيّع ودون طلب الحريص</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الأعمال باليد، روي عنه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اشتهي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يراني اللّٰه تعالىٰ أعمل بيدي وأطلب الحلال</w:t>
      </w:r>
      <w:r>
        <w:rPr>
          <w:rFonts w:eastAsia="IRNazanin" w:cs="IRNazanin"/>
          <w:color w:val="111111"/>
          <w:sz w:val="28"/>
          <w:szCs w:val="28"/>
          <w:rtl w:val="true"/>
          <w:lang w:bidi="fa-IR"/>
        </w:rPr>
        <w:t xml:space="preserve">»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الكاظم علیه السلام أنّه عمل في أرض له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عمل بيده ، وأمير المؤمنين علیه السلام </w:t>
      </w:r>
    </w:p>
    <w:p>
      <w:pPr>
        <w:pStyle w:val="BookText"/>
        <w:rPr/>
      </w:pPr>
      <w:r>
        <w:rPr>
          <w:rFonts w:ascii="Amiri" w:hAnsi="Amiri" w:eastAsia="Amiri" w:cs="Amiri"/>
          <w:color w:val="111111"/>
          <w:sz w:val="28"/>
          <w:sz w:val="28"/>
          <w:szCs w:val="28"/>
          <w:rtl w:val="true"/>
          <w:lang w:bidi="ar-SA"/>
        </w:rPr>
        <w:t>عمل بيده ، وهو من عمل النبيين والمرسلين والصالحين</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المال ،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المروة استصلاح المال</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القوت ،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عند حصول الربح ، للروايات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المماكسة </w:t>
      </w:r>
      <w:r>
        <w:rPr>
          <w:rStyle w:val="FootnoteAnchor"/>
          <w:rtl w:val="true"/>
        </w:rPr>
        <w:footnoteReference w:id="1157"/>
      </w:r>
      <w:r>
        <w:rPr>
          <w:rFonts w:ascii="Amiri" w:hAnsi="Amiri" w:eastAsia="Amiri" w:cs="Amiri"/>
          <w:color w:val="111111"/>
          <w:sz w:val="28"/>
          <w:sz w:val="28"/>
          <w:szCs w:val="28"/>
          <w:rtl w:val="true"/>
          <w:lang w:bidi="ar-SA"/>
        </w:rPr>
        <w:t xml:space="preserve">إلّا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 والنسمة ، والكفن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والكراء إلى مكة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البكور في قضاء الحوائج ، وطلب الرزق ،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لاُمتي في بكورها</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الحاجة فليبكر إليها</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بتقوى اللّٰه ، فإذا صلّيتم الصبح فبكّروا في طلب الرزق</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الاهتمام بالحوائج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حاجة فليبكّر إليها وليسرع المشي إليها</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التوكّل علىٰ اللّٰه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لما لا ترجو أرجىٰ </w:t>
      </w:r>
    </w:p>
    <w:p>
      <w:pPr>
        <w:pStyle w:val="BookText"/>
        <w:rPr/>
      </w:pPr>
      <w:r>
        <w:rPr>
          <w:rFonts w:ascii="Amiri" w:hAnsi="Amiri" w:eastAsia="Amiri" w:cs="Amiri"/>
          <w:color w:val="111111"/>
          <w:sz w:val="28"/>
          <w:sz w:val="28"/>
          <w:szCs w:val="28"/>
          <w:rtl w:val="true"/>
          <w:lang w:bidi="ar-SA"/>
        </w:rPr>
        <w:t>منك لما ترجو ، فإنّ موسىٰ بن عمران خرج يقتبس ناراً لأهله فكلّمه اللّٰه و رجع نبيّاً، وخرجت ملكة سبأ فأسلمت مع سليمان ، وخرجت سحرة ورجع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وقبول نصحه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المؤمن مرآة أخيه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أرباب الحظوظ ، فإنها تزيد في الحظّ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الصنائع حتىٰ يوافق ما له فيها طالع سعد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للرزق ولو ببسط بساط ، كما في الرواية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المال ، للأمر به </w:t>
      </w:r>
      <w:r>
        <w:rPr>
          <w:rStyle w:val="FootnoteAnchor"/>
          <w:rtl w:val="true"/>
        </w:rPr>
        <w:footnoteReference w:id="116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مهارة العامل في عمله، لئلّا يقع في المحذور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صاحب السلعة بالسوم </w:t>
      </w:r>
      <w:r>
        <w:rPr>
          <w:rStyle w:val="FootnoteAnchor"/>
          <w:rtl w:val="true"/>
        </w:rPr>
        <w:footnoteReference w:id="1170"/>
      </w:r>
      <w:r>
        <w:rPr>
          <w:rFonts w:ascii="Amiri" w:hAnsi="Amiri" w:eastAsia="Amiri" w:cs="Amiri"/>
          <w:color w:val="111111"/>
          <w:sz w:val="28"/>
          <w:sz w:val="28"/>
          <w:szCs w:val="28"/>
          <w:rtl w:val="true"/>
          <w:lang w:bidi="ar-SA"/>
        </w:rPr>
        <w:t xml:space="preserve">، كما هو المألوف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طريق لم يذهب فيه ، لأنّه أرزق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بالمعيشة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الحنطة بالشعير في الغلاء ، ليساوي</w:t>
      </w:r>
      <w:r>
        <w:rPr>
          <w:rStyle w:val="FootnoteAnchor"/>
          <w:rtl w:val="true"/>
        </w:rPr>
        <w:footnoteReference w:id="1173"/>
      </w:r>
      <w:r>
        <w:rPr>
          <w:rFonts w:ascii="IRNazanin" w:hAnsi="IRNazanin" w:eastAsia="IRNazanin"/>
          <w:color w:val="111111"/>
          <w:sz w:val="28"/>
          <w:sz w:val="28"/>
          <w:szCs w:val="28"/>
          <w:rtl w:val="true"/>
          <w:lang w:bidi="fa-IR"/>
        </w:rPr>
        <w:t>الفقراء</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القوت يوماً فيوماً فى الغلاء، ليساوي </w:t>
      </w:r>
      <w:r>
        <w:rPr>
          <w:rStyle w:val="FootnoteAnchor"/>
          <w:rtl w:val="true"/>
        </w:rPr>
        <w:footnoteReference w:id="1175"/>
      </w:r>
      <w:r>
        <w:rPr>
          <w:rFonts w:ascii="IRNazanin" w:hAnsi="IRNazanin" w:eastAsia="IRNazanin"/>
          <w:color w:val="111111"/>
          <w:sz w:val="28"/>
          <w:sz w:val="28"/>
          <w:szCs w:val="28"/>
          <w:rtl w:val="true"/>
          <w:lang w:bidi="fa-IR"/>
        </w:rPr>
        <w:t xml:space="preserve">الفقراء </w:t>
      </w:r>
      <w:r>
        <w:rPr>
          <w:rStyle w:val="FootnoteAnchor"/>
          <w:rtl w:val="true"/>
        </w:rPr>
        <w:footnoteReference w:id="1176"/>
      </w:r>
      <w:r>
        <w:rPr>
          <w:rFonts w:ascii="Amiri" w:hAnsi="Amiri" w:eastAsia="Amiri" w:cs="Amiri"/>
          <w:color w:val="111111"/>
          <w:sz w:val="28"/>
          <w:sz w:val="28"/>
          <w:szCs w:val="28"/>
          <w:rtl w:val="true"/>
          <w:lang w:bidi="ar-SA"/>
        </w:rPr>
        <w:t xml:space="preserve">وسيجيء دليلهما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العقار </w:t>
      </w:r>
      <w:r>
        <w:rPr>
          <w:rStyle w:val="FootnoteAnchor"/>
          <w:rtl w:val="true"/>
        </w:rPr>
        <w:footnoteReference w:id="1177"/>
      </w:r>
      <w:r>
        <w:rPr>
          <w:rFonts w:ascii="Amiri" w:hAnsi="Amiri" w:eastAsia="Amiri" w:cs="Amiri"/>
          <w:color w:val="111111"/>
          <w:sz w:val="28"/>
          <w:sz w:val="28"/>
          <w:szCs w:val="28"/>
          <w:rtl w:val="true"/>
          <w:lang w:bidi="ar-SA"/>
        </w:rPr>
        <w:t xml:space="preserve">والكتب العلميّة </w:t>
      </w:r>
      <w:r>
        <w:rPr>
          <w:rStyle w:val="FootnoteAnchor"/>
          <w:rtl w:val="true"/>
        </w:rPr>
        <w:footnoteReference w:id="1178"/>
      </w:r>
      <w:r>
        <w:rPr>
          <w:rFonts w:ascii="Amiri" w:hAnsi="Amiri" w:eastAsia="Amiri" w:cs="Amiri"/>
          <w:color w:val="111111"/>
          <w:sz w:val="28"/>
          <w:sz w:val="28"/>
          <w:szCs w:val="28"/>
          <w:rtl w:val="true"/>
          <w:lang w:bidi="ar-SA"/>
        </w:rPr>
        <w:t xml:space="preserve">وجميع آلات العبادة </w:t>
      </w:r>
      <w:r>
        <w:rPr>
          <w:rStyle w:val="FootnoteAnchor"/>
          <w:rtl w:val="true"/>
        </w:rPr>
        <w:footnoteReference w:id="1179"/>
      </w:r>
      <w:r>
        <w:rPr>
          <w:rFonts w:ascii="Amiri" w:hAnsi="Amiri" w:eastAsia="Amiri" w:cs="Amiri"/>
          <w:color w:val="111111"/>
          <w:sz w:val="28"/>
          <w:sz w:val="28"/>
          <w:szCs w:val="28"/>
          <w:rtl w:val="true"/>
          <w:lang w:bidi="ar-SA"/>
        </w:rPr>
        <w:t>للقنية حيث لا يتوقّف عليها الواجب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الحنطة ، كما يستفاد من الأخبار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كلّ شيء في سوقه ، وعمل كلّ عامل في السوق المعدّ لعمله ، لأنّه أرزق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مع مَن نشأ في الخير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المكافأة علىٰ الهديّة </w:t>
      </w:r>
      <w:r>
        <w:rPr>
          <w:rStyle w:val="FootnoteAnchor"/>
          <w:rtl w:val="true"/>
        </w:rPr>
        <w:footnoteReference w:id="1183"/>
      </w:r>
      <w:r>
        <w:rPr>
          <w:rFonts w:ascii="Amiri" w:hAnsi="Amiri" w:eastAsia="Amiri" w:cs="Amiri"/>
          <w:color w:val="111111"/>
          <w:sz w:val="28"/>
          <w:sz w:val="28"/>
          <w:szCs w:val="28"/>
          <w:rtl w:val="true"/>
          <w:lang w:bidi="ar-SA"/>
        </w:rPr>
        <w:t xml:space="preserve">، ومشاركة الجلساء فيها </w:t>
      </w:r>
      <w:r>
        <w:rPr>
          <w:rStyle w:val="FootnoteAnchor"/>
          <w:rtl w:val="true"/>
        </w:rPr>
        <w:footnoteReference w:id="118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الحِرَف الرفيعة ، كالتجارة ، فقد رُوي أنّها تزيد في العقل </w:t>
      </w:r>
      <w:r>
        <w:rPr>
          <w:rStyle w:val="FootnoteAnchor"/>
          <w:rtl w:val="true"/>
        </w:rPr>
        <w:footnoteReference w:id="1185"/>
      </w:r>
      <w:r>
        <w:rPr>
          <w:rFonts w:ascii="Amiri" w:hAnsi="Amiri" w:eastAsia="Amiri" w:cs="Amiri"/>
          <w:color w:val="111111"/>
          <w:sz w:val="28"/>
          <w:sz w:val="28"/>
          <w:szCs w:val="28"/>
          <w:rtl w:val="true"/>
          <w:lang w:bidi="ar-SA"/>
        </w:rPr>
        <w:t xml:space="preserve">، وأن تسعة أعشار الرزق فيها </w:t>
      </w:r>
      <w:r>
        <w:rPr>
          <w:rStyle w:val="FootnoteAnchor"/>
          <w:rtl w:val="true"/>
        </w:rPr>
        <w:footnoteReference w:id="1186"/>
      </w:r>
      <w:r>
        <w:rPr>
          <w:rFonts w:ascii="Amiri" w:hAnsi="Amiri" w:eastAsia="Amiri" w:cs="Amiri"/>
          <w:color w:val="111111"/>
          <w:sz w:val="28"/>
          <w:sz w:val="28"/>
          <w:szCs w:val="28"/>
          <w:rtl w:val="true"/>
          <w:lang w:bidi="ar-SA"/>
        </w:rPr>
        <w:t xml:space="preserve">، والزراعة والغرس والزرع </w:t>
      </w:r>
      <w:r>
        <w:rPr>
          <w:rStyle w:val="FootnoteAnchor"/>
          <w:rtl w:val="true"/>
        </w:rPr>
        <w:footnoteReference w:id="1187"/>
      </w:r>
      <w:r>
        <w:rPr>
          <w:rFonts w:ascii="Amiri" w:hAnsi="Amiri" w:eastAsia="Amiri" w:cs="Amiri"/>
          <w:color w:val="111111"/>
          <w:sz w:val="28"/>
          <w:sz w:val="28"/>
          <w:szCs w:val="28"/>
          <w:rtl w:val="true"/>
          <w:lang w:bidi="ar-SA"/>
        </w:rPr>
        <w:t xml:space="preserve">، فقد رُوي أنّها خير المكاسب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الزراعة الكيمياء الأكبر </w:t>
      </w:r>
      <w:r>
        <w:rPr>
          <w:rStyle w:val="FootnoteAnchor"/>
          <w:rtl w:val="true"/>
        </w:rPr>
        <w:footnoteReference w:id="1189"/>
      </w:r>
      <w:r>
        <w:rPr>
          <w:rFonts w:ascii="Amiri" w:hAnsi="Amiri" w:eastAsia="Amiri" w:cs="Amiri"/>
          <w:color w:val="111111"/>
          <w:sz w:val="28"/>
          <w:sz w:val="28"/>
          <w:szCs w:val="28"/>
          <w:rtl w:val="true"/>
          <w:lang w:bidi="ar-SA"/>
        </w:rPr>
        <w:t xml:space="preserve">وأنّها أحب الأعمال إلى اللّٰه تعالىٰ وما بعث اللّٰه نبيّاً إلّا زرّاعاً إلّا إدريس فإنه كان خيّاطاً </w:t>
      </w:r>
      <w:r>
        <w:rPr>
          <w:rStyle w:val="FootnoteAnchor"/>
          <w:rtl w:val="true"/>
        </w:rPr>
        <w:footnoteReference w:id="1190"/>
      </w:r>
      <w:r>
        <w:rPr>
          <w:rFonts w:ascii="Amiri" w:hAnsi="Amiri" w:eastAsia="Amiri" w:cs="Amiri"/>
          <w:color w:val="111111"/>
          <w:sz w:val="28"/>
          <w:sz w:val="28"/>
          <w:szCs w:val="28"/>
          <w:rtl w:val="true"/>
          <w:lang w:bidi="ar-SA"/>
        </w:rPr>
        <w:t xml:space="preserve">وروي الأمر بصنعة الصقالة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البلد عند الإعسار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الإخوان بالإعسار ليعينوه ولو بالدعاء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والكتمان مع الخلوّ عن هذا القصد أوْلىٰ</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إلىٰ الإخوان من المبتلى بعمل السلطان ، ليكون كفارة عمّا كان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فيما يحصل به تقوية الدين ، كالسبق والرماية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بجيّد السلعة وترك رديئها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كسب الحجّام مع الشرط ، علىٰ الناضح وشبهه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الجلوس </w:t>
      </w:r>
      <w:r>
        <w:rPr>
          <w:rStyle w:val="FootnoteAnchor"/>
          <w:rtl w:val="true"/>
        </w:rPr>
        <w:footnoteReference w:id="1199"/>
      </w:r>
      <w:r>
        <w:rPr>
          <w:rFonts w:ascii="Amiri" w:hAnsi="Amiri" w:eastAsia="Amiri" w:cs="Amiri"/>
          <w:color w:val="111111"/>
          <w:sz w:val="28"/>
          <w:sz w:val="28"/>
          <w:szCs w:val="28"/>
          <w:rtl w:val="true"/>
          <w:lang w:bidi="ar-SA"/>
        </w:rPr>
        <w:t>وملازمة السكوت في التقاضي</w:t>
      </w:r>
      <w:r>
        <w:rPr>
          <w:rStyle w:val="FootnoteAnchor"/>
          <w:rtl w:val="true"/>
        </w:rPr>
        <w:footnoteReference w:id="120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مكسبه في بلده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الدينار المغشوش ، بعد قسمته نصفين ، في بالوعة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ماله إذا أرسله في تجارة ، حتىٰ لا يذهب بجملته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الأمور الكبار بنفسه ، كشراء العقارات ونحوها</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الرجل في بيته ، فإنّ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 علیه السلام كان يحتطب ويستقي ويكنس ، وكانت فاطمة علیها السلام تطحن وتعجن وتخبز</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يحلب عنز أهله</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مشاركة الناس فيما يأكلون ويلبسون ، فقد كان خاتم الأنبياء صلی اللّٰه علیه و آله يلبس خشن الثياب ويأكل الجشب </w:t>
      </w:r>
      <w:r>
        <w:rPr>
          <w:rStyle w:val="FootnoteAnchor"/>
          <w:rtl w:val="true"/>
        </w:rPr>
        <w:footnoteReference w:id="1207"/>
      </w:r>
      <w:r>
        <w:rPr>
          <w:rFonts w:ascii="IRNazanin" w:hAnsi="IRNazanin" w:eastAsia="IRNazanin"/>
          <w:color w:val="111111"/>
          <w:sz w:val="28"/>
          <w:sz w:val="28"/>
          <w:szCs w:val="28"/>
          <w:rtl w:val="true"/>
          <w:lang w:bidi="fa-IR"/>
        </w:rPr>
        <w:t xml:space="preserve">ليساوي الفقراء ، وكان عند الصادق علیه السلام حنطة اشتراها من أوّل السنة ،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تبيعها أو تخلطها بالشعير ، فإنّى أكره أنْ أكل جيّداً ويأكل الناس ردياً </w:t>
      </w:r>
      <w:r>
        <w:rPr>
          <w:rStyle w:val="FootnoteAnchor"/>
          <w:rtl w:val="true"/>
        </w:rPr>
        <w:footnoteReference w:id="1208"/>
      </w:r>
      <w:r>
        <w:rPr>
          <w:rFonts w:ascii="Amiri" w:hAnsi="Amiri" w:eastAsia="Amiri" w:cs="Amiri"/>
          <w:color w:val="111111"/>
          <w:sz w:val="28"/>
          <w:sz w:val="28"/>
          <w:szCs w:val="28"/>
          <w:rtl w:val="true"/>
          <w:lang w:bidi="ar-SA"/>
        </w:rPr>
        <w:t xml:space="preserve">، وأمر ببيع طعامه وشراء قوت قوت لمّا قلّ الطعام علىٰ الناس وفعلوا ذلك </w:t>
      </w:r>
      <w:r>
        <w:rPr>
          <w:rStyle w:val="FootnoteAnchor"/>
          <w:rtl w:val="true"/>
        </w:rPr>
        <w:footnoteReference w:id="120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بدعاء الإخوان إذا جار الزمان ، فقد أمر الصادق علیه السلام </w:t>
      </w:r>
    </w:p>
    <w:p>
      <w:pPr>
        <w:pStyle w:val="BookText"/>
        <w:rPr/>
      </w:pPr>
      <w:r>
        <w:rPr>
          <w:rFonts w:ascii="Amiri" w:hAnsi="Amiri" w:eastAsia="Amiri" w:cs="Amiri"/>
          <w:color w:val="111111"/>
          <w:sz w:val="28"/>
          <w:sz w:val="28"/>
          <w:szCs w:val="28"/>
          <w:rtl w:val="true"/>
          <w:lang w:bidi="ar-SA"/>
        </w:rPr>
        <w:t xml:space="preserve">رجلاً ببيع وسادته وإضافة إخوانه وسؤالهم الدعاء ، ففعل ، فأغناه اللّٰه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 الطعام إذا اُحرز أو أخرج للأكل ،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مُرْالخادم بالكيل فإنّ البركة فيما كيل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التعقيب إلىٰ بعد طلوع الشمس ، فإنّه أجلب للرزق من الضرب في البلاد </w:t>
      </w:r>
      <w:r>
        <w:rPr>
          <w:rStyle w:val="FootnoteAnchor"/>
          <w:rtl w:val="true"/>
        </w:rPr>
        <w:footnoteReference w:id="1212"/>
      </w:r>
      <w:r>
        <w:rPr>
          <w:rFonts w:ascii="Amiri" w:hAnsi="Amiri" w:eastAsia="Amiri" w:cs="Amiri"/>
          <w:color w:val="111111"/>
          <w:sz w:val="28"/>
          <w:sz w:val="28"/>
          <w:szCs w:val="28"/>
          <w:rtl w:val="true"/>
          <w:lang w:bidi="ar-SA"/>
        </w:rPr>
        <w:t xml:space="preserve">، أو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أو يأخذ من القرآن والدعاء ما يرتبط بالرزق ، وينبغي أن يجعل آخر دعائه إذا فرغ من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أستغفر اللّٰه وأسأله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طلاقة الوجه مع المعاملين ، وحسن السلوك معهم ، واستعمال الحلم ومكارم الأخلاق </w:t>
      </w:r>
      <w:r>
        <w:rPr>
          <w:rStyle w:val="FootnoteAnchor"/>
          <w:rtl w:val="true"/>
        </w:rPr>
        <w:footnoteReference w:id="1215"/>
      </w:r>
      <w:r>
        <w:rPr>
          <w:rFonts w:ascii="IRNazanin" w:hAnsi="IRNazanin" w:eastAsia="IRNazanin"/>
          <w:color w:val="111111"/>
          <w:sz w:val="28"/>
          <w:sz w:val="28"/>
          <w:szCs w:val="28"/>
          <w:rtl w:val="true"/>
          <w:lang w:bidi="fa-IR"/>
        </w:rPr>
        <w:t xml:space="preserve">، فإنّه أدعى للرزق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فيما لا ينبغي مباشرته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الأخيار من الوكلاء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مكان مكسبه مجاوراً لأهل الدين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حوله فراشاً ، ليجلس عليه المعاملون والمارّون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المعاملة بإيقاع الصيغ اللازمة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إنظار المديون ، وهو مستحب كإبرائه ، لقول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يظلّه اللّٰه يوم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قالها ثلاثاً ، فهابه الناس أن يسألوه ، حتىٰ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معسراً أو يدع له من حقّه</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الأولاد الحلال والحرام وهم أبناء سبع</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تعليمهم السباحة والرماية </w:t>
      </w:r>
      <w:r>
        <w:rPr>
          <w:rStyle w:val="FootnoteAnchor"/>
          <w:rtl w:val="true"/>
        </w:rPr>
        <w:footnoteReference w:id="122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شعر أبي طالب وتدوينه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الغَزْل للمرأة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في الحاجة متطهّراً </w:t>
      </w:r>
      <w:r>
        <w:rPr>
          <w:rStyle w:val="FootnoteAnchor"/>
          <w:rtl w:val="true"/>
        </w:rPr>
        <w:footnoteReference w:id="1226"/>
      </w:r>
      <w:r>
        <w:rPr>
          <w:rFonts w:ascii="Amiri" w:hAnsi="Amiri" w:eastAsia="Amiri" w:cs="Amiri"/>
          <w:color w:val="111111"/>
          <w:sz w:val="28"/>
          <w:sz w:val="28"/>
          <w:szCs w:val="28"/>
          <w:rtl w:val="true"/>
          <w:lang w:bidi="ar-SA"/>
        </w:rPr>
        <w:t xml:space="preserve">متحنّكاً </w:t>
      </w:r>
      <w:r>
        <w:rPr>
          <w:rStyle w:val="FootnoteAnchor"/>
          <w:rtl w:val="true"/>
        </w:rPr>
        <w:footnoteReference w:id="1227"/>
      </w:r>
      <w:r>
        <w:rPr>
          <w:rFonts w:ascii="Amiri" w:hAnsi="Amiri" w:eastAsia="Amiri" w:cs="Amiri"/>
          <w:color w:val="111111"/>
          <w:sz w:val="28"/>
          <w:sz w:val="28"/>
          <w:szCs w:val="28"/>
          <w:rtl w:val="true"/>
          <w:lang w:bidi="ar-SA"/>
        </w:rPr>
        <w:t xml:space="preserve">ماشياً في الظل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الهديّة ولو كانت معوّضة </w:t>
      </w:r>
      <w:r>
        <w:rPr>
          <w:rStyle w:val="FootnoteAnchor"/>
          <w:rtl w:val="true"/>
        </w:rPr>
        <w:footnoteReference w:id="1229"/>
      </w:r>
      <w:r>
        <w:rPr>
          <w:rFonts w:ascii="Amiri" w:hAnsi="Amiri" w:eastAsia="Amiri" w:cs="Amiri"/>
          <w:color w:val="111111"/>
          <w:sz w:val="28"/>
          <w:sz w:val="28"/>
          <w:szCs w:val="28"/>
          <w:rtl w:val="true"/>
          <w:lang w:bidi="ar-SA"/>
        </w:rPr>
        <w:t>، خصوصاً الطيب</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ردّ ظروف الهدايا قبل طلب أربابها </w:t>
      </w:r>
      <w:r>
        <w:rPr>
          <w:rStyle w:val="FootnoteAnchor"/>
          <w:rtl w:val="true"/>
        </w:rPr>
        <w:footnoteReference w:id="1231"/>
      </w:r>
      <w:r>
        <w:rPr>
          <w:rFonts w:ascii="Amiri" w:hAnsi="Amiri" w:eastAsia="Amiri" w:cs="Amiri"/>
          <w:color w:val="111111"/>
          <w:sz w:val="28"/>
          <w:sz w:val="28"/>
          <w:szCs w:val="28"/>
          <w:rtl w:val="true"/>
          <w:lang w:bidi="ar-SA"/>
        </w:rPr>
        <w:t xml:space="preserve">، وإرجاع العارية قبل بلوغ وقت الإهمال </w:t>
      </w:r>
      <w:r>
        <w:rPr>
          <w:rStyle w:val="FootnoteAnchor"/>
          <w:rtl w:val="true"/>
        </w:rPr>
        <w:footnoteReference w:id="1232"/>
      </w:r>
      <w:r>
        <w:rPr>
          <w:rFonts w:ascii="Amiri" w:hAnsi="Amiri" w:eastAsia="Amiri" w:cs="Amiri"/>
          <w:color w:val="111111"/>
          <w:sz w:val="28"/>
          <w:sz w:val="28"/>
          <w:szCs w:val="28"/>
          <w:rtl w:val="true"/>
          <w:lang w:bidi="ar-SA"/>
        </w:rPr>
        <w:t>، إلى غير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الدخول أولاً إلىٰ السوق</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أو إلىٰ غيره من مواضع المعاملة ، والخروج منه أخيراً ، بل يكون آخر داخل وأوّل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دخلوا أو خرجوا جميعاً ؛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الكراهة، ومراعاة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ضعفٍ ثبوتُ الكراهة مطلقاً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وذمّ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ومدح </w:t>
      </w:r>
    </w:p>
    <w:p>
      <w:pPr>
        <w:pStyle w:val="BookText"/>
        <w:rPr/>
      </w:pPr>
      <w:r>
        <w:rPr>
          <w:rFonts w:ascii="IRNazanin" w:hAnsi="IRNazanin" w:eastAsia="IRNazanin"/>
          <w:color w:val="111111"/>
          <w:sz w:val="28"/>
          <w:sz w:val="28"/>
          <w:szCs w:val="28"/>
          <w:rtl w:val="true"/>
          <w:lang w:bidi="fa-IR"/>
        </w:rPr>
        <w:t xml:space="preserve">الثمن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ويسري الحكم إلىٰ كلّ أخذٍ بوجه من وجوه المعاوضات ، ومعطٍ كذلك ما لم يكن مستشاراً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وكتمان العيب</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من غير غشّ أو 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فيحرم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1238"/>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المحققة منه في مؤسسة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وتزيين المتاع</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أو في مكان أو حال تخفىٰ فيه </w:t>
      </w:r>
    </w:p>
    <w:p>
      <w:pPr>
        <w:pStyle w:val="BookText"/>
        <w:rPr/>
      </w:pPr>
      <w:r>
        <w:rPr>
          <w:rFonts w:ascii="Amiri" w:hAnsi="Amiri" w:eastAsia="Amiri" w:cs="Amiri"/>
          <w:color w:val="111111"/>
          <w:sz w:val="28"/>
          <w:sz w:val="28"/>
          <w:szCs w:val="28"/>
          <w:rtl w:val="true"/>
          <w:lang w:bidi="ar-SA"/>
        </w:rPr>
        <w:t xml:space="preserve">العيوب، ما لم يكن تدليس وغش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فيحرم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والتعرّض للكيل والوزن مع عدم المعرفة</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 xml:space="preserve">وعدم ترتّب الضرر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ومثلهما العدّ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والاستحطاط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وبدونه ، كما يقتضيه إطلاق الأخبار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انقضاء الخيار أشدّ كما في الدروس</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والزيادة وقت النداء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امتداد الصوت ، أو بين الصوتين ما لم تطل الفاصلة، من أيّ مناد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 أو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الباذل الأوّل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بها بعد السكوت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في سوم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كان أو مشترياً أو غيرهما ، بعد حصول التراضى وقبل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وكراهته شديدة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الزائد لصاحب </w:t>
      </w:r>
    </w:p>
    <w:p>
      <w:pPr>
        <w:pStyle w:val="BookText"/>
        <w:rPr/>
      </w:pPr>
      <w:r>
        <w:rPr>
          <w:rFonts w:ascii="Amiri" w:hAnsi="Amiri" w:eastAsia="Amiri" w:cs="Amiri"/>
          <w:color w:val="111111"/>
          <w:sz w:val="28"/>
          <w:sz w:val="28"/>
          <w:szCs w:val="28"/>
          <w:rtl w:val="true"/>
          <w:lang w:bidi="ar-SA"/>
        </w:rPr>
        <w:t xml:space="preserve">الخيار ليفسخ أشدّ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بالتحريم </w:t>
      </w:r>
      <w:r>
        <w:rPr>
          <w:rStyle w:val="FootnoteAnchor"/>
          <w:rtl w:val="true"/>
        </w:rPr>
        <w:footnoteReference w:id="1247"/>
      </w:r>
      <w:r>
        <w:rPr>
          <w:rFonts w:ascii="Amiri" w:hAnsi="Amiri" w:eastAsia="Amiri" w:cs="Amiri"/>
          <w:color w:val="111111"/>
          <w:sz w:val="28"/>
          <w:sz w:val="28"/>
          <w:szCs w:val="28"/>
          <w:rtl w:val="true"/>
          <w:lang w:bidi="ar-SA"/>
        </w:rPr>
        <w:t>إنْ لم يأذن ، للنهي</w:t>
      </w:r>
      <w:r>
        <w:rPr>
          <w:rStyle w:val="FootnoteAnchor"/>
          <w:rtl w:val="true"/>
        </w:rPr>
        <w:footnoteReference w:id="1248"/>
      </w:r>
      <w:r>
        <w:rPr>
          <w:rFonts w:ascii="Amiri" w:hAnsi="Amiri" w:eastAsia="Amiri" w:cs="Amiri"/>
          <w:color w:val="111111"/>
          <w:sz w:val="28"/>
          <w:sz w:val="28"/>
          <w:szCs w:val="28"/>
          <w:rtl w:val="true"/>
          <w:lang w:bidi="ar-SA"/>
        </w:rPr>
        <w:t xml:space="preserve">، واشتماله علىٰ إهانة المؤمن وإضراره ؛ قويّ ، إلّا أنّ الأوّل أقوىٰ وأشهر </w:t>
      </w:r>
      <w:r>
        <w:rPr>
          <w:rStyle w:val="FootnoteAnchor"/>
          <w:rtl w:val="true"/>
        </w:rPr>
        <w:footnoteReference w:id="1249"/>
      </w:r>
      <w:r>
        <w:rPr>
          <w:rFonts w:ascii="IRNazanin" w:hAnsi="IRNazanin" w:eastAsia="IRNazanin"/>
          <w:color w:val="111111"/>
          <w:sz w:val="28"/>
          <w:sz w:val="28"/>
          <w:szCs w:val="28"/>
          <w:rtl w:val="true"/>
          <w:lang w:bidi="fa-IR"/>
        </w:rPr>
        <w:t xml:space="preserve">للأصل، وعموم المعاملات </w:t>
      </w:r>
      <w:r>
        <w:rPr>
          <w:rStyle w:val="FootnoteAnchor"/>
          <w:rtl w:val="true"/>
        </w:rPr>
        <w:footnoteReference w:id="1250"/>
      </w:r>
      <w:r>
        <w:rPr>
          <w:rFonts w:ascii="Amiri" w:hAnsi="Amiri" w:eastAsia="Amiri" w:cs="Amiri"/>
          <w:color w:val="111111"/>
          <w:sz w:val="28"/>
          <w:sz w:val="28"/>
          <w:szCs w:val="28"/>
          <w:rtl w:val="true"/>
          <w:lang w:bidi="ar-SA"/>
        </w:rPr>
        <w:t xml:space="preserve">، وتسليط الناس علىٰ أموالهم </w:t>
      </w:r>
      <w:r>
        <w:rPr>
          <w:rStyle w:val="FootnoteAnchor"/>
          <w:rtl w:val="true"/>
        </w:rPr>
        <w:footnoteReference w:id="1251"/>
      </w:r>
      <w:r>
        <w:rPr>
          <w:rFonts w:ascii="Amiri" w:hAnsi="Amiri" w:eastAsia="Amiri" w:cs="Amiri"/>
          <w:color w:val="111111"/>
          <w:sz w:val="28"/>
          <w:sz w:val="28"/>
          <w:szCs w:val="28"/>
          <w:rtl w:val="true"/>
          <w:lang w:bidi="ar-SA"/>
        </w:rPr>
        <w:t xml:space="preserve">، مع ما في دليل التحريم من البحث في السند </w:t>
      </w:r>
      <w:r>
        <w:rPr>
          <w:rStyle w:val="FootnoteAnchor"/>
          <w:rtl w:val="true"/>
        </w:rPr>
        <w:footnoteReference w:id="1252"/>
      </w:r>
      <w:r>
        <w:rPr>
          <w:rFonts w:ascii="Amiri" w:hAnsi="Amiri" w:eastAsia="Amiri" w:cs="Amiri"/>
          <w:color w:val="111111"/>
          <w:sz w:val="28"/>
          <w:sz w:val="28"/>
          <w:szCs w:val="28"/>
          <w:rtl w:val="true"/>
          <w:lang w:bidi="ar-SA"/>
        </w:rPr>
        <w:t xml:space="preserve">والدلالة </w:t>
      </w:r>
      <w:r>
        <w:rPr>
          <w:rStyle w:val="FootnoteAnchor"/>
          <w:rtl w:val="true"/>
        </w:rPr>
        <w:footnoteReference w:id="125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يرشد في بيع أو شراء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مَن كان عالماً بالسعر ، أو ذكيّاً حيث كان من أيّ محلّ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لباد </w:t>
      </w:r>
      <w:r>
        <w:rPr>
          <w:rStyle w:val="FootnoteAnchor"/>
          <w:rtl w:val="true"/>
        </w:rPr>
        <w:footnoteReference w:id="1254"/>
      </w:r>
      <w:r>
        <w:rPr>
          <w:rFonts w:ascii="IRNazanin" w:hAnsi="IRNazanin" w:eastAsia="IRNazanin"/>
          <w:color w:val="111111"/>
          <w:sz w:val="28"/>
          <w:sz w:val="28"/>
          <w:szCs w:val="28"/>
          <w:rtl w:val="true"/>
          <w:lang w:bidi="fa-IR"/>
        </w:rPr>
        <w:t xml:space="preserve">بل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مَن كان جاهلاً أو غبيّاً ، بلديين أو قرويين أو بدويين أو مختلفين ، مع العلم بالحكم وجهله ، وظهور السعر وخفائه ، وعموم الحاجة إلىٰ المتاع وعدمه، ورابطة الرحم أو الجوار أو غيرهما بينهما وعدمها، وإسلام المبتاعين مثلاً وضدّه ، وكون المبيع من الفواكه وغيرها </w:t>
      </w:r>
      <w:r>
        <w:rPr>
          <w:rStyle w:val="FootnoteAnchor"/>
          <w:rtl w:val="true"/>
        </w:rPr>
        <w:footnoteReference w:id="1255"/>
      </w:r>
      <w:r>
        <w:rPr>
          <w:rFonts w:ascii="Amiri" w:hAnsi="Amiri" w:eastAsia="Amiri" w:cs="Amiri"/>
          <w:color w:val="111111"/>
          <w:sz w:val="28"/>
          <w:sz w:val="28"/>
          <w:szCs w:val="28"/>
          <w:rtl w:val="true"/>
          <w:lang w:bidi="ar-SA"/>
        </w:rPr>
        <w:t xml:space="preserve">لعموم النهي الوارد بالخصوص </w:t>
      </w:r>
      <w:r>
        <w:rPr>
          <w:rStyle w:val="FootnoteAnchor"/>
          <w:rtl w:val="true"/>
        </w:rPr>
        <w:footnoteReference w:id="1256"/>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الناس علىٰ غفلاتها يرتزق بعضها من بعض</w:t>
      </w:r>
      <w:r>
        <w:rPr>
          <w:rFonts w:eastAsia="IRNazanin" w:cs="IRNazanin"/>
          <w:color w:val="111111"/>
          <w:sz w:val="28"/>
          <w:szCs w:val="28"/>
          <w:rtl w:val="true"/>
          <w:lang w:bidi="fa-IR"/>
        </w:rPr>
        <w:t xml:space="preserve">»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 ومخالفة الأصل ، والشهرة </w:t>
      </w:r>
      <w:r>
        <w:rPr>
          <w:rStyle w:val="FootnoteAnchor"/>
          <w:rtl w:val="true"/>
        </w:rPr>
        <w:footnoteReference w:id="1258"/>
      </w:r>
      <w:r>
        <w:rPr>
          <w:rFonts w:ascii="Amiri" w:hAnsi="Amiri" w:eastAsia="Amiri" w:cs="Amiri"/>
          <w:color w:val="111111"/>
          <w:sz w:val="28"/>
          <w:sz w:val="28"/>
          <w:szCs w:val="28"/>
          <w:rtl w:val="true"/>
          <w:lang w:bidi="ar-SA"/>
        </w:rPr>
        <w:t xml:space="preserve">، وظاهر التعليل ؛ يأبىٰ القول بالتحريم ، كما عليه جمعٌ من الأصحاب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ارتفاع </w:t>
      </w:r>
    </w:p>
    <w:p>
      <w:pPr>
        <w:pStyle w:val="BookText"/>
        <w:rPr/>
      </w:pPr>
      <w:r>
        <w:rPr>
          <w:rFonts w:ascii="Amiri" w:hAnsi="Amiri" w:eastAsia="Amiri" w:cs="Amiri"/>
          <w:color w:val="111111"/>
          <w:sz w:val="28"/>
          <w:sz w:val="28"/>
          <w:szCs w:val="28"/>
          <w:rtl w:val="true"/>
          <w:lang w:bidi="ar-SA"/>
        </w:rPr>
        <w:t xml:space="preserve">الكراهة بالالتماس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الحكم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ويتبعها مكروهات كثيرة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الوكيل لنفسه مطلقاً مع الإذن ، لموضع التهمة ، والوليّ في موضعها </w:t>
      </w:r>
      <w:r>
        <w:rPr>
          <w:rStyle w:val="FootnoteAnchor"/>
          <w:rtl w:val="true"/>
        </w:rPr>
        <w:footnoteReference w:id="126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تعاطي المعاملات أو الصناعات الدنيّة </w:t>
      </w:r>
      <w:r>
        <w:rPr>
          <w:rStyle w:val="FootnoteAnchor"/>
          <w:rtl w:val="true"/>
        </w:rPr>
        <w:footnoteReference w:id="1262"/>
      </w:r>
      <w:r>
        <w:rPr>
          <w:rFonts w:ascii="IRNazanin" w:hAnsi="IRNazanin" w:eastAsia="IRNazanin"/>
          <w:color w:val="111111"/>
          <w:sz w:val="28"/>
          <w:sz w:val="28"/>
          <w:szCs w:val="28"/>
          <w:rtl w:val="true"/>
          <w:lang w:bidi="fa-IR"/>
        </w:rPr>
        <w:t xml:space="preserve">، ما لم تؤدّ إلىٰ الشهرة المنافية للمروّة فتحرم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ممّا يباع إذا اتقى اللّٰه فيه العبد فلا بأس</w:t>
      </w:r>
      <w:r>
        <w:rPr>
          <w:rFonts w:eastAsia="IRNazanin" w:cs="IRNazanin"/>
          <w:color w:val="111111"/>
          <w:sz w:val="28"/>
          <w:szCs w:val="28"/>
          <w:rtl w:val="true"/>
          <w:lang w:bidi="fa-IR"/>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المداقّة في المعاملة علىٰ الحجّ ، والكفن ، والاُضحية والنسمة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يلحق بها أمثالها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طريق لا يتمكّن فيه أو في غايته من بعض العبادات أو </w:t>
      </w:r>
    </w:p>
    <w:p>
      <w:pPr>
        <w:pStyle w:val="BookText"/>
        <w:rPr/>
      </w:pPr>
      <w:r>
        <w:rPr>
          <w:rFonts w:ascii="IRNazanin" w:hAnsi="IRNazanin" w:eastAsia="IRNazanin"/>
          <w:color w:val="111111"/>
          <w:sz w:val="28"/>
          <w:sz w:val="28"/>
          <w:szCs w:val="28"/>
          <w:rtl w:val="true"/>
          <w:lang w:bidi="fa-IR"/>
        </w:rPr>
        <w:t>شطورها أو شروطها قبل وجوبها</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الاتجار بمكّة لغير أهلها</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الطريق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استثني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 قليل الرزق لنفسه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المال في الكُمّ ، لأنّها مضياع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ويتسرّىٰ الحكم إلىٰ كلّ مضياع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النوم </w:t>
      </w:r>
      <w:r>
        <w:rPr>
          <w:rStyle w:val="FootnoteAnchor"/>
          <w:rtl w:val="true"/>
        </w:rPr>
        <w:footnoteReference w:id="1271"/>
      </w:r>
      <w:r>
        <w:rPr>
          <w:rFonts w:ascii="IRNazanin" w:hAnsi="IRNazanin" w:eastAsia="IRNazanin"/>
          <w:color w:val="111111"/>
          <w:sz w:val="28"/>
          <w:sz w:val="28"/>
          <w:szCs w:val="28"/>
          <w:rtl w:val="true"/>
          <w:lang w:bidi="fa-IR"/>
        </w:rPr>
        <w:t xml:space="preserve">، والضجر </w:t>
      </w:r>
      <w:r>
        <w:rPr>
          <w:rStyle w:val="FootnoteAnchor"/>
          <w:rtl w:val="true"/>
        </w:rPr>
        <w:footnoteReference w:id="1272"/>
      </w:r>
      <w:r>
        <w:rPr>
          <w:rFonts w:ascii="Amiri" w:hAnsi="Amiri" w:eastAsia="Amiri" w:cs="Amiri"/>
          <w:color w:val="111111"/>
          <w:sz w:val="28"/>
          <w:sz w:val="28"/>
          <w:szCs w:val="28"/>
          <w:rtl w:val="true"/>
          <w:lang w:bidi="ar-SA"/>
        </w:rPr>
        <w:t xml:space="preserve">، والكسل </w:t>
      </w:r>
      <w:r>
        <w:rPr>
          <w:rStyle w:val="FootnoteAnchor"/>
          <w:rtl w:val="true"/>
        </w:rPr>
        <w:footnoteReference w:id="1273"/>
      </w:r>
      <w:r>
        <w:rPr>
          <w:rFonts w:ascii="Amiri" w:hAnsi="Amiri" w:eastAsia="Amiri" w:cs="Amiri"/>
          <w:color w:val="111111"/>
          <w:sz w:val="28"/>
          <w:sz w:val="28"/>
          <w:szCs w:val="28"/>
          <w:rtl w:val="true"/>
          <w:lang w:bidi="ar-SA"/>
        </w:rPr>
        <w:t xml:space="preserve">، والبطالة </w:t>
      </w:r>
      <w:r>
        <w:rPr>
          <w:rStyle w:val="FootnoteAnchor"/>
          <w:rtl w:val="true"/>
        </w:rPr>
        <w:footnoteReference w:id="1274"/>
      </w:r>
      <w:r>
        <w:rPr>
          <w:rFonts w:ascii="IRNazanin" w:hAnsi="IRNazanin" w:eastAsia="IRNazanin"/>
          <w:color w:val="111111"/>
          <w:sz w:val="28"/>
          <w:sz w:val="28"/>
          <w:szCs w:val="28"/>
          <w:rtl w:val="true"/>
          <w:lang w:bidi="fa-IR"/>
        </w:rPr>
        <w:t xml:space="preserve">، والدوران </w:t>
      </w:r>
    </w:p>
    <w:p>
      <w:pPr>
        <w:pStyle w:val="BookText"/>
        <w:rPr/>
      </w:pPr>
      <w:r>
        <w:rPr>
          <w:rFonts w:ascii="IRNazanin" w:hAnsi="IRNazanin" w:eastAsia="IRNazanin"/>
          <w:color w:val="111111"/>
          <w:sz w:val="28"/>
          <w:sz w:val="28"/>
          <w:szCs w:val="28"/>
          <w:rtl w:val="true"/>
          <w:lang w:bidi="fa-IR"/>
        </w:rPr>
        <w:t xml:space="preserve">فی الأسواق </w:t>
      </w:r>
      <w:r>
        <w:rPr>
          <w:rStyle w:val="FootnoteAnchor"/>
          <w:rtl w:val="true"/>
        </w:rPr>
        <w:footnoteReference w:id="1275"/>
      </w:r>
      <w:r>
        <w:rPr>
          <w:rFonts w:ascii="IRNazanin" w:hAnsi="IRNazanin" w:eastAsia="IRNazanin"/>
          <w:color w:val="111111"/>
          <w:sz w:val="28"/>
          <w:sz w:val="28"/>
          <w:szCs w:val="28"/>
          <w:rtl w:val="true"/>
          <w:lang w:bidi="fa-IR"/>
        </w:rPr>
        <w:t>؛ فعن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 والضجر فإنّهما يمنعانك من حظّك من الدنيا والآخرة</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الطحين ، وأدنىٰ منه شراء الخبز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آلات العبادة </w:t>
      </w:r>
      <w:r>
        <w:rPr>
          <w:rStyle w:val="FootnoteAnchor"/>
          <w:rtl w:val="true"/>
        </w:rPr>
        <w:footnoteReference w:id="1278"/>
      </w:r>
      <w:r>
        <w:rPr>
          <w:rFonts w:ascii="IRNazanin" w:hAnsi="IRNazanin" w:eastAsia="IRNazanin"/>
          <w:color w:val="111111"/>
          <w:sz w:val="28"/>
          <w:sz w:val="28"/>
          <w:szCs w:val="28"/>
          <w:rtl w:val="true"/>
          <w:lang w:bidi="fa-IR"/>
        </w:rPr>
        <w:t xml:space="preserve">والعقارات </w:t>
      </w:r>
      <w:r>
        <w:rPr>
          <w:rStyle w:val="FootnoteAnchor"/>
          <w:rtl w:val="true"/>
        </w:rPr>
        <w:footnoteReference w:id="1279"/>
      </w:r>
      <w:r>
        <w:rPr>
          <w:rFonts w:ascii="Amiri" w:hAnsi="Amiri" w:eastAsia="Amiri" w:cs="Amiri"/>
          <w:color w:val="111111"/>
          <w:sz w:val="28"/>
          <w:sz w:val="28"/>
          <w:szCs w:val="28"/>
          <w:rtl w:val="true"/>
          <w:lang w:bidi="ar-SA"/>
        </w:rPr>
        <w:t xml:space="preserve">، ونقلها بجميع أنواع الانتقالات من المعاوضات، إلّا لشراء خير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خفض الجواري </w:t>
      </w:r>
      <w:r>
        <w:rPr>
          <w:rStyle w:val="FootnoteAnchor"/>
          <w:rtl w:val="true"/>
        </w:rPr>
        <w:footnoteReference w:id="1280"/>
      </w:r>
      <w:r>
        <w:rPr>
          <w:rFonts w:ascii="Amiri" w:hAnsi="Amiri" w:eastAsia="Amiri" w:cs="Amiri"/>
          <w:color w:val="111111"/>
          <w:sz w:val="28"/>
          <w:sz w:val="28"/>
          <w:szCs w:val="28"/>
          <w:rtl w:val="true"/>
          <w:lang w:bidi="ar-SA"/>
        </w:rPr>
        <w:t>، وغسل الماشطة وجه العروس بالخرقة</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نفسه أجيراً مشروطة عليه المباشرة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الدنيا للآخرة أو الآخرة للدنيا من غير خروج عن الشرع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 ولا آخرته لدنياه</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الأجير بلا شرط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قُدّم المستأجر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مَن يستحقّ الإكرام ، لحسب ، أو نسب ، أو كبر سنّ </w:t>
      </w:r>
    </w:p>
    <w:p>
      <w:pPr>
        <w:pStyle w:val="BookText"/>
        <w:rPr/>
      </w:pPr>
      <w:r>
        <w:rPr>
          <w:rFonts w:ascii="IRNazanin" w:hAnsi="IRNazanin" w:eastAsia="IRNazanin"/>
          <w:color w:val="111111"/>
          <w:sz w:val="28"/>
          <w:sz w:val="28"/>
          <w:szCs w:val="28"/>
          <w:rtl w:val="true"/>
          <w:lang w:bidi="fa-IR"/>
        </w:rPr>
        <w:t>و نحو ذلک</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 حمار على عتيقة </w:t>
      </w:r>
      <w:r>
        <w:rPr>
          <w:rStyle w:val="FootnoteAnchor"/>
          <w:rtl w:val="true"/>
        </w:rPr>
        <w:footnoteReference w:id="1286"/>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النجيبة من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الناقة وولدها طفل ، الّا أنّ يتصدّق بولدها أو يذبح، لئلا تحمل فلا تعطيه لبناً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ردي السلعة وترك جيّدها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الأمّ دون ولدها أو الولد دون أمّه إن كان رضيعاً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الوصی شيئاً في مقابلة عمله</w:t>
      </w:r>
      <w:r>
        <w:rPr>
          <w:rStyle w:val="FootnoteAnchor"/>
          <w:rtl w:val="true"/>
        </w:rPr>
        <w:footnoteReference w:id="129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المكيل والموزون أو نقله بوجه آخر قبل قبضه ، ولاسيّما الطعام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ابتلي فليصبر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يستأجر الأجيرُ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شرط المباشرة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آخرَ بأقل ممّا استؤجر به ولم يكن عمل شيئاً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المؤمن نفسه أو غلامه المؤمن أجيراً لمخالف في الدين من غير شرط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حرام مطلقاً ، أو لخصوص الكافر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استكثار الرزق علىٰ غيره </w:t>
      </w:r>
      <w:r>
        <w:rPr>
          <w:rStyle w:val="FootnoteAnchor"/>
          <w:rtl w:val="true"/>
        </w:rPr>
        <w:footnoteReference w:id="1295"/>
      </w:r>
      <w:r>
        <w:rPr>
          <w:rFonts w:ascii="IRNazanin" w:hAnsi="IRNazanin" w:eastAsia="IRNazanin"/>
          <w:color w:val="111111"/>
          <w:sz w:val="28"/>
          <w:sz w:val="28"/>
          <w:szCs w:val="28"/>
          <w:rtl w:val="true"/>
          <w:lang w:bidi="fa-IR"/>
        </w:rPr>
        <w:t>مع عدم بلوغ حدّ الحسد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بالسؤال </w:t>
      </w:r>
      <w:r>
        <w:rPr>
          <w:rStyle w:val="FootnoteAnchor"/>
          <w:rtl w:val="true"/>
        </w:rPr>
        <w:footnoteReference w:id="1296"/>
      </w:r>
      <w:r>
        <w:rPr>
          <w:rFonts w:ascii="Amiri" w:hAnsi="Amiri" w:eastAsia="Amiri" w:cs="Amiri"/>
          <w:color w:val="111111"/>
          <w:sz w:val="28"/>
          <w:sz w:val="28"/>
          <w:szCs w:val="28"/>
          <w:rtl w:val="true"/>
          <w:lang w:bidi="ar-SA"/>
        </w:rPr>
        <w:t>، وخصوصاً بالكفّ</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لبعض الأشخاص ، ومن بعض الأشخاص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الاكتساب بالمدح ، وإعطاء المادح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احثوا في </w:t>
      </w:r>
    </w:p>
    <w:p>
      <w:pPr>
        <w:pStyle w:val="BookText"/>
        <w:rPr/>
      </w:pPr>
      <w:r>
        <w:rPr>
          <w:rFonts w:ascii="Amiri" w:hAnsi="Amiri" w:eastAsia="Amiri" w:cs="Amiri"/>
          <w:color w:val="111111"/>
          <w:sz w:val="28"/>
          <w:sz w:val="28"/>
          <w:szCs w:val="28"/>
          <w:rtl w:val="true"/>
          <w:lang w:bidi="ar-SA"/>
        </w:rPr>
        <w:t>وجوه المدّاحين التراب</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إيجار المستأجر الأرض بأكثر ممّا استأجر به مع عدم العمل بها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الأرض بحنطة أو شعير، ولاسيّما إذا شرط من حاصلها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جريه في سائر ما ينبت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المقاصّة من الوديعة </w:t>
      </w:r>
      <w:r>
        <w:rPr>
          <w:rStyle w:val="FootnoteAnchor"/>
          <w:rtl w:val="true"/>
        </w:rPr>
        <w:footnoteReference w:id="1301"/>
      </w:r>
      <w:r>
        <w:rPr>
          <w:rFonts w:ascii="Amiri" w:hAnsi="Amiri" w:eastAsia="Amiri" w:cs="Amiri"/>
          <w:color w:val="111111"/>
          <w:sz w:val="28"/>
          <w:sz w:val="28"/>
          <w:szCs w:val="28"/>
          <w:rtl w:val="true"/>
          <w:lang w:bidi="ar-SA"/>
        </w:rPr>
        <w:t xml:space="preserve">، فإنْ أراد ذلك استحبّ له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لم آخذه ظلماً ولا خيانة وإنّما أخذته مكان مالي الذي اُخذ مني لم أزدد عليه شيئاً</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الشريك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علىٰ تقسيم جميع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بالخيانة</w:t>
      </w:r>
      <w:r>
        <w:rPr>
          <w:rStyle w:val="FootnoteAnchor"/>
          <w:rtl w:val="true"/>
        </w:rPr>
        <w:footnoteReference w:id="1303"/>
      </w:r>
      <w:r>
        <w:rPr>
          <w:rFonts w:ascii="Amiri" w:hAnsi="Amiri" w:eastAsia="Amiri" w:cs="Amiri"/>
          <w:color w:val="111111"/>
          <w:sz w:val="28"/>
          <w:sz w:val="28"/>
          <w:szCs w:val="28"/>
          <w:rtl w:val="true"/>
          <w:lang w:bidi="ar-SA"/>
        </w:rPr>
        <w:t xml:space="preserve">، ولو بأن يشتري بعين مال نفسه أو ذمّته شيئاً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المعلّم بعض الصبيان علىٰ بعض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الأجير بعض المستأجرين علىٰ بعض من غير داع الٰهی</w:t>
      </w:r>
      <w:r>
        <w:rPr>
          <w:rStyle w:val="FootnoteAnchor"/>
          <w:rtl w:val="true"/>
        </w:rPr>
        <w:footnoteReference w:id="130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زخرفة المساجد وتزويقها </w:t>
      </w:r>
      <w:r>
        <w:rPr>
          <w:rStyle w:val="FootnoteAnchor"/>
          <w:rtl w:val="true"/>
        </w:rPr>
        <w:footnoteReference w:id="1307"/>
      </w:r>
      <w:r>
        <w:rPr>
          <w:rFonts w:ascii="Amiri" w:hAnsi="Amiri" w:eastAsia="Amiri" w:cs="Amiri"/>
          <w:color w:val="111111"/>
          <w:sz w:val="28"/>
          <w:sz w:val="28"/>
          <w:szCs w:val="28"/>
          <w:rtl w:val="true"/>
          <w:lang w:bidi="ar-SA"/>
        </w:rPr>
        <w:t xml:space="preserve">، وأخذ الأجرة عليها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w:t>
      </w:r>
    </w:p>
    <w:p>
      <w:pPr>
        <w:pStyle w:val="BookText"/>
        <w:rPr/>
      </w:pPr>
      <w:r>
        <w:rPr>
          <w:rFonts w:ascii="Amiri" w:hAnsi="Amiri" w:eastAsia="Amiri" w:cs="Amiri"/>
          <w:color w:val="111111"/>
          <w:sz w:val="28"/>
          <w:sz w:val="28"/>
          <w:szCs w:val="28"/>
          <w:rtl w:val="true"/>
          <w:lang w:bidi="ar-SA"/>
        </w:rPr>
        <w:t xml:space="preserve">بها المشاهد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بعضهم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الكراهة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الانهماك في علم النحو ، فيسلب الخشوع ، كما في الخبر</w:t>
      </w:r>
      <w:r>
        <w:rPr>
          <w:rStyle w:val="FootnoteAnchor"/>
          <w:rtl w:val="true"/>
        </w:rPr>
        <w:footnoteReference w:id="1311"/>
      </w:r>
      <w:r>
        <w:rPr>
          <w:rFonts w:ascii="IRNazanin" w:hAnsi="IRNazanin" w:eastAsia="IRNazanin"/>
          <w:color w:val="111111"/>
          <w:sz w:val="28"/>
          <w:sz w:val="28"/>
          <w:szCs w:val="28"/>
          <w:rtl w:val="true"/>
          <w:lang w:bidi="fa-IR"/>
        </w:rPr>
        <w:t xml:space="preserve">ولا بأس بالاطلاع علىٰ الأنساب، والأشعار والوقائع ، وإنْ لم يكن فيها فضل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علم لا يضرّ مَن جَهِلَه ، ولا ينفع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 أو فريضة عادلة ، أو سنّة قائمة ، وما خلاهن فهو فضل</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الظالم صدقاً بغير ما يبعث علىٰ قوّته ، وإلّا فيحرم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له من غير علّة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الهدايا، خصوصاً الطيب والحلوىٰ</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الظالمين من دون دخول في معاصيهم ولا سبب يدعو إليهم، ومحبّتهم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بالتحريم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من مستجدّ النعمة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فكان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بالليل من الناس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الأماني ، فإنّها بضائع النوكيٰ</w:t>
      </w:r>
      <w:r>
        <w:rPr>
          <w:rStyle w:val="FootnoteAnchor"/>
          <w:rtl w:val="true"/>
        </w:rPr>
        <w:footnoteReference w:id="1319"/>
      </w:r>
      <w:r>
        <w:rPr>
          <w:rFonts w:ascii="Amiri" w:hAnsi="Amiri" w:eastAsia="Amiri" w:cs="Amiri"/>
          <w:color w:val="111111"/>
          <w:sz w:val="28"/>
          <w:sz w:val="28"/>
          <w:szCs w:val="28"/>
          <w:rtl w:val="true"/>
          <w:lang w:bidi="ar-SA"/>
        </w:rPr>
        <w:t xml:space="preserve">، وتثبّط عن الآخرة ، وأشرف الغنىٰ ترك المُنىٰ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الشعر مكثراً منه في غير حقّ، فقد روي أنّ امتلاء جوف الرجل قيحاً خير خير من امتلائه شعراً </w:t>
      </w:r>
      <w:r>
        <w:rPr>
          <w:rStyle w:val="FootnoteAnchor"/>
          <w:rtl w:val="true"/>
        </w:rPr>
        <w:footnoteReference w:id="132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الرجال الأجانب النساء ، وبالعكس ، مع الاحتياج إلىٰ المكالمة والمحادثة </w:t>
      </w:r>
      <w:r>
        <w:rPr>
          <w:rStyle w:val="FootnoteAnchor"/>
          <w:rtl w:val="true"/>
        </w:rPr>
        <w:footnoteReference w:id="1322"/>
      </w:r>
      <w:r>
        <w:rPr>
          <w:rFonts w:ascii="Amiri" w:hAnsi="Amiri" w:eastAsia="Amiri" w:cs="Amiri"/>
          <w:color w:val="111111"/>
          <w:sz w:val="28"/>
          <w:sz w:val="28"/>
          <w:szCs w:val="28"/>
          <w:rtl w:val="true"/>
          <w:lang w:bidi="ar-SA"/>
        </w:rPr>
        <w:t xml:space="preserve">، حيث نقول بعدم دخول الصوت في العورة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الحجّام من أجرته المأخوذة بالشرط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إذا لم يصل إلىٰ حد الضارّ الحرام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يعارض شيئاً من الطاعات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بتحريم ما عارض الواجبات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المعاملات التي لا تخلو من الشبهات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زائداً علىٰ المعتاد في الاكتساب ،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لم يعط العين حظّها من النوم</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الكسب سحت و حرام</w:t>
      </w:r>
      <w:r>
        <w:rPr>
          <w:rStyle w:val="FootnoteAnchor"/>
          <w:rtl w:val="true"/>
        </w:rPr>
        <w:footnoteReference w:id="132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الهبة ، فانّه كالرجوع بالقيء</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السعي في الطلب ، فيكون من طلب الحريص ، فإنّه يكره </w:t>
      </w:r>
      <w:r>
        <w:rPr>
          <w:rStyle w:val="FootnoteAnchor"/>
          <w:rtl w:val="true"/>
        </w:rPr>
        <w:footnoteReference w:id="1331"/>
      </w:r>
      <w:r>
        <w:rPr>
          <w:rFonts w:ascii="Amiri" w:hAnsi="Amiri" w:eastAsia="Amiri" w:cs="Amiri"/>
          <w:color w:val="111111"/>
          <w:sz w:val="28"/>
          <w:sz w:val="28"/>
          <w:szCs w:val="28"/>
          <w:rtl w:val="true"/>
          <w:lang w:bidi="ar-SA"/>
        </w:rPr>
        <w:t>كما يكره التضييع والكسل</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ما تلوناه مباحث شريفة تأتي في محالّها إن شاء اللّٰه تعالىٰ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النبي صلی اللّٰه علیه و آله عن بيع حبَل الحبلة</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 xml:space="preserve">بتحريك الباء مفتوحة فيهما، وهو بحسب العبارة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كتب اللغة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للنهي عن بيع حمل ذوات الأحمال ، وعن بيع حمل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فُسّر في النهاية الأثيرية</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القيل ، بعد ذكر المعنيين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 بثمن مؤجّل إلى نتاج نتاج الناقة</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ولعلّ البيع مثال للمعاوضات ، والناقة مثال للحيوانات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والباعتُ علىٰ النهي الجهالة والغرر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المَجْر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بفتح الميم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والتحريك لغة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في الأرحام </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ويطلق علىٰ نفس ما فيها </w:t>
      </w:r>
      <w:r>
        <w:rPr>
          <w:rStyle w:val="FootnoteAnchor"/>
          <w:rtl w:val="true"/>
        </w:rPr>
        <w:footnoteReference w:id="1342"/>
      </w:r>
      <w:r>
        <w:rPr>
          <w:rFonts w:ascii="Amiri" w:hAnsi="Amiri" w:eastAsia="Amiri" w:cs="Amiri"/>
          <w:color w:val="111111"/>
          <w:sz w:val="28"/>
          <w:sz w:val="28"/>
          <w:szCs w:val="28"/>
          <w:rtl w:val="true"/>
          <w:lang w:bidi="ar-SA"/>
        </w:rPr>
        <w:t xml:space="preserve">، وعلىٰ شراء </w:t>
      </w:r>
      <w:bookmarkStart w:id="321" w:name="pg20243_272307"/>
    </w:p>
    <w:p>
      <w:pPr>
        <w:pStyle w:val="BookText"/>
        <w:rPr/>
      </w:pPr>
      <w:bookmarkEnd w:id="321"/>
      <w:r>
        <w:rPr>
          <w:rFonts w:ascii="Amiri" w:hAnsi="Amiri" w:eastAsia="Amiri" w:cs="Amiri"/>
          <w:color w:val="111111"/>
          <w:sz w:val="28"/>
          <w:sz w:val="28"/>
          <w:szCs w:val="28"/>
          <w:rtl w:val="true"/>
          <w:lang w:bidi="ar-SA"/>
        </w:rPr>
        <w:t xml:space="preserve">البعير بما </w:t>
      </w:r>
      <w:r>
        <w:rPr>
          <w:rStyle w:val="FootnoteAnchor"/>
          <w:rtl w:val="true"/>
        </w:rPr>
        <w:footnoteReference w:id="1343"/>
      </w:r>
      <w:r>
        <w:rPr>
          <w:rFonts w:ascii="Amiri" w:hAnsi="Amiri" w:eastAsia="Amiri" w:cs="Amiri"/>
          <w:color w:val="111111"/>
          <w:sz w:val="28"/>
          <w:sz w:val="28"/>
          <w:szCs w:val="28"/>
          <w:rtl w:val="true"/>
          <w:lang w:bidi="ar-SA"/>
        </w:rPr>
        <w:t xml:space="preserve">في بطن الناقة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285006_2320776876"/>
      <w:bookmarkStart w:id="323" w:name="_Toc114"/>
      <w:bookmarkEnd w:id="322"/>
      <w:r>
        <w:rPr>
          <w:rtl w:val="true"/>
        </w:rPr>
        <w:t>النهی عن بیع عسیب الفحل</w:t>
      </w:r>
      <w:bookmarkEnd w:id="3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بيع عسيب الفحل </w:t>
      </w:r>
      <w:r>
        <w:rPr>
          <w:rStyle w:val="FootnoteAnchor"/>
          <w:rtl w:val="true"/>
        </w:rPr>
        <w:footnoteReference w:id="1345"/>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البحرين</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الأكثر </w:t>
      </w:r>
      <w:r>
        <w:rPr>
          <w:rStyle w:val="FootnoteAnchor"/>
          <w:rtl w:val="true"/>
        </w:rPr>
        <w:footnoteReference w:id="1347"/>
      </w:r>
      <w:r>
        <w:rPr>
          <w:rFonts w:ascii="Amiri" w:hAnsi="Amiri" w:eastAsia="Amiri" w:cs="Amiri"/>
          <w:color w:val="111111"/>
          <w:sz w:val="28"/>
          <w:sz w:val="28"/>
          <w:szCs w:val="28"/>
          <w:rtl w:val="true"/>
          <w:lang w:bidi="ar-SA"/>
        </w:rPr>
        <w:t xml:space="preserve">أنّه 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نفس الماء، وعلى الضراب، وعلى إعطاء الكراء عليه، وعلىٰ النسل والولد </w:t>
      </w:r>
      <w:r>
        <w:rPr>
          <w:rStyle w:val="FootnoteAnchor"/>
          <w:rtl w:val="true"/>
        </w:rPr>
        <w:footnoteReference w:id="1348"/>
      </w:r>
      <w:bookmarkStart w:id="324" w:name="pg20243_272308"/>
    </w:p>
    <w:p>
      <w:pPr>
        <w:pStyle w:val="Heading3"/>
        <w:numPr>
          <w:ilvl w:val="2"/>
          <w:numId w:val="1"/>
        </w:numPr>
        <w:rPr/>
      </w:pPr>
      <w:bookmarkStart w:id="325" w:name="__RefHeading___Toc5285008_2320776876"/>
      <w:bookmarkStart w:id="326" w:name="_Toc115"/>
      <w:bookmarkEnd w:id="324"/>
      <w:bookmarkEnd w:id="325"/>
      <w:r>
        <w:rPr>
          <w:rtl w:val="true"/>
        </w:rPr>
        <w:t>النهی عن بیع الملاقیح</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بيع الملاقيح</w:t>
      </w:r>
      <w:r>
        <w:rPr>
          <w:rStyle w:val="FootnoteAnchor"/>
          <w:rtl w:val="true"/>
        </w:rPr>
        <w:footnoteReference w:id="1349"/>
      </w:r>
      <w:r>
        <w:rPr>
          <w:rFonts w:ascii="IRNazanin" w:hAnsi="IRNazanin" w:eastAsia="IRNazanin"/>
          <w:color w:val="111111"/>
          <w:sz w:val="28"/>
          <w:sz w:val="28"/>
          <w:szCs w:val="28"/>
          <w:rtl w:val="true"/>
          <w:lang w:bidi="fa-IR"/>
        </w:rPr>
        <w:t xml:space="preserve">، وهو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بطون الاُمّهات</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اللغة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وما في بطونها، و</w:t>
      </w:r>
      <w:r>
        <w:rPr>
          <w:rStyle w:val="FootnoteAnchor"/>
          <w:rtl w:val="true"/>
        </w:rPr>
        <w:footnoteReference w:id="1353"/>
      </w:r>
      <w:r>
        <w:rPr>
          <w:rFonts w:ascii="Amiri" w:hAnsi="Amiri" w:eastAsia="Amiri" w:cs="Amiri"/>
          <w:color w:val="111111"/>
          <w:sz w:val="28"/>
          <w:sz w:val="28"/>
          <w:szCs w:val="28"/>
          <w:rtl w:val="true"/>
          <w:lang w:bidi="ar-SA"/>
        </w:rPr>
        <w:t xml:space="preserve">ما في ظهور الجمال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والمضامين </w:t>
      </w:r>
      <w:r>
        <w:rPr>
          <w:rStyle w:val="FootnoteAnchor"/>
          <w:rtl w:val="true"/>
        </w:rPr>
        <w:footnoteReference w:id="1354"/>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أصلاب الفحول</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327" w:name="pg20243_272309"/>
    </w:p>
    <w:p>
      <w:pPr>
        <w:pStyle w:val="BookText"/>
        <w:rPr/>
      </w:pPr>
      <w:bookmarkEnd w:id="327"/>
      <w:r>
        <w:rPr>
          <w:rFonts w:ascii="Amiri" w:hAnsi="Amiri" w:eastAsia="Amiri" w:cs="Amiri"/>
          <w:color w:val="111111"/>
          <w:sz w:val="28"/>
          <w:sz w:val="28"/>
          <w:szCs w:val="28"/>
          <w:rtl w:val="true"/>
          <w:lang w:bidi="ar-SA"/>
        </w:rPr>
        <w:t xml:space="preserve">والباعث علىٰ النهي هو الجهالة </w:t>
      </w:r>
      <w:r>
        <w:rPr>
          <w:rStyle w:val="FootnoteAnchor"/>
          <w:rtl w:val="true"/>
        </w:rPr>
        <w:footnoteReference w:id="1356"/>
      </w:r>
      <w:r>
        <w:rPr>
          <w:rFonts w:ascii="IRNazanin" w:hAnsi="IRNazanin" w:eastAsia="IRNazanin"/>
          <w:color w:val="111111"/>
          <w:sz w:val="28"/>
          <w:sz w:val="28"/>
          <w:szCs w:val="28"/>
          <w:rtl w:val="true"/>
          <w:lang w:bidi="fa-IR"/>
        </w:rPr>
        <w:t xml:space="preserve">والغرر </w:t>
      </w:r>
      <w:r>
        <w:rPr>
          <w:rStyle w:val="FootnoteAnchor"/>
          <w:rtl w:val="true"/>
        </w:rPr>
        <w:footnoteReference w:id="1357"/>
      </w:r>
      <w:r>
        <w:rPr>
          <w:rFonts w:ascii="Amiri" w:hAnsi="Amiri" w:eastAsia="Amiri" w:cs="Amiri"/>
          <w:color w:val="111111"/>
          <w:sz w:val="28"/>
          <w:sz w:val="28"/>
          <w:szCs w:val="28"/>
          <w:rtl w:val="true"/>
          <w:lang w:bidi="ar-SA"/>
        </w:rPr>
        <w:t xml:space="preserve">، فيجري في كلّ عقد يفسده الغرر ، لا لكونه بيع نجس في بعض الأقسام </w:t>
      </w:r>
      <w:r>
        <w:rPr>
          <w:rStyle w:val="FootnoteAnchor"/>
          <w:rtl w:val="true"/>
        </w:rPr>
        <w:footnoteReference w:id="1358"/>
      </w:r>
      <w:r>
        <w:rPr>
          <w:rFonts w:ascii="Amiri" w:hAnsi="Amiri" w:eastAsia="Amiri" w:cs="Amiri"/>
          <w:color w:val="111111"/>
          <w:sz w:val="28"/>
          <w:sz w:val="28"/>
          <w:szCs w:val="28"/>
          <w:rtl w:val="true"/>
          <w:lang w:bidi="ar-SA"/>
        </w:rPr>
        <w:t xml:space="preserve">، فيصحّ فيه الصلح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علىٰ الانقلاب يلحقه بالقابل للتطهير ، أو يكون مستثنىًٰ من قاعدة المنع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285010_2320776876"/>
      <w:bookmarkStart w:id="329" w:name="_Toc116"/>
      <w:bookmarkEnd w:id="328"/>
      <w:r>
        <w:rPr>
          <w:rtl w:val="true"/>
        </w:rPr>
        <w:t>النهی عن بیع الملاسمة</w:t>
      </w:r>
      <w:bookmarkEnd w:id="32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الملامسة</w:t>
      </w:r>
      <w:r>
        <w:rPr>
          <w:rStyle w:val="FootnoteAnchor"/>
          <w:rtl w:val="true"/>
        </w:rPr>
        <w:footnoteReference w:id="1359"/>
      </w:r>
      <w:r>
        <w:rPr>
          <w:rFonts w:ascii="Amiri" w:hAnsi="Amiri" w:eastAsia="Amiri" w:cs="Amiri"/>
          <w:color w:val="111111"/>
          <w:sz w:val="28"/>
          <w:sz w:val="28"/>
          <w:szCs w:val="28"/>
          <w:rtl w:val="true"/>
          <w:lang w:bidi="ar-SA"/>
        </w:rPr>
        <w:t>، وهو أن يبيعه غير مشاهد علىٰ أنه متىٰ لمسه صحّ البيع</w:t>
      </w:r>
      <w:r>
        <w:rPr>
          <w:rFonts w:eastAsia="Amiri" w:cs="Amiri" w:ascii="Amiri" w:hAnsi="Amiri"/>
          <w:color w:val="111111"/>
          <w:sz w:val="28"/>
          <w:szCs w:val="28"/>
          <w:rtl w:val="true"/>
          <w:lang w:bidi="ar-SA"/>
        </w:rPr>
        <w:t>)</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اللغة </w:t>
      </w:r>
      <w:r>
        <w:rPr>
          <w:rStyle w:val="FootnoteAnchor"/>
          <w:rtl w:val="true"/>
        </w:rPr>
        <w:footnoteReference w:id="1361"/>
      </w:r>
      <w:r>
        <w:rPr>
          <w:rFonts w:ascii="Amiri" w:hAnsi="Amiri" w:eastAsia="Amiri" w:cs="Amiri"/>
          <w:color w:val="111111"/>
          <w:sz w:val="28"/>
          <w:sz w:val="28"/>
          <w:szCs w:val="28"/>
          <w:rtl w:val="true"/>
          <w:lang w:bidi="ar-SA"/>
        </w:rPr>
        <w:t xml:space="preserve">عدم التقييد بعدم المشاهدة ، وإضافة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يلمس المتاع من وراء الثوب ولا ينظر إليه ويوقع البيع </w:t>
      </w:r>
      <w:r>
        <w:rPr>
          <w:rStyle w:val="FootnoteAnchor"/>
          <w:rtl w:val="true"/>
        </w:rPr>
        <w:footnoteReference w:id="1362"/>
      </w:r>
      <w:bookmarkStart w:id="330" w:name="pg20243_272310"/>
    </w:p>
    <w:p>
      <w:pPr>
        <w:pStyle w:val="Heading3"/>
        <w:numPr>
          <w:ilvl w:val="2"/>
          <w:numId w:val="1"/>
        </w:numPr>
        <w:rPr/>
      </w:pPr>
      <w:bookmarkStart w:id="331" w:name="__RefHeading___Toc5285012_2320776876"/>
      <w:bookmarkStart w:id="332" w:name="_Toc117"/>
      <w:bookmarkEnd w:id="330"/>
      <w:bookmarkEnd w:id="331"/>
      <w:r>
        <w:rPr>
          <w:rtl w:val="true"/>
        </w:rPr>
        <w:t>النهی عن بیع المنابذة</w:t>
      </w:r>
      <w:bookmarkEnd w:id="33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المنابذة </w:t>
      </w:r>
      <w:r>
        <w:rPr>
          <w:rStyle w:val="FootnoteAnchor"/>
          <w:rtl w:val="true"/>
        </w:rPr>
        <w:footnoteReference w:id="1363"/>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إنْ نبذته إلىّ فقد اشتريته بكذا</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اللغة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نبذته إليك فقد وجب البيع بكذا ؛ أو اعتبار مجموع النبذين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نَبَذْتُ الحصاةَ وجب البيع</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بيع الحصاة </w:t>
      </w:r>
      <w:r>
        <w:rPr>
          <w:rStyle w:val="FootnoteAnchor"/>
          <w:rtl w:val="true"/>
        </w:rPr>
        <w:footnoteReference w:id="136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هذه الحصاة فعلى أيّ ثوب وقعت فهو لك بكذا</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 السلَع ما وقعت عليه حصاتك إذا رميت بها أو بعتك من الأرض إلىٰ حيث تنتهى حصاتك </w:t>
      </w:r>
      <w:r>
        <w:rPr>
          <w:rStyle w:val="FootnoteAnchor"/>
          <w:rtl w:val="true"/>
        </w:rPr>
        <w:footnoteReference w:id="1369"/>
      </w:r>
      <w:r>
        <w:rPr>
          <w:rFonts w:ascii="Amiri" w:hAnsi="Amiri" w:eastAsia="Amiri" w:cs="Amiri"/>
          <w:color w:val="111111"/>
          <w:sz w:val="28"/>
          <w:sz w:val="28"/>
          <w:szCs w:val="28"/>
          <w:rtl w:val="true"/>
          <w:lang w:bidi="ar-SA"/>
        </w:rPr>
        <w:t xml:space="preserve">ويجري الحكم في أمثالها ممّا يشتمل علىٰ الغرر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وطرق الاختراع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المسابقة ،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سبقتني فالثوب لك بكذا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وبيع المناظرة ،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 نظرك إليه من الثياب فهو لك بکذا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النظر مع ملتقط أو حائز أو مشترٍ بنظره إلىٰ ما استقلّت يده عليه قبل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الاُخوّة عند أهل الهند ، ليرث كلّ صاحبه</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شركة الأبدان والوجوه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المغارسة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 الزوجين أنْ لا يتزوّج أحدهما بعد صاحبه</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تعاقدهما علىٰ أنّ الولد له والبنت لها ، أو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الصکّ بماله فيه من الدين، حصل أو لا، أمكن تحصيله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الجرايات </w:t>
      </w:r>
      <w:r>
        <w:rPr>
          <w:rStyle w:val="FootnoteAnchor"/>
          <w:rtl w:val="true"/>
        </w:rPr>
        <w:footnoteReference w:id="1371"/>
      </w:r>
      <w:r>
        <w:rPr>
          <w:rFonts w:ascii="IRNazanin" w:hAnsi="IRNazanin" w:eastAsia="IRNazanin"/>
          <w:color w:val="111111"/>
          <w:sz w:val="28"/>
          <w:sz w:val="28"/>
          <w:szCs w:val="28"/>
          <w:rtl w:val="true"/>
          <w:lang w:bidi="fa-IR"/>
        </w:rPr>
        <w:t>والوظائف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الغيب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شيئاً يحتمل العدم قبل البيع والوجود بأيسر ثمن ، ولو ظهر العدم ذهب الثمن من المشتري بلا عوض كما هو معتاد النصارىٰ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يجتمع منهم عشرة رجال، فيشترون بعيراً بينهم وينحرونه ويقسّمونه عشرة </w:t>
      </w:r>
      <w:r>
        <w:rPr>
          <w:rStyle w:val="FootnoteAnchor"/>
          <w:rtl w:val="true"/>
        </w:rPr>
        <w:footnoteReference w:id="1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أجزاء ، وكان لهم عشرة سهام ، لا ريش لها ولا نصل ، تسمّىٰ قداحاً ، ولها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 وله سهم ، والتوأم وله سهمان ، والرقيب وله ثلاثة ، والحلس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أربعة ، والنافس وله خمسة ، والمسبل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السادس وله ستة ، والمعلّىٰ وله سبعة ، وثلاثة لا أنصباء لها،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المنيح ، والسفيح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علىٰ وزن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يجعلون القداح في خريطة ، ويضعونها في يد ثقة ، فيحرّكها ويدخل يده في تلك الخريطة ويجيلها ويخرج كلّ قدح باسم ، فيأخذ أصحاب السهام سهامهم ، ولا يُعطى الثلاثة شيئاً فيُحرمون ويغرمون ثمن الجزور 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الاختراع إيقاع النذور لغير اللّٰه ، والقسم بغير الله ، مع اعتقاد شرعيتها ، والمقامرة بهما ، إلىٰ غير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 بعضكم علىٰ بعض</w:t>
      </w:r>
      <w:r>
        <w:rPr>
          <w:rFonts w:eastAsia="IRNazanin" w:cs="IRNazanin"/>
          <w:color w:val="111111"/>
          <w:sz w:val="28"/>
          <w:szCs w:val="28"/>
          <w:rtl w:val="true"/>
          <w:lang w:bidi="fa-IR"/>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لا يقول الرجل للمشترى في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مثل هذه السلعة بأقلّ من الثمن ، أو خيراً منها بالثمن ، أو أقلّ</w:t>
      </w:r>
      <w:r>
        <w:rPr>
          <w:rFonts w:eastAsia="Amiri" w:cs="Amiri" w:ascii="Amiri" w:hAnsi="Amiri"/>
          <w:color w:val="111111"/>
          <w:sz w:val="28"/>
          <w:szCs w:val="28"/>
          <w:rtl w:val="true"/>
          <w:lang w:bidi="ar-SA"/>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نحوه في المعاملات الاُخر وقت خيارها ، لتنقيح المناط ، ولاشتراكها في السعي في الفساد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ينبغي أنْ يقول للبائع في مدّة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أزيدك في الثمن</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ويسري إلى غيره كالأوّل </w:t>
      </w:r>
      <w:r>
        <w:rPr>
          <w:rFonts w:eastAsia="Amiri" w:cs="Amiri" w:ascii="Amiri" w:hAnsi="Amiri"/>
          <w:color w:val="111111"/>
          <w:sz w:val="28"/>
          <w:szCs w:val="28"/>
          <w:rtl w:val="true"/>
          <w:lang w:bidi="ar-SA"/>
        </w:rPr>
        <w:t xml:space="preserve">. </w:t>
      </w:r>
      <w:bookmarkStart w:id="333" w:name="pg20243_272314"/>
    </w:p>
    <w:p>
      <w:pPr>
        <w:pStyle w:val="Heading3"/>
        <w:numPr>
          <w:ilvl w:val="2"/>
          <w:numId w:val="1"/>
        </w:numPr>
        <w:rPr/>
      </w:pPr>
      <w:bookmarkStart w:id="334" w:name="__RefHeading___Toc5285014_2320776876"/>
      <w:bookmarkStart w:id="335" w:name="_Toc118"/>
      <w:bookmarkEnd w:id="333"/>
      <w:bookmarkEnd w:id="334"/>
      <w:r>
        <w:rPr>
          <w:rtl w:val="true"/>
        </w:rPr>
        <w:t>حکم بیع التلجئة</w:t>
      </w:r>
      <w:bookmarkEnd w:id="33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وبيع التلجئة باطل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المواطاة علىٰ الاعتراف بالبيع من غير خوفاً من ظالم</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يشبه ذلك من المعاملات وباقي أقسام المواطاة ، لفقد شرطى العقد والقصد</w:t>
      </w:r>
      <w:r>
        <w:rPr>
          <w:rFonts w:eastAsia="Amiri" w:cs="Amiri" w:ascii="Amiri" w:hAnsi="Amiri"/>
          <w:color w:val="111111"/>
          <w:sz w:val="28"/>
          <w:szCs w:val="28"/>
          <w:rtl w:val="true"/>
          <w:lang w:bidi="ar-SA"/>
        </w:rPr>
        <w:t xml:space="preserve">. </w:t>
      </w:r>
      <w:bookmarkStart w:id="336" w:name="pg20243_272315"/>
    </w:p>
    <w:p>
      <w:pPr>
        <w:pStyle w:val="Heading2"/>
        <w:numPr>
          <w:ilvl w:val="1"/>
          <w:numId w:val="1"/>
        </w:numPr>
        <w:rPr/>
      </w:pPr>
      <w:bookmarkStart w:id="337" w:name="__RefHeading___Toc5285016_2320776876"/>
      <w:bookmarkStart w:id="338" w:name="_Toc119"/>
      <w:bookmarkEnd w:id="336"/>
      <w:bookmarkEnd w:id="337"/>
      <w:r>
        <w:rPr>
          <w:rtl w:val="true"/>
        </w:rPr>
        <w:t>مصادر التحقیق</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منصور منصور أحمد بن علي بن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على طبعة بيروت مؤسسة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الحلّي الحسن بن يوسف بن المطهّر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السيد 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لثقة الإسلام أبي جعفر محمد بن يعقوب بن إسحاق الكليني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الشيخ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لخير الدين الزركلي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العلم للملايين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للشريف المرتضى علم الهدى علي بن الحسين الموسوي البغدادي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النشر الإسلامي التابعة لجماعة المدرسين بقم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لفخر المحققين أبي طالب محمد بن الحسن بن يوسف بن المطهّر الحلّي المتوفى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حسين الموسوي الكرماني والشيخ علي پناه الاشتهاردي والشيخ عبد الرحيم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العلمية بقم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للمولى محمد باقر المجلسي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الإسلامية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رشد القرطبي المتوفى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على طبعة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الأوّل محمد بن مكي الجزيني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w:t>
      </w:r>
    </w:p>
    <w:p>
      <w:pPr>
        <w:pStyle w:val="BookText"/>
        <w:rPr/>
      </w:pPr>
      <w:r>
        <w:rPr>
          <w:rFonts w:ascii="IRNazanin" w:hAnsi="IRNazanin" w:eastAsia="IRNazanin"/>
          <w:color w:val="111111"/>
          <w:sz w:val="28"/>
          <w:sz w:val="28"/>
          <w:szCs w:val="28"/>
          <w:rtl w:val="true"/>
          <w:lang w:bidi="fa-IR"/>
        </w:rPr>
        <w:t xml:space="preserve">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بنیاد فرهنگی امام المهدي الاطقم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للشيخ منصور علي 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بن الحسن الطوسي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وتصحيح أحمد حبيب قصير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إحياء التراث العربي مصوّرة عن طبعة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للإمام جمال الدين أبي منصور الحسن بن يوسف بن المطهّر المعروف بالعلّامة الحلّى 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الشيخ إبراهيم البهادري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للعلّامة الحلّي الحسن بن يوسف بن المطهر 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مؤسسة آل البيت علیهم السلام لإحياء التراث ط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أجزاؤه ابتداءً من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المسمّى بمفاتيح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الفخر الرازي اعداد مكتب تحقيق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الرائع لمختصر الشرائع</w:t>
      </w:r>
    </w:p>
    <w:p>
      <w:pPr>
        <w:pStyle w:val="BookText"/>
        <w:rPr/>
      </w:pPr>
      <w:r>
        <w:rPr>
          <w:rFonts w:ascii="Amiri" w:hAnsi="Amiri" w:eastAsia="Amiri" w:cs="Amiri"/>
          <w:color w:val="111111"/>
          <w:sz w:val="28"/>
          <w:sz w:val="28"/>
          <w:szCs w:val="28"/>
          <w:rtl w:val="true"/>
          <w:lang w:bidi="ar-SA"/>
        </w:rPr>
        <w:t xml:space="preserve">لجمال الدين الفاضل المقداد بن عبدالله السيوري الحلّي 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عبداللطيف الحسيني الكوه كمري ط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في شرح المقنعة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الحجّة السيد حسن الموسوي الخرسان منشورات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علي الأردبيلي الغروي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w:t>
      </w:r>
    </w:p>
    <w:p>
      <w:pPr>
        <w:pStyle w:val="BookText"/>
        <w:rPr/>
      </w:pPr>
      <w:r>
        <w:rPr>
          <w:rFonts w:ascii="Amiri" w:hAnsi="Amiri" w:eastAsia="Amiri" w:cs="Amiri"/>
          <w:color w:val="111111"/>
          <w:sz w:val="28"/>
          <w:sz w:val="28"/>
          <w:szCs w:val="28"/>
          <w:rtl w:val="true"/>
          <w:lang w:bidi="ar-SA"/>
        </w:rPr>
        <w:t xml:space="preserve">المرعشي النجفي 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اوفست على الطبعة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للفقيه البارع يحيى بن سعيد الهذلي المتوفى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مؤسسة سيد الشهداء العلمية بإشراف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للمحقق الثاني الشيخ علي بن الحسين الكركي المتوفى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آل البيت علیهم السلام ط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حسن النجفي المتوفى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الشيخ الآخوندي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إحياء التراث العربي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للمحدّث الشيخ يوسف البحراني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w:t>
      </w:r>
    </w:p>
    <w:p>
      <w:pPr>
        <w:pStyle w:val="BookText"/>
        <w:rPr/>
      </w:pPr>
      <w:r>
        <w:rPr>
          <w:rFonts w:ascii="Amiri" w:hAnsi="Amiri" w:eastAsia="Amiri" w:cs="Amiri"/>
          <w:color w:val="111111"/>
          <w:sz w:val="28"/>
          <w:sz w:val="28"/>
          <w:szCs w:val="28"/>
          <w:rtl w:val="true"/>
          <w:lang w:bidi="ar-SA"/>
        </w:rPr>
        <w:t xml:space="preserve">الإسلامية ط طهران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لشيخ الطائفة الإمام أبي جعفر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علي الخراساني، السيد جواد الشهرستاني ، الشيخ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مؤسسة النشر الإسلامي لجماعة المدرسين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للشهيد الأوّل أبي عبدالله شمس الدين محمد مكي العاملي المتوفى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محمد تقي وعلي أصغر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للعلّامة المحقق ملا محمد باقر السبزواري المتوفى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مؤسسة آل البيت علیهم السلام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اوفست على الطبعة الحجرية بلا 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للعلامة الشيخ أقا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مصوّرة في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نشردار الأضواء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 الأوّل محمد بن جمال الدين مكّي العاملي الجزيني المتوفى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الهدى أبي القاسم علي بن موسى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الثاني الشيخ علي بن الحسين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للشهيد السعيد زين الدين الجبعي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البيت علیهم السلام للطباعة والنشر مصوّرة على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الناسخ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للشهيد الثاني زين الدين الجبعي العاملي المتوفى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الشيخ عبدالله السبيتي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قم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مصوّرة عن طبعة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مرکز انتشارات دفتر تبلیغات اسلامي حوزة علمية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للسيد علي بن السيد محمد علي الطباطبائي المتوفى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فرع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إدريس الحلّي أبي جعفر محمد بن منصور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p>
    <w:p>
      <w:pPr>
        <w:pStyle w:val="BookText"/>
        <w:rPr/>
      </w:pPr>
      <w:r>
        <w:rPr>
          <w:rFonts w:ascii="Amiri" w:hAnsi="Amiri" w:eastAsia="Amiri" w:cs="Amiri"/>
          <w:color w:val="111111"/>
          <w:sz w:val="28"/>
          <w:sz w:val="28"/>
          <w:szCs w:val="28"/>
          <w:rtl w:val="true"/>
          <w:lang w:bidi="ar-SA"/>
        </w:rPr>
        <w:t xml:space="preserve">ونشر مؤسسة النشر الاسلامي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الحلّي أبي القاسم نجم الدين جعفر بن الحسن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الحسين محمد على ط النجف الأشرف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عقيل على ألفية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لقاضي القضاة بهاء الدين عبدالله بن عقيل العقيلي الهمداني المصري تحقیق محمد محیی الدين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طهران طبعة مصوّرة على الطبعة الرابعة عشرة في عام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في مناقب آل الرسول ومثالب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ابن أمير الحاج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صفاء الدين البصري ط طهران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الطباعة والنشر فى وزارة الإرشاد الإسلامي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المسمّى تاج اللغة وصحاح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نصر 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شهاب الدين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في شرح نكت الإرشاد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الأوّل محمد بن مكي العاملي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جماعة باشراف الشيخ رضا المختاري طقم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مركز النشر التابع لمكتب الإعلام الإسلامي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مفلح الصيمري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جعفر الكوثراني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للفقيه البارع الأقدم السيد حمزة بن علي بن زهرة الحلبي 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إبراهيم البهادري منشورات 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اللآلي العزيزية في الأحاديث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علي بن إبراهيم الأحسائي المعروف بابن أبي جمهور 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الحاج آقا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من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لثقة الإسلام أبي جعفر محمد بن يعقوب الكليني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لقطب الدين أبي الحسن سعيد بن هبة الله الراوندي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القواعد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لزين الدين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أبو الحسن المطلبي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منشورات مركز النشر التابع لمكتب الإعلام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لمجد الدين محمد بن يعقوب الفيروزآبادي 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مكتب تحقيق التراث في مؤسسة الرسالة ط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الحلّى أبي منصور الحسن بن يوسف بن المطهّر الأسدي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مؤسسة النشر الإسلامي التابعة لجماعة المدرسين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ابتداءً من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والأصول والعربية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الأوّل أبي عبدالله محمد بن مكي العاملي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السيد عبد الهادي الحكيم ط مطبعة الأداب في النجف الأشرف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للفقيه الأقدم أبي الصلاح الحلبي المتوفى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العلّامة الجليل الشيخ رضا استادي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غوامض التنزيل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جار الله محمود بن عمر الزمخشري المتوفى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مصوّرة في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دار البلاغة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لزين الدين أبي علي الحسن بي أبي طالب اليوسفي المعروف بالفاضل الآبي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السابع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الحاج الشيخ علي پناه الاشتهاردي والحاج آغا حسين اليزدي منشورات مؤسسة النشر الاسلامي التابعة لجماعة المدرسين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الريبة عن أحكام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بن علي الجبعي العاملي 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سيد الشهداء عليه السلام 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 عن مبهمات الشريعة الغرّاء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جعفر ابن الشيخ خضر الجناجي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الحسن بن محمد الأصفهاني المعروف بالفاضل الهندي المتوفى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المرعشي النجفي 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اوفست على الطبعة الحجرية في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المحقق المولى محمد باقر بن محمد مؤمن السبزواري المتوفى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مهدوي أصفهان اوفست على الطبعة الحجرية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تاريخ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للعلّامة المحدّث الشيخ عباس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اوفست على طبعة صيدا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في حل مشكلات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عميد الدين عبد المطلب محمد بن الأعرج 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النشر الإسلامي التابعة لجماعة المدرسين بقم المقدسة ط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العربي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للدكتور خليل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المطبعة البولسية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ابن منظور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إحياء التراث العربي، مؤسسة التاريخ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للشهيد الأول أبي عبدالله شمس الدين محمد بن مكي العاملي المتوفى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تقي وعلي أصغر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أبي جعفر محمد بن الحسن بن علي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السيد محمد تقي الكشفي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المكتبة المرتضوية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 الدين الطريحي 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w:t>
      </w:r>
    </w:p>
    <w:p>
      <w:pPr>
        <w:pStyle w:val="BookText"/>
        <w:rPr/>
      </w:pPr>
      <w:r>
        <w:rPr>
          <w:rFonts w:ascii="Amiri" w:hAnsi="Amiri" w:eastAsia="Amiri" w:cs="Amiri"/>
          <w:color w:val="111111"/>
          <w:sz w:val="28"/>
          <w:sz w:val="28"/>
          <w:szCs w:val="28"/>
          <w:rtl w:val="true"/>
          <w:lang w:bidi="ar-SA"/>
        </w:rPr>
        <w:t xml:space="preserve">الحسيني ط مطبعة الآداب في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العرفان صيدا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للمولى أحمد المقدّس الأردبيلي المتوفى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أغا مجتبى العراقي، شيخ علي پناه الاشتهاردي، الحاج أغا حسين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الإسلامي التابعة لجماعة المدرسين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القاسم نجم الدين جعفر بن الحسن الحلى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مطبوعات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على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الأستاذ أحمد حسن الباقوري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الحسن بن يوسف بن المطهر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مؤسسة النشر التابعة لجماعة المدرسين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للفقيه المحقق السيد محمّد بن علي الموسوي العاملي المتوفى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الفقه الإمامي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للفقيه حمزة بن عبد العزيز الديلمي الملقّب بسلّار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الدكتور محمود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الحرمين ، ط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الهدى السيد علي بن الحسين بن موسى الشريف المرتضى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مركز البحوث والدراسات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إلى تنقيح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العاملي الجبعي 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للحاج ميرزا حسين النوري الطبرسى 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مؤسسة آل البيت الله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للمولى أحمد بن محمد مهدي النراقي المتوفى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آل البيت علیهم السلام لإحياء التراث فرع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بحوث آية الله العظمى السيد أبي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w:t>
      </w:r>
    </w:p>
    <w:p>
      <w:pPr>
        <w:pStyle w:val="BookText"/>
        <w:rPr/>
      </w:pPr>
      <w:r>
        <w:rPr>
          <w:rFonts w:ascii="Amiri" w:hAnsi="Amiri" w:eastAsia="Amiri" w:cs="Amiri"/>
          <w:color w:val="111111"/>
          <w:sz w:val="28"/>
          <w:sz w:val="28"/>
          <w:szCs w:val="28"/>
          <w:rtl w:val="true"/>
          <w:lang w:bidi="ar-SA"/>
        </w:rPr>
        <w:t xml:space="preserve">الميرزا محمد علي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دار الهادي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بن على المقري الفيومي 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مصوّرة 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للسيد محمد جواد الحسيني العاملي المتوفى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مؤسسة آل البيت علیهم السلام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مصوّرة عن طبعة المطبعة الرضوية بمصر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حسن الفيض الكاشاني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w:t>
      </w:r>
    </w:p>
    <w:p>
      <w:pPr>
        <w:pStyle w:val="BookText"/>
        <w:rPr/>
      </w:pP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مجمع الذخائر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القاسم الحسين بن محمد المعروف بالراغب الأصفهاني المتوفى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مصوّرة في ايران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چاپی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المقتصر من شرح المختصر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لجمال الدين أبي العباس أحمد بن محمد بن فهد الحلّي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مجمع البحوث الإسلامية في مشهد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أو حديث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عبد الرزاق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مصوّرة عن 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لأبي جعفر الصدوق محمد بن علي بن الحسين بن بابويه القمي المتوفى</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لفخر الشيعة أبي عبدالله محمد بن محمد بن النعمان العكبري البغدادي الملقب بالشيخ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النشر الإسلامي لجماعة المدرسين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الأعظم أستاذ انتهاء والمجتهدين الشيخ مرتضى الأنصاري المتوفى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نجبه تحقيق تراث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لآية الله فى العالمين جمال الدين أبي منصور الحسن بن يوسف بن المطهّر المشتهر بالعلّامة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في ايران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الصدوق أبي جعفر محمد بن علي بن الحسين بن بابويه القمّي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الشيخ علي أكبر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المدرسين </w:t>
      </w:r>
    </w:p>
    <w:p>
      <w:pPr>
        <w:pStyle w:val="BookText"/>
        <w:rPr/>
      </w:pPr>
      <w:r>
        <w:rPr>
          <w:rFonts w:ascii="Amiri" w:hAnsi="Amiri" w:eastAsia="Amiri" w:cs="Amiri"/>
          <w:color w:val="111111"/>
          <w:sz w:val="28"/>
          <w:sz w:val="28"/>
          <w:szCs w:val="28"/>
          <w:rtl w:val="true"/>
          <w:lang w:bidi="ar-SA"/>
        </w:rPr>
        <w:t xml:space="preserve">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مصوّرة عن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للقاضي عبد العزيز ابن البرّاج الطرابلسي 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سيد الشهداء العلمية بإشراف الشيخ جعفر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النشر الإسلامي التابعة لجماعة المدرسين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لجمال الدين أبي العباس أحمد بن محمد بن فهد الحلي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الشيخ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النشر الإسلامي التابعة لجماعة المدرسين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إسماعيليان طبعة مصوّرة عن طبعة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ط قم مؤسسة إسماعيليان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مجد الدين أبى السعادات المبارك بن محمد الجزري ؛ ابن الأثير 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طاهر أحمد الزاوي ، 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بلا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العلمية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لشيخ الطائفة أبي جعفر محمّد بن الحسن بن علي الطوسي المتوفى</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قدس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مجموع ما اختاره الشريف أبو الحسن محمّد الرضى بن الحسن الموسوي من كلام الإمام أمير المؤمنين أبي الحسن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نصّه الدكتور صبحي الصالح منشورات دار الأسوة ط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للمحّدث محمد محسن الفيض الكاشاني المتوفى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ضياء الدين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أصفهان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منشورات مكتبة الإمام أمير المؤمنين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بن الحسن الحرّ العاملي المتوفى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المطبوعة بقم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المطبوعة بطهران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الشيخ عبد الرحيم الرباني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للفقيه عمادالدين أبي جعفر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الحسون منشورات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20243_272333"/>
      <w:bookmarkStart w:id="340" w:name="pg20243_272333"/>
      <w:bookmarkEnd w:id="340"/>
    </w:p>
    <w:p>
      <w:pPr>
        <w:pStyle w:val="Heading2"/>
        <w:numPr>
          <w:ilvl w:val="1"/>
          <w:numId w:val="1"/>
        </w:numPr>
        <w:rPr/>
      </w:pPr>
      <w:bookmarkStart w:id="341" w:name="pg20243_272333"/>
      <w:bookmarkStart w:id="342" w:name="__RefHeading___Toc5285018_2320776876"/>
      <w:bookmarkStart w:id="343" w:name="_Toc120"/>
      <w:bookmarkEnd w:id="341"/>
      <w:bookmarkEnd w:id="342"/>
      <w:r>
        <w:rPr>
          <w:rtl w:val="true"/>
        </w:rPr>
        <w:t>فهرس الموضوعات</w:t>
      </w:r>
      <w:bookmarkEnd w:id="3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حياة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اسمه وشهرته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موطنه ومدفنه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حركته النشطة لدعم الاتجاه الأصولي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مدرسته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المشاهير من تلامذته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الخطية المعتمدة في تحقيق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نموذج من خطّ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مصادر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نماذج مصوّرة من النسخ الخطية المعتمدة في تحقيق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بداية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كتاب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إنقسام الفقه إلى أربعة أقسام وتعريفها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كتاب المتاجر</w:t>
      </w:r>
    </w:p>
    <w:p>
      <w:pPr>
        <w:pStyle w:val="BookText"/>
        <w:rPr/>
      </w:pPr>
      <w:r>
        <w:rPr>
          <w:rFonts w:ascii="Amiri" w:hAnsi="Amiri" w:eastAsia="Amiri" w:cs="Amiri"/>
          <w:color w:val="111111"/>
          <w:sz w:val="28"/>
          <w:sz w:val="28"/>
          <w:szCs w:val="28"/>
          <w:rtl w:val="true"/>
          <w:lang w:bidi="ar-SA"/>
        </w:rPr>
        <w:t>تعريف المتاجر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أقسام 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الواجب من 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المندوب من 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المباح من 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المكروه من المتاجر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بيع الاكفان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بيع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بيع الرقيق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اتخاذ الذبح والنحر 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الحياكة والنساجة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تقبيل القابلة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أجرة الضراب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كسب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كسب غير المتجنب للحرام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أجرة 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تعشير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القصابة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ركوب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خصاء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معاملة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معاملة السفلة والأدنين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معاملة المحارفين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معاملة ذوي العاهات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معاملة 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معاملة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المحظور من المتاجر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لا يقبل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 وأرواث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المائعات النجسة التي لا تقبل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استثناء الدهن المتنجس للاستصباح به تحت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جوا بيع 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حرمة أبوال ما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استثناء بول الإبل للاستشفاء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جواز بيع الكلاب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حرمة اقتناء الأعيان النجسة إلا 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حرمة اقتناء المؤذيات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المقصود منه حراماً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آلات اللهو</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آلات 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هياكل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بيع السلاح لأعداء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إجارة السفن والمساكن للمحرمات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بيع العنب ليعمل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بيع الخشب ليعمل صنماً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کراهة بيعهما على من يعمله من غير شر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حرمة التوكيل في بيع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ليس للمسلم منع الذمّي المستأجر داره من بيع الخمر فيها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لو أجره لذلك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حكم استئجار الدابة لحمل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بيع ما يكن من آلة السلاح لأعداء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لا ينتفع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السباع مما لا يصلح للصيد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جواز بيع دود القز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جواز بيع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جواز بيع الماء والتراب والحجارة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حرمة بيع الترياق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حكم بيع السمّ من الحشائش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جواز بيع لبن الآدميات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حكم بيع دار لا طريق يوصل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الشارع على تحريمه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عمل الصور المجسمة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حكم استثنائه في الأعراس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حرمة أجر النائح والنائحة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حكم الحداء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الغشّ بما يخفى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تزيين الرجل أو المرأة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معونة الظالمين في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كتب الضلال ونسخها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غيبتهم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مستثنياتها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الكذب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النميمة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مدح من يستحق الذم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ذمّ مَن يستحق المدح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التشبيب بالمرأة المعروفة المؤمنة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وجوب قتل المستحلّ 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حكم حلّ السحر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التنجيم وتعلم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بيع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جواز الأجرة على كتابة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حرمة السرقة والخيانة وبيعهما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حكم من وجد عنده 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حكم ما لو اشترى بمال السرقة والخيانة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ما لو حجّ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الطواف والسعي بالثوب المغصوب أو على الدابة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الخامس ما يجب على الإنسان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حرمة الأجرة على تغسيل الموتى وتكفينهم ودفنهم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جواز الأجرة على المستحب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حرمة الأجرة على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حرمة الأجرة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جواز أخذ الرزق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جواز الأجرة على عقد النكاح والخطبة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حرمة الأجرة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حرمة الأجرة على تحمّل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حرمة الأجرة على أدائها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تلقي 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ثبوت الخيار مع الغبن الفاحش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هل الخيار على نحو الفور أو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حرمة النجش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ثبوت الخيار فيه مع الغبن الفاحش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الثاني حرمة 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ما يحرم احتكاره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اشتراط الحرمة بشرطين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اشتراط الحرمة بالمدة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إجبار المحتكر على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دفع إليه مالاً ليفرّقه في قبيل وكان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أكل ما ينثر في الأعراس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الولاية من قبل الإمام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حكم الولاية من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جوائز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حكم ما يأخذه الجائر باسم المقاسمة والخراج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 الحلال المختلط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الأجير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الأجير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أكل المارة من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اشتراط عدم 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اشتراط عدم الإفساد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ثمن الكفن وماء تغسيل الميت وأجرة البذرقة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أخذ الرجل من مال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حكم أخذ الولد من مال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حكم أخذ الأم من مال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حكم أخذ الزوجة من مال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حكم تناول الأرحام والمحارم المأدوم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حكم أخذ الزوج من مال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w:t>
      </w:r>
    </w:p>
    <w:p>
      <w:pPr>
        <w:pStyle w:val="BookText"/>
        <w:rPr/>
      </w:pPr>
      <w:r>
        <w:rPr>
          <w:rFonts w:ascii="Amiri" w:hAnsi="Amiri" w:eastAsia="Amiri" w:cs="Amiri"/>
          <w:color w:val="111111"/>
          <w:sz w:val="28"/>
          <w:sz w:val="28"/>
          <w:szCs w:val="28"/>
          <w:rtl w:val="true"/>
          <w:lang w:bidi="ar-SA"/>
        </w:rPr>
        <w:t>ما يستحب لطالب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يتبع ذلك من مستحبات و 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يكره لطالب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ما يتبع ذلك من 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النهي عن بيع حبل الحبلة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النهي عن بيع المجر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النهي عن بيع عسیب الفحل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النهي عن بيع الملاقيح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النهي عن بيع المضامين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النهي عن بيع الملامسة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النهي عن بيع المنابذة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النهي عن بيع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ذكر بعض العقود المخترعة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النهي عن بيع البعض على بيع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حكم بيع التلجئة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زرت هذه القرية مراراً برفقة المرحوم والدي، في أواخر الستينات الميلادية ، وكانت له مع أهلها صلات منذ شبابه ، وذكريات حدّثنا بالكثير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صغيرة جدّاً ، تقع على ضفة نهر صغير ، يتفرّع من سدة الهندية ، يتقوّت أهلها علىٰ محاصيلها الزراعية ، ويعرفون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الهامش الآتى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من أدنى القرى ، وأهلها من أفقر الناس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بعض مَن ترجم له أنّ نسبه ينتهي إلى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نقل الدكتور السيد جودت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ذوي الخبرة والاختصاص بمعرفة الأنساب وعشائر العراق نفيهم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دليل علىٰ عدم انتسابه لمالك الأشتر أنّه لم يذكره للدفاع عن نفسه ، وهو في مقام الاختصام والاحتجاج علىٰ من رماه بأنّه من نسل بني أميّة ، بل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 أتيت بالعجب حيث نسبت إلى بني أميّة شخصاً من أهل عراق العرب ، وقد علم الناس أنّ عراق العرب محلّ بني العباس ، ومَن كان فيه من بني أمية فرّوا منه ، ولم يبق منهم أحد ، ولم يعرف أحد من أهل العراق من أهل الصحارى والبلدان بهذا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جناجية من أدنى القرىٰ ، وأهلها من أفقر الناس ، فكيف عرفت أصلهم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ظهر اسم جناجية إلّا بظهور والدي ، حيث خرج منها إلى النجف ، واشتغل بتحصيل العلم ، وعرف بالصلاح والتقوى الفضيلة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جاء في رسالته المسمّاة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الغطاء ، علىٰ ما حكاه السيد الخونساري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ذكر هذه الرسالة في عداد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لانتسابه لمالك الأشتر نصيب من الصحّة لانتصر به ، ولكان ذلك خير ما يدفع به الشبهة المذكورة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الزركلي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الخطأ ، إذ خلط بينه وبين الشيخ خضر بن شلّال ، المتوفى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الأتي ذكره في عداد تلامذة 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السيد الأمين سبب هجرته إلىٰ النجف فراجعه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الخضري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شخصية ذات أبعاد مختلفة وجوانب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اقتصرنا ههنا علىٰ ذكر ما يناسب المقام ، وهو إبراز الجانب العلمي من حياته ، وأثره في تطوّر علم الفقه وأصوله ، وبناء مدرسة فقهية وتخريج تلامذة صاروا فيما بعد أقطاب الحوزات العلمية ، حيث ربّى كل منهم عدداً كبيراً من طلاب العلم ، وساهموا في إحياء حركة الاجتهاد واستمرارها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الجوانب الأخرى من شخصيته والأدوار التي مارسها على الصعيد الاجتماعي والسياسي والجهادي والتبليغي فالحديث عنها موكول إلىٰ كتب التراجم ، فقد تحدثت تلك الكتب بصفحات مضيئة وأحرف مشرقة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مرجعيته ورئاسته ونفوذه وبسط يده وانقياد الناس قاطبة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عبادته وتهجده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وتقواه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في حماية النجف الأشرف من العدوان الخارجي المتمثّل بهجمات الوهّابيين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في حفظ الأمن الداخلي لهذه البلدة المقدّسة بإخماد نائرة فتنة الزگرت والشمرت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خدماته الاجتماعية وتفقده للفقراء وتفننه في جمع المساعدات المالية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رعايته لطلّاب العلوم الدينية ومراقبة سلوكهم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حماية أبناء المجتمع من القوانين الجائرة للولاة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حماية أبناء المذهب في شتّىٰ البقاع من الانحراف السلوكي والعقائدي ومنها محاربة بدع الصوفية وضلالاتهم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أسفاره إلىٰ إيران وتجوّله في مدنها وما كان لذلك من آثار وما رافقه من 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مع سلطان إيران فتح على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صراعه مع الأخباريين وما جرى بينه وبين أقطابهم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رثاه المترجم له بقصيدة ، أوّلها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يدور على الألسن من أن طريقة بحثه في مجلس درسه لم تكن على ما هو المتعارف عند الأساتذة والمدرّسين ، من التسلسل في أبواب الفقه ، والتعرّض لمسائلها بالترتيب ، وإنّما كان عند حضوره للدرس يحمل معه شرائع المحقق ، فإذا ما اعتلى منبر التدريس تناول الكتاب منه بعض تلامذته الحافّين به ، ويفتحه لا علىٰ التعيين ، على نحو من يستخير بالمصحف أو يتفاءل به ، فأي صفحة خرجت فهي ، ويختار منها التلميذ مسألة ، ويقرؤها بصوت عال يسمعه الحضار ، ويصغون إليها ، وهي موضوع البحث ذلك اليوم، وبعد انتهاء القراءة ، يبدأ الشيخ البحث بنقل الأقوال وتحرير محلّ النزاع ، ثمّ يأخذ بالاستدلال عليها بالعمومات ، ثمّ بالأدلة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ما ينقل في هذا الباب ما حدّثني به بعض مشايخي الأجلّاء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المرحوم السيد موسى ابن السيد جعفر ابن السيد محمد آل العلوم ، المتوفى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أيام قراءتي عليه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ممن أدركه من العلماء أنّ شيخاً من شيوخ عشائر الدغارة توفي في زمن الشيخ كاشف الغطاء ، وأوصى بثلث ماله له ، فجاء الرسول من ذويه إلى الشيخ يطلب إليه أن يتصدّى لقبضه ، فانتخب الشيخ أحد تلاميذه لينوب عنه في ذلك ، وسافر الوكيل إليهم ، وطال مكثه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السبب في ذلك كون أموال المتوفى عبارة عن محاصيل زراعية أو ماشية أو أراض زراعية ، وبيع هذا النوع من المال وتبديله نقوداً يحتاج إلى وقت طويل، والمطلوب منه أن يعود بالمال نقوداً لا سلعاً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جهة أخرى ربّما أزعج تأخره إخوانه الطلبة في النجف المنتظرين عودته ، فإن المال سيوزعه الشيخ عليهم، ويغيثهم من بعض مراتب الفقر ولو لمدّة غير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بعد طول المدة ، وقد تزوّج زوجة المتوفّى ، وجاء بها وبالمال إلى النجف ، فاخذ الشيخ المال ووزعه على تلاميذه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أنّ أحد التلاميذ كان غائباً عند القسمة ، فلم يكن له نصيب ، ولما حضر وعلم بتقسيم المال استغل طريقة الشيخ المذكورة في التدريس ، لانتزاع شيء من المال منه ، فكان منه أن جاء إلى مجلس الدرس مبكراً ، ليحصل على مكان محاذ للمنبر ، ولما حضر الشيخ ، واستقر على المنبر ، لأخذ كتاب الشرائع منه ، وفتحه ، وقرأ ، رافعاً صوته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الميّت للوصي ، وفي زوجته تردد وإشكال ، والأشبه أنها للوكيل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فنسجها على غرار مسائل الشرائع، وعلى وزان ،عباراتها ، يعني بالوصي الشيخ ، وبالوكيل مَن ذهب نيابة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فوجم الطلّاب لغرابة المسألة ، ثمّ أنكروا عليه أن تكون في الكتاب مسألة كهذه، وحاولوا أخذ الكتاب منه لينظروا ماذا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أو لا أحسن قراءة عبارة ، وامتنع من تسليمهم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انصتوا فسأقرأ مرّة ثانية ، فقرء نفس ما قرأ أولاً ، والتفت الشيخ إلى النكتة وأخرج شيئاً من المال ، وانحنى عليه ، وناوله له ، بهدوء ومهارة دون أن يشعر الحاضرون وعندها ترك الكتاب لغيره ، ليقرأ ويبدء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هذا أنّ المؤلّف يستحضر جميع الفروعات والأحكام ومستنداتها والأقوال فيها ، ولذا ينقل عنه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محيت كلّ كتب الفقه أكتب من أوّل الطهارة إلى الديات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على ثقة شديدة من نبوغه ، واطمئنان من تفوّقه وتقدّمه ، في كل فج يقتحمه ، ووادٍ يسلكه ، وبحر يخوضه ، فمن الطرائف أيضاً ما ينقل أنه كان جالساً في بعض الأيام أصحابه ، فجرى ذكر الشعر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ستر على الشعراء حيث لم يجعلني منهم ، وإلا فما كنتُ أبقي سوقاً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أحد تلاميذه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 وما كان ذنب العلماء حتى لم يستر الله عليهم فجعلك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 الشيخ والحاضرون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غزارة علمه وتبحّره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في الفقه النافع ، المطبوع في مطبعة الآداب في النجف الأشرف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مؤلّفاته في الرد على الاتجاه الأخباري فى الاستنباط ، وسيأتي ذكرها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قام به فى سفره إلىٰ إيران، ومكثه فيها مدّة ثلاث سنين ، وتجوّله في كثير من مدنها ، وملاحقته للأخباريين فيها ، ومحاججتهم ، ومحاربتهم بشتى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ذلك في المصادر التي عقدت فصلاً للحديث عن أسفاره ، كالعبقات العنبرية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وكمثال على ذلك ما حكاه هو عن دخوله مدينة أردستان ، فراجعه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حضور المقدّس الشيخ حسين نجف في درس المؤلف ، كان بداعي التأييد ، والدعم المعنوي له ، وأمثال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لم يعدّه أرباب التراجم في تلامذة المؤلّف ، ولا ذكروا المؤلّف في أساتيذه ، بل كانت تدور حوله شبهة الأعلمية في قبال المؤلّف ، فقد حكى الشيخ الطهراني عن بعض الأكابر تعجّبهم من ترجيح المؤلّف عليه في أمر التقليد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السرّ في صدور هذه الكلمة من هذا الفقيه الفحل هو أن كتاب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عظمته وأهميته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مواكباً لقوّة الاستنباط المعاصرة له ، ولم يرق إلى مستواها المتألّق ، ولا يعكس ما وصلت إليه التحقيقات والتدقيقات الفقهية من القوّة والمتانة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مكاسب الشيخ الأعظم إشارات بل تصريحات بذلك في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عن ذلك مجال آخر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الحاج علي محمد علي دخيّل ،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نجفيات، المطبوع في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السنوات الأخيرة فتحت الدولة شارعاً جديداً في النجف الأشرف هدّم الكثير من مقابر العلماء ، وكان منها مقبرة الشيخ خضر شلّال ، فاُخرج من قبره طريّاً لم تغيّر الماءة والخمسون سنة منه شيئاً ، فشيّع تشييعاً عظيماً اشترك فيه جلّ أهل النجف ، وتنازعت عدة عشائر في أن تحظى بدفنه في مقابرها ، مدعية معه الرحم والقرابة</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الحسين الطهراني، المشهور بشيخ العراقين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تصدّىٰ 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 لأوّل مرّة ، وتقدّمت قصة عثوره على النسخة الصحيحة منه في ترجمة الشيخ راضي نصّار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السيد الأمين على هذه الحكاية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كلام اقتضاه السَمَر والمحادثة ، ولا يبتني على حقيقة راهنة ، فهو كسائر ما يتحدّث به العلماء الأعلام من الأمور الشعرية المحضة ، ثمّ ينقله عنهم كثيرون كحقيقة راهنة، وليس له من الحقيقة نصيب ، وهذا أمر قد اعتاده أهل هذه الأعصار ، لما اعتادوه من المبالغات ، فالعجب من الشيخ عبد الحسين الطهراني ، كيف يعتقد أنّ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كان يمكن أن يجعل كتابه شرحاً لكشف الغطاء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صاحب المستدرك كيف يظنّ أنّ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قصد من هذا الجواب الحقيقة والواقع ، لا مجرّد الإقناع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فكشف الغطاء مع ما هو عليه من الجودة في موضوعه ، ليس قابلاً لأن يكون متناً لمثل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 الذي يراد به جمع جميع كتب الفقه وأدلّة مسائله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 لا يحوي جميع كتب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أووات الشيخ أصعب في شرحها من ترددات المحقق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السيد الأمين كيف حمل كلام الشيخ الطهراني على هذا المعنى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أفهل يعقل أن يكون مراده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 متناً للجواهر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لاستاذه بأسلوب مؤدَّب إلى أنه لم تكن هناك حاجة ماسة لكتابة موسوعة فقهية كالجواهر ، مع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 ولا لشرح الشرائع، مع وجود الشروح المبسوطة الكثيرة ، وأنه كان الأجدر بأستاذه أن يتصدّى 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 فذلك أنفع لطلاب العلم من كتابة دورة فقهية ، إذ الحاجة إليه أمس ،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 يتضمّن مطالب هامة ، ومبهمات ومعضلات ، فيحتاج إلى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يشير أيضاً إلى استاذه بأنك الأقدر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إلى سؤال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جواب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فليس مراده بالعجز عدم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توهمه الناقل بل الظاهر أن مراده الضجر والسأم من كثرة تفريعات الشيخ كاشف الغطاء، وتطرقه لاحتمالات غير مبتلى بها ، كما عادته في سائر أبحاثه ، وجمعه للشوارد حتى البعيدة عن المقصود بالبحث</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الشيخ الطهراني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ثاني آثار المؤلّف في ترجمته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البيع من القواعد ،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الجعفرية ، و هو مقدمة لكشف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ولده الشيخ حسن ، ، كما شرحه السيد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جليل ، اشتمل على أكثر القواعد الفقهية ، وهو دليل تبحّره في الفقه ، و علوّ كعبه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منه مجلداً في مكتبة الشيخ عبد الحسين الطهراني بكربلاء ، شرح فيه كتاب البيع إلىٰ الخيارات شرحاً مزجياً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ويبدو وقوع الاختلاط في المسودّات التي كان يعدّها الشيخ الطهراني لتأليف كتابه ، فمن الواضح جداً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القواعد الجعفرية ، وهو مقدّمة لكشف الغطاء ، شرحه ولده الشيخ حسن ، كما شرحه السيد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علاقة لها بما تقدّم عليها وما تأخر ، نعم هما مترابطان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ذلك بملاحظة ما كتبه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في تعريفه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يجدر الالتفات إلى السهو في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العقائد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حَدَثانُ الدهر وحوادثه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 وما يحدث منه ، واحدها حادث ، وكذلك أحداثه ، واحدها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من أحداث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النازلة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محیی الدین عبدالحمید، في شرح قول الشاعر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انحصار الأقسام في الأربعة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ووجه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الحكم الشرعي إمّا أنْ تكون غايته الآخرة ، أو الغرض الأهم منه الدنيا ، والأوّل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يحتاج إلى عبارة أو لا ، والثانى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تكون العبارة من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 أو تقديراً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 والأوّل العقود ، والثاني الايقاعات</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الفقيه المتتبع السيد محمد جواد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أفاد تحقيقاً في معنى العبادة اصطلاحاً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ومنه يعلم حال ما قاله شيخنا العلّامة المعتبر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به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فسّر العبادات بأنها عبارة عمّا اشترط صحته النية ، أو ما شرّع للمصالح الأخروية ، أو ما كان فيه رجحانية شرعية أصلية أو عارضيّة ؛ فإنّ التفسير الثالث غير جيّد من وجوه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شامل لكل واجب ومستحب وإن لم يتوقف على 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أدخل فيها ما بالنية ، إلى غير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الفقيه الجامع الشيخ محمد حسن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 ، وهو لغةً ضدّ الحلّ ، وشرعاً قول من المتعاقدين أو قول من أحدهما وفعل من الآخر رتب الشارع الأثر المقصود عليه ، كما ستعرف تحقيق الحال فيه فيما يأتي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يعرف الحال فيما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به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تعميم المعاملات للعقود والإيقاعات بعد أن اعتبر فيهما الألفاظ ، وتعريف الأولى بأنّها المشتملة على الايجاب والقبول ، أو بأنها المشتملة على رضا الطرفين ، أو بأنّها المتضمنة لقصد من الجانبين ، والثانية بأنها إيجابات أو بأنها قصد من جانب واحد ، أو بأنها رضا كذلك ؛ إذ هو كما ترى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في النسخ ، ولعل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كُتبت كذلك جرياً علىٰ الطريقة القديمة لرسم الخط</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جمع متجر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مصدر ميمي بمعنى التجارة كالمقتل بمعنى القتل ، أو اسم موضع وهي الأعيان التي يكتسب بها ، والأوّل أليق بمقصود الفن ، فإنّ الفقه باحث عن فعل المكلّف فالمناسب أن يكون موضوع أبوابه بعض موضوعه ، والأعيان هي متعلقات فعل لمكلّف</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ترك الشهيد الأوّل أيضاً التعبير بالتجارة ، وجعل العنوان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المتاجر</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التاجر ، وهو الذي يبيع ويشتري للربح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الراغب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تاجر بكذا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به ، عارف الوجه المكتَسَبَ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ما اختاره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التزم بذلك فراراً من محذور الوقوع فى الاشتراك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علىٰ هذا الفقيه اللامع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من الغرابة ما لا يخفىٰ ، ضرورة عدم المدخلية للمعنى المزبور في جميع مقاصد الكتاب ، على أنه هو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الزكاة بعد أن ذكر تعريف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 التجارة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تعريفه بذلك من حيث تعلّق الزكاة ، وإلا فالتجارة مطلقاً أعمّ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عدّة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 الشارح ذكر بعضها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شك أنّ هذا التقسيم ليس من خصوصيات التجارة ، بل أكثر الأبواب أو كلّها كالصلح والإجارة يجري فيه ذلك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على ثلاثة أضرب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 على كل حال ، ومكروه ، ومباح على كل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في التثليث ملاحظة المتعلّق ، وهو ما صرّح به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الأوّل فيما يكتسب به ، وهو ينقسم إلى محرّم ومكروه ومباح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فجعل مورد القسمة في الثلاثة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اقتصار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الثلاثة هنا باعتبار تعلقها بالأعيان بالذات ولو من حيث فعل المكلف، ضرورة ثبوت الأعيان التي يحرم التكسب بها ذاتاً ، وكذلك الكراهة والإباحة ، بخلاف الوجوب والندب ، فإنّا لا نعرف من الأعيان ما يجب التكسب به كذلك أو يستحب ، وثبوت وجوب التكسب فی نفسه أعمّ من وجوبه بالعين المخصوصة من حيث الذات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المقدّس الاردبيلي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ويحتمل كون تركهما لقلّتهما ولكون المقصود بيان البيع وجوازه وعدمه وصحته وعدمها ، لا الثواب والعقاب ، فتأمل</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 التكسب إذا توقف تحصيل قوته وقوت عياله الواجبي النفقة عليه ، وقد يستحب إذا به المستحب ، وقد يحرم إذا اشتمل علىٰ وجه قبيح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المكروه والمباح في التقسيم ، وكأنّ الوجه في إسقاط المباح من بين الأقسام دلالة العقل والنقل علىٰ رجحان الاكتساب في ذاته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إسقاط المكروه هو أنّ النهي المتعلق بالمكاسب المكروهة علىٰ وزان النهي المتعلق بالعبادات كالصلاة في الحمّام مثلاً ، فهو إرشاد إلىٰ أقلّية الفضيلة ، فالكراهة فيها بمعنىٰ رجحان العدول إلىٰ غيرها ، لا تركها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سيأتي ذكره من الشارح في بيانه لقسمي المباح والمكروه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بالأولوية المقدّس الأردبيلي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ذكر الشارح هذين القيدين يظهر بملاحظة الهامشين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فالعبارة فيها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 هذا القسم والأقسام الآتية كحال المقسم من قيام الاحتمالات الثلاثة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كلام الماتن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 أن يدرج مطلق المؤنة من قوت وكسوة وسكنى ، وأن يبيّن أن المراد بمؤنته القدر الضروري في قوام بدنه ، وأما قوت عياله فيراد به ما شرعاً وإن يجب زاد على قدر الضرورة ، وأن يدرج فيه ما يدفع به حاجة المضطر ممّا يجب علىٰ الكفاية ، وأن يدرج فيه أيضاً مطلق التجارة التي بها يتحقق نظام النوع ، فإنّ ذلك من الواجبات الكفائية وإن زاد على ما ذكرناه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عبارة الماتن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حقه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عنده ما يدفع به الحاجة ، لأنه إذا لم يكن عنده ما يدفع به الحاجة وله وجوه في تحصيله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التجارة حينئذ واجباً مخيّراً ، وهو أحد أقسام الواجب ، فلا يجوز إخراجه بهذا القيد ، إلا أن يراد بالتجارة جميع أنواع الاكتساب على الإطلاق، وهو بعيد ، وإن كان الباب جامعاً لمعظم هذه الأقسام ، فإنّا نظن أنّ ذكر كثير منها من قبيل الاستطراد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والأقوى كون الوجوب هنا اصليّاً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مقصوداً في ذاته ، ووجوده مصلحة لذاته ، لا تبعيّاً يكون الغرض مجرّد حصوله لغيره فيكفي وإن كان على وجه محرّم وإن لم يطلبه الشارع كذلك كما يظهر الأخبار ، كما اختاره الاستاذ دام ظلّه العالي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عدّة أحاديث يستفاد منها ذلك</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التقييد بالقصد يقتضي أن من قصد التوسعة بتجارته وليس عنده ما يموّن به عياله تكون تجارته 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إسقاط القصد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به التوسعة ، لأن القصد معتبر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مطابقة فعل المكلف لما يطلب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مناط الاستحباب قصد التوسعة دون ما تحصل به التوسعة مطلقاً ، لأنّ الحكم بكون الفعل مستحباً يترتب عليه الثواب لا يتم بدون القصد ، ولو أسقط القصد يفسد المعنى</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 فيها بعدقوله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المحاويج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مطلق الفيض على الخلق ، أو أمر راجح ما كان بدلاً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غيرهم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الموضع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جعل القيد راجعاً إلىٰ الأمرين السابقين ، ليتحقق الاستحباب في قصد التوسعة علىٰ العيال ، إذ لولاه للزم استحباب التجارة مع قصد التوسعة عليهم وإن لم يكن عنده ما تندفع به به حاجتهم أنّ التوسعة تقتضى سبق الكفاية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يكون زيادة في المال فقط لكان أولى ، إلا أن يراد ما من شأنه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قيد بالقصد ليمكن وصفه بالإباحة ، لما تحقق في الأصول من أنّ الأحكام الخمسة متعلقة بفعل المكلف القاصد ، وأنّ الذاهل عن الفعل لسهو وغيره لا يوصف فعله بأحدها ، وحينئذ فلا يرد ما قيل من أنه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 زيادة في المال ؛ كان أولى</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جعل لكم الأرض ذلولاً فامشوا في مناكبها وكلوا من رزقه وإليه النشور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عدة أحاديث ، وغير ذلك مما سيذكره الشارح قريباً وغيره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جيد جداً لولا ما فيه من خرق الإجماع المعلوم، لأنه قد صرّح بأنّ منها المباح في النهاية والمراسم والسرائر وسائر مَن تأخّر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الدروس وقد يتوهّم منه 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ظاهرة أو منزّلة على الجهات الواجبات أو المستحبات ، بل لو كانت صريحة وأعرض المعظم عنها لوجب تأويلها كما حرر في فنّه ، فكيف بإعراض الجميع عن غير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استنهضه من دلالة العقل لا يجدي و لا يدل في المقام ، وإنّما هي أمور اعتبارية لا تناط بها الأحكام الشرعية ، معارضة بمثلها ممّا هو أقوىٰ منها ، بل قالوا في النكاح أنّ من أقسامه ما هو مباح مع أنّ الأخبار والإعتبار فيه أكثر وأظهر ممّا نحن فيه</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ولفظ الحديث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طلب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الذي ذكره الشارح قد ورد في بعض نسخ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الطلب والتعرض للرزق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المعنىٰ الظاهر في التنزيه أن يكون المعنىٰ المطلوب عرضة لما الأولىٰ تركه ، وهو في أكثر هذه الموارد كذلك ، كالصرف المعرّض للربا ، وبيع الأكفان المعرّض لتمنّي الوباء ، إلىٰ غير ذلك ممّا علّل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من هذا القسم بيع الرقيق والحياكة وشبههما ممّا لم يرد فيه ذلك ، بل ورد في بيع الرقيق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الناس من باع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الحياكة مرجوحيتها من قبل الشرع ، فيحمل كلامه في التنزيه علىٰ أن ما كرهه الشارع مرجوح وفي تركه رجحان ، فيتنزه المكلف عن المرجوحية إلى الرجحان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الشهيد الأوّل ،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يذكر بيع الطعام في عداد ما يكره التكسب به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مراد الشارح بيان ما هو موضوع الحكم بالكراهة ، لا بيان معنىٰ الطعام عرفاً ولغة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فالعبارة فيها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خصوص الحنطة وإن ادعي ظهوره فيها ، ولا مطلق المطعوم كما فسّر به وفي الآية وادعي ظهوره من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وايضاحاً للمطلب نذكر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العالي في كلام العرب أنّ الطعام هو البر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أطلق أهل الحجاز الطعام عنوا به البُرّ خاصة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ونشير هنا إلىٰ أنّ المقدّس الأردبيلي احتمل كون المراد بالطعام الذي يكره التكسب به الحنطة ،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المراد بالطعام الحنطة ، ولهذا في رواية إبراهيم بن عبد الحميد ورد المنع منها لا غير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أوردها الحرّ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مراد الشارح بالآية فهي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أحل لكم الطيبات وطعام الذين أوتوا الكتاب حلّ 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الزمخشري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جميع مطاعمهم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الطبرسي،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بطعام الذين أوتوا الكتاب ذبائحهم وغيرها من الأطعمة ، عن أبي الدرداء وعن ابن عباس وإبراهيم وقتادة والسدّي والضحاك ومجاهد ، وبه قال الطبري والجبائي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الراغب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الطَعْمُ 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ما يتناول منه طعم وطعام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الطعام عامّ في كل ما يُقتات من الحنطة والشعير والتمر وغير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اسم لما يُؤكل ، مثل الشراب اسم لما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يتغذى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ويشهد لسعة المعنى ما عقده أصحاب المجاميع الروائية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وأوردوا فيه أحكام جميع ما يتغذّىٰ به وما يؤكل عادة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خبر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علیه السلام فخبرته أنّه ولد لي غلام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سميته محمداً؟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تضرب محمداً ولا تشتمه جعله اللّٰه قرّة عين لك في حياتك وخلف صدق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فی أي الأعمال أضعه؟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خمسة أشياء فضعه حيث شئت ، لا تسلّمه صيرفياً فإنّ الصيرفي لا يسلم من الربا ، ولا تسلّمه بيّاع أكفان فإنّ صاحب الأكفان يسرّه الوباء إذا كان ، ولا تسلّمه بيّاع طعام فإنّه لا يسلم من الاحتكار ، ولا تسلّمه جزاراً فإنّ الجزّار تسلب منه الرحمة ، ولا تسلّمه نخاساً فإنّ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من باع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 وفي 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باع الطعام نُزعت منه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ومقتضىٰ التعليل فى الأوّل ثبوت الكراهة في خصوص ما يجري فيه الاحتكار ، ومقتضى الأخير عمومها لجميع ما يتغذىٰ به الناس من الحبوب وغيرها ، فحصر الكراهة بالحبوب يحتاج إلىٰ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لم يستبعد الشارح في آخر كلامه تسرية الحكم إلى جميع ما تعمّ الحاجة به إلىٰ القوت ويتعلق به الاحتكار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معللاً بقساوة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تمشت إلىٰ جميع ما يبعث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العلّة علىٰ موضع النص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 الصنعة جارٍ في الجميع وإن اختص في ظاهر العبارة بالأخير ، وستسمع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ويراجع ما دلّ على التعليل بقساوة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أنّ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أثبتناه في المتن هو الاستدلال بالعلل المتقدمة فإنّها إنما تتحقق في صورة اتخاذ تلك الأمور صنعةً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هما بمعنى واحد ، قال الفيروزآبادي،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حاك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ممّن اقتصر من الأصحاب على أحدهما ترادفهما كما في كتب أهل اللّغة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تخصيص النساجة ببعض الأجناس كالرقيق والحياكة بغيره، أو تخصيص الحياكة بالقطن والحرير والنساجة بالصوف ، أو جعل النساجة أعم من الحياكة ؛ فمن الاحتمالات التي لا نص عليها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حاك الرجل الثوب حَوْكاً من باب قال ، والحياكة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الصناعة ، فهو حائك ، والجمع حاكة وحَوَكة</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طائفتان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تدل على المنع مع الشرط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وطائفة تدل علىٰ المنع مطلقاً، و هی ما عداهما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اشتراط الحجّام الأجرة ، فلا يكره لو فعل ولم يشترطها وإن بذلت له ، ولا بأس بأكلها حينئذ كما وردت به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 علىٰ فعله سواء عيّنها أم أطلق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والمفهوم من كلام الأصحاب الكراهة مع الاشتراط ، وعدمها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يظهر من المقنعة عدم الكراهية أصلاً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وعبارة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وكسب الحجّام حلال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القرائن الحافّة بها لا تبعد حمل الحلية علىٰ المعنىٰ الأعم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الحرمة ، فلاحظ</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تابع الأصحاب ، فقال بالكراهة مع الشرط</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واحتمله المقدّس الأردبيلي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ونفى البعد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 وأمّا في الطائفة الثانية منها فكما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صرّح بقبول الشرط دخل في المشترط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ذلك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نفىٰ البأس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الكراهة مع الشرط أيضاً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ترك ذكرها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قبلهما المحقق الحلّي ، فهو أيضاً ذكر الكراهة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لكنّه ترك ذكرها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تركه الأكثر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الكراهة في القابلة مع الشرط فلم أقف فيها على دلالة ، بل أصالة الإباحة المطلقة والضرورة في ردّها أوضح قرينة ، إلا أن يكون إجماعاً ، والمناقشة فيه واضحة</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صلی اللّٰه علیه و آله عن ثمن عسيب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عسيب الفحل اُجرة ضرابه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الثمن الاُجرة ، فإنّها قد تسمّى ثمناً مجازاً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 الماتن في الكتاب ذكره في الفصل الثاني في الآداب ، مفسراً له بالنطفة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المقام تحقيق مفيد للمحدّث البحراني فراجعه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 من المواقعة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وردت فيها العبارة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 من الاكتساب بالنجس الغير القابل للتطهير ، ولا من الإجارة المملكة للأعيان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من النهي عنه ، ففي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عن كسب الغلام الصغير الذي لا يحسن صناعة بيده فإنّه إذا لم يجد سرق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واستدل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الكراهة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يدخله من الشبهة الناشئة من اجتراء الصبي على ما لا يحلّ ، لجهله ، أو لعلمه بارتفاع القلم عنه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ومحل الكراهة تكسب الولي به ، أو أخذه منه ، أو الصبي بعد رفع الحجر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يكره لوليّهم التصرف فيه علىٰ الوجه السائغ ، وكذا يكره لغيره شراؤه من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وأشكل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وكراهة تصرف غير الولى غير بعيد ، لما ذكر ، ووجوده في كلام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اجتناب الولي فمحلّ التأمّل ، بل يجب عليه أن يتصرف فيه كما يتصرف في سائر أمواله إذا صار ملكه أو أمكن ذلك ، فتحمل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تصرفه بحيث يجعله لنفسه ببيع وغيره ، فينبغي أن يصرفه في مأكله ومشربه وكسوته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ورد من الأخبار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أنّ الحرّ العاملي قُدّس سرّه عنون هذا الباب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اجتناب معاملة مَنْ ينفق ماله في معصية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قول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لا يتجنّب المحارم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لتطرّق الشبهة فيه أيضاً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الطائفة الثانية منها 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زوالها بعد الانتقال إلى يد آخر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الأصحاب كراهية أخذ الأجرة على تعليم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الكراهة مع الشرط وعدمها بدونه ، مدعياً عليه إجماع الأصحاب وقال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 بتحريمها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والقائل بالحرمة تقي الدين أبو الصلاح الحلبي ،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تعداد ما يحرم أخذ الأجر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إطلاقه ثبوت الحرمة حتى مع عدم اشتراط الأجرة من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بالحرمة مع الشرط وبالكراهة بدونه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باقي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قاله شيخنا في هذا الكتاب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طريق التأويل والوساطة والجمع دون الاعتقاد لكونه محرماً محظوراً ، لأنّ ما يقال على طريق التأويل والمناظرة لا يكون مذهباً لقائله ، لأنّ المقصود فيه غير ذلك ، من دفع الخصم وتأويل الكلام، وهذا يجري للسيد المرتضى في مناظرته الخصوم كثيراً وإن كان فتواه وعمله واعتقاده غير ذلك في المسألة ، فلا يظن ظانّ ولا يتوهم متوهم على شيخنا أبي جعفر رحمه اللّٰه أنه يعتقد حظر ذلك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المعلم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والنواهي تجدها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أفاد المقدس الأردبيلي تفسيراً جيداً للحديث الثالث فراجعه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المعارض هو خير الفضل بن أبي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تفهم دعوى الإجماع على عدم التحريم من كلام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في ضمن تعداده للمكروهات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والأجر على تعليم القرآن ، ونسخ المصاحف مع الشرط في ذلك ، ومع ارتفاعه فهو حلال طلق ، وهذا مذهب جميع أصحابنا ، وعليه إجماعهم منعقد</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المقدّس الأردبيلي أیضاً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ونفىٰ البعد عنه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عندي حمل جملة الأخبار الناهية عن الأجرة ، والمبالغة في تحريمها ، وأنها سحت ؛ علیٰ التقيّة ، كما هو ظاهر الخبر الأوّل بل صريحه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ومراده بالخبر الأوّل خبر الفضل بن أبي قرّة المشار إليه آنفاً في الهامش الأخير من الصفحة السابقة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هو المفهوم من كلام الأصحاب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المقدّس الأردبيلي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لزوم تذكير الضمير لعوده إلى التعليم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الشارح قدس سره بأنّه جعل حال النواهي مردداً بين حملها علىٰ التقية والكراهة وحال وجوب التعليم ، ولم يستقر علىٰ حملها على الكراهة ، فيبقىٰ السؤال عن وجه الحكم بالكراهة؟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ويلاحظ أن الشارح نقل مضمون الحديث فاللفظ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أيضاً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نقله الشارح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أيضاً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قيّد الشارح القصابة باشتمالها على النحر أو الذبح ؛ لزم رجوعها إلى ما مرّ من الماتن ، وهو اتخاذ الذبح والنحر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صنعة ولكن في الاخبار ما كان موضوع النهي فيه مطلق القصابة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التجارة وسائل الشيعة ، سيّما مع قول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والفرق بينها وبين الذبح والنحر معلوم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قَصَبْتُ الشاةَ قصْباً ،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قطعتها عضواً عضواً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قصّاب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الصناعة 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المنشأ في إرجاع الشارح القصابة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اتخاذ الذبح والنحر 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العنوانين في الخارج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ذلك يختلف باختلاف البلدان والأزمان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وردت فيهاالعبارة كما يلى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نحو كراهة العبادة، بمعنىٰ رجحان العدول إلىٰ غيرها ، لا تركها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تعادل ترك الاكتساب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 السيد العاملي هذه العبارة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تعقّبها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 واضح</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 مِلْحاً كان أو عَذْباً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خلاف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لعمقه واتساعه ، وقد غلب علىٰ الملح حتى قَلّ في العذب</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ما في عدّه في المقام من المسامحة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تحريمه تقي الدين أبو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تعداده للمكاسب المحرّمة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وذكر بعض أصحابنا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وخصاء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عندي تجنّب ذلك دون أن يكون محرّماً محظوراً ، لأنّ للانسان أن يعمل في ملكه ما فيه الصلاح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روي في ذلك يحمل على الكراهة دون الحظر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حكمه الجبّ والوجاء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الطائفة الثانية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 ظلمهم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جمع أدنیٰ أو دني</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التفاسير الثلاثة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والسفلة بمعناهم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الأخبار في معنى السَفَلة على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هو الذي لا يبالي ما قال ولا ما قيل له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من يضرب بالطنبور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السفلة من لم يسرّه الإحسان ولا تسوؤه الاساءة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والسفلة من ادعى الإمامة وليس لها بأهل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كلها أوصاف 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اجتمع فيه بعضها أو جميعها وجب اجتناب مخالطته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الصفحة علّق محقق الكتاب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الأمانة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محدود محروم ، وهو خلاف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حورف كسب فلان إذا شُدّد عليه في معاشه ، كأنه ميل برزقه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الخبر عن أبي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تشتر من محارف فإنّ صفقته لا بركة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ذوو العاهات هم الذين فيهم عيوب ، مثل الجذام والبرص والعمىٰ والعرج وغيرها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معللاً فيها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أظلم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 كراهة معاملتهم مطلقاً عدم خلوص مَن يعاملهم من أذىٰ بسببهم ، لعدم الخيرية فيهم غالباً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معلّلاً الكراهة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معلّلاً الكراهة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روي أنّ مَنْ نقص خلقه نقص عقله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وجدهم كُرْدُ بن عمرو مُزيقياء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بن ماء السماء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راجع إلى كراهية معاملة من لا بصيرة له فيما يشتريه ولا فيما يبيعه ، لأنّ الغالب علىٰ هذا الجيل والقبيل قلّة البصيرة ، لتركهم مخالطة الناس وأصحاب البصائر</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الأكراد حيّ من أحياء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وكأن الشارح نقله بالمعنىٰ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 الحديث بلفظه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تستعن بمجوسي ولو علىٰ أخذ قوائم شاتك وأنت تريد أن تذبحها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 باختلاف يسير في اللفظ</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وجميع ما مرّ من المكروهات متعلقاً بالأعواض يستحب التنزه عن أعواضه وهل تستلزم الأعواض ، أو لا ؟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وكراهة الاكتساب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قبح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الأول مبني على كون مراد الماتن بالموصول محل الكسب ، وهي العين ، فيحتاج إلى التقسيمات التي ذكرها الشارح، وقد ذكر كلا الوجهين واعتمدهما في شرح كلام الماتن السيد العاملي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ناقلاً لهما عن الشارح ، معبراً عنه بالاستاذ دام ظله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بعض النسخ إشارة إلىٰ نسخة أخرىٰ ، هي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نفسه أو في قصده أو فی المعاملة ، هذا إذا جعلنا ما الموصولة عبارة عن المحل ، وأما إذا جعل عبارة عن الاكتساب فلا حاجة إلى هذه القيود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 أقسام المحظور من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 بكل نجس لا يقبل التطهير</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يعطيه كلام أهل اللغة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المصدر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يعطيه كلام الأصحاب في باب الطهارة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أنّ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يحتمل الإطلاق الحقيقي ، إذ علّق على عبارة الماتن هنا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وغاية ما فيه أن یرید باللفظ حقيقته ومجازه معاً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ردّ عليه ذلك مدعياً أنّ إطلاق النجس علىٰ الأمرين بطريق الحقيقة لغةً وعرفاً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معترضاً على كلام الشارح هنا بعد ما حكم بجواز بيع المملوك المرتد عن فطرة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ولم نجد مَن تأمّل فيه من جهة نجاسته عدا ما يظهر من بعض الأساطين في شرحه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حيث احترز بقول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التطهير من النجاسات عمّا يقبله ولو بالإسلام ، كالمرتد ولو عن فطرة علىٰ أصحّ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فبنىٰ جواز بيع المرتد علىٰ قبول توبته ، بل بنىٰ جواز بيع مطلق الكافر علىٰ قبوله للظهر بالإسلام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 حكم الأصحاب بجواز بيع الكافر نظیر حكمهم بجواز بيع الكلب ، لا من حيث قابليته للتطهير نظير الماء المتنجس ، وأنّ اشتراطهم قبول التطهير إنّما هو فيما يتوقف الانتفاع به علىٰ طهارته ليتصف بالملكية ، لا مثل الكلب والكافر المملوكين مع النجاسة إجماعاً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البحث في ذلك من الشارح عند قول الماتن في آخر مبحث بيع الحيوان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ويصح الحامل بحرّ ، والمرتد وإن كان عن فطره علىٰ إشكال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ونفىٰ الشهيد الأوّل البعد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ما يلى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بالنقص أو المزج والاتصال أو غيرها لم يدخل في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المرتد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منع فيما يطهر ظاهره بعد الجمود ويحصل نفعه الغالب باستعمال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من التكسب بصفاتها بعد انفصالها</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دلّت على حرمة الانتفاع بالميتة روايات عديدة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الكاهلي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الصيد والذبائح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ورواية الجرجاني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ورواية علي بن المغيرة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ورواية سماعة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نقل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والتقييد بما يُسمّى استعمالاً في كلامه رحمه اللّٰه لعلّه لإخراج مثل الإيقاد بالميتة ، وسدّ ساقية الماء بها ، وإطعامها لجوارح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سلب الاستعمال المضاف إلىٰ المیتة عن هذه الأمور ، لأنّ استعمال كل شيء إعماله في العمل المقصود منه عرفاً ، الميتة عن فإنّ إيقاد الباب والسرير لا يُسمّى استعمالاً لهما</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كالأخبار الدالة علىٰ جواز استعمال شعر الخنزير بأن يعمل منها حبال وحمائل ، وأنّه يجوز العمل بشعر الخنزير الذي لا دسم فيه مع غسل اليد عند كل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بيان طريق إخراج الدسم منه ، فلاحظها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 الروايات ضعيفة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الجواز ، بل صريحة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توهم دخول الشعر في الميتة كي يدخل فيما استثناه الشارح ، لأنّ صدق الميتة علىٰ ما لا تحلّه الحياة ، كالشعر والصوف والقرن والناب والحافر ؛ ممنوع جداً ، كما صرّح به الفقهاء كالسيد الخوئي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وكالخبر الدال علىٰ جواز طرح العذرة في المزارع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خبر المفضل المذكور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عليه الشيخ النوري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هذا الخبر جواز الانتفاع بالعذرة النجسة بما لا محظور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وليت شعري لمَ لمْ يستدل الشارح علاوة علىٰ ذلك بقاعدة الحلّ وأصالة البراءة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دعوىٰ الشارح الإجماع قول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سرجين ما لا يؤكل لحمه ، وعذرة الانسان ، وخرؤ الكلاب والدم ؛ فإنه لا يجوز بيعه ، ويجوز الانتفاع به في الزروع والكروم وأصول الشجر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انعقاد الإجماع علىٰ خلاف ذلك كما يظهر من مراجعة كلمات بعض الفقهاء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 والدم ولحم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بناءً على إرادة جمیع الانتفاعات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جميع عمل الشيطان فاجتنبوه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الدال علىٰ وجوب اجتناب كل رجس وهو نجس العين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بناءً علىٰ أنّ هجره لا يحصل إلا بالاجتناب عنه مطلقاً ، وكقول الصادق علیه السلام في رواية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حرمة بيع وجوه النجس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ذلك كلّه منهي عن أكله وشربه ولبسه وملكه وإمساكه والتقلّب فيه ، تقلبه في ذلك 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في الفقه الرضوي ودعائم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هذا التنزيل التعليل الوارد في المنع عن الاستصباح باليات الغنم المقطوعة منها وهي حية ، وهو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تعلم أنّه يصيب اليد والثوب ، وهو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الأنصاري هذه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ممّا يعني على الطائفة الأولى من النسخ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الادلّة ما يعطي كراهة الانتفاع باجرة الحجام في غير مصرف حيوان أو عبد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المسلك الرابع فيما رواه المقداد السيوري ،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الصيد وما يتبعه،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استدل به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وللأخير أهمية لجهات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ممن لا يعمل بأخبار الآحاد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أورد الحديث عن الرسول صلی اللّٰه علیه و آله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طرح به ما عارضه من الأخبار رغم كون المعارض أخص منه وإمكان الجمع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روى الحديث أحمد بن حنبل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 ، في ثلاث مواضع ، مع اختلاف فی الفظ، ففی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المجلّد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اليهود حرّمت عليهم الشحوم فباعوها وأكلوا أثمانها ، وإنّ اللّٰه عز وجل إذا حرّم أكل شيء حرّم ثمنه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نفس المجلد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اليهود حرّم عليهم الشحوم فباعوها فأكلوا أثمانها وإنّ الله إذا حرّم على قوم شيئاً حرّم عليهم ثمنه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ويلاحظ أنّ وجود وعدم كلمة الأكل لها دخل في ضيق وسعة دائرة الاستدلال بالحديث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وثَمَنُ كل ما يحرم أكله وشربه من المسوخ والأنجاس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استثنيناه في 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وأجر عمل المحرّمات من الملاهي ، وآلات القمار ، وغير ذلك من كل محرّم ؛ حرام ، وكذا الأجر على العبادات التي أمر بها المكلف لا بسبب الاستئجار ، كل ذلك بدليل إجماع الطائفة وطريق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الخمر حرام رجس ، قد بيناه فيما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ويحرم بيعه وشراؤه وأكل ثمنه بلا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 الميتة ، والخنزير ، وما يكون منهما ؛ حرام نجس ، لا يجوز بيعه ولا شراؤه ولا أخذ ثمنه ، وكذا جلد الميتة قبل الدباغ ، بلا خلاف بين العلماء كافة ، ولا بعد الدباغ عندنا وعند جماعة من الجمهور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نفى الخلاف بين العلماء في ترتب الأحكام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أحدها أخذ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جلد الميتة قبل الدباغ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والخامس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الميتة ، وثمن الكلب ، وثمن الله الخمر ، ومهر البغي ، والرشوة في الحكم ، وأجر الكاهن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الأبواب الأخر أيضاً ما يدل على ذلك ، مثل ما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المسلك الرابع فيما رواه المقداد السيوري ،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الصيد وما يتبعه ،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أورد الشيخ الطوسي حديثاً بمعناه ، أحمد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آنفاً في الهوامش السابقة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آنفاً في الهوامش السابقة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هذا المطلب وتوضيحه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خبر تحف العقول المروي عن الصادق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بعض مشايخه استفادة ذلك منه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الشارح ذكر بعضها والإشارة إلى بعضها الآخر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النجمتين هو المثبت فى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أفاد المنع محمول على التهاون وعدم المبالاة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إعطاء العوض على رفع يد الاختصاص فيما يثبت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يتعلّق بها ملك ولا تمليك مجاناً أو بعوض، لأصالة العدم، وحصول الشك في إزالة الملك لها ، وضعف الاستصحاب حيث يجري في مقابلة الأدلة ، والعموم من أخبار التحف والفقه ورسالة المحكم والمتشابه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المكاسب ومتعلقاتها متساوية في المنع ، لما دلّ من الاخبار على تحريم أعواض الحرام ، والإجماعات المنقولة في بعض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كالخمر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نقطع بإلغاء الخصوصية فيها ، وما في أكثرها من لفظ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فمحمول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المثال للاكتساب مع أن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تعميماً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النبوي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الله اليهود حرّمت عليهم الشحوم فباعوها وهو مثال لمطلق الاكتساب ، وأيضاً لرواية ابن عباس عنه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إذا حرّم شيئاً حرّم ثمنه والضعف فيها مجبور بالعمل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والنهي متعلق بالصيغة قصد مع النقل ، وبالقصد ولو مع 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العقد الشرعي أو العرفي وبالانتفاع بالأعواض ، كما يظهر من الأخبار والإجماعات المنقولة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وفساد المعاملة وإن لم يثبت بالملازمة العقلية بين النهى وبينه ، لعدمها هناك ، يثبت من النهي الظاهر في الإرشاد في باب المعاملات ، أو من حال الناهي ، أو من الأصل الأصل بعد حصول الشك في شمول الادلة لها ، أو من الإجماع على حمله على الفساد مطلقاً ، أو حيث يتوجه إلى حقيقة المعاملة حيث لا دليل على خلافه ، أو مما دلّ على نفي ملكيتها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 العنب ، أو عام ، كالخمرة ، وقد يذكر ، والعموم أصح ، لأنها حُرمت وما بالمدينة خمر عنب ، وما كان شرابهم إلا البشر والتمر ، سمّيت خمراً لأنها تخمر العقل وتستره ، أو لأنها تُركت حتى ادركت واختمرت ، أو لأنها تخامر العقل أي تخالطه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ويشهد لعموم المعنى عدة روايات،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الاشارة إلى وجه التصريح بالإطلاق</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غير النجس كما إذا كان من غير ذي النفس فعدم جواز بيعه لدخوله فيما لا ينتفع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الميتة في أقسام النجاسات مغن عن القيدين ، والدم النجس ، وغير النجس منه ومن الميتة إن حصل فيه منع فلجهات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أشار بذلك إلىٰ خلاف المرتضىٰ ، حيث يقول بطهارة ما لا تحلّه الحياة من نجس العين ، أو إلىٰ أنّ الأجزاء لا يجوز بيعها وإن جاز بيع الكلب ككلب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خاص بالكلب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رأي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تحلّها الحياة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الموضع تفترق الطائفة الثانية من النسخ إلى موضع النجمة الآتي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هناك ما ورد فيها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الآيات التي يستدل بها علىٰ حرمة التكسب بالأعيان النجسة مطلقة ، فتشمل بظهورها الإطلاقي كلّ الصور المذكورة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العموم الإطلاقي ، فإنّ كلمات ناقلي الإجماع ومدعيه علىٰ حرمة التكسب بالأعيان النجسة مطلقة أيضاً، كالآيات والروايات ، فتشمل الصور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كالاتي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 بتحريم الفقّاع وابتياعه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واستدل علىٰ ذلك بإجماع الفرقة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شئت نبنی هذه المسألة على تحريمه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تحريمه وحظر شربه ، وكلّ مَن حظر شربه حظر ابتیاعه وبيعه ، والتفرقة بين الأمرين خروج عن إجماع الأمّة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منّي ما لا يؤكل لحمه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نجس ، وما كان نجساً لا يجوز بيعه، ولا أكله ؛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مستدلاً على حرمة بيع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كلب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والسرجين النجس والخمر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أقسام 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نجس العين ، مثل الكلب والخنزير والفأرة والخمر والدم ، وما توالد منهم ، وجميع المسوخ ، وما توالد من ذلك أو من أحدهما ؛ فلا يجوز بيعه ولا إجارته ولا الانتفاع به ولا اقتناؤه بحال إجماعاً إلا الكلب ، فإنّ فيه خلافاً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تعرضه لشروط صحة البيع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واشترطنا أن يكون منتفعاً به ؛ تحرزاً ممّا لا منفعة فيه ، كالحشرات وغيرها ، وقيدنا بكونها مباحة ؛ تحفظاً من المنافع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في ذلك كلّ نجس لا يمكن تطهيره ، إلّا ما أخرجه الدليل من بيع الكلب المعلّم للصيد والزيت النجس للاستصباح به تحت السماء ، وهو إجماع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وثمن كلّ ما يحرم أكله وشربه من المسوخ والأنجاس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استثنيناه في 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 عمل المحرمات من الملاهى ، والآت القمار ، وغير ذلك من كل محرم ؛ 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شراب مسكر حكمه حكم الخمر علىٰ السواء ، قليلاً كان أو كثيراً ، نيّاً كان أو مطبوخاً ، وكذلك حكم الفقّاع حكمه شربه وعمله والتجارة فيه والتكسب به ، حرام ، محظور ، بغير خلاف بين فقهاء أهل البيت علیهم السلام ، فإنّ إجماعهم منعقد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وحكم الفقّاع عند أصحابنا حكم الخمر على السواء، في أنّه حرام شربه وبيعه والتصرف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يشترط في المعقود عليه الطهارة الأصلية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باع نجس العين كالخمر والميتة والخنزير ؛ لم يصح إجماعاً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 إن كان عقوراً حرم بيعه عند علمائنا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بيع السرجين النجس إجماعاً 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احتج العلماء كافة علىٰ تحريم بيع الميتة والخمر والخنزير بالنص والإجماع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نقل هذا كلّه بيان أنّ معاقد الإجماعات في كلماتهم مطلقة ، فتعم جميع الصور المذكورة في كلام الشارح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هذين الحملين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أجد أحداً من الأصحاب حملهما علىٰ التقية كما صنع الاستاذ أدام اللّٰه حراسته ، وليس هو مذهب أحد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حملهما علىٰ التعجيز كما صنع أيضاً دام ظله مستنداً إلىٰ أنّه لا مستحلّ للميتة بعد عهد موسىٰ من جميع الملّيين ، فمع بعده عن ظاهر الخبرين يدفعه ما سمعت عن الشهيدين ، ونحوهما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استند إليه كأنّه مخالف لنص القرآن ، من تحريم المنخنقة والموقوذة والمتردية والنطيحة وما أكل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في الجاهلية لا يحرمون الميتة ، قاله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حكاه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اُناساً من العرب كانوا يأكلون جميع ذلك ولا يعدونه ميتاً ، إنّما يعدّون الميت ما يموت من الوجع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كذلك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يستحلّ الميتة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لإمكان حملهما على بقاء الثمن علىٰ ملك مالكه ، والتصدّق به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الأمر بإرجاعه إليه لتعذّره ، لعدم معرفته أو لعدم إمكان الوصول إليه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الإجماع عليه ابن إدريس،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عبارته عدم الخلاف حتىٰ من العامّة في أنّ اللبن والخل والدبس ونحو ذلك إن تنجس فلا يطهر بالغسل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الزيت والشيرج المتنجس فقد نصّ علىٰ عدم الخلاف بين أصحابنا أنّه ممّا لا يجوز غسله ولا يطهره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أنّ ما حكاه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القول بإمكان غسل الزيت النجس إنّما هو لبعض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صرّح به نفسه،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 في نجاسة المائعات ، كالدبس والخل والزيت إذا حصل فيها شيء من النجاسات وإن كثر ، والأظهر بین الأصحاب أن لا سبيل إلى طهارتها ما دامت باقية علىٰ حقيقتها ، لأنّ المعتبر في تطهير النجس أنْ يصيب الماء المطهّر كلّ جزء من أجزاء النجس ، وما دام المائع متميزاً باقياً على حقيقته ، أو بعضه ؛ لا يكون الماء مستوعباً لذلك المتميّز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الفاضل الهندي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 الأصحاب ، وحكىٰ عليه الإجماع فى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إجماع الخلاف والغنية والسرائر على تخصيص جواز بيع الزيت النجس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للاستصباح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تحت السماء مع اتفاقهم على جواز بيع ما يقبل التطهير دلالة على عدم قبوله التطهير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تدل علىٰ عدم قبوله الطهارة الأخبار الواردة في السمن والزيت الذائبين ، وفي العسل في الصيف إذا ماتت فيه فأرة ، الناهية عن أكلها، الآمرة بالإسراج ، وبإهراق المرق النجس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في هذه الأخبار دلالة علىٰ سدّ باب طهارة المائعات المتنجسة ، بالغسل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وللاستصحاب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يطهر بالغسل إذا أمكن نزع الماء المغسول به عنه ، دون ما لا يمكن كالمائعات والصابون والكاغذ والطين وإن أمكن إيصال الماء إلى أجزائها بالضرب ، ما لم يطرح في كرّ فما زاد أو في جار بحيث يسري الماء إلىٰ جميع أجزائه قبل إخراجها منه ، فلو طرح الدهن في ماء كثير ، وحرّكه ، حتى تخلل الماء أجزاء الدهن بأسرها ؛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يُغلىٰ الدهن ويُصبّ في الكرّ ، بحيث يصل إلىٰ كلّ جزء منه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يمكن في العَسَل وغيره بالطريق الأولىٰ، ولكن الانتفاع المطلوب منه غير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يصبّ عليه أولاً الماء بحيث صار ماءً مطلقاً ، ثم يطهر بالماء ، ثم يُغلىٰ بحيث يذهب الماء ويبقىٰ العسل مثلاً ، وهو أيضاً بعيد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في اثنين من مصنفاته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اقتصر في هذين الكتابين علىٰ إمكان تطهير الدهن ولم يتعرض لغيره ، واعتبر الفقهاء ذلك قولاً آخر له ، مغايراً لما ذكره في التذكرة ، فقد قال الشهيد الثاني في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أحد قوليه أطلق الحكم بطهارتها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المائعات المتنجسة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لممازجتها المطلق وإن خرج عن إطلاقه أو بقي اسمها ، وله قول آخر بطهارة الدهن خاصة إذا صُبّ في الكثير ، وضرب فيه ، حتىٰ اختلطت أجزاؤه به ، وإن اجتمعت بعد ذلك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أنكر المغايرة، واعتبر ما ذكره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قولاً واحداً ، وذلك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يخفىٰ أنه متى ثبت ذلك في الدهن ثبت في غيره بطريق أولىٰ ، فإنّ شهادة الوجدان ظاهرة في أنّ الدهن أبعد المائعات عن قبول الطهارة من حيث الدهنية ، واللزوجة ، وشدّة اتصال أجزائه بعضها ببعض ، المانع جميع ذلك من نفوذ الماء في أجزائه ، فالقول بإمكان الطهارة فيه يقتضي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 بذلك في سائر المائعات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الماتن في باقي كتبه ذهب إلى ما ذهب إليه سائر الفقهاء من عدم قبول المائعات المتنجسة مطلقاً عدا الماء للتطهير بالغسل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فقد استثنى الدهن من حكم ما لا يقبل التطهير ، ونفس المصدر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يطهر بالغسل العددي ما يمكن فصل الغسالة عنه ، كالثوب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ويجزي في الثخين كاللّحاف الدق والغمز للرواية ، فلا تطهر المائعات والقرطاس والطين ولو ضربت بالماء إلّا في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طهارة الدهن في الكثير وجه اختاره الفاضل في تذكرته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وظاهره الموافقة للتذكرة فيما ذكره من المائعات غير الدهن والكاغذ والطين وتوقفه في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الشهيد الأول نفسه استبعد ذلك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قبول باقي المائعات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للتطهير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بقبولها الطهارة عند ملاقاة الكثير ، وتخلل أجزائها حتىٰ الدهن ، وهو بعيد</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هذا الرأي المولىٰ النراقي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إلىٰ الشيخ والحلّي، محتجاً بعدّة روايات ، واستثنىٰ الدهن أصنافه ، فيجوز الاستصباح به وبيعه لذلك ، للإجماع والنصوص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والإجماعات الدالّة علىٰ حرمة التكسب بالنجس قد تقدم ذكرها بالتفصيل في الهامش 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نصوص أخرىٰ استدل بها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علّق علىٰ حكم المحقق الحلّي بحرمة التكسب بكل مائع نجس عدا الأدهان لفائدة الاستصباح بها تحت السماء ، 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بناءً على أنّ المائعات النجسة لا تقبل التطهير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أصح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بقبولها الطهارة جاز بيعها مع الإعلام بحالها</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ورد في الدهن المتنجس من الإسراج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يسلتزم صدق عنوان الاستعمال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كالميتة النجسة التي لا يجوز الانتفاع بها فيما يعد استعمالاً عرفاً</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سرجين ما لا يؤكل لحمه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وعذرة الانسان ، وخرؤ الكلاب ، والدم ؛ فإنّه لا يجوز بيعه ، ويجوز الانتفاع به في الزروع والكروم وأصول الشجر ، بلا خلاف</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المعنى نصّان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حرام شفاء</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من المحظور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الروايات علىٰ كثرتها لا إشعار في شيء منها، فضلاً عن التصريح بما ذكروه من تقييد الجواز بالاستصباح تحت السماء، والمنع من كونه تحت الظلال</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بالشهرة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شهرة عظيمة كادت تكون إجماعاً</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الإجماع صريحاً ابن إدريس ،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وجميع ما لا يحلّ أكله حرام بيعه ، إلّا ما استثناه أصحابنا من بيع الدهن النجس لمن يستصبح به تحت السماء بهذا الشرط ، فإنّه يصحّ بيعه بهذا التقييد ، لإجماعهم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فيها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ذهب أحد من أصحابنا إلىٰ أنّ الاستصباح به تحت الظلال مكروه ، بل محظور بغير خلاف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يستفاد ذلك من عبارة السيد ابن زهرة ،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ما استثناه ممّا قام الإجماع علىٰ حرمة بيعه الزيت النجس للاستصباح به تحت السماء ، فيبقىٰ الاستصباح به تحت الظلال داخلاً فيما قام الإجماع علىٰ حرمته بناءً على ما هو الظاهر من عود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إجماع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اشتراط إباحة المنافع ، لا علىٰ المستثنى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الهندي ،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تقييد جواز الاستصباح به تحت السماء لا تحت الظلال 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به الأصحاب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الإجماعات</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أصحابنا أنه دون السقف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يستصبح به تحت السماء</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القول بنجاسة الدخان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الاستصباح به تحت الظلال ، لا لأنّ دخانه نجس ، بل تعبّد تعبدنا به ، لأنّ دخان الأعيان النجسة ورمادها طاهر عندنا ، بغير خلاف بيننا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استبعاد في ما ذكره شيخنا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من نجاسة دخان الدهن النجس ، لبعد استحالته كلّه ، بل لابدٌ وأنْ يتصاعد من أجزائه قبل إحالة النار لها بسبب السخونة المكتسبة من النار إلىٰ أنْ يلقى الظلال فيتأثر بنجاسته، ولهذا منعوا من الاستصباح به تحت الظلال ، فإنّ ثبوت هذا القيد مع طهارته ممّا لا يجتمعان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يكون سبب المنع بالاستصباح به تحت الظلال أنّه يوجب أن ينجّس غالباً ما يشترط فيه الطهارة في الصلاة من الثوب والبدن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نرىٰ وجود الدخان في الدماغ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بها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جلسنا عند السراج قريباً خصوصاً في بيت 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السبب التعبّد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المولى 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تسليمه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لم يعلم فينفىٰ بالأصل ، وإلا فاللازم إزالة النجاسة</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يعلّل بنجاسة دخان النجس ، أو بتصاعد شيء من أجزائه مع الدخان ، فينجس السقف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منع نجاسة الدخان أو العلم بتصاعد شيء من أجزاء الدهن أولاً، ومنع حرمة تنجيس المالك ملكه ثانياً</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هامش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أشرنا إليها في الهامش السابق ، فإنّها إنّما دلّت علىٰ وجوب إعلام المشتري عند البيع والدفع ،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إطلاق ما دل علىٰ جواز الاستصباح به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الألثية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العجيزة للناس وغيرهم ، ألْيَة الشاة وألْيَة الإنسان ، وهي ألية النعجة ، مفتوحة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ركب العَجُزَ من اللحم والشحم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ألَيات وأَلايا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لِيّة ولا إلْية فإنّهما خطأ</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المسألة السابقة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وموضع الخلاف ما إذا كان الدهن متنجساً بالعرض ، فلو كان نفسه نجاسة كأليات الميتة والمبانة من الحي لم يصحّ الانتفاع به مطلقاً ، لإطلاق النهي عن لإطلاق النهي عن استعمال الميتة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فيها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النجسة بالذات كالأليات الميتة يقطعها من حي من ميت ، فلا يجوز بيعها ولا الانتفاع بها مطلقاً إجماعاً لإطلاق النهي عنه وإنما جاز بيع الدهن المتنجس لبقاء منفعته بالاستصباح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جواز الانتفاعات في سائر المتنجسات إلا فيما ثبت عدم الاستعمال بإجماع ونحوه، كما في النجاسات العينية مطلقاً ، ، حتىٰ فی ألية الميتة وإنْ اُبينت من حي علىٰ 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أنّ ظاهرهم الاتفاق عليه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اتفاقهم عليه كما قيل</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الأطعمة والأشربة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الدال على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شيخنا المجلسي رحمة الله عليه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إلىٰ العمل بهذه الرواية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الخلاف في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والجواز عندي 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وتصدّىٰ بعد ذلك لمناقشته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نقل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الشهيد الأوّل نسبة الجواز إلىٰ الماتن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حواشي الشهيد نقل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ذلك في الدهن الذي هو نجاسة ، محتجاً عن بالعموم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مهموز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 يخشَى تبناً أو تُماماً أو حشيشاً لتعطف عليه الناقة إذا مات ولدها ، ثم يُقرّب إلى أمّ الفصيل لترأمه فتدرّ عليه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كلام المصنّف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كلّ ما عرض له التنجيس إذا أمكن التطهير ، وإنّما اقتصر علىٰ ذكر الماء مع أن الحكم يعمّ غيره اكتفاء بإفادة ثبوت الحكم في كل موضع يثبت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 عبارة المصنّف في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خصّه بالذكر مع جواز بيع ما يقبل الطهارة مطلقاً ؛ لينبه على خروجه من عموم المنع من بيع المائعات النجسة فيما سبق ، فإنّها لا تقبل التطهير عنده هنا إلا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أصح الأقوال في المسألة ، فأخرجه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بقبوله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المائعات</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النزح ، كما عبّر به الشهيد الأوّل أيضاً،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الروايات ما كان موضوع التحريم فيه عنوان الخبائث ، ولم نعثر على لذلك مدع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وردت النصوص بتحريم اُمور هي في عداد الخبائث عند الفقهاء ، كالقضيب والانثيين والمثانة والطحال والفرث وغيرها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الذبيحة وما يكره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يستدل بحرمة هذه الأمور على حرمة شرب الأبوال الطاهرة بالأولوية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مضافاً إلى الأولوية المستفادة مما قدمناه من الأدلة الدالة علىٰ حرمة الفرث والمثانة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مجمع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بعدهما بالإضافة إلىٰ البول عن القطع بالخباثة ، فتحريمهما مع ذلك يستلزم تحريم البول القريب من القطع بالاستخباث بالإضافة إليهما بطريق 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علىٰ ذلك المولىٰ النراقي ، في 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بمنع الأولوية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وكون المثانة مجمعاً للبول لا يوجبها ، وإلا لزم حرمة الكليتين المصرّح في الرواية بأنهما مجمع البول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وتجدر الإشارة إلى عدم اكتراث الشارح بدعوىٰ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الإجماع علىٰ حلّية شرب أبوال كل ما اُكل لحمه من 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لكثرة القائلين بالحرمة الموهنة لدعوىٰ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عليهم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أنّه طرح النص الوارد بالجواز، وهو ما رواه في قرب الإسناد عن النبي صلی اللّٰه علیه و آله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ببول ما أكل لحمه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ترك الاستدلال على مدعاه بمفهوم رواية عمار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عن بول البقر يشربه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محتاجاً إليه يتداوى به يشربه ، وكذلك أبوال الإيل والغنم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دعوىٰ الإجماع عبارة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فهم الفقهاء منها نفي الخلاف في المسألة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عند مراجعة كلمات سائر الفقهاء يبدو لأول وهلة أنّ المسألة خلافية ، 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اختلف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أرواث وأبوال ما يؤكل لحمه ، فذهب جماعة إلىٰ جوازه مطلقاً ، نظراً إلىٰ أنها عين طاهرة ينتفع بها، وهو المنقول عن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عليه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ابن إدريس والعلّامة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إلىٰ المنع من بيع العذرات والأبوال كلّها لاستخباثها ، إلا بول الإبل ؛ للاستشفاء بها ، وللنصّ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 عن المفيد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وبيع العذرة والأبوال كلّها حرام إلا بول الإيل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دعوىٰ الشارح أعلى اللّٰه مقامه الإجماع دليل علىٰ عدم صراحة عبارة الشيخ المفيد وسلّار في الحرمة في المسألة ، إذ يمكن 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كلامهما إلىٰ خصوص النجسة أو إلىٰ خصوص فضلة الإنسان كما صرّح به بعض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لاسيما مع ملاحظة الإتيان بالعذرة بصيغة المفرد والأبوال بصيغة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يدلّ علىٰ التعميم قول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راجع إلى الأبوال فقط ، أمّا عبارة سلّار فخالية منه ، فراجع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في الفقه الإمامی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يكون المفيد وسلّار يذهبان إلىٰ ما ذهب إليه الشارح من جواز بيع أرواث ما يؤكل لحمه وحرمة بيع أبوالها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هذا الحمل لعبارتي المفيد وسلّار ما تقدّم من دلالة كلام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علىٰ نفي الخلاف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رغم ذلك تبقىٰ عبارة هذين العَلَمين محتملة الدلالة علىٰ التحريم ، لذا لم يدع الشارح الإجماع بضرس قاطع ، وإنّما تعقبه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ما قيل من مخالفة غير هذين العَلَمين فالأمر فيه كما هو فيهما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المرتضىٰ دعوىٰ الإجماع علىٰ جواز أرواث بيع وأبوال ما يؤكل لحمه ، كالسيد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والأخير نقله في خصوص الأرواث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توهمه عبارة المحدّث البحراني ،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 إلّا التعرض لحكم جواز شرب أبوال ما يؤكل لحمه مدعياً عليه إجماع الفرقة المحقّة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وتجويز بيع روثه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مأكول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والاكتساب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حكىٰ الاُستاذ المرتضىٰ الإجماع عليه ، ولم أجده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ومراده بالاُستاذ إمّا السيد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وإمّا الشارح أعلىٰ اللّٰه مقامه ، فكلاهما قد نقلا الإجماع عن السيد المرتضىٰ علىٰ جواز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الماتن أنه حكى عن المرتضىٰ دعوىٰ الإجماع على جواز بيع أبوال ما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الأصل والمنشأ لما نسب إلىٰ السيد المرتضىٰ عبارة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بول ما يؤكل لحمه فإنّه طاهر، فيجوز بيعه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المرتضىٰ وادعى عليه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صراحة لها في نسبة دعوى الإجماع على جواز البيع إلى السيد المرتضى ، إذ يحتمل أن يكون قوله فيجوز بيعه من كلام الماتن ، فهو المفرّع ، لا من كلام السيد المرتضىٰ ، بل هو المتعيّن لما عرفت من عدم تعرض السيد لحكم البيع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المنقول عن السيد المرتضىٰ الإجماع علىٰ جواز بيع الأرواث والابوال من مأكول اللحم معاً ، وبما أنّ الشارح في المسألة السابقة اختار حرمة المسألة السابقة اختار حرمة بيع أبوال ما يؤكل لحمه ، وهو ما يدلّ على إسقاطه لدعوى الإجماع المذكورة ، لذا نبه هنا علىٰ أنّ إسقاط دعوىٰ الإجماع في المسألة السابقة لا يستلزم سقوطها وعدم الاحتجاج بها لهذه المسألة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القول في كلب الدار ، لدعاء الضرورة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حكمها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البيت إذا اتخذ لحراسته ، كما صرح به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وكلب الدار ملحق بكلب الحائط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والمقتصر على الأوّل على وجه الانحصار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ذلك إلى ابن البرّاج ، فقد نقل عنه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بيع كلب الصيد دون غيره من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ابن البرّاج قال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استأجر من غيره كلباً لحراسة الماشية ، أو الزرع ، أو استأجره للصيد كان جائزاً ؛ لأنه لا مانع يمنع من ذلك ، ولأنّ بيع هذه الكلاب يصح ، وما صح بيعه صح الاستئجار 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علماؤنا إباحة أكل ما يقتله الكلب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كانت الكلاب سلوقية أو غيرها إذا كانت ممّا علّمها المسلمون ما لم يكن أسود بهيماً ، فإنّ الرواية عن أمير المؤمنين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يؤكل صيده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اله و سلم أمر بقتله ، وهو قول ابن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إطلاق الأحاديث ، والرواية التي نقلها لم تثبت عندنا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الشارح استنبط من هذا تخصيص الإسكافي جواز بيع كلب الصيد بغير البهيم ، لدخوله حينئذ في الهراش المجمع علىٰ عدم صحّة بيعه ، كما صرّح به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وإلّا فإنّ الماتن نفسه عندما نقل قول ابن الجنيد في كلب الصيد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ينقل عنه احترازه عن الأسود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أيضاً إلىٰ ابن الجنيد ذلك ،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وحرّم أبو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الكلب الأسود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وإطلاقه لعله يشمل الصيود إن كان أسود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وظاهره أنّ لابن الجنيد تصريحاً بتحريم بيع الأسود البهيم ، لكنّه صرّح بعدم وقوفه عليه ، فقد قال في نفس المجلد من المفتاح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يشترط في الصيود أن يكون سلوقياً ، كما سمعته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ولا أن لا يكون أسود بهيماً كما يلوح من إطلاق أبي علي كما حكي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صرّح بذلك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وأضعف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اشتراط كلب الصيد بالسلوقي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الأسود البهيم منه ، كما عن الإسكاني ، مع أنا لم نتحققه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رجع عنه فأطلق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ذكرهما في الهامشين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اللاحقة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كلب الصيد فقريب من الإجماع ، وفيه قول بالمنع متروك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مخالف سوىٰ الحسن العُماني علىٰ ما 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الماتن نفسه استشكل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جواز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جواز بيع كلب الصيد مطلقاً ، وذكر وجهي الجواز والمنع ولم يرجح أحداً منهما</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نظراً لوجود مخالف في بيع كلب الصيد فلا 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الشارح ردّ علىٰ اعتراض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جعل الماتن جواز بيع كلب الصيد أقرب ، فقد اعترض عليه بأنه لا خلاف في ذلك ، وأنه لا وجه لتعبيره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حاول توجيه العبارة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مقصود العبارة ثبوت الخلاف في المجموع من حيث هو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ووافقه في تفسير الأقربية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ردّها إلى كلب الصيد ، ولذا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القواعد ما يؤذن بالخلاف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الشارح أعلى اللّٰه مقامه رجّح ردّها إلىٰ المجموع نظراً إلىٰ أنّ كلب الصيد متفق على جواز بيعه ، وأن القول بالمنع متروك ، مشيراً إلى احتمال رجوعه إلى خصوص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يؤيّد تعلّق الأقربية هنا بالجميع ، فقد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كلب الصيد فالأقوى عندنا جواز بيعه</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الإجماع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ونفىٰ عنه الخلاف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أنّ المخالف قوله متروك فلا يضر بالإجماع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الإجماعات المنقولة فمنها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يجوز بيع كلب الصيد وشراؤه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كلب الزرع والماشية والحائط قولان ، أقربهما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الكلاب يحرم التكسب به ، إجماعاً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 علماؤنا على تحريم بيع ما عدا كلب الصيد والماشية والزرع والحائط من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فاتفقوا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منع بيع كلب الهراش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في عدم صحة بيع كلب الهراش ، وهو ما خرج عن الكلاب الأربعة ولم يكن 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في القسم الثالث من المحظور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يردّ علىٰ الماتن ، فقد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مستدلاً علىٰ جواز بيع الثلاثة الأخيرة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الإباحة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والماتن ههنا ، والفاضل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المرسلة المتقدّم ذكر مصدرها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هي قول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بعدما حكم بجواز بيع الكلب المعلم للصید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أنّ كلب الماشية والحائط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والمقتصر علىٰ الحائط والماشية هو الشيخ الحرّ العاملي 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ذلك من عنوان الباب الذي عقده ، 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تحريم بيع الكلاب إلا كلب الصيد وكلب الماشية والحائط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الجنيد ، كما 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بذلك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لها ديّات منصوصة ، فيجوز المعاوضة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النصوص الواردة في بيان ما له ديّة من الكلاب وقدرها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ردّ به 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استدلالَ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فيه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ولخّصه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ثبوت الديّات لها ربّما دلّ علىٰ عدم جواز بيعها ، التفاتاً إلىٰ أنّ ذلك في مقابلة القيمة ، فإنّك تجد كل ما له ديّة لا قيمة له كما في الحرّ، وما له قيمة لا دية له كما في الحيوان المملوك غير الآدمي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بجواز الإجارة علىٰ جواز البيع هو الماتن أيضاً ، فقد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ولأنّه يجوز إجارتها فيجوز 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ولده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ردّ عليه ابن فهد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الإجارة فلا تدلّ علىٰ جواز البيع قطعاً ، فإنّها تجوز علىٰ الحرّ ولا يصحّ بيعه ، وعلى أمّ الولد ولا يصحّ بيعها ، وعلىٰ الوقف والمرهون ولا يصحّ بيعهما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من الشارح 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يلاحظ علىٰ الشارح أنه ترك التعرّض لدليل رابع استدل به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 أيضاً ، حيث قال فيه ،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ولأنه لو جاز بيع كلب الصيد جاز بيع باقي الكلاب الأربعة ، والأول ثابت إجماعاً ، وكذا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المقتضي للجواز هناك كون المبيع ممّا ينتفع به ، وثبوت الحاجة إلىٰ المعاوضة، وهذان المعنيان ثابتان في صورة النزاع ، فيثبت الحكم ، عملاً بالمقتضى السالم عن المعارض ، إذ الأصل انتفاؤه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ترك التعرّض له لظهور ضعفه ، لأنّ المقتضي لجواز بيع كلب الصيد هو النصّ والإجماع ، لا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وعلّة الجواز فيه غير منصوصة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تصرّفات المالك في ملكه علىٰ نحوين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تصرفات خارجية كالأكل والشرب والسكنىٰ ونظائرها، وتصرفات اعتبارية كالبيع والهبة والإجارة وأمثالها ، ولكلّ من القسمين ما يناسبه من العمومات الدالة علىٰ جوازه ، فللقسم الثاني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روي عن النبي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مسلطون علىٰ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الشرط مطلق الالتزام ، كما عن كتب اللغة ، فيشمل الشروط الابتدائية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وللقسم الأوّل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واتوا النساء صدقاتهن نحلة فإن طبن لكم عن شيء منه نفساً فكلوه هنيئاً مريئاً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والنبوي المتقدم انّ الناس مسلطون علىٰ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الاستدلال بكل واحد من هذه العمومات موكول إلىٰ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يستدل لجواز الاقتناء بأدلّة الإباحة الشرعية والبراءة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الاستدلال بالسيرة بقسميها ، كما قد يستدل بها لغيره ، واللّٰه العالم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الجرو الصغير وإن لم يكن له أحد هذه الأمور بالفعل ، لرجاء أحدها</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المطلب فيما تقدم من الشارح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حيث علّل النهي عن بيع وجوه النجس بأنّ ذلك كله محرّم أكله و شربه و إمساکه وجميع التقلب فيه ، فجميع التقلب في ذلك حرام ، ورواية الفقه الرضوي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على الأمر بإهراق المائعات الملاقية للنجاسة ، وإلقاء ما حول الجامد من الدهن وشبهه وطرحه ، ودفن العجين المتنجس ، سواء ما ورد منها في الدهن أو المرق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يهريق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ما ورد في الماء المتنجس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فليهرق الماء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فاهرق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يُكفئ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الإنائين من الماء اللذين علم إجمالاً بإصابة النجاسة لأحدهما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يهريقهما جميعاً ويتيمم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رجس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تتوضأ بفضله واصبب ذلك الماء ، وقوله في الخمر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ولا قطرة يقطر منه في حُبّ إلّا أهريق ذلك الحبّ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الروايات وإنْ اختصت بالماء إلّا أنّه يثبت الحكم في غيره بعدم القول بالفصل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ثبت ذلك في المتنجس ثبت في العين النجسة بطريق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النبي اللّٰه أنّه بعد نزول آية تحريم الخمر خرج فقعد في المسجد ، فدعا بأنيتهم التي كانوا ينبذون فيها ، فكفأها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ذلك في الخمر ثبت في باقي ما فيه ضرب من ضروب الفساد لوحدة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الدهن المتنجس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دفن العجين المتنجس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وروايات الماء المتنجس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إكفاء النبي صلی اللّٰه علیه و آله أواني الخمر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إصابة الكلب الماء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إصابة الخمر الماء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إهراق المرق المتنجس بموت الفأرة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يستدل علىٰ وجوب إتلاف ما فيه ضرب من ضروب الفساد بما روي من كسر الصور ومحوها وقتل الكلاب ، فراجعه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يستدل علىٰ ذلك بما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أبقیٰ في بيته طنبوراً أو عوداً أو شيئاً من الملاهي من المعزفة والشطرنج وأشباهه أربعين يوماً فقد باء بغضب من اللّٰه ، فإن مات في أربعين مات فاجراً فاسقاً مأواه النار وبئس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 الأستاذ یعنی به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ممّا نحن فيه في جميع الأحكام المزبورة الدراهم الخارجية ، وبعض التغليطات في الجواهر والأقمشة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يشترك ذلك معه كون الجميع ممّا يترتب عليه الفساد العام، فيجب علىٰ سائر الناس دفع ما يندفع به ذلك بكسر ونحوه ، لا أنّ المعاملة عليه بعد الإخبار بحاله بحيث لم يبق غش منه فاسدة ، وأنّ الثمن المدفوع عنه حرام ، فتأمل جيداً</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وأجر عمل المحرّمات من الملاهي وآلات القمار وغير ذلك من كلّ محرّم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بدليل إجماع الطائفة وطريق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عمل الأصنام والصلبان وغيرها من هياكل العبادة المبتدعة ، وآلات اللهو كالعود والزمر ، وآلات القمار كالنرد والشطرنج والأربعة عشر وغيرها من آلات اللعب ، بلا خلاف بين علمائنا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عليه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نفىٰ الخلاف عن تحريم العمل ، وهو يستلزم تحريم الاكتساب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الأصحاب في تحريم عمل آلات اللهو ، والتكسب بها ، وبيعها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تحريم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بإجماعنا المستفيض النقل في كلام جماعة من أصحابنا</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وجوه الحرام من البيع والشراء فكلّ أمر يكون فيه الفساد ممّا هو منهى عنه من جهة أكله أو شربه أو كسبه أو نكاحه أو ملكه أو امساكه أو هبته أو عاريته ، أو شيء يكون فيه وجه من وجوه الفساد ، نظير البيع بالربا أو البيع للميتة أو الدم أو لحم الخنزير أو لحوم السباع من صنوف سباع الوحش والطير أو جلودها أو الخمر أو شيء من وجوه النجس ، فهذا کلّه حرام، و محرّم؛ لأن ذلك كله منهي عن أكله وشربه ولبسه وملكه وإمساكه والتقلّب فيه ، فجميع تقلبه في ذلك حرام ، وكذلك كلّ بيع ملهوّ به ، وكلّ منهي عنه ممّا يتقرب به لغير اللّٰه ، أو يقوىٰ به الكفر والشرك من جميع وجوه المعاصي ، أو باب يوهن به الحق ، فهو حرام ، محرمّ بيعه وشراؤه وإمساكه وملكه وهبته وعاريته وجميع التقلب فيه ، إلّا التقلب فيه ، إلا في حال تدعو الضرورة فيه إلىٰ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عبارة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غاير أسلوب العبارة في جعل المحرّم في الأوّل نفس المكتسب به ، وهو الآلات المذكورة ، وفي الثاني وما بعده الاكتساب ؛ للتنبيه علىٰ المغايرة بينها من حيث إنّ آلات اللهو والقمار بشكلها المخصوص لا يكون المقصود منها إلّا محرّماً ، فجعل متعلّق النهي فيها الذات، والسلاح وما بعده في نفسه صالح للمحلل والمحرّم فلا يتمحضّ للتحريم إلّا بالبيع علىٰ الوجه المحرّم ، فلذلك علّق الحكم فيها علىٰ التكسّب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 هذا الاختلاف ؛ لأنّ متعلّق الأحكام الخمسة يجوز كونه كل واحد من التكسّب والمتكسّب به ؛ لأنها أقسام المتاجر ، وهي محتملة للمصدرية وللمحلّ</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اختصاص الحرمة بصورة قصد المساعدة ، وهو ما يظهر من عبارة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في تعداد المحظور من المكاسب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السلاح مساعدة ومعونة لأعداء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وبيعه لهم ، إذا كانت الحرب قائمة بيننا وبينهم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إليه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مدعياً أن دلالة الأحاديث على ما ذهب إليه إبن إدريس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عبارة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ما حرم لغايته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وعمل السلاح وبيعه مساعدة لأعداء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في كلمات القوم في المقام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ظاهر الروايات شمول الحكم لما إذا لم يقصد البايع المعونة والمساعدة أصلاً ، بل صريح مورد السؤال في روايتي الحكم وهند هو صورة عدم قصد ذلك ، فالقول باختصاص حرمة البيع بصورة قصد المساعدة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بعض العبائر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الأصحاب بل الظاهر أنّه لا خلاف فيه تحريم بيع السلاح علىٰ أعداء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وادعىٰ الإجماع أيضاً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 وهو الحجّة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إلىٰ عموم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المتقدّمة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 مرجع الضمير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يعمل كلّاً من الخمر والصنم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النسخة المطبوعة حجرياً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المطبوعة حديثاً بتحقيق مؤسسة جماعة المدرسين بقم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في مؤسسة آل البيت علیهم السلام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ومثلها جاءَت عبارة الماتن ،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الطوسى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استأجر داراً ليتخذها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ماخوراً يبيع فيها الخمر ، أو ليتخذها كنيسة أو بيت نار ؛ فإنّ ذلك لا يجوز ، والعقد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تعداده لشروط الإجارة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ومنها أن تكون المنفعة مباحة ، فلو آجر مسكناً أو دابة أو وعاءً في محظور ؛ لم يجز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بدليل إجماع الطائفة المحقّة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ويحرم 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والمساكن للمحرّمات ، كأنْ يؤجر داره لبيع الخمر ، أو ليجعل كنيسة أو بيعة وأشباه ذلك ، وهو وفاق ، لما تقدّم في بيع العنب ليعمل خمراً، لأنه بمنزلته ومساوٍ له فى علّته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وادعىٰ الإجماع أيضاً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ومورد الاستدلال فيه الفقرة الثانية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ومورد الاستدلال الفقرة الأولى منه ،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اللائق بهذه العبارة تقديمها ، ووضعها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 السلاح لأعداء الدين ولو كانوا مسلمين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الآيات المثبتة 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 فإنّ الحكيم لا يفعل ما يكون عبثاً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مراده الإشارة إلى مثل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بيع الحيوان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ممّا لا ينتفع به فلا يجوز بيعه ، بلا خلاف ، مثل الأسد والذئب وسائر الحشرات من الحيّات والعقارب والفأر والخنافس والجعلان والحدأة والنسر والرخمة وبغاث الطير ، وكذلك الغربان سواء كان أبقع أو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ينفصل من آدمي من شعر ومخاط ولعاب وظفر وغيره ، لا يجوز بيعه إجماعاً ؛ لأنه لا ثمن له ، ولا منفعة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تعداده لشروط المعقود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واشترطنا أنْ يكون منتفعاً به تحرزاً ممّا لا منفعة فيه ، كالحشرات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إجماع الطائفة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المقدّس الأردبيلي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دلیل عدم جواز بيع ما لا ينتفع به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الإجماع ، وأن شراءه إسراف ، فالبيع معونة</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يراد بالأخبار العامة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فإنّ فيها فقرات يستفاد منها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الأخبار الخاصّة فقد يراد بها ما دلّ علىٰ تحريم أثمان اُمور هي ممّا لا نفع فيه ، كثمن العذرة وثمن الكلب غير الصيود وأمثالهما ممّا تقدم ذكره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 أو الدواب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دواب الأرض وصغار هوامها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ضبطه بأنّه ما لا يحتاج إلى الماء وشم النسيم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منظور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لها معانى أخر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كالفأر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النسخة المطبوعة حجرياً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المطبوعة بتحقيق مؤسسة النشر الاسلامي التابعة لجماعة المدرسين بقم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في مؤسسة آل البيت علیهم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ورد في الطائفة الثانية من النسخ المخطوطة لكتابنا، كما سيأتي في هامش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البقع والبُقْعَة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 اللون وغراب أبقع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سواد وبياض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خصّ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 بياض</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بالكراهة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تعريف الزاغ والغداف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لم يرد ذلک فی كتب اللغة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لا يكون المراد النجاسة بالمعنىٰ المصطلح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 الله البيع وحرم الربا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الروايات فما ورد في أبواب المعاملات المختلفة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التاسعة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عندنا أن سؤر جميع البهائم من ذوات الأربع والطيور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 الكلب والخنزير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يجوز الوضوء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نجسة العين ، بدلالة أنهم أجازوا شرب سؤرها والتوضّي بها ، ولم يجيزوا فى الكلب والخنزير، وأجازوا استعمال جلودها بعد التذكية والدباغ ، ولم يجيزوا في الكلب والخنزير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الحيوان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و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فالنجس الكلب والخنزير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عداهما كلّه طاهر في حال حياته ، بدلالة إجماع أصحابنا المنعقد علىٰ أنّهم أجازوا شرب سؤرها والوضوء 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نقلناه آنفاً من عبارة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في الهامش ما قبل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وبمجرّد الذكاة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بيع الجلود بلا خلاف وبانضمام الدباغ يصحّ التصرف فيها في جميع الأشیاء، من لبس وفرش ودثار وخزن المائعات؛ لأنها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الحيوان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ونجس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فالنجس الكلب والخنزير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عداهما كله طاهر في حال حياته، بدلالة إجماع أصحابنا المنعقد علىٰ أنهم أجازوا شرب سؤرها والوضوء منه، ولم يجيزوا ذلك في الكلب والخنزير، وأجازوا استعمال جلودها بعد التذكية والدباغ، ولم يجيزوا ذلك في الكلب والخنزير بحال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 الأخير النمر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ما عندنا في السباع وجلودها ، وهو يجوز بيعها لأخذ جلدها ، لأنّ جلود السباع لا خلاف أنها مع الذكاة الشرعية أنه يجوز بيعها ، وهي طاهرة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الهر عند ببيع علمائنا ، كما أنّ ظاهر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عدم الخلاف فيه وفي الفهد وسباع الطير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بحثاً مفصلاً عن حكم النعامة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في العذرات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خطأ النسخة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ويلاحظ أنّ هذا الباب اشتمل علىٰ عدة أحاديث تضمنت ذكر المسوخ التي عددها الشارح أعلى اللّٰه مقامه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ادعى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 الفرقة علىٰ جواز التمشط بالعاج ، واستعمال المداهن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وعظام الفيل لا خلاف في جواز استعمالها مداهن ، وأمشاطاً ، وغير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جاز الانتفاع جاز البيع ، مضافاً إلىٰ تصريح ابن إدريس بعدم الخلاف في جواز بيع جلود السباع ، المتقدم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عبارة الماتن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العلّامة قطب الدين الرازي عنه أنه احتاط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بإمكان أن يكون في السباع البحريّة ما لا تقع الذكاة عليه وإن كان غير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 لأنّ مثل هذا الإمكان لا يؤثر في الحكم علىٰ الموجود من أفرادها ؛ ولأنّ المختار عنده وعند المحققين وقوع الذكاة عليها مطلقاً من غير تقييد ؛ ولأنّه لا فائدة في التقييد بالبحرية ، لأنّ الإمكان يتحقق فى البريّة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يجعل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مما تقع عليها الذكاة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أصل الخلاف في وقوع الذكاة عليها وعدمه ، بمعنىٰ جواز بيعها أجمع إن كانت ممّا يقال بوقوع الذكاة عليها وعدمه إن قيل بعدمه</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مشاهدته على وجه ترتفع الجهالة عنه من حيث القلّة والكثرة وإن لم يشاهد جميعه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ويختلف ذلك باختلاف الناس من حيث العلم بحاله وعدمه</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الترياق عند الأطباء قد يخلو من هذين، فيجوز بيعه قطعاً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الأفاعي إذا قتلت كانت نجسة إجماعاً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لو اضطر إليه فلم يمكن تحصيله إلا بعوض كان افتداء ، لا بيعاً</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بيع لبن الآدميات عندنا</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 أبو حنيفة بأنه مايع خارج من الآدمي ، فلا يجوز بيعه ، كفضلات الانسان من العرق وشبهه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الفضلات كالبصاق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من الأمور الشرعية ، فكل ما أورد الشرع فيه جواز البيع حكم بجواز بيعه ، وإلّا فلا ، ولم يورد الشارع في أجزاء الآدمي المعيّنة وفضلاته جواز البيع ، بل منع منهما ، واللبن من أحدهما</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يجوز بيع لبن الأتن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جميع الفقهاء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عناق وأعنق بضمتين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النصوص الواردة في استرضاع اليهودية وغيرها من غير المسلمين في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دخل لهذه المسألة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علاقتها توهم كون مثل هذه الدار مما لا ينتفع بها ، فأراد دفع هذا التوهم ، لأنها في حدّ ذاتها ينتفع بها ، وإن تعذر أو تعسر النفع باعتبار أمر عارضي وهو فقد المسلك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 وجه الجواز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يشترط الانتفاع في الحال فعلاً حتى يكون مما لا نفع فيه ، بل يكفي ولو كان في المال قوة</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اعتراض المحقق الكركي علىٰ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الماتن ، فقد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ريب في تحريم هذا القسم إذا كان من صور ذوات الأرواح ، وإن كانت عبارة الكتاب مطلقة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 أيضاً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 الصور يشمل ذوات الأرواح وغيرها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ومثلهما قال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اثبتناه هو ما ورد في الطائفة الاُولی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 فيها بدلاً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الحيوانية ، لظهور الصورة فيها علىٰ ما قيل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فقد ورد فيها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ويرجع تصوير الصورة إلىٰ تصوير المصوَّر ، والفرد المتيقن الذي دلّت علىٰ منعه الإجماعات وصريح الروايات عمل الصور المجسمة للحيوان ، صغيره وكبيره ، حيه وميته ، ناقصه وتامّه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رجع تصوير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الهامشين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العناوين في أحاديث كثيرة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علىٰ سبيل المثال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صوّر صورة عُذّب وكُلّف أنْ ينفخ فيها وليس بفاعل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 عن أمير المؤمنين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جدد قبراً ، أو مثّل مثالاً ؛ فقد خرج من الإسلام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اختياره ما اختاره الشارح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قول الشيخين ورأي المتأخرين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ذلك إلّا لحملهم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خصوص المجسمة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السكوني ،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صلی اللّٰه علیه و آله إلىٰ المدينة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صورة إلّا محوتها ، ولا قبراً إلّا سوّيته ، ولا كلباً إلّا قتلته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تقدّم من الشارح ذكره ممّا دلّ علىٰ نفي البأس إذا غيّرت رؤوسها أو قطعت أو كسرت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علىٰ المتفطن أنّ هذه الروايات وإن حملها الشارح علىٰ خصوص المجسمة لكن مراده إثبات مجرّد الملازمة بين حرمة الابتداء وحرمة الاستدامة ، لا الاستدلال علىٰ حرمة إبقاء المنقوشة بهذه الروايات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تقدم ذكره من الشارح من رواية المناهي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ونهىٰ أن ينقش شيء من الحيوان علىٰ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ممّا ظاهره ذلك ؛ فهي مقيدة بروايات اُخر ، ولتحقيق المطلب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تمت دعوىٰ الشارح المتقدّمة من ظهور الصور والمثال والتثمال الواردة في الأخبار في الحيوانية أمكن دعوىٰ الإجماع ؛ فإنّ مصبّ التحريم في كلام الفقهاء نفس هذه العناوين المأخوذة موضوعاً للحرمة والنهى فى الروايات ، وإلّا أمكن نسبة الخلاف في هذا القسم إلىٰ بعض المتقدّمين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أوجب الاضطراب في الكتب الفقهية في ضبط الأقوال في المسألة ونسبتها ، مع ملاحظة تحفظ المحقق الثاني في نسبة الأقوال وعدم تعيينه القائل كما يفعله في غالب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الكلام في بيان الأقوال وإيضاح الاضطراب يطول بذكره المقام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الهامش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المفترض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مردود بضعف 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بضعف ما يمكن أنْ يستدل به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يمكن الاستدلال به للمنع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 طوائف من الروايات ، ذكرها السيد العاملي وأوضح وجه ضعفها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التدريج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المدار علىٰ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الأقوىٰ التعلّق بالأوّل أيضاً إذا فرض كون المقصود لهما ذلك من أول الأمر ، لصدق الاستناد 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يظهر ما في إطلاق قوله أيضاً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التفريق يتعلّق الحكم بالجامع</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مخالف إلا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نقله رأي الأردبيلي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دعوى الإجماع على خلافه</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السبزواري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الإطراب والترجيع مجتمعان غالباً</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السبزواري إلى 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الشافعي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لم يأخذ المد فيه ، فتأمل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عرفه جماعة من الأصحاب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بضميمة تعريفه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للفاضل القطيفي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يطبع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غير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المولىٰ النراقي تفاسير أخرىٰ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واستحسنه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إجماع الفرقة علىٰ تحريمه ، وتفسيق فاعله ، وردّ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خلاف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حين إذ كان الغناء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الانسان المشتمل علىٰ الترجيع المطرب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تحريمه ، وتحريم الأجرة عليه ، وتعلّمه ، وتعليمه ، واستماعه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بعض الأصحاب إلىٰ العرف ، فكلّ ما يسمّىٰ به عرفاً فهو حرام وإن لم يكن مشتملاً علىٰ الترجيع ولا علىٰ الطرب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خلاف عندنا في تحریم الغناء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تحریم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خلاف في تحريمه فيما أعلم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الاستدلال بالآيات والروايات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في المصدر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ورد أن على بن الحسين علیه السلام كان يقرأ فربّما مرّ عليه المار فصعق من حسن صوته ، وأنّه سأله رجل عن شراء جارية لها صوت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عليك لو اشتريتها فذكرتك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بالقران صوتك فإنّ اللّٰه يحبّ الصوت الحسن يُرَجّع فيه ترجيعاً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الروايات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هنا أولاً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المذكور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الثاني ففي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حمل الحرّ العاملي بعضها علىٰ التقية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التعليق على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ما 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المستثني هو السبزواري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الفيض الكاشاني فليس جواز الغناء بالقرآن عنده خارجاً بالاستثناء، بل هو علىٰ حكم الأصل ، إذ الغناء في نفسه مباح عنده كما تقدم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واستثنىٰ بعضهم مراثى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يشر إلىٰ ورود نص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استثني مراثي الحسين أيضاً، ودليله أيضاً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على استثناء الحداء ، وفعل المغنية في الأعراس بالشروط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دليل الكلّ أنّه ما ثبت بالإجماع إلّا في غيرها ، والأخبار ليست بصحيحة صريحة في التحريم مطلقاً ، والأصل الجواز ، فما ثبت تحريمه يحرم ، والباقي يبقىٰ ، فتأمل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أن البكاء والتفجع عليه مطلوب ومرغوب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ثواب عظيم ، والغناء معين علىٰ ذلك ، وأنه متعارف دائماً في بلاد المسلمين في زمن المشايخ إلىٰ زماننا هذا من غير نكير ، وهو يدلّ علىٰ الجواز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جواز النياحة بالغناء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يستدل علىٰ ذلك بما رواه الشيخ الصدوق أعلى اللّٰه مقامه عن أبي هارون المكفوف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هارون أنشدني في الحسين علیه السلام فأنشدته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كما تنشدون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على جدث الحسين فقل لأعظمه الزكية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فراجعه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دلالته نظر</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 المقدّس الأردبيلي ، تقدّم في الهامش السابق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إلىٰ أنّ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هذا الوجه إلىٰ السبزواري في الكفاية ، حاكياً عبارة الكفاية باللفظ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الغريب أنّ النسخة المطبوعة المتداولة من الكفاية لم تتضمن ذلك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وقد أشار محققوا المكاسب إلىٰ ذلك في الهامش</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استحباب إيجاد الشيء بسببه المباح لا بسببه المحرّم</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إضافة إلىٰ ما دلّ على أنه من الباطل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دلّ علىٰ أنه عشّ النفاق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يلاحظ أنّ ما اثبتناه من العبارة هو ما ورد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التحريم متعلّق بالطبيعة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مع تقديم لفظ الحلال علىٰ الحرام في الجملة الأولىٰ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المهدي بن عبداللّٰه المنصور ، العباسي ،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 أخو 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يقول أبو فراس الحمداني مخاطباً بنی العباس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غير واحد من الأخبار يدلّ علىٰ جوازه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واستحبابه في القرآن ؛ بناءً علىٰ دلالة الروايات علىٰ حسن الصوت والتحزين والترجيع في القرآن ، بل استحبابه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شيئاً منها لا يوجد بدون الغناء علىٰ ما استفيد من كلام أهل اللغة وغيرهم وفصّلناه في بعض رسائلنا</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قصص داود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بذلك ما رواه الكليني عن يونس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الخراساني علیه السلام عن الغناء ،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العباسي ذكر عنك أنّك ترخّص في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الزنديق ، ما هكذا قلت له ، سألني عن الغناء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أبا جعفر علیه السلام فسأله عن الغناء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إذا ميّز اللّٰه بين الحق والباطل فأين يكون الغناء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حکمت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عن الريّان بن الصلت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اللّٰه يوماً بخراسان ، وذكر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وههنا ،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يظهر من المحقق الكركي الميل إليه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عدم دخول الرجال عليها عدم سماعهم 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للقطع بالتحريم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يدخلوا عليها ، وذلك إذا كانوا أجانب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العموم لإطلاق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الشيهد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استبدل التقييد بعدم دخول الرجال عليها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تسمع صوتها الأجانب من الرجال</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نصّت علىٰ ذلك الروايات الواردة عن أهل البيت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عليه بعض العامة من الجواز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المروي عن الإمام الرضاء علیه السلام ، المتقدّم نقله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ما رواه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أنه سئل عن الشطرنج ، وعن لعبة شبيب التي يقال لها لعبة الأمير ، وعن لعبة الثلث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أرأيتك إذا ميّز اللّٰه بين الحق والباطل مع أيهما تكون؟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الباطل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خير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رواه الفضيل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هذه الأشياء التي يلعب بها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والشطرنج حتىٰ انتهيت إلىٰ السدر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ميّز اللّٰه الحق من الباطل مع أيّهما يكون؟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الباطل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 وللباطل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وانفرد القاضي ابن البرّاج بالقول بالكراهة،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والصواب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حرمة الغناء ممّا تقدمت الإشارة إلىٰ بعضها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زيادة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الشرائط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الحجّة</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 بالإبل حدواً وحداءً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زجرها وغنّى لها ليحتها على السير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المستثني هو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هنا ، والشهيد الأول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الاستثناء دون اعتراض عليه أو مناقشة فيه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مع التشكيك في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مع نفي الدليل عليه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مصدر الحديث كالتالي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والمجازات النبوية طبع مصر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الفتوائية في الحداء جاءت على لسان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استثناء 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عد الحداء مما استثناه المشهور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تعريض بالشهيد الأوّل ، حيث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ويجوز الحداء للابل وشبهها</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الترديد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بالحوراب في عرفنا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ظهر من بعض مشايخنا معلومية حلّيته في حال الحرب ، وحثّ الرجال علىٰ القتال المحلل</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اللاعب بالنرد يفسق ، وتردّ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ويحرم عمل الأصنام والصلبان وغيرهما من هياكل العبادة المبتدعة ، وآلات اللهو كالعود والزمر ، وآلات القمار كالنرد والشطرنج والأربعة عشر ،وغيرها من الآت اللعب ، بلا خلاف بين علمائنا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القمار حرام بلا خلاف بين العلماء ، وكذا ما يؤخذ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جميع أنواع القمار حرام من اللعب بالنرد ، والشطرنج ، والأربعة عشر ، واللعب بالخاتم ، حتىٰ لعب الصبيان بالجوز علىٰ ما تضمنته الأحاديث ؛ ذهب إليه علماؤنا أجمع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مذهب الأصحاب تحريم اللعب بآلات القمار كلّها من الشطرنج ، والنرد ، والأربعة عشر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القمار واللعب به حتىٰ لعب الصبيان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ودليل تحريم الكل الإجماع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الفاضل الهندي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مازجاً قول الماتن ، في شهادات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واللاعب بآلات القمار كلها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كلماتهم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 فاجتنبوه لعلكم تفلحون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وردت الروايات بتفسيره بالقمار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ما يدلّ عليه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منها فقد ورد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فالمسابقة والمغالبة بغير ما يجوز الرهان على المسابقة عليه والمغالبة فيه من دون رهان لا بأس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فى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منها فلم يرد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بالعكس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كلا التقديرين فالعبارة غير خالية من الإشكال ، إذ الصواب 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 المطلوب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من بعض الملاحظين للنسخة المأخوذة عنها نسخ الطائفة الأولى ، ثمّ أدخلها الناسخ اللاحق في المتن مضيفاً إليها حرف العطف ، ومشىٰ عليها النسّاخ اللاحقون له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المجانس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الطائفة الثانية من النسخ</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ولعلها تصحيف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الطائفة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احتمال المصلحة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كالآيات الدالة على حرمة الظلم ، وما أكثرها في الكتاب العزيز ، ونذكر منها تيمناً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يظلم منكم نذقه عذاباً كبيراً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الدالة على حرمة الخيانة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يحبّ الخائنين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بضميمة رواية سعد الإسكاف المروية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 بما يخفىٰ حرام بلا خلاف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خفاء الغش فقد عرفت أنه لا خلاف في التحريم</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والمحدّث البحراني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غش بما لا يخفى ، كالتراب يجعله في الحنطة ، والردي منها بالجيّد ؛ فظاهر الأصحاب عدم التحريم ، وإن كان مكروهاً</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والغش في كل متجر وصناعة 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شيء غُشّ فيه فالتجارة فيه والتكسب به بالبيع والشراء وغير ذلك ؛ حرام 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 في جميع والغش في جميع الأشياء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 إطلاق عباراتهم عدم اختصاص حرمة الغش بما يخفى ، فعُدّوا مخالفين في المسألة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جاءَت العبارة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تعلم غشيته ، أو أخبر المشتري به ، أو أخذت شرطيته ، فلا بأس به</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الطائفة الثانية من النسخ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الطائفة الثانية من النسخ</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المحقق الكركي حيث ذكر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وجهين في صحة المعاملة وفسادها أما وجه الصحة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المحرّم هو الغش ، والمبيع ، عين مملوكة ينتفع بها تعدّ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المقصود بالبيع هو اللبن مثلاً، والجاري عليه العقد المشوب ، فهو من باب تعارض الوصف والإشارة ، لأنّ المراد من عنوان اللبن مثلاً الخالص لا المشوب ، فهو نظير ما إذا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هذا الفرس ، فإذا هو حمار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تعارض الاسم والإشارة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 المباني فی ثبوت هذه الخيارات مختلفة عند الفقهاء ، لذا تركنا الإشارة إلىٰ أدلتها ، وتفصيل المطلب في المطوّلات</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الطائفة الثانية من النسخ كما يلى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أنّ من الأخبار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قطع الدينار المغشوش والأمر بإلقائه في البالوعة معلّلاً بقوله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لا يباع شيء فيه 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ومفاده أنّ المغشوش منهي عن بيعه ، فهو كالعذرة ونحوها ممّا منعت عنه الأخبار ، لعدم قابليتها للانتقال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استدل للبطلان بأنّ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 من النهي في صلاحية عدم صلاحیة بیع مثله أنّه غیر مغشوش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الشيخ الأنصاري ،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ناقش هذا الاستدلال وأبطله بما لا مزيد عليه ، فللّٰه درّه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رواية الحلبي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رواية الحسين بن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ونفىٰ عنه الخلاف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وتفسيره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سعد الإسكاف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دون تسمية القائل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الطائفة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الذهب والحرير للرجال إلا ما استثني،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وعدة أحاديث 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باختصار للفظ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الدلالة ما في المصدر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النسخ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نسبة ذلك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أيضاً ، ولكن لا وجود لذلك في النسخة المتداولة المطبوعة حجرياً منها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نسخ الطائفة الأولى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أيضاً غير ظاهر</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بعد نقلها ،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الثاني فواضح ، وأما الأوّل فللقطع بكونه مكلفاً بأحد الأمرين ، ولا يتمّ العلم بامتثاله إلّا باجتناب الزينتين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أورد علىٰ ذلك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الحكم حرمة التشبّه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الظاهر من التشبه صورة علم المتشبّه</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تعاونوا على الإثم والعدوان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المنهي عنه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عدة أخبار ، 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جميع النسخ ما عدا نسخة واحدة ، فقد ورد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السيد العاملي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المتخذة من كلام الشارح هنا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فقد صرّح بذلك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الثانية من النسخ جاء العطف بالواو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الشارح هنا بتمامها مصدراً لها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ففي شرح الاستاذ أنه ليس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ثمّ علّق عليها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 ما سمعته من الدليل لا يقتضي الاختصاص بذلك ، بل مقتضاه الحرمة في كلّ ما فيه ضلال، قل أو كثر ، وضع لذلك أو لا</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عندهم جميع الكتب التي نزلت من عند اللّٰه عز وجل وأنهم يعرفونها علىٰ اختلاف ألسنتها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145/18</w:t>
      </w:r>
      <w:r>
        <w:rPr>
          <w:rFonts w:ascii="IRNazanin" w:hAnsi="IRNazanin" w:eastAsia="IRNazanin"/>
          <w:b w:val="false"/>
          <w:b w:val="false"/>
          <w:bCs w:val="false"/>
          <w:i w:val="false"/>
          <w:i w:val="false"/>
          <w:iCs w:val="false"/>
          <w:color w:val="333333"/>
          <w:sz w:val="20"/>
          <w:sz w:val="20"/>
          <w:szCs w:val="20"/>
          <w:rtl w:val="true"/>
        </w:rPr>
        <w:t xml:space="preserve">، حيث عدّ من كتب الضلال ما صنّفه الشيخ الطوسي ومَن بعده من الأصحاب في علم أصول الفقه وهاجمه بقساوة بالغة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فممّن خصّه بالشعر من اللغويين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وادعىٰ الشهرة عليه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أطلق من اللغويين الجوهري، فقد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المدح وقال الطريحي،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الهجاء خلاف المدح ، وهجىٰ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معايَبهم ، والمرأة تهجو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تذمّ صحبته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الفقهاء الماتن ، فقد قال 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وهجاء المؤمنين حرام سواء كان بشعر أو غيره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حسان بن ثابت بن ثابت بن الخزرجي الأنصاري ، أبو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 شاعر النبي صلی اللّٰه علیه و آله، وأحد المخضرمين الذين أدركوا الجاهلية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ستين سنة في الجاهلية ومثلها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سكّان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مع النبي صلی اللّٰه علیه و آله مشهداً لعلّة أصابته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شديد الهجاء ، فحلَ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ذكر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العقلاء منهم والمميزين من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الجوهري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يتكلّم خلف إنسان مستور بما يغمّه لو سمعه ، فإن كان صدقاً غيبة ، وإن كان كذباً بهتاناً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ومننه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اغنا به اغتياباً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ذكره بما يكره من العيوب وهو حق ، والإسم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باطلاً فهو الغيبة في بُهت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أن يُذكر الإنسان في غيبته بسوء إن كان فيه ، فإذا ذكرته بما ليس فيه فهو البَهْت والبُهتان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أنّ في النسخة غلطاً حيث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وذكره بما فيه من السوء کاغتابه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منه ، تكون حسنة أو 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المرء في أخيه ما يكرهه لو سمعه ممّا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في الاصطلاح لها تعريفين أحدهما مشهور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الانسان حال غيبته بما يكره نسبته إليه ممّا يُعدّ نقصاناً في العرف بقصد الانتقاص والذم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ما یكره نسبته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أعمّ من الأوّل لشمول مورده اللسان والإشارة والحكاية وغيرها ، وهو أولىٰ ، لما سيأتي من عدم قصر الغيبة على اللسان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حكاها في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نقله فى الهامش السابق عن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حكاه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وحق العبارة أن تكون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غرضه الإشارة إلى ما تقدم نقله آنفاً عن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حيث عدّ من قسم الغيبة بالخفي أن يشير إلىٰ نقص في الغير وإن كان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يظهر ذلك من إطلاق كلامي الفيومي والفيروزآبادي المتقدّم ذكرهما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الجوهري والفيّومى وابن الاثير وغيرهم ، كما تقدم آنفاً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ابن شعبة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والسيد المرتضى في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 عن الصادق علیه السلام ،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أمر منهی عنه من جهة من الجهات فمحرّم على الإنسان إجارة نفسه فيه أو له أو شيء منه أو له إلا لمنفعة من استأجره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يكون منه وفيه الفساد محضاً ولا يكون منه ولا فيه شيء من وجوه الصلاح فحرام تعليمه وتعلمه والعمل به وأخذ الأجرة عليه وجميع التقلب فيه من جميع وجوه الحركات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أيضاً غير ذلك مما يدلّ علىٰ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ذكر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حرمة التكسب بالغيبة من الضروريات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يغتب بعضكم بعضاً أيحبّ أحدكم أن يأكل لحم أخيه ميتاً فکرهتموه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ظاهر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الشمول لكلّ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ما روي عن أبي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أخو المسلم، هو عينه ومرآته ودليله ، لا يخونه ولا يخدعه ولا يظلمه ولا يكذبه ولا يغتابه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الحر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أربعة أحاديث ، موضوع الحرمة فيها عنوان المؤمن، ولكن ليس فيها حصر الحرمة به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راجعت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مظنّة العثور على ذلك فلم أجده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السيد الطباطبائي إلىٰ نفي الريب عن جواز غيبة المخالف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من أمر النبي صلی اللّٰه علیه و آله حسّاناً بذلك</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يظهر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الميل إليه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الأقضية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مستدلاً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 اللّٰه الجهر بالسوء من القول إلَّا مَن ظُلم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ونظيره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وانتصروا من بعدما ظُلموا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الأخبار الواردة في مقام التفسير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أيضاً المصدر السابق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السبزواري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والأسلم ههنا التعريض ،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رجل ظلمه أبوه أو أخوه</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الاستدلال بصحيحة عبداللّٰه بن سنان عن أبي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 لا تدفع يد لامس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فامنع من يدخل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قيدها ، فإنّك لا تبرها بشيء أفضل مَن أن تمنعها عن محارم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داوود بن سرحان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 وأكثروا من سبّهم والقول فيهم والوقيعة و باهتوهم ، كيلا يطمعوا في الفساد في الإسلام ، ويحذرهم الناس ولا يتعلموا من بدعهم ، يكتب اللّٰه لكم بذلك الحسنات ، ويرفع لكم به الدرجات في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الجوهري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الوقيعة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نفقة المبتوتة ، من كتاب الطلاق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إبراهيم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يستند لذلك بالأخبار التي وردت عنهم علیهم السلام في ذمّ بعض الرواة وأنهم من الكذابين والغالين ، إلّا أنّ مورد هذه الأخبار إنّما هو غير الشيعة ممّن يُظهر التلبس بهم ، فلا حجّة فيها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 وهشام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الذي في رجله شيء يجعله يغمز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عَمَشٌ ، والعَمَشُ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 مع سيلان الدمع في أكثر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جفن عينيه منقلباً أو منشقّاً أو مسترخياً أسفله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كانت شفته السفلىٰ منشقّة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كتاب لأمير المؤمنين علي بن أبي طالب علیه السلام إلىٰ أميرين من أمراء جيشه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أمرت عليكما وعلىٰ مَن في حيّزكما مالك بن الحارث الأشتر فاسمعا له وأطيعا ، واجعلاه درعاً ومجنّاً ، فانّه ممّن لا يُخاف وهنه ولا سقطته ، ولا بطؤه عمّا الإسراع إليه أحزم ، ولا إسراعه إلىٰ ما البطء عنه أمثل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كتب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أبي عبد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زينب العطّارة الحولاء إلىٰ نساء النبی صلی اللّٰه علیه و آله و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الهامش السابق</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ووفاقاً لظاهر كلام جملة من الأصحاب علىٰ ما حكاه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الأخبار النافية لاحترام المتجاهر وغير الساتر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بالمتجاهر ، فلا يؤخذ بإطلاقه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للقول بجواز غيبة مطلق الفاسق تجاهر أو لا ، كما حكاه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الشهيد الأوّل ، إذ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صح أمكن حمله على النهى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يراد به النهي</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عن 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الشيخ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عن الرضا علیه السلام كما حكاه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نفسه</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الطائفة الثانية من النسخ بدلاً عن هذه العبارة ،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اغتاب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هذا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الردّ ينبغي أن يكون بما ليس فيه غيبة ، وإلا كان غسلاً للدم بالدم</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ثاني التفسيرين اللذين ذكرهما الشهيد الثاني في كلامه المتقدّم ذكره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العبارة ثمّ علّق عليها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أنّه ليس منها مع عدم قصد الانتقاص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اعتبر في الغيبة قصد هتك عرض المؤمن والتفكه به أو إضحاك الناس منه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بن يزيد التميمي اليربوعي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 من أشراف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الحصين بن نمير التميمي في ألف فارس من القادسية لاعتراض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قصده الكوفة ، فالتقىٰ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اقبلت خيل الكوفة تريد قتل الحسين وأصحابه ، أبىٰ الحرّ أنْ يكون فيهم ، فانصرف إلىٰ الحسين ، فقاتل بين يديه قتالاً عجيباً حتى 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ورثاه رجل من أصحاب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علیهما السلام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إنشاء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هو لم يردّها وهو قادر علىٰ ردّها كان عليه كوزر من اغتابه سبعين مرّة</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مثله في الحديث المشار إليه في الهامش السابق أيضاً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منقول بالمعنىٰ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الواردين 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أيتها العير إنكم لسارقون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فعله كبيرهم هذا فاسألوهم إن كانوا ينطقون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 وقد ورد عن الإمام الصادق علیه السلام في احتجاجاته تأويلاً للآيتين المذكورتين ، فراجعه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الثانية من النسخ جاء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الشيخ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مدعياً عليه الإجماع ،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 والشهيد الثاني، في 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يُعلم أنّ تعبير الشارح بالقيل إشارة إلىٰ ضعف المستند لا إلىٰ ندرة القائل</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الطائفة الأولىٰ ، والطائفة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مطلقاً</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الكلمة في النسخ وفي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المتصافين</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تصرف في اللفظ</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ذلك دون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فذو الجهتين يستحق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أنّ مستحق الذم يحرم مدحه ، ومستحقّ المدح يحرم ذمّه ، ممنوعة بالسيرة القاطعة وغيرها ، فضلاً عن دعوىٰ الإجماع عليها</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شَبَّب بالمرأة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فيها الغزل والنسيب ؛ وهو يشبّب بها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بها ، والتشبيب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النسيب بالنساء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تشبيب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ترقيقه بذكر النساء</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نفىٰ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فيه بالشرطين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ذكر طائفة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والتشبيب بنساء المؤمنين بلا خلاف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الطائفة الثانية من النسخ زيادة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فرد نادر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ذهب إلىٰ حرمة التشبيب بنساء أهل الخلاف ، وأهل الذمة ؛ مستدلاً علىٰ ذلك بفحوىٰ حرمة النظر إليهن ، مع تصريحه بعدم حرمة التشبيب بنساء أهل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أخذ ذلك من ظاهر عبارة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أنّه لم يستثن من حرمة التشبيب بالأجنبية غير نساء أهل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ونقض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الاستدلال بحرمة النظر إلىٰ نساء أهل الحرب ، التصريح بجواز التشبيب بهن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قال بذلك ممّن تقدّم علىٰ الشارح فيما لديّ من المصادر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المتشبب</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أمرد ، وهو الشاب الذي لا شعر له علىٰ 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الراغب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مُمَرِّد من 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مُمَلّس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مرداء ، إذا لم يكن عليها ورق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الجوهري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مرداء</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إطلاق الحرمة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ظاهر المحقق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أطلق الحرمة الفاضل الهندي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السبزواري إطلاق الحرمة إلىٰ الأصحاب ، فلاحظ كلامه في الهامش الآتي</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 للفيض الكاشاني ، وإليك نصّ عبارته في المصدر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يعدّ المعاصي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تشبيباً بامرأة بعينها غير محلّلة له ، أو بغلام ؛ لتحريم متعلقه ، ولما فيه من الإيذاء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إطلاق هذا الحكم 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المحرّمات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التشبيب بامرأة معيّنة غير محلّلة ، سواء كان في شعر أو غيره ، والظاهر تحريم ذلك إذا أدىٰ إلىٰ غيبة أو فتنة ، وأمّا الحكم به مطلقاً فلا أعرف دليلاً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وأطلق الأصحاب القول بتحريم التشبيب بالغلام ، وفي هذا الإطلاق إشكال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بالتشبيب أعمّ من أن يكون بالشعر أو غيره ، وإنْ فُسّر بالشعر</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الثانية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الصواب</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عدة أحاديث تدل علىٰ ذلك</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فارس في مجمله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وسَحَرَه أَيضاً بمعنى خَدَعَه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الطائفة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تفصيله</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 فقد عرفه بذلك حرفاً بحرف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شارحاً عبارة الماتن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بالتأثير هنا ما يشمل الفعل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شيئاً من شأنه أن يؤثر ، إذ لا يشترط فى تحريمه حصول التأثير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إرادة التأثير فعلاً يمكن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التأثير في القلب يتحقق بوجود أثره فيه وإن لم يضره ، كما إذا تخيّل الحيّات الساعية ونحوها ، فانه يفيد في القلب تأثيراً في الجملة ، وهو خلاف تأثيره في البدن ، فإنّ ظاهره كونه محض الضرر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لكنّه ذكر 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يعمل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ونحوها يحدث بسببها ضرر علىٰ الغير</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467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الثاني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الثالث ، ط حجرية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معبراً عن القائل بالبعض لكن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 الشارح عبارته بتصرّف في اللفظ</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النوعان الأخيران ليسا من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ذلك محرم في شريعة الإسلام ، ومستحلّه كافر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ذكر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وظاهره إجماع المسلمين عليه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بذهاب الأكثر إلىٰ ذلك الشهيدان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صرّح باختياره ذلك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عندي أنّه لا تأثير له ولا حقيقة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علىٰ العكس</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أنواعه</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الشهيد الثاني على هذه العبارة في 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تأثيره في بدن المسحور أمر محقق وجداني، لا 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كونه موهماً لحيات ضعف دلالة الأدلة الدالة على الطرفين، مع تسعى ونحوه تخييل، وبهذا يجمع بين كثير منها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والأدلة في بحث مفصل مبسوط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تحققها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حاول الجمع بين القولين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حمل تخييله علىٰ ما يظهر من تأثيره في حركات الحيّات والطيران ونحوهما أمكن، لا في مطلق التأثير به وإحضار الجانّ وشبه ذلك ، فإنّه أمر معلوم لا يتوجه دفعه</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ذكر بعضه من الشارح ، ويراجع بعضه الآخر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إلى ذلك بعض العامة كما يظهر من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في هامش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الفلق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تعرّض الشيخ الطوسي لها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وردّها بأنّها أخبار آحاد لا يعمل عليها في هذا المعنىٰ ، وبأنّها 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أن يكون النبي صلی اللّٰه علیه وآله سُحِر ، علىٰ ما رواه القصّاص الجهّال ، لأنّ مَن يوصف بأنه مسحور فقد خبل عقله ، وقد أنكر اللّٰه تعالى ذلك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الظالمون إن تتبعون إلا رجلاً مسحوراً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إبطالها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والرسول اللّٰه ما سُحِر عندنا بلا خلاف ،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يعصمك من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 بعض المخالفين أنّه سُحِر ، وذلك بخلاف التنزيل المجيد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وذكرها الطبرسي ايضاً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وكذّبها مستدلّاً بما تقدّم من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الجمهور عن عائشة أنّ النبي صلی اللّٰه علیه و آله سُحِر حتىٰ يُخيّل إليه أنّه يفعل الشيء وما يفعله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القول عندي باطل ، والروايات ضعيفة ، خصوصاً رواية عائشة ، لاستحالة تطرّق السحر إلى الأنبياء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والأخبار الواردة في ذلك أكثرها عامية ، أو ضعيفة ومعارضة بمثلها ، فيشكل التعويل عليها في إثبات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اسم اليهودي المزعوم جاء في بعض المصادر المتقدمة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أعصم</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أجاب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بها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الفلق ، والطبرسي،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السورة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الفخر الرازي عن المعتزلة استدلالهم بها ، ذكر ذلك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 من تفسيره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استدلّ بها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الشارح غيّر وجه الاستدلال بها ليسلم عمّا يرد من الإشكال علىٰ استدلالهم، فلا يرد عليه ما أورده عليهم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سورة الفلق ، فراجع</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زيادة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فطري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الثانية من النسخ جاء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علىٰ المقدّس الأردبيلي ، إذ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لا ثمرة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في أنّ له حقيقة أو أنه تخييل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شك في عقابه ، ولزوم الديّة ، وعوض ما يفوت بفعل الساحر عليه</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هذه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تمتنع قراءَته بكسرها علىٰ أنه مصدر أقسم</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الاستدلال به من الشارح،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يعلمان من أحد حتىٰ يقولا إنما نحن فتنة فلا تكفر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المشار إلىٰ مصادرها فيما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فعله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الرابع ، حيث حمل قول الصادق علیه السلام لعيسىٰ بن شقفي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ولا تعقد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حل السحر بشيء من القرآن أو الذكر والأقسام والكلام المباح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فعله الشهيدان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حملا رواية العلا 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يُعمل لها السحر ، يحلّونه عنها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بذلك بأساً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استحسن الشيخ الحرّ العاملي ما فعله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الحديث المذكور ، 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بعض علمائنا بالحلّ بغير السحر ، كالقرآن والذكر والتعويذ ونحوها ، وهو حسن ؛ إذ لا تصريح بجواز الحلّ بالسحر</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كالحديثين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بعد نقلها ،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أنا لم نتحقق النسبة المزبورة ، بل في جملة كتب الفاضل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 وغيرها جواز حله بالقرآن والذكر والأقسام ونحوها ، لا بشيء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حكاه الشارح ظاهر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ينافيه جعله الأحوط عدم الجواز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كَهَن يَكْهن كِهَانة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يَكتُب كِتابة ، إذا تكهن ، وإذا أردت أنه صار كاهناً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 بالضمّ يَكْهُن كَهانة 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الراغب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كَهُنَ فلان كهانة إذا تعاطىٰ ذلك ، وكَهَن إذا تخصص بذلك ، وتكهن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ذلك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يوجب طاعة بعض الجان له فيما يأمره به ، وهو قريب من السحر ، أو أخصّ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هذا التعريف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خبير بأنه قد تقدّم في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في تعريف السحر ، ومثله في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 أنّ من جملة السحر استنزال الشياطين في الغائبات ، وهو بظاهره ممّا يدل علىٰ دخول الكهانة تحت السحر</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الجوهري،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وحرفته الكهانة بالكسر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كلمات عدّة ممّن تقدّم علىٰ الشارح، كالمقدس الأردبيلي ، فظاهر كلامه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لا خلاف في تحريم الأجرة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السبزواري، فقد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 خلافاً بينهم في تحريم الكهانة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والفاضل القطيفي كما سيأتي من الشارح حكايته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عن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تكهن أو تُكهّن له فقد برئ من دين محمد صلی اللّٰه علیه و آله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النافع ، في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في مختصر الشرائع ، للشيخ إبراهيم بن سليمان القطيفي، المعاصر للمحقق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ألفه سنة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عنه حكاية الشيخ العلامة الأنصاري في مسألة بيع الوقف ، وفي مسألة القدرة علىٰ التسليم ، وصرّح في الأخير بأنه للشيخ إبراهيم بن سليمان القطيفي المذكور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والكتاب لم يطبع ، وليس في المتناول شيء من نسخه المخطوطة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يتعاطىٰ الخبرَ عن الكائنات في مستقبل الزمان ، ويدّعي معرفة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في العرب كَهَنة ، كشِق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وسَطيِح ، وغيرهما ، فمنهم من كان يزعم أنّ له تابعاً من الجن ورَئيّاً يُلقي إليه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كان يزعم أنّه يعرف الأمور بمقدمات أسباب يَسْتدَل بها علىٰ مواقعها من كلام مَن يسأله أو فعله أو حاله ، وهذا يخصّونه باسم العرّاف ، كالذي يدعي معرفة الشيء المسروق ومكان الضّالّة ونحوهما ، والعرب تسمّي كلّ مَن يتعاطىٰ علماً دقيقاً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كان يسمّى المنجّم والطبيب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سؤال الزنديق الذي سأل أبا عبداللّٰه علیه السلام عن مسائل كثيرة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أين أصل الكهانة ؟ ومن أين يخبر الناس بما يحدث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الكهانة كانت في الجاهلية في كل حين فترة من الرسل ، كان الكاهن بمنزلة الحاكم يحتكمون إليه فيما يشتبه عليهم من الأمور بينهم ، فيخبرهم بأشياء تحدث ، وذلك في وجوه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فراسة العين ، وذكاء القلب ، ووسوسة النفس ، وفطنة الروح مع قذف في قلبه ، لأنّ ما يحدث في الأرض من الحوادث الظاهرة فذلك يعلمه الشيطان ويؤديه إلىٰ الكاهن ، ويخبره بما يحدث في المنازل والأطراف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أخبار السماء فإنّ الشياطين كانت تقعد مقاعد استراق السمع إذ ذاك وهي لا تحجب ولا ترجم بالنجوم ، وإنما منعت من استراق السمع لئلا يقع في الأرض سبب يشاكل الوحي من خبر السماء فيلبس علىٰ أهل الأرض ما جاءَهم عن اللّٰه لإثبات الحجة ونفي الشبه ، وكان الشيطان يسترق الكلمة الواحدة من خبر السماء بما يحدث من خلقه فيختطفها ، ثم يهبط بها إلىٰ الأرض فيقذفها إلىٰ الكاهن ، فإذا قد زاد عنده فيختلط الحق بالباطل ، فما أصاب الكاهن من خبر ممّا كان يخبر به فهو ما أدّاه إليه شيطانه ممّا سمعه ، وما أخطأ فيه فهو من باطل ما زاد فيه ، فمذ مُنعت الشياطين عن استراق السمع انقطعت الكهانة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إنّما تؤدّي الشياطين إلىٰ كهانها أخباراً للناس مما يتحدثون به وممّا يحدثونه ، والشياطين تؤدّي إلىٰ الشياطين ما يحدث في البعد من الحوادث من سارق سرق ، وقاتل قتل ، وغائب غاب ، وهم بمنزلة الناس أيضاً ، صدوق وكذوب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 أبي حازم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كاهن مكة ، ورسول اللّٰه ابن خمس سنين ، وقد قدمت به ظئره إلىٰ عبد المطلّب ، وكانت تأتيه به في كل عام ، فنظر إليه الكاهن مع عبد المطلّب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اقتلوا هذا الصبي فإنّه يفرّقكم ويقتلكم ، فهرب به عبد المطلب ، فلم تزل قريش تخشىٰ من أمره ما كان الكاهن حذرهم من أمره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ثقة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أبي عبداللّٰه جعفر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رفيد مولىٰ عمر بن يزيد بن هبيرة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 عليّ ابن هبيرة وحلف عليّ ليقتلني ، فهربت منه ، وعذت بأبي عبداللّٰه علیه السلام فأعلمته خبري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واقرأه مني السلام ، 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أجرت عليك مولاك رفيداً فلا تهجه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شامي خبيث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 إليه كما أقول لك ، فأقبلت ، فلمّا كنت في بعض البوادي استقبلني أعرابي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تذهب ، إنّي أرىٰ وجه مقتول ،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يدك ، ففعلت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مقتول ،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 رجلك ، فأبرزت رجلي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مقتول ،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 جسدك ، ففعلت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 مقتول ،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لسانك ففعلت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 فلا بأس عليك ، فإنّ في لسانك رسالة لو أتيت بها الجبال الرواسي لانقادت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فجئت حتىٰ وقفت علىٰ باب ابن هبيرة ، فاستأذنت فلما دخلت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أتتك بحائن رجلاه ، يا غلام ؛ النطع والسيف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فكتفت ، وشدّ رأسي، وقام السيّاف ليضرب عنقي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الأمير لم تظفر بي عنوة ، وإنما جئتك من ذات نفسي، وههنا أمر أذكره لك ثمّ أنت وشأنك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اخلني ، فأمر مَن حضر فخرجوا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يقرئك السلام ويقول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أجرت عليك مولاك رفيداً فلا تهجه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قال لك جعفر بن محمد هذه المقالة وأقرأني السلام ، فحلفت له ، فردّها علىّ ثلاثاً ، ثمّ حلّ كتافي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يقنعني منك حتىٰ تفعل بي ما فعلتُ بك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تنطلق يدي بذاك ولا تطيب به نفسي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يقنعني إلّا ذاك ، ففعلت به کما فعل به وأطلقته ، فناولني خاتمه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أموري في يدك، فدبّر فيها ما شئت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للتابع من الجنِّ رَئيّ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فعيل ، أو 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به لأنه يتراءىٰ لمتبوعه ، أو هو من الرأي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رَئيّ قومه ، إذا كان صاحب رأيهم ، وقد تكسر راؤه لإتباعها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لسواد بن 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أتاك رَبَّتُك بظهور رسول اللّٰه صلی اللّٰه علیه و 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أنّ الكاهن هو الذي له رَئيّ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من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يأتيه بالأخبار بالمغيبات ، كما كان لعمرو بن لحي رئيّ من الجن ، وهو أوّل من بحر البحائر وسيّب السوائب وغيّر دين اسماعيل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النفوس ما يقوىٰ علىٰ الاطلاع علىٰ ما سيكون من الأمور ، فإن كانت خيّرة فاضلة فتلك نفوس الأنبياء والأولياء ، وإن كانت شرّيرة فهي نفوس الكَهنة</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عن المحدّث البحراني ،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النصوص في ذلك مطلقة ، غير مقيّدة بالمستحلّ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ملاحظة دخول الكهانة في السحر موضوعاً</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من التنجيم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عن أحكام النجوم باعتبار الحركات الفلكية والاتصالات الكوكبية التي مرجعها إلى القياس والتخمين</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أنه لا نزاع بين </w:t>
      </w:r>
      <w:r>
        <w:rPr>
          <w:rFonts w:eastAsia="IRNazanin" w:cs="IRNazanin"/>
          <w:b w:val="false"/>
          <w:bCs w:val="false"/>
          <w:i w:val="false"/>
          <w:iCs w:val="false"/>
          <w:color w:val="333333"/>
          <w:sz w:val="20"/>
          <w:szCs w:val="20"/>
        </w:rPr>
        <w:t>299/59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في أنّ من اعتقد أنّ الكواكب هي المدبّرة لهذا العالم ، وهي الخالقة لما فيه من الحوادث والخيرات والشرور ؛ فإنّه يكون كافراً علىٰ الإطلاق</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عليك أنّ القول باستقلال النجوم في تأثيرها ، بل القول بكونها علّة فاعليّة بالإرادة والاختيار ، وإن توقف تأثيرها علىٰ شرائط ؛ كفر ، ومخالفة لضرورة الدين</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الكلام في هذا المقام، وذكر الأقسام، مع إيضاح الأحكام ،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 النجوم والعمل به وحال المنجمين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ويتضح الاضطراب بمراجعة كلماتهم، فعلىٰ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علم النجوم فقد حرمه بعض الأصحاب ، ولعلّه لما فيه من التعرّض للمحظور من اعتقاد التأثير ، أو لأن أحكامه تخمينية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النجوم حرّمه بعض الأصحاب ، والأقرب الجواز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بينما نجد الشيخ الحرّ العاملي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صرّح علماؤنا بتحريم تعلم علم النجوم والعمل به ، وصرّحوا بكفر من اعتقد تأثير النجوم أو مدخليتها في التأثير ، وذكروا أنّ بطلان ذلك من ضروريات الدين ، ونقلوا الإجماع علىٰ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يظهر منهم مخالف في علىٰ ما يحضرني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منه علىٰ عنوان الباب ، قال هذا رغم تصريح الشهيد الأوّل والسبزواري بأنّ المحرّم بعض الأصحاب ، ورغم تصريح السبزواري باختياره الجواز ، وميل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إلىٰ ذلك ،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صنّف علي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 تحقيق النجوم ، وحلّية هذا العلم، وجواز التأثير، واستدل عليها بالآيات والأخبار والاعتبار ، وردّ كلام من قال بتحريمه وكراهيته ، فمن أراد التفصيل فليرجع إليه</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بذلك ، مشددّاً حرمته ، مدعياً عليها إجماع المسلمين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جاعلاً تكذيب المنجمين من ضرورات الدين؛ علم الهدىٰ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وعبدالرحمن بن سيابة ، وهشام الخفاف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طاووس طائفة كبيرة منهم، وقد نقل كلامه في ذلك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الأخير نسبته إلىٰ إبراهيم علیه السلام كما نُسب ذلك في رواية إلىٰ يوشع بن نون ، وفي اُخرىٰ إلىٰ نبيّ لم يذكر اسمه،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 الأردبيلي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يفهم من قوله تعالىٰ حكايةً عن إبراهيم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نظرة في النجوم فقال إنّي 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بأمثال ذلك ، بل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روي عن الإمام موسىٰ بن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قال اللّٰه تعالىٰ في حق إبراهيم خليل الرحمن اللّٰه وكذلك نريٰ إبراهيم ملكوت السماوات والأرض وليكون من الموقنين وقال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نظرة في النجوم فقال إنّي 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يكن عالماً بعلم النجوم ما نظر فيها وما قال إنّي سقيم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السيد ابن طاووس، والسبزواري ، كما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السيد المرتضىٰ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الشيخ الحرّ العاملي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وغيره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السابع ، ط حجرية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شَعْبَذَ شَعْبَذَةً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اليد وأخذٌ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كالسحر، يُري الشيْءَ علىٰ غير ما هو في الأصل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قبله نصّ علىٰ تحريمها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السابع ، ط حجرية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للشهيد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يعرف الآثار ، والجمع القَافَةُ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قفتُ أثَرَه ، إذا تبعته ، مثل قفوت أثره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قافَ الرجل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 واقتافه كذلك ، فهو قائف ، والجمع قافَة ، مثل كافر وكفرة ، ومقتاف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يتتبع الآثار ويعرفها ويعرف شبه الرجل بأخيه وأبيه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يقوف الأثر ويقتافه قيافة ، مثل قفا الأثر واقتفاه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يعرف الآثار ويلحق الولد بالوالد والأخ بأخيه</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ولكنّ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عبارة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مقادير</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التعريف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ما 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وعرفها قبله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إلحاق الأنساب بما يزعم أنه يعلمه من العلامات أو إلحاق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وعرّفها قبلهما 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التفرّس لإلحاق الأبناء بالآباء بسبب اتفاقهم في صفة من الصفات</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السابع ، ط حجرية ،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المسألة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السحر ، ونحوه القيافة والكهانة والشعبذة ، ولا خلاف في تحريم تعليم الجميع ، وأخذ الاُجرة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القيافة حرام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المقداد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بعض أهل السنة بجوازه ، لأنّ النبي اللّٰه سُئل عن شخص ابن مَن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لقائف كان في ذلك الزمان ، فقال كما قال النبي اللّٰه ، فجاؤا إليه ، وقالوا له ذلك ، ففرح النبي صلی اللّٰه علیه و آله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حراماً لما أعجبه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يكون فرحه من حيث ظهور صدقه ، لا من جهة القائف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بعض هذه الوجوه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مشروعية اللعان أوضح شيء علىٰ عدم اعتبار القيافة</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أنّ أبا بصير سأل الصادق علیه السلام عن القافة ،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 أنْ تأتيهم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ثقة الإسلام الشيخ الكليني،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جعفر الثاني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زكريا بن يحيىٰ بن النعمان الصيرفي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جعفر ، يحدث الحسن بن الحسين بن علي بن الحسين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نصر اللّٰه أبا الحسن الرضا علیه السلام ، فقال له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جعلت فداك ، لقد بغىٰ عليه إخوته ، فقال علي بن جعفر إي واللّٰه ونحن عمومته بغينا عليه ، فقال له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كيف صنعتم ؟ فإنّي لم أحضركم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إخوته ونحن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فينا إمام قطّ حائل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رسول اللّٰه صلی اللّٰه علیه و آله قد قضىٰ بالقافة ، فبيننا وبينك القافة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ابعثوا أنتم إليهم فأمّا أنا فلا ، ولا تعلموهم لما دعوتموهم، ولتكونوا في بيوتكم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جاؤوا أقعدونا في البستان ، واصطفّ عمومته وإخوته وأخواته ، وأخذوا الرضا علیه السلام وألبسوه جبّة صوف وقلنسوة منها ، ووضعوا علىٰ عنقه مسحاة ، وقالوا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البستان كأنّك تعمل فيه ، ثم جاؤوا بأبي جعفر علیه السلام،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ألحقوا هذا الغلام بأبيه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ههنا أب ، ولكن هذا عمّ أبيه ، وهذا عمّ أبيه ، وهذا عمه ، وهذه عمّته ، وإن يكن له ههنا أب فهو صاحب البستان ، فإن قدميه وقدميه واحدة ، فلما أبو الحسن علیه السلام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فمصصت ريق أبي جعفر علیه السلام ثم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إمامي عند اللّٰه ، فبكىٰ الرضا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 ألم تسمع أبي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ابن خيرة الإماء ، ابن النوبيّة الطيبة الفم ، المنتجبة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علیه السلام مكره علىٰ ذلك ، كما يظهر ذلك لمن اطلع علىٰ أحوال إخوته معه ، علیه السلام وقد فعلوا ما فعلوا ممّا نسأل اللّٰه سبحانه بمحمد وآله أن يعفو عنهم ، ولا سيّما العباس ، أو أنه علیه السلام يعلم أنّهم هنا ما يقولون إلّا حقّاً ، وفيه مع ذلك رفع الشبهة عنهم ، ولو أنكر رجوعه صلی اللّٰه علیه و آله إلى القافة لكذّبه العباس ما سمعه من العّامة من الرجوع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مسحاتك من طين، كما قال له ذلك قبل ذلك، ولهذا وقفوا واستمرّ في أعقابهم مدّة ، حتىٰ إبراهيم، والظاهر أنّ أحمد لم يقف ، ولعل إبراهيم رجع</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تحريم القيافة بما اذا ترتب عليها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ما إذا جزم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الشيخ الأنصاري علىٰ التقييد بعدم ترتّب المحرّم عليها ، بقوله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أنه مراد الكلّ ، وإلا فمجرد حصول الاعتقاد العلمي أو الظنّي بنسب شخص ؛ لا دليل علىٰ تحريمه</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ويحرم القيافة والتكسّب بها ، سواء استعمل في إلحاق الأنساب ، أو في قفو الآثار ؛ إذا رتّب عليها 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وبالجملة القيافة حرام ، سواء استعملت في إلحاق الأنساب ، أو قفو الآثار ،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ترتّب الأحوال ، من الحفظ والذكاء والبلاهة وغيرها علىٰ علامات ، مثل علوّ الجبهة وعلوّ القفا ومؤخّر الرأس ؛ داخل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بيّن بعض ما يترتّب علىٰ القيافة في الأنساب من المحاذير الشرعية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وكذا لزوم الحكم بترتب أمر علىٰ أمر ، مع عدم علم ولا ظنّ معتبر ، فقد يحكم بأحمقية شخص بمجرّد ذلك ، وكذا غيره مع النهی عنه ، وقد يكون كذباً ، بل قد يشعر بأنه مثل أحكام أهل النجوم الذي يحكم النهي أن اعتقاد ذلك حرام بل كفر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ما تقدّم نقله عن الشيخ الأنصاري من أنّ الجزم الباطني من غير ترتّب المحرّم لا دليل علىٰ حرمته ، بل يمتنع اتصافه بالحرمة لأنه ليس فعلاً اختيارياً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ما قاله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كلام الماتن ههنا ،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للنصوص في الكتاب والسنّة</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الضمّ أشهر من الكسر ، ولم يذكر الفتح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بالمصحف الأوراق المشتملة علىٰ الخطوط ، كبقية الكتب دون الخط فقط كما اختاره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للدروس ، فإنّ الخطّ بما هو خط غير قابل للبيع ، لكونه عرضاً محضاً تابعاً لمعروضه ، فلا يمكن انفكاكه عنه حتىٰ يبحث فيه بأنّه يقابل بالثمن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تقدير كونه من قبيل الجواهر ، كالخطوط المخطوطة بالحبر ونحوه ، فانه لا يقبل النقل والانتقال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فلا وجه للبحث عن جواز بيع الخط الخالي عن الأوراق وعدم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الطائفة الثانية من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وجوب تعظيم كلام اللّٰه وحرمة هتكه أمر عليه مجمع بین المسلمين ، بل قامت عليه ضرورة الدين ، فهو أجل من أن يجعل كسائر الأمتعة مورداً للبيع ، وأرفع من أن يقابل بثمن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معرفة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المشهور اشتراط كون المشتري مسلماً لو كان المبيع مصحفاً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اختصار في اللفظ</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 والورق والدفتين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الحديد والجلود والدفتر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الورق والأديم والحديد</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الثانية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اتهبه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شارحاً كلام خاله الماتن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مناسبة التعظيم للكتاب العزيز تقتضي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النهي عن بيعه للكافر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البيع لا النهي بمجرّده ، إذ النهي عندنا في المعاملات لا يدلّ علىٰ الفساد ، ولما كان التعظيم والإجلال للكتاب العزيز واجباً ؛ كان الحقِّ أنّه لا يصحّ بيعه علىٰ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كلام والده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النهي في المعاملات ، إذا لم يتمّ غرض الشارع في تحريمه إلّا بإبطاله ، وجب القول ببطلانه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عبارة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أصح ، لانتفاء الصلاحیّة فی أحد أركان البيع ، فيفسد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ويؤمر ببيعه</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يعدد ما يكره التكسّب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 ذلك الشرط في ، ومع ارتفاعه فهو حلال طلق ، وهذا مذهب جميع المصاحف أصحابنا ، وعليه إجماعهم منعقد</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المشارطة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عنها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الممتحنة وأما 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 وغيرهما</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الخيانة ، فمنها 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الطائفة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الماتن لذكر هذا الفرع في بقيّة كتبه أيضاً، فقد ذكره في تحرير الأحكام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Pr>
        <w:t>147/12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لكلّ من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والشهيد الثاني في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مفيدة في شرح عبارة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ههنا وإيضاحاً للمسألة نذكر كلام الماتن في عرض هذه المسألة، ملفّقاً من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عنده ،سرقة، كان ضامناً لها، إلّا أن يأتي علىٰ شرائها ببيّنة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وعوّل في ذلك علىٰ ما رواه أبو عمر السرّاج، عن أبي عبداللّٰه علیه السلام، في الرجل توجد عنده السرقة،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غارم إذا لم يأت علىٰ بائعها بشهود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ضامن، سواء أتىٰ علىٰ شرائها ببيّنة أو لا ، بلا ،خلاف لكن مقصود شيخنا أنّه ضامن وهل يرجع علىٰ البائع أم لا؟ فإنْ كان المشتري عالماً بالغصب، لم يكن له الرجوع، وإلّا رجع عليه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حسن، ويحتمل قول الشيخ وجهاً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 ببيّنة أنّه اشتراها من مالكها، فتسقط المطالبة عنه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جمع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كلامه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 الشارح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معتدىً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كون المسألة من صغريات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اعتدىٰ عليكم فاعتدوا عليه بمثل ما اعتدىٰ عليكم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الرجوع بالثمن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ادعىٰ الإجماع عليه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الاسلام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اغترمه من نفقة ، أو عوض عن أجرة ، أو نماء ؛ ممّا لم يحصل له في مقابلته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ادعىٰ الإجماع علىٰ الرجوع به فخر الاسلام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ونسبه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حجرية ،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حجرية ،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من مذهب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حصل له في مقابلته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المسألة ذات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ملاحظة الأقوال وتتّبع الكلمات في مختلف الفروعات سيّما في مسألة ما لو قدّم إليه طعام الغير فأكله ؛ لا يبعّد شمول الإجماع لهذا القسم أيضاً انظر أقوال الفقهاء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 الشارح في مبحث الفضولي الآتي لم ينقل عن الآتي لم ينقل عن أحد دعوىٰ الإجماع علىٰ هذا القسم</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بالقيل تبعاً للمحقق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مشيراً بذلك إلىٰ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اختيار الرجوع بالثمن مطلقاً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باقياً أو تالفاً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الأوّل ، وقواه الثاني ، لكن لم يفتيا به ؛ لمكان دعوىٰ الماتن في التذكرة الإجماع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 علماؤنا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الماتن نفسه اختار في هذين الكتابين جواز الرجوع مع بقاء الثمن ، مستدلاً عليه في الأوّل بعدم 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أطلق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المدفوع ثمناً يملكه الغاصب لتسليطه إياه عليه ، ولهذا يمتنع استرداده عند الأصحاب وإن بقيت عينه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بها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بيانه لما ذهب إليه أكثر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وجّهه بأنّه إباحة بغير عوض ، فملّكه إياه مجّاناً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المدعى فيما لدي من المصادر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هذه الوجوه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نفىٰ هذا الإجماع بصراحة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وشكك فيه المقدّس الأردبيلي،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أوّل موهن لهذا الإجماع هو المحقق الحلّي في تعبيره بالقيل ، 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اختياره الرجوع بالثمن مطلقاً ، باقياً كان أم تالفاً بعض رسائله ، كما حكاه عنه الشهيد الثاني ، في المصدر المذكور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يكون الشارح قد اختار ما ذهب إليه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تصرّف في اللفظ</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أن يراد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استقرار الضمان عليه علىٰ تقدير أن لا يثبت شراؤه لها من غيره ، فإن ثبت ذلك لم يستقر ، بل يجوز له الرجوع علىٰ البائع مع 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بالثمن وزائد القيمة على الأقوى ، وما غرمه علىٰ العين، وكذا مع تلفها ، وحينئذٍ فأصل الضمان والرجوع متحققان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هذا من تفسير ابن إدريس لكلام الشيخ الطوسي، انظر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ضمانه</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قيد بوجوب الحجّ بدونه ، لانتفاء أصل الوجوب بدون ذلك ، إذ المغصوب لا تتحقق معه الاستطاعة ، فلا يحصل به وجوب الحجّ ، فلا يسقط فعل وجوب الحجّ بالاستطاعة المتجددة</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لا تبرأ ذمته من الهدي إذا اشتراه بعين المغصوب ، لأنه نسك وعبادة ، والنهي في العبادات يقتضي الفساد ، ومثله الطواف والسعي في الثوب المغصوب ، أما الإحرام فيه فلا ، لأنّ لبس الثوبين ليس شرطاً فيه ، وعلىٰ القول باشتراطه يتجه الفساد</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علىٰ الأقوىٰ لم ترد في الطائفة الثانية من النسخ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النزر ، ومنه الطُفافة لما لا يُعتدّ به ، وطفّفَ الكيلَ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نصيب المكيل له في إيفائه واستيفائه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للمطففين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القيد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وقطب الدين الراوندي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في المكاسب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التطفيف حرام، ذكره في القواعد في المكاسب ولعلّه ،استطراد أو المراد اتخاذه كسباً، بأن ينصب نفسه كيّالاً أو وزّاناً فيطفف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الطريحي في مجمع البحرين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في تفسير المطفّفين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الذين لا يوفون الكيل والوزن، قيل لهم ذلك لأنهم لا يستوفون إلا الشيء الطفيف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يشير إلىٰ اتخاذه كسباً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البخس في العدّ والذرع يلحق به حكماً ، وإنْ خرج عن موضوعه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واعترضه السيد الخوئي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أنّ التطفيف والبخس مطلق التقليل والنقص علىٰ سبيل الخيانة والظلم في إيفاء الحق واستيفائه ، وعليه فذكر الكيل والوزن في الآية وغيرها إنّما هو من جهة الغلبة ، فلا وجه لإخراج النقص في العدد والذرع عن البخس والتطفيف موضوعاً ، وإلحاقهما بهما حكماً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كلامه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عدّ من الكبائر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 في المكيال والميزان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الرجل معيشته من بخس المكيال والميزان ،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وما يناسبهما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الآثیر،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 إلیٰ الحاجة بالمصانعة و أصیله من الرِشا الذی یُتَوصل به الیٰ الماء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الطائفة الثانية من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الرائش الذي يسعىٰ بينهما ، يستزيد لهذا ويستنقص لهذا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الشارح هذه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يقابل المال لابدّ أن يكون كنفس المال ، ممّا يملكه المؤجر حتىٰ يملّكه المستأجر في مقابل تمليكه المال إياه ، فاذا فُرض العمل واجباً للّٰه ؛ ليس للمكلف تركه ، فيصير نظير العمل المملوك للغير، ألا ترى أنّه إذا آجر نفسه لدفن الميت لشخص لم يجز له أن يؤجر نفسه ثانياً من شخص آخر لذلك العمل وليس إلّا لأنّ الفعل صار مستحقّاً للأوّل ومملوكاً له ، فلا معنىٰ لتمليكه ثانياً للآخر مع فرض بقائه علىٰ ملك الأوّل ، وهذا المعنىٰ موجود فيما أوجبه اللّٰه تعالىٰ ، خصوصاً فيما يرجع إلىٰ حقوق الغير ، حيث إنّ حاصل الإيجاب هنا جعل الغير مستحقّاً لذلك العمل من هذا العامل ، كأحكام تجهيز الميت التي جعل الشارع الميت مستحقّاً لها علىٰ الحىّ ، فلا يستحقّها غيره 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الإنصاف أنّ هذا الوجه لا يخلو عن الخدشة ، لإمكان منع المنافاة بين الوجوب الذي هو طلب الشارع الفعل ، وبين استحقاق المستأجر له ، وليس استحقاق الشارع للفعل وتملّكه المنتزع من طلبه من قبيل استحقاق الآدمي وتملّكه الذي ينافي تملّك الغير واستحقاقه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الشيخ الأنصاري علىٰ هذا الاستدلال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وقوع الفعل له بعد إجارة نفسه للعمل للغير، فإنّ آثار الفعل حينئذ ترجع إلىٰ الغير ، فإذا وجب إنقاذ غريق كفايةً أو إزالة النجاسة عن المسجد فاستأجر غيره ، فثواب الإنقاذ والإزالة يقع للمستأجر دون الأجير المباشر لهما ، نعم يسقط الفعل عنه ، لقيام المستأجر به ولو بالاستنابة ، ومن هذا القبيل الاستئجار للجهاد مع وجوبه كفايةً على الأجير والمستأجر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ولكنّ حرف العطف لم يرد في حكاية هذه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الشارح هنا ،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المملوك والمستحق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 ثمّ أورد عليه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أنّه لا مانع من تعدد أسباب الوجوب ، كما يقضي به صحة نذر الواجب ، والحلف عليه ، وأمر الوالد والسيّد به ، نعم هو كذلك بالنسبة إلىٰ أسباب الملك ، ولا تعدد فيها هنا ، والسلطان من حيث الإجارة بالإبراء والإقالة ونحوهما ؛ متحقق هنا ، والأجير له قدرة على التسليم في الواجبات التى تعتبر فيها النيّة ، ونفعها حاصل للغير كأحكام الأموات ونذر خياطة الثوب لزيد مثلاً ونحو ذلك ، بل جواز أخذ الاُمّ الاُجرة علىٰ إرضاع الولد اللباء مع وجوبه عليها ، كاستحقاق أخذ العوض عما يدفعه للمضطر من المال ، وما يأخذه الوصيّ عوضاً عن عمله ؛ أوضح شاهد علىٰ عدم منافاة صفة الوجوب للتكسب ، بل هو مقتضىٰ القواعد والضوابط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فالمتجّه حينئذ القول بعدم المنافاة ذاتا</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الشارح بهذا البيان حلّ الإشكال المشهور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الصناعات التي يتوقف النظام عليها تجب 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 إقامة النظام ، بل قد يتعيّن بعضها علىٰ بعض المكلفين عند انحصار المكلف القادر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جواز أخذ الأجرة عليها ممّا لا كلام لهم فيه ، وكذا يلزم أن يحرم علىٰ الطبيب أخذ الأجرة علىٰ الطبابة ، لوجوبها عليه كفاية أو عيناً ، كالفقاهة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الشارح هنا بتمامه ، ثمّ أورد عليه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 وجوب الصناعات ليس مشروطاً ببذل العوض ، لأنّه لإقامة النظام ، التي هي من الواجبات المطلقة ، فإنّ الطبابة والفصد والحجامة وغيرها ممّا يتوقف عليه بقاء الحياة في بعض الأوقات ، واجبة ، بُذل له العوض أم لم يُبذل</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خلاف ، بل عليه الإجماع في كلام 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الشيخ النجفي في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أنّي لم أجده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کلام المحقق الکرکی في هذه المسألة عدم الخلاف فيه إلّا عن السيد المرتضىٰ ، وهو غير مضرّ كما سياتي بيانه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إشكال ،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حكيا عن علم الهدىٰ الشريف المرتضىٰ جواز أخذ الأجرة علىٰ ذلك لغير الولي ، بناءً علىٰ اختصاص الوجوب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المرتضى موهن للإجماع ، ولذا أنّ الشهيد الثاني ، في المصدر المذكور لم يدع الإجماع وإنّما اقتصر علىٰ دعوى 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نقل عن السيد المرتضى إنّما هو خلاف في الصغرى لا في الكبرى، أي أنه ينكر وجوب التجهيز علىٰ غير الولي مع وجوده ، لا أنه ينكر حرمة أخذ الأجرة علىٰ الواجبات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مثل ما نقل عن السيد المرتضى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الطائفة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الغير</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من أخذ الأجرة علىٰ الواجب ، فالموضوع منتف</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الوجوب مطلقاً والإيجاد مشروطاً بالإذن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الطائفة الثانية من النسخ في هذا الموضع زيادة العبارة التالية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يكون هو المالك للعمل علىٰ نفسه</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مصرّحاً بذلك ، نعم يستفاد ذلك من ظاهر كلامهم في مسألة جواز أخذ الأجرة علىٰ ما زاد علىٰ الواجب في تجهيز الميت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مع استثناء الصلاة والصوم، فقد ادعى المحقق الكركي الإجماع علىٰ عدم جواز النيابة فيهما إلّا عن الميت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شرح كلام خاله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أخذ الأجرة علىٰ ما ليس بواجب من تغسيل الموتىٰ ودفنهم ، بل علىٰ فعل الزائد علىٰ الواجب من المندوبات ، فالأقرب جوازه ، لأنه معاملة على فعل محلّل ، لم يتعيّن عليه ، فكان جائزاً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كلام والده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ووجه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فعل سائغ ، غير واجب فجاز أخذ العوض عليه ، كغيره من المباحات وكالحج المندوب ، وللأصل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عندي ما هو الأقرب عند المصنّف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احتمله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توجبه القول بالمنع ، ثمّ نقضه بقيام الأدلة والإجماع علىٰ جواز الاُجرة علىٰ الحجّ وسائر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بالمنع نسبه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ابن البرّاج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لتعرف صحّة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وقوع الخطأ في ضبط عبارة ابن البرّاج في المختلف ، فقد جاء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كما في المهذب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يدلّ عليه اعتراض العلّامة عليه ثمّ توجيهه لكلامه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والمؤسف عدم التفات محققى المختلف إلىٰ الخلل الذي يولّده هذا الخطأ ، فلو كانت عبارة 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اعترض عليه العلّامة ، ولما تصدّىٰ لتوجيه كلامه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هذه الأقسام الأربعة للأذان وشرحها الشارح نفسه ،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المبحث الثالث من مباحث الآذان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ورأيت الأذان بالأجر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 علىٰ ذلك رواية زيد بن علي، المروية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مسندةً ، وفي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الصدوق 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اتضح من الهامش السابق أنّ الروايات غير منحصرة بها</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الاعتراضان علىٰ الاستدلال بالرواية، اللذان دفعهما الشارح ، أوردهما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مسقطاً بهما رواية زيد بن علي عن الاعتبار ، مهملاً ذكر باقي الروايات ، أو غافلاً عنها ، وتبعه في ذلك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الصحيح هو سند رواية محمد بن مسلم ، المروية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صرّح بصحة سند هذه الرواية المولىٰ النراقي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نص في التحريم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المنكر للدلالة 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رواية زيد بن علي في التحريم ، وأهمل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إلىٰ الروايات الاُخَر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أن الإجماع دليل لبّي ، لا لسان له كي يؤخذ بإطلاقه ، فيجب الاقتصار فيه علىٰ القدر المتيقن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يلاحظ ذيل الحديث</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المولود ، فقد ورد الأمر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صلاة العيد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بالفساد 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فقد عدّ في أقسام المحرّمات الأذان والإقامة لأجل الأجر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الماتن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ويحتمل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إنّما كان طاعة لو وقع علىٰ الوجه المأمور به شرعاً ، ووقوعه علىٰ هذا الوجه ليس بشرعي ، فيكون بدعة ، فيكون حراماً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أشرنا فيما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في نسخة المختلف من الخطأ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أشكل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توجيه المصنّف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ويشكل بأنّ النيّة غير معتبرة فيه ، و والمحرّم هو أخذ المال ، لا نفس الأذان ، فإنّه عبادة أو شعار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والمنزّل لقول ابن البرّاج علىٰ الصورة الأولىٰ هو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فقد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بالتحريم إذا كان غرضه من الأذان منحصراً في الأجرة متّجه</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يراد بالأولوية ما أشار إليه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أنّ حرمة أخذ الأجرة علىٰ الإقامة أولىٰ من أخذها علىٰ الأذان ، لأنه لا كلفة فيها ، بخلاف الأذان فإنّ فيه كلفة مراعاة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السيد محمد الموسوي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غير جيّد ، إذ لا يعتبر في العمل المستأجر عليه اشتماله علىٰ الكلفة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يراد بالأولوية وجه آخر ، أوجه ممّا ذكر ، تجده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اعتراض علىٰ القاضي ابن البرّاج ، حيث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الأجرة علىٰ ذلك ، إلا أن يكون من بيت المال</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دلّ علىٰ تحريم العوض لا فرق فيه بين كونه من بيت المال أو من غيره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الطائفة الثانية من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يفعل اللّٰه تعالىٰ</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الأخير هو الرشوة ، التي ورد في الخبر أنها كفر بالله وبرسوله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تقدّم من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بين الرشا والأجرة والجُعل عموماً من وجه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الغريب قول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الأجرة والجُعل والرزق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يدلّ على موضوع أو حكم سوى خبر عبداللّٰه بن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الحديث الثاني مما أشرنا إليه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وأجاز قوم أخذ الأجرة علىٰ القضاء ، وهو فاسد عندنا</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ويتحقق التعيين بتعيين الامام علیه السلام أو بعدم قيام أحد به غيره، كما صرّح بذلك الشهيد الثاني، في 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جواز أخذ الرزق علىٰ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الإجماع عليه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تقدّم ، ونفىٰ عنه الخلاف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علىٰ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للإجماع علىٰ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جعل معقد الإجماع صورة ما إذا لم يتعين عليه القضاء ولم يكن ذا كفاية، وأفتى بالحرمة في صورة التعيين والكفاية ، بل 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تعين عليه بتعيين الامام أو عدم وجود غيره ففي جواز أخذه منه قولان ، أشهرهما المنع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القضاء بين الناس فقد اضطربت فيه كلمات الأصحاب اضطراباً شديداً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كلامهم يأبىٰ الحمل علىٰ الاُجرة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بأخذ الاُجرة والرزق علىٰ الحكم والقضاء بين الناس من السلطان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الشاهد في عبارته هذه عطفه الرزق علىٰ الاُجرة مفسّراً ، فدلّ ذلك علىٰ إمكان حمل الارتزاق في كلام المحرمين علىٰ الاُجرة</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أجد غيره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رَشَمْتُ الطعام أرْشُمُهُ ، إذا ختمتَه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رشم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يلحق به علىٰ الظاهر كتابة الحجّة وختمها بخاتم القاضي علىٰ تأمل في هذين ، لأنهما في هذا الزمان قد صارا كأنّهما جزء من القضاء ومن مقدماته ، إذ لا ترتفع الخصومة إلّا الخطأ 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وقوع في الخطأ 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ورد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الطائفة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مَلَكْتُ امرأةً أملِكُها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تزوجتُها ، 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 بامرأة ، علىٰ لغة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بامرأة ، ويتعدّىٰ بالتضعيف والهمزة إلىٰ مفعول آخر ، 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ملكته امرأةً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أملكتُه امرأةً ، وعليه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ملّكتُها بما معك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زوجتكها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نكاحه وتزويجه</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تعالىٰ والصلاة علىٰ رسوله ، وذكر ما يناسب مقام العقد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الزوجة من نفسها أو وليّها أو أقاربها ، ومحاورتهم في ذلك ، فيجوز أخذ الاُجرة عليه ، لأنه ليس بواجب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لاختصاص ذلك بما إذا وجب النكاح مثلاً ، مع أنّ الواجب حينئذ إمّا التعليم أو الإجراء وكالة ، ولا بأس بأخذ الأجر علىٰ أحد أفراد المخيّر</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أخذ الأجرة علىٰ تعليم قراءة القرآن ، وهو خبر زيد بن علي علیه السلام راجعه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وكذا في بعض نسخ الطائفة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بالنيابة عن الحي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ممن لا تقبل 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نصّ في التحريم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نفيا عثورهما علىٰ خبر يدل علىٰ الحكم ، وزاد الأخير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جملة من صرّح بذلك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مع لم يورد 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 ، وإنّما أحال علىٰ ما قدّمه من أحاديث التظاهر بالمنكرات ، واختتال الدنيا بالدين ، وجهاد النفس ؛ وفي استفادة الدلالة علىٰ ذلك منها نظر ، لاسيّما مع ورود الاستئجار علىٰ العبادات ومشروعيته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والنهى وما يناسبهما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ورأيت الأذان بالأجر ، والصلاة بالأجر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إرادة الصلاة بالناس والإمامة فيها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والشيخ الطوسى فى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والقاضي ابن البرّاج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الاسلام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والماتن ههنا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الجنيد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 تحمّل الشهادة إذا دعي إليها علىٰ الكفاية عند معظم الأصحاب</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وقوع الخطأ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إلىٰ 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حكىٰ أقوالهم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الشارح هذا الاستدلال من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يأبَ الشهداء إذا ما دُعُوا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يقوىٰ في نفسي لا يجب التحمّل ، وللإنسان أن يمتنع من الشهادة إذا دعي إليها ليتحملها ، إذ لا دليل علىٰ وجوب ذلك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وبإنكار الوجوبين الكفائي والعيني ينتفي المانع عن أخذ الاُجرة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الاستشهاد بالآية والاستدلال بها علىٰ وجوب التحمّل فهو ضعيف جداً ، لأنه تعالىٰ سمّاهم شهداء ونهاهم عن الاباء إذا دعوا إليها ، وانّما يسمىٰ شاهداً بعد تحمّلها ، فالآية بالأداء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 شهداء لما يؤولون إليه من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ستموت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الحقيقة غير الكلام في المجاز ، فلا يجوز العدول عن الحقيقة إلىٰ المجاز من غير ضرورة ولا دليل ، والكلمة إذا كانت مشتقة من الفعل فلا تسمّىٰ به إلا بعد حصول ذلك الفعل ، لأن الضارب والقاتل لا يسمّيان بذلك إلّا بعد حصول الحدث المخصوص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ناقشه وردّ استدلاله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هشام بن سالم ، عن أبي عبد اللّٰه في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يأبَ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الشهادة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يكتمها فانه آثم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ادعىٰ الإجماع على الوجوب الكفائي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ذهب إليه جمع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مكروه عند أكثر علمائنا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جعل لكم الأرض ذلولاً فامشوا في مناكبها وكلوا من رزقه وإليه النشور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والأحاديث الكثيرة ، 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أبواب مقدّماتها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 سيّما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الأخير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لعدم وجود مدع للإجماع علىٰ الكراهة صريحاً ، وإنّما تستفاد دعوىٰ الإجماع من أحد 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الإجماع علىٰ عدم التحريم ، حكاها عن الشيخ الفاضلُ القطيفي ،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مفقود في عصرنا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شكك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ذلك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إيضاح النافع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وادعىٰ الشيخ الإجماع علىٰ عدم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الإجماع لم أجده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صرّح بها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حراماً إجماعاً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 دعوىٰ الإجماع علىٰ عدم التحريم مفادها الإجماع علىٰ الكراهة ، إذ لا قائل بالإباحة بالمعنىٰ الأخص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الإجماع من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نفي الجواز ، بضميمة حمل نفي الجواز في كلامه علىٰ الكراهة ، كما فعله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التحريم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 فقد ذهب إلىٰ التحريم وعدم صحة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الصيمري ،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مدعياً عليه الإجماع في الأخير ،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ابن سعيد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التحريم ، عملاً بالنهي الدال بظاهره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وقد تقدّم في الهامش السابق دعواه الإجماع علىٰ نفي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 اللّٰه البيع وحرم الربا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فعله الماتن ، في مختلف الشيعة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حمل كلام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 علىٰ الكراهة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ونقل عن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تحريم ذلك ، والشيخ رحمه اللّٰه لم يصرّح فيه بالتحريم ،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تلقّي الجلب ، وكذا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وكثيراً ما يستعمل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المكروه ، مع أنّه صرّح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بالكراهة</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ادعىٰ الإجماع علىٰ ما ذكره من الأحكام في هذه المسألة ، ومنها الخيار ، وهو فرع انعقاد البيع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فقد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خالف وتلقّىٰ الركبان واشترىٰ منهم فالبيع صحيح في قول عامة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خالف في ذلك ابن الجنيد ، فقد ذهب إلىٰ التحريم وعدم صحة البيع ، حكىٰ ذلك عنه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والصيمري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تأييد لابن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نقلناه عنه في الهامش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بنائه لا في مبناه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وتابعه في ذلك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المتقدم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السيد العاملي كلام استاذه هذا في ضمن كلامه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ادعىٰ الإجماع علىٰ ما أورده في هذه المسألة من الأحكام ومنها الخيار للبائع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الغبن سبب ثبوت الخيار للمغبون عند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العطف بالواو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نهي عن شرائه والأكل منه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دلّ من الروايات علىٰ وجوب البيع بالتفرّق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يريد به المحصل كما سيأتي منه ، وأمّا المنقول منه فقد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الاستدلال بايجاز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من أنكر القول بالفور مستدلاً باستصحاب بقاء الخيار ، فلاحظ الاستدلال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الخامس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الردّ بعينه دون أن يشير إلى أنه لاستاذه ، بل صدره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قالوا إنّه لا يسقط إلا بالإسقاط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جماعة ، منهم المحقق الحلّي، في 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الخامس ،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بالتراخي إلىٰ ثلاثة أيام، لأنه خيار تدليس، فكان كالشاة المصرّاة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دون أن يُسمّي قائله ، وإنّما نسبه إلىٰ القيل</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فنّده فخر المحققين ، في المصدر المذكور آنفاً ،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أنه في المصراة للاختبار</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زاد على ذلك كان جَلباً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الجالب 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والمحتكر ملعون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النهي في الحدّ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ألحق الأربعة بالزائد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والتلقي استقبال المتاجر والمتاع إلى خارج البلد دون أربعة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موافق لاثنين من الروايات وسنشير إليهما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سائر الفقهاء ، حيث حدّدوه بأربعة فراسخ ، سيّما من ادعىٰ علىٰ ذلك الإجماع ، 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التاسع</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الأخبار المشتملة علىٰ التحديد طائفتان ، طائفة تدل علىٰ دخول الأربعة في حكم الزائد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المرويين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وطائفة جعلت الحدّ روحة ، ، وهي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النراقي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الجمع بينهما بإخراج الحدّ عن المحدود ، فينتهي النهي في الحد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نَجَشَ الرجلُ نجشاً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 النجش بفتحتين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واختلف اللغويون في أصل النجش ، علىٰ أقوال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عساه يقتضيه لعن النبى صلی اللّٰه علیه و آله الناجش والمنجوش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وحقيقته الاستثارة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هذا الإشكال ما أورده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وذكره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معترضاً به عبارة الكتاب ، وأشكل بمثله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عرّفه به المصنف غير جيد ، لأن الزيادة لزيادة واطأه البايع تكون من المشتري المخدوع ، وهو لا يتعلّق به تحريم ولا كراهة إجماعاً ، وإنّما المحرّم نفس تلك الزيادة من الخارج التي أوجبت انخداع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ذكرمثل ذلك مستشكلاً به علىٰ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وحاول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دفع الإشكال بحمل الزيادة علىٰ المعنىٰ المصدري لا المزيد ، فلاحظ</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التوجيه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 أدخلها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كلامه دون أن يشير إلىٰ أنها عبارة استاذه</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الفيّومي،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لابن الجنيد ، فقد ذهب إلىٰ أنّ النجش إذا كان من البايع أبطل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للقاضي ابن البرّاج ، فانّه ذهب إلىٰ ثبوت الخيار للمشتري مع الغبن وغيره ، لأنه 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يوهن النسبةَ عدم وجود ذلك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له كتاباً آخر في الفقه ، مفقود في عصرنا ،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هو لنفسه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دلّ من الروايات علىٰ لزوم البيع ووجوبه بالتفرّق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الصحة فما ادعاه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 إلا مع الغبن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فسيأتى أن لا مخالف إلّا ما تقدم عن القاضي</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يبدو لأوّل وهلة مخالفة الشيخ الطوسي والفاضل الآبي في المقام ، فقد استقرّ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نفيه ، وقال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الوجه ارتفاعه ، بعد أن جعل المسألة ذات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الحقّ ما قاله السيد العاملي،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أن لا خيار للمشتري ، ولا ريب أنّهم يقولون به مع الغبن الفاحش ، سواء كان نجش أو المصنف بينهم وبين في كتبه حيث أثبته مع الغبن الفاحش ، لأنّ كلامه عائد إلى ما قاله الشيخ ، ولذلك لم يتعرض لذكر الخيار جماعة كالمحقق في كتابيه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المسألة خلافية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وجه له</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الغبن ، وقد ادعىٰ عليه الإجماع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السابقة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الروايات فيه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الاحتكار عند اللغويين أضيق دائرة من ذلك ، 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الاحتكار حبس الطعام لانتظار الغلاء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يحصره الفيروزآبادي بالطعام ، إذ 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احتكر ، أي احتبس انتظاراً لغلائه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عدّه في المكروهات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إليه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معظمها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المعتضدة بما روي عن النبي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الناس مسلطون علىٰ أموالهم بحار الأنوار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 عن 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تقدّم منه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رجحان ذلك شرعاً وعقلاً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لاحتمال حصول</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العطف بالواو</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حملت الكراهة فيه علىٰ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الصدوق، 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والماتن ههنا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تضمنها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الصدوق،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وسائل الشيعة</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في هذا الكتاب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عليه الإجماع ابن إدريس والفاضل الآبي والمقدّس الأردبيلي كما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 وصرّح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بأنه المشهور بين الأصحاب</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وأجود ما وصل إلينا في الباب ما رواه غياث بن إبراهيم في الموثق ، عن الصادق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الحكرة إلّا في الحنطة والشعير والتمر والزبيب والسمن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يبقىٰ ما عداه علىٰ الآصل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الصفحة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الأخبار ما اقتصر علىٰ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أوقع الشارح في الوهم هو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غياث بن إبراهيم عند نقل المحدّث البحراني لها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متن الرواية بكامله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أدىٰ إلىٰ الاضطرار حرم عند الكل، 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الخلاف مع عدم الضرورة مثل المخمصة ، وإلّا فيحرم بالإجماع ظاهراً</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الشيخ 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السادس ، والفاضل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فعبارات كلّ هؤلاء اشتملت علىٰ اشتراط التعذّر إمّا بلسان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في البلد طعام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الباذل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يمكن حمل عبارة أبي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ذلك ، فلم يبق من المحرّمين إلّا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فانّه لم يشترط ذلك ، لكن الأمر فيه سهل بعد اختياره الكراهة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فانه يستفاد منها بالملازمة أنّ المدار علىٰ الحاجة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الخامس ، حيث اشترط في الاحتكار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لمالك والأوزاعي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يشتريه المحتكر ويحبسه للغلاء ، ولا يتحقق في حبس الطعام الحاصل له من زراعته أو جلبه ، بل جعل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الشراء مقوّماً لحقيقة الاحتكار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والاحتكار أن يشتري ذو الثروة الطعام في وقت الغلاء ولا يدعه للضعفاء ، ويحبسه ليبيعه منهم بأكثر عند اشتداد حاجتهم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وتابعه في ذلك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صحيحة الحلبي ، المروية 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وصحيحة الحنّاط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وذيلها الأصل للتعريف الذي نقلناه في الهامش السابق عن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 للاحتكار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بغير الصحيح ما رواه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مريم ، وقد أورده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ويؤيّده تعريف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الاحتكارَ بأنّه اشتراء الطعام وحبسه ليقلّ فيغلو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فتوىٰ الماتن المذكورة توّاً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جنس الرواية ، لأنهن ثلاثة كما ذكرنا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إدعىٰ الإجماع علىٰ عدم الاحتكار في غير الأقوات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الشرط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قوتاً ، فلا احتكار في الأدم كالعسل وغيره عدا ما استثني ، ولا علف البهائم ، لأنّ هذ الأشياء مما لا تعمّ الحاجة إليها فأشبهت الثياب والحيوانات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كتب المتقدّمين إشارة إليه ، كالكافي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ظاهر الأخير كونه مقوّماً للاحتكار ، حيث عُرّف الاحتكار فيه بأنّه حبس الأقوات الأقوات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الواضع ومن الواضع أنه لا يراد بالتعبير بالأقوات جعله عنواناً مشيراً إلىٰ الأجناس المذكورة ، وإنما له موضوعية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كالشعير الحامض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ولعلّها في أصلها هامش وضع للتوضيح ، ثم أقحمه النسّاخ في الكتاب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جعله ثالث شروط ثلاثة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يمكن تحصيله من غيرهما بنوع من الاعتبار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انتفاء المنع من الاحتكار في الصورة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فيدل عليه التعليل بالتربّص به ، الوارد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والتعليل بارادة الغلاء ، الوارد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مضافاً إلىٰ دعوىٰ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الإجماع علىٰ أن الاحتكار إنّما يتحقق إذا استبقاها للزيادة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انتفاء المنع في الصورة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فيدل عليه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المناط الحاجة لا المدّة ، المستفاد من دعواهم الإجماع علىٰ إجبار المحتكر علىٰ البيع عند الحاجة إليه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 كما سيأتي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اللاحقة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 المعارضة ظهورها في أنّ حدّ الاحتكار وغايته احتياج الناس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بينها وبين الأخبار المحدّدة باحتياج الناس ، المشار إليها في الهامش السابق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والأظهر تحريمه مع حاجة الناس إليه ، ومظنتها الزيادة على ثلاثة أيام في الغلاء وأربعين في الرخص</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في اختيار هذا التنزيل تلميذه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الأولىٰ كما عرفت الجمع بالشدّة والضعف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بعد أن كان الحكم مكروهاً ، قابلاً للشدّة والضعف</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والصيمري،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جُعل الحيوان ثمناً بناءً علىٰ ثبوت خيار الحيوان لمن انتقل إليه الحيوان مطلقاً ، لا علىٰ رأي المشهور من كونه للمشتري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رأي الشيخ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بما روي عن النبي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مسلطون علىٰ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أن يسعّر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أو 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الرخص عندنا وعند الشافعي ، وأمّا حالة الغلا فكذلك عندنا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تواترت الأخبار الأئمة عن الأطهار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 طائفتان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يسعّر الحاكم بما يراه من المصلحة ما لم يخسّر أربابها ، كالشيخ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والطائفة الثانية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يسعر إن أجحف المحتكر وتشدد في السعر ، وإلّا فلا ، كابن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جعله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دليلاً للقول بالتسعير مع التشدد ، وجعله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دليلاً للقول بالتسعير مطلقاً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رأي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والأقوىٰ أنّه مع الاجحاف حيث يؤمر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يُسعّر عليه أيضاً ، بل يؤمر بالنزول عن المجحف ، وإن كان في معنىٰ التسعير إلّا أنّه لا يحصر في قدر خاص</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أكرهه ، كأجبره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أكرهه ، كأجبره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هذين التفصيلين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أن يسمّي المفصل، ثمّ تنظر فيهما وناقشهما ، كما حكىٰ ابن فهد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تفصيلاً ثالثاً، جعل المناط فيه مادة اللفظ المستعمل في الأمر لا الصيغة ؛ ولم يسمّ المفصّل ، وردّه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بشيء</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كالفقراء والعلماء مثلاً</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 النبي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مسلطون علىٰ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كتاب الزكاة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أيضاً بالأولوية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كتاب التجارة وسائل الشيعة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ذهب إلىٰ الجواز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قال بالجواز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ولكنّه أجاز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هنا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ذهب إلىٰ الجواز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القطيفي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حكىٰ ذلك عنه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ذكروا فى باب النكاح أنّه إذا وكّلت البالغة الرشيدة في العقد مطلقاً ، لم يكن له أنْ يزوجها من نفسه إلّا مع اذنها ، كما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وذكروا مثل ذلك في غيره ، كالإبراء ، فاذا وكّله في إبراء غرمائه لم يدخل هو في الجملة ، كما نص على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مَن ذكر من الأصحاب وجه مخالفتها كونها مقطوعة ، وإنّما يعترفون بصحتها ساكتين عليها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جواز أخذه لنفسه رواية صحيحة ، وعليها الأكثر</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هو الجواز</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المستندات والأدلة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238/18</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أوصىٰ بسيف وفيه حلية دخلت في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أوصىٰ لشخص بصندوق فيه مال دخل المال في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أوصىٰ لشخص بسفينة وفيها طعام دخل في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أوصىٰ بمال للكعبة وجب صرفه إلىٰ المحتاجين من الحُجّاج والمعتمرين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 للإجماع علىٰ عدم الفرق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فرق علىٰ القولين بين أن يقول له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اقسمه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اصرفه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ادفعه اليهم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 فيهم ، أو غيره</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المنع وجود القائل بالفرق ، كما 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سيّما مع كونه غير معروف النسب</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ثاني وجوه ثلاثة للجمع ،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الصواب والمراد به ما جرت عليه عادة ذوي الأموال والوجهاء من دفع الأموال في وجوه البرّسيّما للمشتغلين بخدمة الدين مما عدا الحقوق الشرعية الواجبة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الأخيرتين ، حيث اشتملت إحداهما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يعطي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يعطي غيره</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الاحتمال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المدعي لهذا الإجماع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بأنّه يجوز علىٰ كل واحد من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لا كلام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مجمع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لا خلاف في ذلك علىٰ القولين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طعام الزفاف ، يذكّر ويؤنث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العرس ، والجمع أعراس ، كقفل وأقفال ، وهي العرس ، والجمع عرسات</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 ما ينثر في غيره الولائم ، كالختان ، والعقيقة ، وغيرهما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ادعىٰ الإجماع علىٰ ما ذكره المحقق الحلّي من الحكم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 في المسألة الأولىٰ من مسائل فصل ما يكتسب به ، وقد جعل المحقق الحلي موضوع المسألة الأخذ لا الأكل</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بعقد لازم أو جائز في وجه قوي</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إضافة إلىٰ النصّ الخاص الوارد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أنّ المناط بحسب الأدلّة الرضا وطيب النفس ، ولا موضوعية للإذن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ذلك أيضاً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وعلي إبنا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 المشهور بالسيد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الشيخ القمّي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الشيخ القمّي في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والزركلي،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عبد العالي الكركي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الشيخ القمّي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عبد الصمد الجبعي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الشيخ القمي ، في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تقي بن مقصود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الشيخ القمّي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إلىٰ الوجوب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واستجوده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بعض نسخ الطائفة الثانية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وبعد الدخول في الولاية لا يجوز له امتثال أمره في ما لا یرضی اللّٰه إلّا من مع عروض الاكراه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 الاکراه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ابتداء الولاية واستمراره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الشيخ الطوسي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اثنين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 قبل حلول الروح</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النسخ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النجفي مناقشة ههنا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عدة نسخ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النجفي مناقشة في المقام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أكثر النسخ ، وفي بعضها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وضعت إشارةً إلىٰ أنها نسخة بدل ، فإنّ نسخ القواعد مختلفة ، ففي النسخة المثبتة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القواعد المطبوعة حجرياً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النسخة المحققة في مؤسسة آل البيت في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المحققة الصادرة عن مؤسسة النشر الاسلامي التابعة لجماعة المدرسين بقم ، المطبوعة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المثبتة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الطائفة الأولىٰ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الطائفة الثانية من النسخ فلم يرد فيها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ضمن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جاء بدلاً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ما أخذ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هذه العبارة علىٰ نحو ما أثبتناه في المتن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كالروايات الدالة علىٰ عدم حلّية مال الغير إلا بطيب نفسه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وموردهما وإنْ كان هو الشراء لكن لا خصوصيّة له ، فلا فرق فيما نحن فيه بين أخذ المال منه بالشراء وغيره ، بل ذهب المولىٰ النراقي إلىٰ أن مستند الحكم فيما نحن فيه هو هذه الروايات، لا الروايات المجوّزة لقبول جوائز العمّال ،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وسائل الشيعة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نقله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ويؤيده الاقتصار فيما خالف الأصل على المتيقن ، وهو المأخوذ من يد الجائر مع عدم العلم بحاله أنه من مخلوط أو من مشتبه محصور أو من حلال محض أو حرام كذلك</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فيما يؤخذ من اللصوص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تضمّن الحكم بالضمان إذا لم يرضوا بالتصدّق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الأمر بالتصدّق فيما نحن فيه دون الحكم بالضمان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الأنصاري هذه العبارة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أبطل الاستدلال بالانصراف والسيرة ، وحكم بتقديمه على الإرث والوصية وأنه كسائر الديون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النسخ الخطيّة المعتمدة ، وإنما جاءت في حكاية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لهذه العبارة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شارحاً وجه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إرادته من الاطلاق فى الجائر بالنسبة إلىٰ كونه سلطاناً أو عاملاً أو عشاراً ، لا أن المراد وإن علم إقدامه علىٰ المشتبه المحصور حتىٰ يكون الاشتراط في كلامه مختصاً بغير الجائر ، بل الظاهر تعميمه لهما كما يقضي به التأمل لتمام كلامه ويمكن أن يريد اختصاص الجائر بهذا الحاكم ، وهو جواز التناول منه وان علم إقدامه على المشتبه المحصور كما هو مقتضى حال الجائر ، للنصوص وغيرها مما ستعرفه ، وعلى كل حال فوجهه ما أشار إليه</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معظم نسخ الطائفة الأولى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قبول أبي عبداللّٰه علیه السلام صلة أبي جعفر المنصور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نفىٰ عنه الخلاف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العفاف وعفة البطن والفرج</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غنىٰ النفس والاستغناء عن الناس واليأس عنهم</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صلاة الحاجة ودفع العلل والأمراض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المكاسب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وصيّة الامام أمير المؤمنين علیه السلام لولده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فى الهامشين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أحد بوجوب الخمس فيها ، وإنّما فهم الشهيد الأوّل من قول ابن إدريس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وينبغي إخراج خمسها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توضيحاً لذلك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الثالثة</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إلىٰ استحباب دفع الخمس منها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فى الهامش السابق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أفعال سلطان الجور كلّها عندنا فاسدة ، ولا يجوز اتباعها إلّا في صورتين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المقاسمة ، وثانيهما الزكاة ، أمّا المقاسمة فهو أن يأخذ من الغلّات باسم المقاسمة عن الأرض ومن الأموال باسم الخراج عن حق الأرض ، وأمّا الزكاة فهو أن يأخذ من الأنعام والغلّات والذهب والفضة باسم الزكاة ، فقولنا باسم المقاسمة واسم الخراج واسم الزكاة معناه أن يأخذ ما لو كان الإمام العادل ظاهراً لأخذه من غير زيادة ، أما الزكاة فهي اُمور مضبوطة في كتب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 بجواز الشراء من الجائر مع كونه غير مستحق ؛ للنصّ الوارد عنهم علیهم السلام بذلك ، والإجماع وإن لم يعلم مستنده ، ويمكن أن يكون مستنده أنّ ما يأخذ الجائر حق لأئمة العدل ، وقد أذنوا لشيعتهم في شراء ذلك ، فيكون تصرّف الجائر كتصرّف الفضولي إذا انضمّ إليه إذن المالك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حيث استظهر اختصاص الحكم بالجواز بالجائر المخالف للحق ، دون المؤمن ، فراجع كلامه واستدلاله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ذلك 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أصرّ علىٰ الاختصاص المولىٰ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المتأخر عن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جاعلاً التعدّي قياساً مستنبط العلة ، مردوداً عنه الشيعة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للإجماع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مقدار معیّن يؤخذ من حاصل الارض نسبته إليه بالجزئية ، كالنصف ، والثلث</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معيّن من المال يضرب علىٰ الأرض أو علىٰ البستان ، كأنْ يجعل علىٰ كل جريب كذا درهماً</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عبارة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 الزكاة بالأنعام ، والظاهر أنّ زكاة الغلّات والأموال كذلك ، وعبارة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 تتناولهما ، وفي بعض الأخبار ما قد يتناولهما</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لمن خصّ الجواز بالمؤمن ، كالفاضل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نقل كلامه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معلقاً علىٰ هذا الاستشكال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عرفت أنّ الأقوىٰ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بالنسبة إلىٰ المخالفين لما سمعت ، فما في شرح الاستاد من الإشكال في ذلك في غير محله ، فيعامل حينئذ ما وقع في يد السلطان وعماله من كون حلالاً للمتناول من الشيعة ذلك معاملته في وحراماً علىٰ غيره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 هو الفاضل القطيفي، والمقدّس الأردبيلي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أحاديث البابين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القادح في الدلالة هو الفاضل القطيفي، والمقدّس الأردبيلي،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0260</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نقل التصريح بذلك من الفاضل المقداد، فراجع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الأصحاب أنّه لا یجوز لأحد جحدهما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والمقاسمة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منعهما ، ولا التصرّف فيهما إلّا بإذنه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بعضهم الاتفاق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كان فظاهر الأصحاب أنّ الخراج والمقاسمة لازمة للجائر حيث يطلبه ، أو يتوقف علىٰ إذنه</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الهامش السابق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الأنصاري هذه العبارة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اُرید منع الحصّة مطلقاً فيتصرّف في الأرض من دون اُجرة ، فله وجه ؛ ؛ لأنها ملك للمسلمين ، فلابدّ لها من اُجرة تصرف في مصالحهم ، وإن اُريد منعها من خصوص الجائر فلا دليل علىٰ حرمته ، لأنّ اشتغال ذمّة مستعمل الأرض بالاُجرة لا يوجب دفعها إلىٰ الجائر، بل يمكن القول بأنّه لا يجوز مع التمكّن ، لأنه غير مستحق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في بعض الأخبار ظهوراً في جواز الامتناع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بعد نقلها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وظاهره ترتّب ولاية الفقيه علىٰ عدم السلطان الجائر ، كما أنّ ظاهره سقوط الخراج عن المؤمنين حينئذ ، وفيهما منع واضح</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يشهد له في الجملة نصوص التحليل ، وما ورد أيضاً من أنّ الأرض كلّها لنا ، وأنّه قد أبحنا ذلك لشيعتنا إلىٰ ظهور قائمنا ، فيأخذ طسقها من الشيعة ويتركها فى أيديهم ، كما أنّه يأخذ الأرض جميعاً من أيدي أعدائهم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هذه النصوص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ذات وجهين ، انظرهما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ذات قولين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ذكر الأكثر في المقام أربع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سيذكره ،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قدر الحرام ومستحقّه مجهولين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يكونا معلومين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يعلم القدر دون المالك مع عدم التمييز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الصلح مثال ويصح غيره ، والغرض تحصیل رضاه والخروج من حقه</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للاحتياط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وللاحتياط التام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احتمله السيد محمد الموسوي العاملي، في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 به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اعتراضان علىٰ ما ذهب إليه الماتن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عرف صاحبه وجهل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 أو أخرج ما يغلب على ظنّه ، فإن لم يصالحه مالكه أخرج خمسه إليه ، لأنّ هذا القدر جعله الله تعالى مطهراً للمال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 السيد ابن زهرة في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لجملة من متأخري المتأخرين ، حيث ناقشوا في ذلك ، وظاهرهم الميل إلىٰ أنّ مصرف هذا الخمس مصرف الصدقات ، وهو الفقراء والمساكين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الأصحاب أنّ مصرف هذا الخمس أهل الخمس ، وفي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بخمس مالك فإنّ اللّٰه رضي من الأموال بالخمس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تؤذن أنّه فی مصارف الصدقات ، لأنّ الصدقة الواجبة محرّمة علىٰ مستحقّي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السيد محمد الموسوي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وبعدهما 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الطباطبائي ،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ذهب إلىٰ ظهور لفظ الخمس الوارد في روايات الباب فى المعنىٰ المصطلح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 المتضمّن منها للتعليل بأنّه تعالىٰ رضي من الأموال بالخمس ، إذ لا خمس رضي به سبحانه إلّا ما يكون مصرفه الذرّية ، وقريب منها المرسلة المتضمنة للأمر بإتيان المال إليه علیه السلام ثمّ ردّه عليه ، الظاهرَين في كونه له علیه السلام فتدبر ، هذا مع أنّ لفظ الخمس فيها سبيله سبيل لفظه الوارد في نصوص باقي الأخماس ، فكأنّه صار يومئذ حقيقة شرعية في ما هو المصطلح بيننا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ناقش في هذين الوجهين المولىٰ النراقي ،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 ما قال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 الأصحاب رضوان اللّٰه عليهم علىٰ أنّ مصرفه هو مصرف غيره من المصارف التي تضمنتها الآية</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التصدّق ورد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لشيوع استعماله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التخميس كما ورد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بالصحيح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اختاره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عرف أنّه أكثر من الخمس وجب إخراج الخمس وما يغلب علىٰ الظن في الزائد</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ويتولّاه الحاكم حسبةً عن المالك</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كلّ النسخ</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ذكر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وإن كانت من مسائل الإجارة لأنها من جملة الاكتسابات المحرمة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الأجير الخاص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يستأجر للعمل بنفسه مدّة معينة ، أو عملاً معيّناً مع تعيين أول زمانه ، كعمل شيء معيّن أول زمانه اليوم بحيث لا يتوانىٰ في فعله حتىٰ يفرغ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هذا الأجير خاصاً باعتبار انحصار منفعته المخصوصة في شخص معيّن بحيث لا يجوز له العمل لغيره علىٰ ذلك الوجه ، ويقابله المشترك ، وإطلاق الخصوص عليه بضرب من المجاز ، ولو سُمّي مقيّداً كان أولىٰ ، لأنّه في مقابلة المشترك لا في مقابلة العام ، والمراد بالمشترك هنا المطلق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ذكر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الهامش الآتى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اللاحقة</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كلام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صريحاً 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 له الذي استأجره فليس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يدل بمفهومه علىٰ البأس بدون الاذن ، فيمكن حمله علىٰ التحريم مع كونه أجيراً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عقّبه بالأمر بالتأمل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كلا الحملين ، لكن ردّه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 بالشهيد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 ذلك الشهيد الأوّل في بعض تحقيقاته ، حكىٰ ذلك عنه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يعدد الشروط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المرور اتفاقاً ، فلو قصدها ابتداءً لم يصح ؛ اقتصاراً في الرخصة على موضع اليقين ، ودلالة ظواهر النصوص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بالمرور بها أن تكون الطريق قريبة منها ، بحيث لا يستلزم قصدها البعد الخارج عن المعتاد ، بحيث يصدق عرفاً أنه قد مرّ بها ، لا أن يكون طريقه علىٰ نفس الشجرة ، أو ملاصقة لحائط البستان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النص والفتوىٰ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الاتفاق وعدم القصد يستبطنه لفظ المرور ، الذي هو موضوع عمدة الروايات المجوّزة ، فكأن لفظ المرور ظاهر في ذلك ، فلاحظ الروايات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النخل وإصلاحه</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الصدوق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جوزه الأكثر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فهد ، في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وأكثر الأصحاب عليه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وصرّح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بندرة المخالف قبل زمان المحقق الحلّي</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أبو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الثلاثة اقتصروا على اضافة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الشهرة 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يفرّق الأصحاب بين النخل وغيره من الشجر والمباطخ والزرع ، وفرّق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المحقق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وجمهور الأصحاب علىٰ الإباحة في الكل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نسبة نقل الإجماع إلىٰ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التأمل فى العبارة يعطى أنّ المنسوب إلى الخلاف الإجماع على أصل الحكم لا علىٰ التعميم للزرع والخضر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ويتضح ذلك بمراجعة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يستفاد نقل الإجماع من عبارة المقتصر المتقدّمة في الهامش السابق ، بضميمة كون المخالف الذي ذكره معروف النسب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حكىٰ ذلك عنه الفاضل المقداد ، في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للشهرة هو الفاضل القطيفي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مفقودة في عصرنا ، ومّمن حكىٰ ذلك عنه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المشهور رواية وفتوىٰ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الصيداوية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حكىٰ ذلك عنه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جماعة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المنع مال جملة من المتأخرين</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أبواب جهاد النفس وما يناسبه ،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أبواب حد السرقة سيّما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الأحاديث المشار إليها فيما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الإجماع علىٰ نجاسة البئر بملاقاته للنجس من دون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نقله السيد المرتضىٰ ،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ما 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خصوصاً المتقدّمين ، حتىٰ ادعىٰ بعضهم عليه الإجماع ، القول بالمضايقة المحضة ،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تقديم الفائتة مطلقاً على الحاضرة ، وبطلان الحاضرة لو قدمها عمداً مع سعة الوقت ، ووجوب العدول لو كان سهواً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دعوىٰ الإجماع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ظاهر 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الرسّية الأولىٰ حيث أقرّ دعوىٰ الإجماع الواردة في كلام السائل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وادعاء أيضاً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كانت المغرب والعشاء قد فاتتاك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الحمل ذهب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وجعله المقدّس الأردبيلي،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وجوه الحمل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الحمل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علىٰ هذين الحملين المقدّس الأردبيلي ، في المصدر السابق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ومعظم أحاديث الباب الأول من أبواب بيع الثمار ، 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وغيرها مما دلّ علىٰ جواز بيع الثمرة وهي علىٰ رؤوس النخل والاشجار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العبارة بتصرف ،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استغراب التوقف ونقل وجوه المنع في المسألة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مؤيّداً ذلك كله بنصوص التقبيل والخرص في الزكاة والخراج، بل وبما دلّ علىٰ إخراج النخلة ونحوها لأجل المارّة ، الظاهر فى التساهل بأمر المارّة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إنّه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ردّعليه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والخرص والتقبيل مع كونه في الغالب عند البلوغ يمكن اعتبار أمر المارة فيه ، وإخراج النخلة لإرادة المارّة بصاحب البستان ، فإن من المتعارف بذل شيء من الثمرة لمن يمرّ به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ظاهر كلام المشترط أن شرط جواز الأكل عدم الإفساد ، وعدم الأخذ أيضاً والظاهر أنه ليس كذلك ، بل الإفساد لا يجوز وكذا الأخذ ، لا أنه معهما لا يجوز الأكل ، بخلاف شرط القصد وعدم الكراهية ، فتأمّل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الشارح 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علىٰ هذا تلميذه المبرّز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ودعوىٰ أنّ الشرط فيهما قصد الحمل وقصد الإفساد يدفعها ظهور الأدلة في خلافها ، بل لا إشعار في شيء بالقصد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يقال بتصوّر الكشف فيها علىٰ بُعد ، بل يمكن القطع بفساده بملاحظة الأدلّة فتأمل ، وكيف كان فظاهر الأستاذ الأكبر ثبوت الحرمة بقصد الإفساد ، بلغ حدّه أو لا</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يأكل منها شيئاً كثيراً بحيث يؤثر فيها أثراً بيّناً ، ويصدق معه الإفساد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ويختلف ذلك بحسب كثرة الثمرة وقلتها ، وكثرة المارّة وقلّتهم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يهدم حائطاً ، أو يكسر غصناً يتوقف الأكل عليه</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ولكن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حكاية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كالآيات الناهية عن الظلم والعدوان ، وهي كثيرة ، منها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إضافة إلىٰ الروايات الناهية عن الظلم والجور والعدوان والإيذاء ، وهي تملأ كتب الأحاديث</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ادعاه الماتن ،ههنا ، وفي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تأمل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كون ذلك شرطاً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الاحتمال كون الأكل جائزاً مع تحريم الإفساد والحمل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استظهر ذلك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دلّ علىٰ هذا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ابن يقطين 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هذا الشرط بخبر السكوني، 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تسمية المشترط ، محترزاً به عمّا يكون محرزاً في الجرين ، ثمّ نفىٰ عنه 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نفىٰ البأس عنه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معلّلاً بأنّه الظاهر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الأخبار مطلقة ، ولكن الاقتصار في مثل هذه المواضع علىٰ اليقين ومحل الإجماع مهما أمكن هو المعقول ، فتأمّل</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دون تسمية المحكي عنه ابن فهد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وسابقه دون تسمية المحكي عنه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واستحسنه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كانت الأخبار مطلقة، بل فيها ما يُشعِر بعدم اعتبارهما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والمشعر بعدم اعتبار هذا الشرط هو قوله علیه السلام في رواية محمد ابن مروان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اشتروا ما ليس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فإنّه يُشعر بأنّ هذا حق للمارة ، ليس لهم المنع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ذلك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ینبغی أن يكون فيما لا سور عليه ولا الباب ، فلا يفتح الباب ولا يدخل السور بغير الاذن ، ويؤيّده عدم دخول البيت إلّا مع الاذن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ينافي شرط عدم العلم أو الظن بالكراهة فقد تقدم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ينافي شرط عدم السور والباب فهو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الدال علىٰ عدم احترام الحيطان والجدران عند بلوغ الثمرة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اثنتين من النسخ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إشكال 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هذه الزيادة أيضاً في حكاية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صاحب الجواهر ضعف هذا الاستشكال من الشارح</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ادعى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استبعد السيد العاملي،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كون المراد بالبذرقة هذا المعنى</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البَذْرَقَة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المبذرق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الجماعة التي تتقدّم القافلة وتكون معها تحرسها وتمنعها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مولّدة ؛ قاله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تعريض بالمحقق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فسّرها بالمعنىٰ الثاني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الأكل من البيوت ، وهي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وهي وإن لم يرد فيها ذكر الولد لكن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ملكتم مفاتحه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أولوية الأب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يقال بدلالتها عليه بالأولوية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لهذا الإجماع كثير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ذلك عنه على وجه التأييد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حكاه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الماتن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للوالد أن يأخذ من مال ولده البالغ الغناء عنه ولا انفاق الولد عليه بالاتفاق ، لأنّ الأصل عصمة مال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تتضمن الطبعة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ضير في ذلك فإنها نسخة كثيرة الغلط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المهم في المقام أن المحدّث البحراني حكىٰ هذه العبارة للاستدلال بها علىٰ اتفاق الفقهاء علىٰ الحكم المذكور في غير مسألتي الحج ووطء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تحقق الإجماع على المنع من تصرف الوالد في مال ولده حتى للحج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يأتي في الهوامش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وأبوه في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حكىٰ ذلك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محمد العاملي ، في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مدعياً الإجماع عليه في الأخير ،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الشيخ رجع عن هذا القول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 في الجزء الثالث</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الشيخ رجع في استبصاره عن إطلاق هذا القول وقيده بأن تكون للولد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هوالصحيح الذي عليه الإجماع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ما يؤيّد هذه الدعوىٰ ، كما يؤيّدها ما ذكره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أنّ قواعدهم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تقتضي تقييد الروايات المجوّزة بالاحتياج ، وما ذكره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الأصحاب علىٰ ترك العمل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أبعد ما بين هذا كله وما ذكره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إجماع الأصحاب علىٰ العمل بالروايات الدالة علىٰ وجوب الحج علىٰ الوالد بمال ولده ، ويأخذ منه قدر كفايته ، وأن ليس للابن الامتناع منه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البيوع والزروع والوقف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الرجل من كسبه ، من أطيب كسبه فكلوا من أموالهم إذا احتجتم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أصحاب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رجل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لى مالاً وولداً وإنّ والدي يحتاج مالي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ومالك لوالدك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وابن ماجة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مؤلّف التاج وشارحه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ذلك أن نفقة الوالدين تجب علىٰ الولد إذا كانا فقيرين وعجزا عن الكسب اللائق بهما لقوله في الأوّل إذا احتجتم وفي الثاني يحتاج مالي ، فقيد الأكل بالحاجة وعليه الشافعي</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الأصحاب أجمعوا على طرح ظاهر هذه الاخبار</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معظم هذه الوجوه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ويضاف إليها وجه آخر ذكره الشيخ الحرّ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علىٰ جواز حج الوالد بمال الولد ، فقد حمله علىٰ الأخذ قرضاً أو تساوي نفقة السفر والحضر مع وجوب نفقته علىٰ الولد واستقرار الحجّ في ذمّته ، كما أنّه ذكر باقي وجوه الجمع في آخر الباب المذكور ، كما ذكر وجوهاً اُخر لبعض الروايات منها النسخ ، ذكر ذلك 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الحسين ابن أبي العلا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يحل للرجل من مال ولده؟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سرف إذا اضطر إليه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رسول اللّٰه صلی اللّٰه علیه و آله الرجل الذي أتاه فقدم أباه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ومالك لأبيك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جاء بأبيه إلى النبي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هذا أبي وقد ظلمني ميراثي عن فأخبره الأب أنه قد أنفقه عليه وعلى نفسه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ومالك لأبيك ؛ ولم يكن عند الرجل شيء أوَ كان رسول اللّٰه صلی اللّٰه علیه و آله یجس الأب للابن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في الهامش السابق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إطلاق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وصريح عبارته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قباله جزم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الولاية عندئذ للحاكم ، لزوال ولاية الأب والجد بالكمال فثبوتها يحتاج إلىٰ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ثبوت ولايتهما عليه قولان ، من إطلاق النص بثبوت ولايتهما عليه ، ومن زوالها بالبلوغ والرشد فعودها يحتاج إلىٰ دليل ، والنص الموجب لدخول هذا الفرد غير معلوم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اختار القول الثاني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النافع ، مستدلاً بأصالة عدم عود ولاية الأب والجد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المولىٰ 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 بأنّ ولاية الحاكم أيضاً خلاف الأصل ، فهما بالنسبة إلىٰ الأصل متساويان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في هذه المسألة دعوىٰ المقدّس الأردبيلي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عدم الخلاف في أنّ الولاية للحاكم ، وحكىٰ عن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نقل الإجماع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قباله حكىٰ المولى 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ظاهر بعض الإجماع علىٰ عودة ولاية الأب والجد</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القولين في المسألة ، واستجوده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ما نسبه إلىٰ القيل ، معترفاً بأشهرية القول الآخر، وهو أنّ الولاية في مال السفيه للحاكم مطلقاً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من تجدّد سفهه بعد الرشد أم من بلغ سفيهاً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منع من ذلك مستدلاً بعدم 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بذلك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ابن إدريس معتضد بالأصل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 قوله مدخول بالأحاديث الدالّة علىٰ تسويغ الأخذ ، فالاقتراض أولىٰ</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 وعليه يحمل 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عليه الإجماع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الحكم اتفاقی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تحليل الأكل من بيوت مَن تضمنتهم ، وهي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ألحقهما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علمائنا</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حمله علىٰ حصول الرضا وإن لم يصرّح بالإذن ، جمعاً بينه وبين معارضه ، 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تحليل الأكل من بيوت المذكورين فيها، وهي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المحدّث 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الحسين بن المنذر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 إلىَّ امرأتي مالاً أعمل به، فأشتري من مالها الجارية أطؤها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أنْ تقرَّ عينُك ، وتسخنُ عينَها؟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في الهامش السابق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أصيلاً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أصيلاً أو وكيلاً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مضمون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لأحاديث نفس الباب المذكور أخيراً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الثاني التكبير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ظاهر الحديث الدال عليه تكبير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وتابعه المقدّس الأردبيلي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الشهادتان فلم أجد التصريح بسنده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رأيت فيهما نصاً في تعيين القول ولا في وقته ولا في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استحبابهما عند دخول السوق ، 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وعند الكون فيه ، 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الحديث الدال على استحباب التكبير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فعله بعد الشراء</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الأمر بالتكبير في زيادة الأمر بالتكبير في الابتداء ، والصلاة علىٰ محمد وآل محمد بين الجملتين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بعض مشايخنا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للدروس كثيراً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بعضها خارج عمّا نحن فيه ، وبعضها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أتىٰ بما ذكره الشارح ، ثمّ قال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لا مدخلية لبعضه في خصوص المقام ، وآخر محل 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الغفلة عن مبنىٰ الشارح في المقام ، فإنّ مبناه كما نصّ عليه فيما تقدّم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الاكتفاء بقول بعض الفقهاء في إثبات الآداب</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مروي عن أبي عبداللّٰه علیه السلام</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 في اللفظ</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 من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المذكورة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يدل عليه بالخصوص ، وربّما يدل عليه ما ورد من الأمر باتقان العمل وإحكامه ، لتوقفهما عليها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ليواسي</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ليواسي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ما يدل ذلك بالخصوص</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يدل عليه بالخصوص</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الطائفة الأولىٰ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الطائفة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المزارعة والمساقاة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المزارعة والمساقاة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السبق والرماية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يستفاد ذلك من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يستفاد ذلك من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متكرر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تنقيح المناط</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النبي وسیره وسننه وما أدبه اللّٰه تعالىٰ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 يسير</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وما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يستفاد ذلك من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يستفاد ذلك من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بتقريب أنّ البساط كما يراد لوضع المتاع عليه يراد ليجلس عليه المعاملون أيضاً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مستنده عموم ما دلّ علىٰ إتقان العمل وإحكامه ، فراجع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وبمضمونه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الباب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يسري فيه الحديث المذكور بعد إلغاء الخصوصية</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منّا لتستقيم العبارة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بعض النسخ ، وهو مطابق لما في النسخة المطبوعة حجرياً من الكتاب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البعض الآخر من النسخ لم ترد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مطابق 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المطبوعة من الكتاب بتحقيق جامعة المدرسين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يدل عليه بالخصوص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التنزّه عن ذلك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 أن يزيّن متاعه بأنْ يُرِيَ خيره ويكتمَ رديَّه ، بل ينبغي يخلط جيده برديه ويكون كلّه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بهذا المعنىٰ محرّم ، للحديث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ولأحاديث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برواية هشام بن الحكم ، عن أبي الحسن الأوّل موسىٰ علیه السلام ، 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منا لتستقيم العبارة</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وظاهرهما وإن كان الحرمة لكنهما حملا علىٰ شدّة الكراهة لأحاديث أخر مذكورة في نفس الباب كما يدل عليه عنوان الباب ، وصرّح به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نداء المنادي علىٰ السلعة ، كما يظهر من الرواية ، بل يزيد إن شاء إذا سكت المنادي ، والمعنىٰ فيه وراء النصّ ما يظهر منه من زيادة الحرص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المشار إليها 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وظاهرها وإن كان التحريم لكنها محمولة علىٰ الكراهة لعدم الصحة وعدم ظهور القول بالتحريم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وقطب الدين الراوندي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المشهور كما صرح به الصيمري ،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بين المتأخرين</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وأحلّ اللّٰه البيع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نقله العلّامة المجلسى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 من قول النبي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بالجهل بسند الحديث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فالقائل بالكراهة يقول إنّ الخبر الخاصي قد اشتمل مع ضعفه على جملة من النواهى التي يراد منها الكراهية بإجماع الطائفة فلا يقوى على إثبات التحريم وقطع الأصل المعتضد بالشهرة المنقولة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المسلك مردود عند المحققين والحق عندهم التبعيض في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فالإشكال كل الإشكال إنّما هو في سند الحديث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به أن يقول الحاضر اللبادي وقد جلب 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أبيع لك ، مريداً بذلك الاستقصاء بالثمن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ومعناه أن يحمل البدوي أو القروي متاعه إلىٰ بلد فيأتيه البلدي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أبيعه لك بأغلىٰ ممّا تبيعه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يعرّفه السعر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أبيع لك وأكون سمساراً</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 ذلك ردّاً علىٰ من فصّل واشترط في الحرمة أو الكراهة شروطاً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أكثر هذه الشروط مأخوذة من كلام العامة</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في الهامش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والمسلمون يرزق اللّٰه بعضهم من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 الناس يرزق اللّٰه بعضهم من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اللآلي عن النبي صلی اللّٰه علیه و آله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ذروا الناس في غفلاتهم يعيش بعضهم مع بعض</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بها الصيمري،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 في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نافياً عنه الخلاف العلماء من الخاص والعام ، والماتن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بما تقدم من الشارح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ميناه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الاكتفاء بقول بعض الفقهاء في إثبات الآداب</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لذلك بوجوه اعتبارية وبروايات عاميّة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الاستدلال له بالحديث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كالشكوىٰ إلىٰ نبي أو وصي ليدعو له أو ليعلّمه ما ترتفع به فاقته ، وموارده في الروايات كثيرة جداً سواء ما كان منها من فقر أو مرض أو خوف من سلطان وأمثال ذلك ، وكمثال علىٰ ذلك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 دلالة علىٰ عدم كراهة الشكوىٰ إلىٰ عموم المؤمنين لنفس الغاية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ما يدل عليه بالخصوص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والاستخدام مناف للإكرام واصطناع المعروف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فإنّه يُشمّ منها مرجوحية الأخذ سيّما مع ملاحظة التشديد في أمر مال اليتيم المستفاد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بحث هذه المسألة في الفصل الثاني في الفصل الثاني من المقصد الثاني في بيع العبد المسلم من الكافر وإجارته عليه ورهنه عنده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ولمنافاته للعفّة المأمور بها في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اسقاط شهادته كاشف عن خسة العمل ومبغوضيته شرعاً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والمساقاة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وتكرر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باختلاف يسير ورد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ما دلّ علىٰ كراهة تعريض النفس للتهمة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علاوة علىٰ ما في الصورة الأولى الخيانة المنهي عنها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المنشأ لهذا الفرع ما ذكره الفقهاء في أحكام الشركة من قبول قول الشريك في قصد ما اشتراه أنه لنفسه أو للشركة ، معللين بأنّ ذلك لا يُعلم إلا من قبله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الوجه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تنقيح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وإلا فالعمومات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النقش بالزخرف ، وهو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كالتزيين والتحسين لفظاً و معنىٰ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الزُوَق 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الزئبق ، كالزاووق ، لأنّه يجعل مع الذهب فيُطلىٰ به ، فيدخل في النار ، فيطير الزاووق ويبقىٰ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قيل لكل منقَّش ومزيَّن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النهي عن ذلك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 ذلك من أشراط القيامة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إضافة إلى روايات عامية أوردها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يدلّ علىٰ النهى عن أخذ الاُجرة ، إلّا علىٰ القول بالملازمة بين كراهة العمل وأخذ الاُجرة عليه ، وتقدّم البحث في ذلك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أحاديث النهي عن مطلق عمل الصور المجسمة والتماثيل ذوات الأرواح</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تحريم الزخرفة ، وهي النقش بالزخرف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جماعة النقش من غير تقييد بالزخرف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ووجه التحريم غير واضح</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أدلّة القولين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ما يدل علىٰ استحباب قبول الهدية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كراهة ردّ مطلق الهدايا فلم أعثر علىٰ ما يدل عليها بالخصوص ، وربّما دلّ عليها عموم ما دلّ علىٰ كراهة الانقباض من الناس ، 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لو لم يكن استحباب القبول كافياً لإثباتها</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الأنوَك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دليل خاص به ، نعم ربّما يستفاد ذلك من عمومات النهي عن النظر والمخالطة والكلام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نفس 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فقرة ذكر السادس ممّن لا يستجاب دعاؤهم ، وغيرهما</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أخذاً من 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مستنده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 ما يدل علىٰ استحباب الاقتصاد في طلب الرزق</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الظاهر من إضافة البيع إلىٰ حبل الحبلة كونه هو المبيع ، بخلاف المعنىٰ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ذكره الماتن إذ لا يكون حبل الحبلة فيه مبيعاً ، وإنّما لضرب الأجل كقدوم الحاج ، فهو خلاف ظاهر الإضافة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الجوهري ،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اقتصرا علىٰ ذكر المعنىٰ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الفيّومي عن أبي عبيد الاستدلال على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لأنها أنثىٰ ، فإذا ولدت فولدها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المعنىٰ الثاني الشيخ الصدوق ،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الحرّ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أنّ المعنىٰ الأوّل هو بيع المضامين والملاقيح الآتي ذكرهما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فيها ذكر المعنىٰ الأوّل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يجوز بيع حبل الحبلة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 شيئاً بثمن مؤجّل إلىٰ نتاج الناقة ، وهو أن تنتج الناقة التي لفلان ، ثمّ ينتج نتاجها ، لأنّ الأجل مجهول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بيع حبل الحبلة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 شيئاً بثمن مؤجل إلىٰ نتاج الناقة ، لأنّ ذلك أجل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يحتمل فيه أن يكون صورة رابعة للمسألة ، ولكن حكمها حكم الثالثة ، فهو إمّا عين المعنىٰ الثالث أو ملحق به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وإنّما نهي عنه لمعنيين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 وبيع شيء لم يُخلق بعدُ ، وهو أن يبيع ما سوف يحمله الجنين الذي في بطن الناقة ، علىٰ تقدير أن تكون اُنثىٰ ، فهو بيع نتاج النتاج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بحبل الحبلة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يبيعه إلىٰ أجل ينتج فيه الحمل الذي في بطن الناقة ، فهو أجل مجهول ولا يصحّ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 يظهر مراد الشارح من عطفه الغرر علىٰ الجهالة ، فالجهالة على المعنىٰ الثالث ، والغرر علىٰ المعنيين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اثنين من النسخ ورد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القتيبي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المجَر ، بفتح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اُخذ عليه ؛ لأنّ المجَر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التحريك لُغَيّة أو لحن</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هذا المعنىٰ في طائفة من كتب اللغة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أن يكون سُمّي بيع المجرمجراً اتساعاً ومجازاً ، وكان من بياعات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للحمل الذي في بطن الناقة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هذا المعنىٰ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خطأ ، لأنّ بيع ما في بطن الناقة مع الضميمة جائز ، وغير منهي عنه ، وليس من المجْر</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ما في بطن الناقة ثمناً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هذا المعنىٰ الشيخ الصدوق ظاهراً ، كما 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 ،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وورد أيضاً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اقتصر في الصحاح والأخير علىٰ ذكر هذا المعنىٰ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للشيخ 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صلی اللّٰه علیه و آله عن عسيب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أجر الضراب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تعريف العسيب بأنه الكراء والأجرة علىٰ ضراب الفحل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هذا تكون المسألة من مسائل الإجارة لا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تفسير العسيب بالنطفة كما فعله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يدخلها في مسائل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وللماتن تأويل في ذلك 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المشار إليه في الهامش السابق، 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فهو المنفرد من بين اللغويين بتفسير العسيب بالنطفة، بعد أن فسّرها بالاُجرة</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علىٰ وزن فلس ، لا علىٰ وزن فعيل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الضمير مؤنثاً في نسخة القواعد ، المطبوعة حجرياً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وفي النسخة المطبوعة بتحقيق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المحققة في مؤسسة آل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المثبتة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ما هنا موافق 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المثبتة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الكلام في الضمير اللاحق الواقع في تعريف المضامين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المثبتة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جاء الضمير الأوّل فيها مذكراً والثاني مؤنثاً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الأصوب</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الصدوق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فالملاقيح ما في البطون، وهي الأجنّة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الواحدة ملقوحة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والملاقيح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ملقوح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وجعل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بها النطفة بعد استقرارها في الرحم، والعسب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قبل استقرارها والمجر أعمّ من كلٍ منهما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الصدوق ظاهراً ، كما 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 في الهامش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فالملاقيح ما في البطون ، وهي الأجنة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والمضامين ما في أصلاب الفحول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يبيعون الجنين في بطن الناقة ، وما يضرب الفحل في عامه وفي أعوام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جاء تعريف المضامين بما في أصلاب الفحول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جمع 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هذه البيوع ، كما في عسيب الفحل أو عسْبِه ، فالمحذور فيه الجهالة كما صرّح به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الآخر ، كما في المجر والملاقيح والمضامين ، فالمحذور فيه الغرر ، كما صرح به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في عطف الشارح بالواو إشارة إلىٰ اتحاد المحذورين ودخول الأوّل في الثاني ، كما يظهر من عبارته اللاحقة</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بيع النطفة ، المسمّىٰ بالعسيب أو العَسْب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يأتي الرجل بثوبه مطوّياً أو منشوراً في ظلمة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هذا الثوب بكذا وكذا ، فإذا لمسته وجب البيع ولا خيار لك إذا نظرت إلىٰ طوله وعرضه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ثانى المعنيين حاكياً 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ذيل الحديث المشار إليه فى الهامش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ما ذكره الماتن من التأويلات لهذا البيع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يبيعه ثوبه منه بكذا وكذا فإذا أنبذه إليه وجب البيع ولا خيار له إذا وقف علىٰ طوله وعرضه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المعاني في ذيل الحديث المشار إليه في الهامش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ما ذكره الماتن لإيضاح هذا البيع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المعنىٰ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بعدما حكىٰ تفسيره ببيع الأرض منتهىٰ الحصى إذا رماها ، ناسباً لهما إلىٰ القيل</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التعريف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ناسباً له إلىٰ القيل أيضاً ، بعدما عرفه هو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يقول البايع أو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نبذتُ إليك الحصاة فقد وجب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أضاف الماتن لها معنىٰ آخر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يدفع الأرض لآخر ليغرس فيها علىٰ أن تكون الأشجار المغروسة بينهما بنسبة معينة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ليست من المساقاة لأنها معاملة علىٰ الاُصول بحصة من ثمرتها ، ولا من المزارعة لأنها معاملة علىٰ الأرض بحصّة من حاصلها</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الجاري من الوظائف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يناله الجندي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كل النسخ ومثله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زيادة كلمة</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يبيعن أحدكم علىٰ بيع أخيه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يبيع بعضكم علىٰ بيع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بیع أحدكم علىٰ بيع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 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اللألي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يبيع أحدكم علىٰ بيع بعض ، ولا يخطب علىٰ خطبته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والماتن أورده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 بعضكم علىٰ بيع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يبيع بعضكم علىٰ بيع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فنسخه مختلفة ، ففي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يبيع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لايبع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ما 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النسخة المحققة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بتحقيق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في مؤسسة آل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الطبع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في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يبع الرجل علىٰ بيع أخيه ولا يخطب علىٰ خِطبة أخيه إلا أن يأذن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وأبا داود والترمذي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 أحدكم علىٰ بیع أخيه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يخطب الرجل علىٰ خِطبة أخيه ولا يبع علىٰ بيع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 لأنّ النهي في هذا الحديث إنّما هو علىٰ المشتري لا علىٰ البائع ، بدليل رواية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يبتاع الرجل علىٰ بيع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ويؤيّده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سوم الرجل علىٰ سوم أخيه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استدلاله مردود لوجوه</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الفرق بينه وبين الدخول في سوم المؤمن ، فذاك قبل العقد ، وهذا بعده في زمن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معناهما واحد كما ذهب إليه مالك وأبو حنيفة ، علىٰ ما حكاه عنهما ابن رشد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يسمّىٰ بالشراء علىٰ الشراء ، وكما ألحقه الماتن هنا بالبيع علىٰ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فعل في باقي كتبه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؛مستدلاً عليه في الأخير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المقتضي للنهي في البيع قائم في الشراء ، ولأن أحداً من المسلمين لم يفرّق بين الصورتين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ودعوىٰ عدم تفرقة أحد من المسلمين بينهما ؛ ادعاها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بيع التلجئة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بيع التلجئة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يخاف الرجل من السلطان أن يأخذ ملكه أو متاعه ، أو غير السلطان ؛ فيواطئ رجلاً علىٰ أن يظهر أنه اشتراه منه، ليحمىٰ بذلك ، ولا يريد بيعاً حقيقياً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محلّ النزاع ؛ فهذا عندنا باطل ، وبه قال أبو يوسف ومحمد وأحمد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لم يوجد منهما حقيقة البيع ، لأنهما لم يقصداه ، واللفظ إنّما تتم دلالته القصد ، وهما لم يقصدا البيع فأشبها الهازلين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احتجوا بأنّ البيع تمّ بأركانه وشروطه ، خالياً من مقارنة مفسد ؛ فصحّ ، كما لو اتفقا علىٰ شرط فاسد ، ثم عقدا البيع بغير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تمامية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أركان البيع الإيجاب والقبول المقترنين بالقصد ، ولم يوجد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3.jpeg"/><Relationship Id="rId81" Type="http://schemas.openxmlformats.org/officeDocument/2006/relationships/image" Target="media/image3.jpeg"/><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image" Target="media/image4.jpeg"/><Relationship Id="rId88" Type="http://schemas.openxmlformats.org/officeDocument/2006/relationships/image" Target="media/image4.jpeg"/><Relationship Id="rId89" Type="http://schemas.openxmlformats.org/officeDocument/2006/relationships/footer" Target="footer80.xml"/><Relationship Id="rId90" Type="http://schemas.openxmlformats.org/officeDocument/2006/relationships/image" Target="media/image5.jpeg"/><Relationship Id="rId91" Type="http://schemas.openxmlformats.org/officeDocument/2006/relationships/image" Target="media/image5.jpeg"/><Relationship Id="rId92" Type="http://schemas.openxmlformats.org/officeDocument/2006/relationships/footer" Target="footer81.xml"/><Relationship Id="rId93" Type="http://schemas.openxmlformats.org/officeDocument/2006/relationships/image" Target="media/image6.jpeg"/><Relationship Id="rId94" Type="http://schemas.openxmlformats.org/officeDocument/2006/relationships/image" Target="media/image6.jpeg"/><Relationship Id="rId95" Type="http://schemas.openxmlformats.org/officeDocument/2006/relationships/footer" Target="footer82.xml"/><Relationship Id="rId96" Type="http://schemas.openxmlformats.org/officeDocument/2006/relationships/image" Target="media/image7.jpeg"/><Relationship Id="rId97" Type="http://schemas.openxmlformats.org/officeDocument/2006/relationships/image" Target="media/image7.jpeg"/><Relationship Id="rId98" Type="http://schemas.openxmlformats.org/officeDocument/2006/relationships/footer" Target="footer83.xml"/><Relationship Id="rId99" Type="http://schemas.openxmlformats.org/officeDocument/2006/relationships/image" Target="media/image8.jpeg"/><Relationship Id="rId100" Type="http://schemas.openxmlformats.org/officeDocument/2006/relationships/image" Target="media/image8.jpeg"/><Relationship Id="rId101" Type="http://schemas.openxmlformats.org/officeDocument/2006/relationships/footer" Target="footer84.xml"/><Relationship Id="rId102" Type="http://schemas.openxmlformats.org/officeDocument/2006/relationships/image" Target="media/image9.jpeg"/><Relationship Id="rId103" Type="http://schemas.openxmlformats.org/officeDocument/2006/relationships/image" Target="media/image9.jpeg"/><Relationship Id="rId104" Type="http://schemas.openxmlformats.org/officeDocument/2006/relationships/footer" Target="footer85.xml"/><Relationship Id="rId105" Type="http://schemas.openxmlformats.org/officeDocument/2006/relationships/image" Target="media/image10.jpeg"/><Relationship Id="rId106" Type="http://schemas.openxmlformats.org/officeDocument/2006/relationships/image" Target="media/image10.jpeg"/><Relationship Id="rId107" Type="http://schemas.openxmlformats.org/officeDocument/2006/relationships/footer" Target="footer86.xml"/><Relationship Id="rId108" Type="http://schemas.openxmlformats.org/officeDocument/2006/relationships/image" Target="media/image11.jpeg"/><Relationship Id="rId109" Type="http://schemas.openxmlformats.org/officeDocument/2006/relationships/image" Target="media/image11.jpeg"/><Relationship Id="rId110" Type="http://schemas.openxmlformats.org/officeDocument/2006/relationships/footer" Target="footer87.xml"/><Relationship Id="rId111" Type="http://schemas.openxmlformats.org/officeDocument/2006/relationships/image" Target="media/image12.jpeg"/><Relationship Id="rId112" Type="http://schemas.openxmlformats.org/officeDocument/2006/relationships/image" Target="media/image12.jpeg"/><Relationship Id="rId113" Type="http://schemas.openxmlformats.org/officeDocument/2006/relationships/footer" Target="footer88.xml"/><Relationship Id="rId114" Type="http://schemas.openxmlformats.org/officeDocument/2006/relationships/image" Target="media/image13.jpeg"/><Relationship Id="rId115" Type="http://schemas.openxmlformats.org/officeDocument/2006/relationships/image" Target="media/image13.jpeg"/><Relationship Id="rId116" Type="http://schemas.openxmlformats.org/officeDocument/2006/relationships/footer" Target="footer89.xml"/><Relationship Id="rId117" Type="http://schemas.openxmlformats.org/officeDocument/2006/relationships/image" Target="media/image14.jpeg"/><Relationship Id="rId118" Type="http://schemas.openxmlformats.org/officeDocument/2006/relationships/image" Target="media/image14.jpeg"/><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38.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119935</Words>
  <Characters>470809</Characters>
  <CharactersWithSpaces>588778</CharactersWithSpaces>
  <Paragraphs>3692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2026-08-26T10:32:01Z</dcterms:created>
  <dc:creator>ghaemiyeh.com</dc:creator>
  <dc:description/>
  <dc:language>en-US</dc:language>
  <cp:lastModifiedBy/>
  <dcterms:modified xsi:type="dcterms:W3CDTF">2026-08-26T14:02:23Z</dcterms:modified>
  <cp:revision>1</cp:revision>
  <dc:subject/>
  <dc:title>شرح القواعد کتاب المتاجر خضر الجناجی «صاحب کشف الغطاء» المجلد 1</dc:title>
</cp:coreProperties>
</file>

<file path=docProps/custom.xml><?xml version="1.0" encoding="utf-8"?>
<Properties xmlns="http://schemas.openxmlformats.org/officeDocument/2006/custom-properties" xmlns:vt="http://schemas.openxmlformats.org/officeDocument/2006/docPropsVTypes"/>
</file>