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کتاب الصلاه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59948_2314609296">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3359950_2314609296">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3359952_2314609296">
            <w:r>
              <w:rPr>
                <w:webHidden/>
                <w:rStyle w:val="IndexLink"/>
                <w:rtl w:val="true"/>
              </w:rPr>
              <w:t>آية اللّٰه الكاظمي رائد العلم و الاجتهاد</w:t>
            </w:r>
            <w:r>
              <w:rPr>
                <w:rStyle w:val="IndexLink"/>
                <w:rtl w:val="true"/>
              </w:rPr>
              <w:tab/>
            </w:r>
            <w:r>
              <w:rPr>
                <w:rStyle w:val="IndexLink"/>
              </w:rPr>
              <w:t>9</w:t>
            </w:r>
          </w:hyperlink>
        </w:p>
        <w:p>
          <w:pPr>
            <w:pStyle w:val="Contents3"/>
            <w:tabs>
              <w:tab w:val="clear" w:pos="8459"/>
              <w:tab w:val="right" w:pos="9026" w:leader="dot"/>
            </w:tabs>
            <w:rPr/>
          </w:pPr>
          <w:hyperlink w:anchor="__RefHeading___Toc3359954_2314609296">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3359956_2314609296">
            <w:r>
              <w:rPr>
                <w:webHidden/>
                <w:rStyle w:val="IndexLink"/>
                <w:rtl w:val="true"/>
              </w:rPr>
              <w:t>حاضرة النجف الأشرف</w:t>
            </w:r>
            <w:r>
              <w:rPr>
                <w:rStyle w:val="IndexLink"/>
                <w:rtl w:val="true"/>
              </w:rPr>
              <w:t>:</w:t>
              <w:tab/>
            </w:r>
            <w:r>
              <w:rPr>
                <w:rStyle w:val="IndexLink"/>
              </w:rPr>
              <w:t>9</w:t>
            </w:r>
          </w:hyperlink>
        </w:p>
        <w:p>
          <w:pPr>
            <w:pStyle w:val="Contents3"/>
            <w:tabs>
              <w:tab w:val="clear" w:pos="8459"/>
              <w:tab w:val="right" w:pos="9026" w:leader="dot"/>
            </w:tabs>
            <w:rPr/>
          </w:pPr>
          <w:hyperlink w:anchor="__RefHeading___Toc3359958_2314609296">
            <w:r>
              <w:rPr>
                <w:webHidden/>
                <w:rStyle w:val="IndexLink"/>
                <w:rtl w:val="true"/>
              </w:rPr>
              <w:t>ميزة الدراسة الحرّة</w:t>
            </w:r>
            <w:r>
              <w:rPr>
                <w:rStyle w:val="IndexLink"/>
                <w:rtl w:val="true"/>
              </w:rPr>
              <w:t>:</w:t>
              <w:tab/>
            </w:r>
            <w:r>
              <w:rPr>
                <w:rStyle w:val="IndexLink"/>
              </w:rPr>
              <w:t>10</w:t>
            </w:r>
          </w:hyperlink>
        </w:p>
        <w:p>
          <w:pPr>
            <w:pStyle w:val="Contents3"/>
            <w:tabs>
              <w:tab w:val="clear" w:pos="8459"/>
              <w:tab w:val="right" w:pos="9026" w:leader="dot"/>
            </w:tabs>
            <w:rPr/>
          </w:pPr>
          <w:hyperlink w:anchor="__RefHeading___Toc3359960_2314609296">
            <w:r>
              <w:rPr>
                <w:webHidden/>
                <w:rStyle w:val="IndexLink"/>
                <w:rtl w:val="true"/>
              </w:rPr>
              <w:t>تقييم الفقه الإسلامي</w:t>
            </w:r>
            <w:r>
              <w:rPr>
                <w:rStyle w:val="IndexLink"/>
                <w:rtl w:val="true"/>
              </w:rPr>
              <w:t>:</w:t>
              <w:tab/>
            </w:r>
            <w:r>
              <w:rPr>
                <w:rStyle w:val="IndexLink"/>
              </w:rPr>
              <w:t>11</w:t>
            </w:r>
          </w:hyperlink>
        </w:p>
        <w:p>
          <w:pPr>
            <w:pStyle w:val="Contents3"/>
            <w:tabs>
              <w:tab w:val="clear" w:pos="8459"/>
              <w:tab w:val="right" w:pos="9026" w:leader="dot"/>
            </w:tabs>
            <w:rPr/>
          </w:pPr>
          <w:hyperlink w:anchor="__RefHeading___Toc3359962_2314609296">
            <w:r>
              <w:rPr>
                <w:webHidden/>
                <w:rStyle w:val="IndexLink"/>
                <w:rtl w:val="true"/>
              </w:rPr>
              <w:t>مقومات هذه الشخصية العملاقة</w:t>
            </w:r>
            <w:r>
              <w:rPr>
                <w:rStyle w:val="IndexLink"/>
                <w:rtl w:val="true"/>
              </w:rPr>
              <w:t>:</w:t>
              <w:tab/>
            </w:r>
            <w:r>
              <w:rPr>
                <w:rStyle w:val="IndexLink"/>
              </w:rPr>
              <w:t>11</w:t>
            </w:r>
          </w:hyperlink>
        </w:p>
        <w:p>
          <w:pPr>
            <w:pStyle w:val="Contents3"/>
            <w:tabs>
              <w:tab w:val="clear" w:pos="8459"/>
              <w:tab w:val="right" w:pos="9026" w:leader="dot"/>
            </w:tabs>
            <w:rPr/>
          </w:pPr>
          <w:hyperlink w:anchor="__RefHeading___Toc3359964_2314609296">
            <w:r>
              <w:rPr>
                <w:webHidden/>
                <w:rStyle w:val="IndexLink"/>
                <w:rtl w:val="true"/>
              </w:rPr>
              <w:t>ما قيل حول الكتاب</w:t>
            </w:r>
            <w:r>
              <w:rPr>
                <w:rStyle w:val="IndexLink"/>
                <w:rtl w:val="true"/>
              </w:rPr>
              <w:t>:</w:t>
              <w:tab/>
            </w:r>
            <w:r>
              <w:rPr>
                <w:rStyle w:val="IndexLink"/>
              </w:rPr>
              <w:t>14</w:t>
            </w:r>
          </w:hyperlink>
        </w:p>
        <w:p>
          <w:pPr>
            <w:pStyle w:val="Contents3"/>
            <w:tabs>
              <w:tab w:val="clear" w:pos="8459"/>
              <w:tab w:val="right" w:pos="9026" w:leader="dot"/>
            </w:tabs>
            <w:rPr/>
          </w:pPr>
          <w:hyperlink w:anchor="__RefHeading___Toc3359966_2314609296">
            <w:r>
              <w:rPr>
                <w:webHidden/>
                <w:rStyle w:val="IndexLink"/>
                <w:rtl w:val="true"/>
              </w:rPr>
              <w:t>أولاده</w:t>
            </w:r>
            <w:r>
              <w:rPr>
                <w:rStyle w:val="IndexLink"/>
                <w:rtl w:val="true"/>
              </w:rPr>
              <w:t>:</w:t>
              <w:tab/>
            </w:r>
            <w:r>
              <w:rPr>
                <w:rStyle w:val="IndexLink"/>
              </w:rPr>
              <w:t>14</w:t>
            </w:r>
          </w:hyperlink>
        </w:p>
        <w:p>
          <w:pPr>
            <w:pStyle w:val="Contents2"/>
            <w:tabs>
              <w:tab w:val="clear" w:pos="8743"/>
              <w:tab w:val="right" w:pos="9026" w:leader="dot"/>
            </w:tabs>
            <w:rPr/>
          </w:pPr>
          <w:hyperlink w:anchor="__RefHeading___Toc3359968_2314609296">
            <w:r>
              <w:rPr>
                <w:webHidden/>
                <w:rStyle w:val="IndexLink"/>
                <w:rtl w:val="true"/>
              </w:rPr>
              <w:t>[</w:t>
            </w:r>
            <w:r>
              <w:rPr>
                <w:rStyle w:val="IndexLink"/>
                <w:rtl w:val="true"/>
              </w:rPr>
              <w:t>المقصد الأوّل</w:t>
            </w:r>
            <w:r>
              <w:rPr>
                <w:rStyle w:val="IndexLink"/>
                <w:rtl w:val="true"/>
              </w:rPr>
              <w:t>] [</w:t>
            </w:r>
            <w:r>
              <w:rPr>
                <w:rStyle w:val="IndexLink"/>
                <w:rtl w:val="true"/>
              </w:rPr>
              <w:t>في أقسام الصلاة</w:t>
            </w:r>
            <w:r>
              <w:rPr>
                <w:rStyle w:val="IndexLink"/>
                <w:rtl w:val="true"/>
              </w:rPr>
              <w:t>]</w:t>
              <w:tab/>
            </w:r>
            <w:r>
              <w:rPr>
                <w:rStyle w:val="IndexLink"/>
              </w:rPr>
              <w:t>15</w:t>
            </w:r>
          </w:hyperlink>
        </w:p>
        <w:p>
          <w:pPr>
            <w:pStyle w:val="Contents3"/>
            <w:tabs>
              <w:tab w:val="clear" w:pos="8459"/>
              <w:tab w:val="right" w:pos="9026" w:leader="dot"/>
            </w:tabs>
            <w:rPr/>
          </w:pPr>
          <w:hyperlink w:anchor="__RefHeading___Toc3359970_2314609296">
            <w:r>
              <w:rPr>
                <w:webHidden/>
                <w:rStyle w:val="IndexLink"/>
                <w:rtl w:val="true"/>
              </w:rPr>
              <w:t>و قبل الدخول في المقصود ينبغي تمهيد مقال يشتمل على مقدّمتين</w:t>
            </w:r>
            <w:r>
              <w:rPr>
                <w:rStyle w:val="IndexLink"/>
                <w:rtl w:val="true"/>
              </w:rPr>
              <w:t>:</w:t>
              <w:tab/>
            </w:r>
            <w:r>
              <w:rPr>
                <w:rStyle w:val="IndexLink"/>
              </w:rPr>
              <w:t>15</w:t>
            </w:r>
          </w:hyperlink>
        </w:p>
        <w:p>
          <w:pPr>
            <w:pStyle w:val="Contents4"/>
            <w:tabs>
              <w:tab w:val="clear" w:pos="8176"/>
              <w:tab w:val="right" w:pos="9026" w:leader="dot"/>
            </w:tabs>
            <w:rPr/>
          </w:pPr>
          <w:hyperlink w:anchor="__RefHeading___Toc3359972_2314609296">
            <w:r>
              <w:rPr>
                <w:webHidden/>
                <w:rStyle w:val="IndexLink"/>
                <w:rtl w:val="true"/>
              </w:rPr>
              <w:t>الاولى</w:t>
            </w:r>
            <w:r>
              <w:rPr>
                <w:rStyle w:val="IndexLink"/>
                <w:rtl w:val="true"/>
              </w:rPr>
              <w:tab/>
            </w:r>
            <w:r>
              <w:rPr>
                <w:rStyle w:val="IndexLink"/>
              </w:rPr>
              <w:t>15</w:t>
            </w:r>
          </w:hyperlink>
        </w:p>
        <w:p>
          <w:pPr>
            <w:pStyle w:val="Contents4"/>
            <w:tabs>
              <w:tab w:val="clear" w:pos="8176"/>
              <w:tab w:val="right" w:pos="9026" w:leader="dot"/>
            </w:tabs>
            <w:rPr/>
          </w:pPr>
          <w:hyperlink w:anchor="__RefHeading___Toc3359974_2314609296">
            <w:r>
              <w:rPr>
                <w:webHidden/>
                <w:rStyle w:val="IndexLink"/>
                <w:rtl w:val="true"/>
              </w:rPr>
              <w:t>المقدّمة الثانية</w:t>
            </w:r>
            <w:r>
              <w:rPr>
                <w:rStyle w:val="IndexLink"/>
                <w:rtl w:val="true"/>
              </w:rPr>
              <w:tab/>
            </w:r>
            <w:r>
              <w:rPr>
                <w:rStyle w:val="IndexLink"/>
              </w:rPr>
              <w:t>16</w:t>
            </w:r>
          </w:hyperlink>
        </w:p>
        <w:p>
          <w:pPr>
            <w:pStyle w:val="Contents3"/>
            <w:tabs>
              <w:tab w:val="clear" w:pos="8459"/>
              <w:tab w:val="right" w:pos="9026" w:leader="dot"/>
            </w:tabs>
            <w:rPr/>
          </w:pPr>
          <w:hyperlink w:anchor="__RefHeading___Toc3359976_2314609296">
            <w:r>
              <w:rPr>
                <w:webHidden/>
                <w:rStyle w:val="IndexLink"/>
                <w:rtl w:val="true"/>
              </w:rPr>
              <w:t>الفصل الأول في الصلوات اليومية</w:t>
            </w:r>
            <w:r>
              <w:rPr>
                <w:rStyle w:val="IndexLink"/>
                <w:rtl w:val="true"/>
              </w:rPr>
              <w:tab/>
            </w:r>
            <w:r>
              <w:rPr>
                <w:rStyle w:val="IndexLink"/>
              </w:rPr>
              <w:t>19</w:t>
            </w:r>
          </w:hyperlink>
        </w:p>
        <w:p>
          <w:pPr>
            <w:pStyle w:val="Contents4"/>
            <w:tabs>
              <w:tab w:val="clear" w:pos="8176"/>
              <w:tab w:val="right" w:pos="9026" w:leader="dot"/>
            </w:tabs>
            <w:rPr/>
          </w:pPr>
          <w:hyperlink w:anchor="__RefHeading___Toc3359978_2314609296">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3359980_2314609296">
            <w:r>
              <w:rPr>
                <w:webHidden/>
                <w:rStyle w:val="IndexLink"/>
                <w:rtl w:val="true"/>
              </w:rPr>
              <w:t>البحث الأول في المواقيت</w:t>
            </w:r>
            <w:r>
              <w:rPr>
                <w:rStyle w:val="IndexLink"/>
                <w:rtl w:val="true"/>
              </w:rPr>
              <w:tab/>
            </w:r>
            <w:r>
              <w:rPr>
                <w:rStyle w:val="IndexLink"/>
              </w:rPr>
              <w:t>24</w:t>
            </w:r>
          </w:hyperlink>
        </w:p>
        <w:p>
          <w:pPr>
            <w:pStyle w:val="Contents5"/>
            <w:tabs>
              <w:tab w:val="clear" w:pos="7892"/>
              <w:tab w:val="right" w:pos="9026" w:leader="dot"/>
            </w:tabs>
            <w:rPr/>
          </w:pPr>
          <w:hyperlink w:anchor="__RefHeading___Toc3359982_2314609296">
            <w:r>
              <w:rPr>
                <w:webHidden/>
                <w:rStyle w:val="IndexLink"/>
                <w:rtl w:val="true"/>
              </w:rPr>
              <w:t>اشارة</w:t>
            </w:r>
            <w:r>
              <w:rPr>
                <w:rStyle w:val="IndexLink"/>
                <w:rtl w:val="true"/>
              </w:rPr>
              <w:tab/>
            </w:r>
            <w:r>
              <w:rPr>
                <w:rStyle w:val="IndexLink"/>
              </w:rPr>
              <w:t>24</w:t>
            </w:r>
          </w:hyperlink>
        </w:p>
        <w:p>
          <w:pPr>
            <w:pStyle w:val="Contents5"/>
            <w:tabs>
              <w:tab w:val="clear" w:pos="7892"/>
              <w:tab w:val="right" w:pos="9026" w:leader="dot"/>
            </w:tabs>
            <w:rPr/>
          </w:pPr>
          <w:hyperlink w:anchor="__RefHeading___Toc3359984_2314609296">
            <w:r>
              <w:rPr>
                <w:webHidden/>
                <w:rStyle w:val="IndexLink"/>
                <w:rtl w:val="true"/>
              </w:rPr>
              <w:t>المقام الأول في تعيين المواقيت من الوقت الاشتراكي و الاختصاصي للظهر و العصر</w:t>
            </w:r>
            <w:r>
              <w:rPr>
                <w:rStyle w:val="IndexLink"/>
                <w:rtl w:val="true"/>
              </w:rPr>
              <w:tab/>
            </w:r>
            <w:r>
              <w:rPr>
                <w:rStyle w:val="IndexLink"/>
              </w:rPr>
              <w:t>24</w:t>
            </w:r>
          </w:hyperlink>
        </w:p>
        <w:p>
          <w:pPr>
            <w:pStyle w:val="Contents6"/>
            <w:tabs>
              <w:tab w:val="clear" w:pos="7609"/>
              <w:tab w:val="right" w:pos="9026" w:leader="dot"/>
            </w:tabs>
            <w:rPr/>
          </w:pPr>
          <w:hyperlink w:anchor="__RefHeading___Toc3359986_2314609296">
            <w:r>
              <w:rPr>
                <w:webHidden/>
                <w:rStyle w:val="IndexLink"/>
                <w:rtl w:val="true"/>
              </w:rPr>
              <w:t>اشارة</w:t>
            </w:r>
            <w:r>
              <w:rPr>
                <w:rStyle w:val="IndexLink"/>
                <w:rtl w:val="true"/>
              </w:rPr>
              <w:tab/>
            </w:r>
            <w:r>
              <w:rPr>
                <w:rStyle w:val="IndexLink"/>
              </w:rPr>
              <w:t>24</w:t>
            </w:r>
          </w:hyperlink>
        </w:p>
        <w:p>
          <w:pPr>
            <w:pStyle w:val="Contents6"/>
            <w:tabs>
              <w:tab w:val="clear" w:pos="7609"/>
              <w:tab w:val="right" w:pos="9026" w:leader="dot"/>
            </w:tabs>
            <w:rPr/>
          </w:pPr>
          <w:hyperlink w:anchor="__RefHeading___Toc3359988_2314609296">
            <w:r>
              <w:rPr>
                <w:webHidden/>
                <w:rStyle w:val="IndexLink"/>
                <w:rtl w:val="true"/>
              </w:rPr>
              <w:t>فروع</w:t>
            </w:r>
            <w:r>
              <w:rPr>
                <w:rStyle w:val="IndexLink"/>
                <w:rtl w:val="true"/>
              </w:rPr>
              <w:tab/>
            </w:r>
            <w:r>
              <w:rPr>
                <w:rStyle w:val="IndexLink"/>
              </w:rPr>
              <w:t>43</w:t>
            </w:r>
          </w:hyperlink>
        </w:p>
        <w:p>
          <w:pPr>
            <w:pStyle w:val="Contents6"/>
            <w:tabs>
              <w:tab w:val="clear" w:pos="7609"/>
              <w:tab w:val="right" w:pos="9026" w:leader="dot"/>
            </w:tabs>
            <w:rPr/>
          </w:pPr>
          <w:hyperlink w:anchor="__RefHeading___Toc3359990_2314609296">
            <w:r>
              <w:rPr>
                <w:webHidden/>
                <w:rStyle w:val="IndexLink"/>
                <w:rtl w:val="true"/>
              </w:rPr>
              <w:t>الأول</w:t>
            </w:r>
            <w:r>
              <w:rPr>
                <w:rStyle w:val="IndexLink"/>
                <w:rtl w:val="true"/>
              </w:rPr>
              <w:t xml:space="preserve">: </w:t>
            </w:r>
            <w:r>
              <w:rPr>
                <w:rStyle w:val="IndexLink"/>
                <w:rtl w:val="true"/>
              </w:rPr>
              <w:t>لو صلّى العصر ناسيا للظهر و تذكر بعد الفراغ منها</w:t>
            </w:r>
            <w:r>
              <w:rPr>
                <w:rStyle w:val="IndexLink"/>
                <w:rtl w:val="true"/>
              </w:rPr>
              <w:tab/>
            </w:r>
            <w:r>
              <w:rPr>
                <w:rStyle w:val="IndexLink"/>
              </w:rPr>
              <w:t>43</w:t>
            </w:r>
          </w:hyperlink>
        </w:p>
        <w:p>
          <w:pPr>
            <w:pStyle w:val="Contents6"/>
            <w:tabs>
              <w:tab w:val="clear" w:pos="7609"/>
              <w:tab w:val="right" w:pos="9026" w:leader="dot"/>
            </w:tabs>
            <w:rPr/>
          </w:pPr>
          <w:hyperlink w:anchor="__RefHeading___Toc3359992_2314609296">
            <w:r>
              <w:rPr>
                <w:webHidden/>
                <w:rStyle w:val="IndexLink"/>
                <w:rtl w:val="true"/>
              </w:rPr>
              <w:t>الفرع الثاني</w:t>
            </w:r>
            <w:r>
              <w:rPr>
                <w:rStyle w:val="IndexLink"/>
                <w:rtl w:val="true"/>
              </w:rPr>
              <w:t xml:space="preserve">: </w:t>
            </w:r>
            <w:r>
              <w:rPr>
                <w:rStyle w:val="IndexLink"/>
                <w:rtl w:val="true"/>
              </w:rPr>
              <w:t>لو خاف ضيق الوقت إلّا عن صلاة العصر فلا إشكال في وجوب تقديمها و تأخير الظهر</w:t>
            </w:r>
            <w:r>
              <w:rPr>
                <w:rStyle w:val="IndexLink"/>
                <w:rtl w:val="true"/>
              </w:rPr>
              <w:tab/>
            </w:r>
            <w:r>
              <w:rPr>
                <w:rStyle w:val="IndexLink"/>
              </w:rPr>
              <w:t>47</w:t>
            </w:r>
          </w:hyperlink>
        </w:p>
        <w:p>
          <w:pPr>
            <w:pStyle w:val="Contents6"/>
            <w:tabs>
              <w:tab w:val="clear" w:pos="7609"/>
              <w:tab w:val="right" w:pos="9026" w:leader="dot"/>
            </w:tabs>
            <w:rPr/>
          </w:pPr>
          <w:hyperlink w:anchor="__RefHeading___Toc3359994_2314609296">
            <w:r>
              <w:rPr>
                <w:webHidden/>
                <w:rStyle w:val="IndexLink"/>
                <w:rtl w:val="true"/>
              </w:rPr>
              <w:t>الفرع الثالث</w:t>
            </w:r>
            <w:r>
              <w:rPr>
                <w:rStyle w:val="IndexLink"/>
                <w:rtl w:val="true"/>
              </w:rPr>
              <w:t xml:space="preserve">: </w:t>
            </w:r>
            <w:r>
              <w:rPr>
                <w:rStyle w:val="IndexLink"/>
                <w:rtl w:val="true"/>
              </w:rPr>
              <w:t>لو بقي من الوقت مقدار خمس ركعات فلا ينبغي الإشكال في لزوم فعل الظهر ثمّ العصر</w:t>
            </w:r>
            <w:r>
              <w:rPr>
                <w:rStyle w:val="IndexLink"/>
                <w:rtl w:val="true"/>
              </w:rPr>
              <w:tab/>
            </w:r>
            <w:r>
              <w:rPr>
                <w:rStyle w:val="IndexLink"/>
              </w:rPr>
              <w:t>50</w:t>
            </w:r>
          </w:hyperlink>
        </w:p>
        <w:p>
          <w:pPr>
            <w:pStyle w:val="Contents5"/>
            <w:tabs>
              <w:tab w:val="clear" w:pos="7892"/>
              <w:tab w:val="right" w:pos="9026" w:leader="dot"/>
            </w:tabs>
            <w:rPr/>
          </w:pPr>
          <w:hyperlink w:anchor="__RefHeading___Toc3359996_2314609296">
            <w:r>
              <w:rPr>
                <w:webHidden/>
                <w:rStyle w:val="IndexLink"/>
                <w:rtl w:val="true"/>
              </w:rPr>
              <w:t>المقام الثاني في بيان وقت المغرب و العشاء</w:t>
            </w:r>
            <w:r>
              <w:rPr>
                <w:rStyle w:val="IndexLink"/>
                <w:rtl w:val="true"/>
              </w:rPr>
              <w:tab/>
            </w:r>
            <w:r>
              <w:rPr>
                <w:rStyle w:val="IndexLink"/>
              </w:rPr>
              <w:t>55</w:t>
            </w:r>
          </w:hyperlink>
        </w:p>
        <w:p>
          <w:pPr>
            <w:pStyle w:val="Contents6"/>
            <w:tabs>
              <w:tab w:val="clear" w:pos="7609"/>
              <w:tab w:val="right" w:pos="9026" w:leader="dot"/>
            </w:tabs>
            <w:rPr/>
          </w:pPr>
          <w:hyperlink w:anchor="__RefHeading___Toc3359998_2314609296">
            <w:r>
              <w:rPr>
                <w:webHidden/>
                <w:rStyle w:val="IndexLink"/>
                <w:rtl w:val="true"/>
              </w:rPr>
              <w:t>اشارة</w:t>
            </w:r>
            <w:r>
              <w:rPr>
                <w:rStyle w:val="IndexLink"/>
                <w:rtl w:val="true"/>
              </w:rPr>
              <w:tab/>
            </w:r>
            <w:r>
              <w:rPr>
                <w:rStyle w:val="IndexLink"/>
              </w:rPr>
              <w:t>55</w:t>
            </w:r>
          </w:hyperlink>
        </w:p>
        <w:p>
          <w:pPr>
            <w:pStyle w:val="Contents6"/>
            <w:tabs>
              <w:tab w:val="clear" w:pos="7609"/>
              <w:tab w:val="right" w:pos="9026" w:leader="dot"/>
            </w:tabs>
            <w:rPr/>
          </w:pPr>
          <w:hyperlink w:anchor="__RefHeading___Toc3360000_2314609296">
            <w:r>
              <w:rPr>
                <w:webHidden/>
                <w:rStyle w:val="IndexLink"/>
                <w:rtl w:val="true"/>
              </w:rPr>
              <w:t>ينبغي تقديم أمور</w:t>
            </w:r>
            <w:r>
              <w:rPr>
                <w:rStyle w:val="IndexLink"/>
                <w:rtl w:val="true"/>
              </w:rPr>
              <w:t>:</w:t>
              <w:tab/>
            </w:r>
            <w:r>
              <w:rPr>
                <w:rStyle w:val="IndexLink"/>
              </w:rPr>
              <w:t>55</w:t>
            </w:r>
          </w:hyperlink>
        </w:p>
        <w:p>
          <w:pPr>
            <w:pStyle w:val="Contents6"/>
            <w:tabs>
              <w:tab w:val="clear" w:pos="7609"/>
              <w:tab w:val="right" w:pos="9026" w:leader="dot"/>
            </w:tabs>
            <w:rPr/>
          </w:pPr>
          <w:hyperlink w:anchor="__RefHeading___Toc3360002_2314609296">
            <w:r>
              <w:rPr>
                <w:webHidden/>
                <w:rStyle w:val="IndexLink"/>
                <w:rtl w:val="true"/>
              </w:rPr>
              <w:t>الأول</w:t>
            </w:r>
            <w:r>
              <w:rPr>
                <w:rStyle w:val="IndexLink"/>
                <w:rtl w:val="true"/>
              </w:rPr>
              <w:t xml:space="preserve">: </w:t>
            </w:r>
            <w:r>
              <w:rPr>
                <w:rStyle w:val="IndexLink"/>
                <w:rtl w:val="true"/>
              </w:rPr>
              <w:t>أنّ الجمع بين الدليلين بالإطلاق و التقييد لا ينحصر فيما إذا كان المقيّد من أفراد المطلق</w:t>
            </w:r>
            <w:r>
              <w:rPr>
                <w:rStyle w:val="IndexLink"/>
                <w:rtl w:val="true"/>
              </w:rPr>
              <w:tab/>
            </w:r>
            <w:r>
              <w:rPr>
                <w:rStyle w:val="IndexLink"/>
              </w:rPr>
              <w:t>55</w:t>
            </w:r>
          </w:hyperlink>
        </w:p>
        <w:p>
          <w:pPr>
            <w:pStyle w:val="Contents6"/>
            <w:tabs>
              <w:tab w:val="clear" w:pos="7609"/>
              <w:tab w:val="right" w:pos="9026" w:leader="dot"/>
            </w:tabs>
            <w:rPr/>
          </w:pPr>
          <w:hyperlink w:anchor="__RefHeading___Toc3360004_2314609296">
            <w:r>
              <w:rPr>
                <w:webHidden/>
                <w:rStyle w:val="IndexLink"/>
                <w:rtl w:val="true"/>
              </w:rPr>
              <w:t>الثاني</w:t>
            </w:r>
            <w:r>
              <w:rPr>
                <w:rStyle w:val="IndexLink"/>
                <w:rtl w:val="true"/>
              </w:rPr>
              <w:t xml:space="preserve">: </w:t>
            </w:r>
            <w:r>
              <w:rPr>
                <w:rStyle w:val="IndexLink"/>
                <w:rtl w:val="true"/>
              </w:rPr>
              <w:t>أنّه ربّما يكون الدليل بحسب ظهوره الإطلاقي لا يعمّ غير شخص ما تعلّق به</w:t>
            </w:r>
            <w:r>
              <w:rPr>
                <w:rStyle w:val="IndexLink"/>
                <w:rtl w:val="true"/>
              </w:rPr>
              <w:tab/>
            </w:r>
            <w:r>
              <w:rPr>
                <w:rStyle w:val="IndexLink"/>
              </w:rPr>
              <w:t>56</w:t>
            </w:r>
          </w:hyperlink>
        </w:p>
        <w:p>
          <w:pPr>
            <w:pStyle w:val="Contents6"/>
            <w:tabs>
              <w:tab w:val="clear" w:pos="7609"/>
              <w:tab w:val="right" w:pos="9026" w:leader="dot"/>
            </w:tabs>
            <w:rPr/>
          </w:pPr>
          <w:hyperlink w:anchor="__RefHeading___Toc3360006_2314609296">
            <w:r>
              <w:rPr>
                <w:webHidden/>
                <w:rStyle w:val="IndexLink"/>
                <w:rtl w:val="true"/>
              </w:rPr>
              <w:t>الثالث</w:t>
            </w:r>
            <w:r>
              <w:rPr>
                <w:rStyle w:val="IndexLink"/>
                <w:rtl w:val="true"/>
              </w:rPr>
              <w:t xml:space="preserve">: </w:t>
            </w:r>
            <w:r>
              <w:rPr>
                <w:rStyle w:val="IndexLink"/>
                <w:rtl w:val="true"/>
              </w:rPr>
              <w:t>أنّ التحديدات الشرعية الواردة في بيان تحديد الموضوعات العرفية</w:t>
            </w:r>
            <w:r>
              <w:rPr>
                <w:rStyle w:val="IndexLink"/>
                <w:rtl w:val="true"/>
              </w:rPr>
              <w:tab/>
            </w:r>
            <w:r>
              <w:rPr>
                <w:rStyle w:val="IndexLink"/>
              </w:rPr>
              <w:t>56</w:t>
            </w:r>
          </w:hyperlink>
        </w:p>
        <w:p>
          <w:pPr>
            <w:pStyle w:val="Contents6"/>
            <w:tabs>
              <w:tab w:val="clear" w:pos="7609"/>
              <w:tab w:val="right" w:pos="9026" w:leader="dot"/>
            </w:tabs>
            <w:rPr/>
          </w:pPr>
          <w:hyperlink w:anchor="__RefHeading___Toc3360008_2314609296">
            <w:r>
              <w:rPr>
                <w:webHidden/>
                <w:rStyle w:val="IndexLink"/>
                <w:rtl w:val="true"/>
              </w:rPr>
              <w:t>الرابع</w:t>
            </w:r>
            <w:r>
              <w:rPr>
                <w:rStyle w:val="IndexLink"/>
                <w:rtl w:val="true"/>
              </w:rPr>
              <w:t xml:space="preserve">: </w:t>
            </w:r>
            <w:r>
              <w:rPr>
                <w:rStyle w:val="IndexLink"/>
                <w:rtl w:val="true"/>
              </w:rPr>
              <w:t>أنّه لو لم يكن بين المتعارضين جمع دلالي</w:t>
            </w:r>
            <w:r>
              <w:rPr>
                <w:rStyle w:val="IndexLink"/>
                <w:rtl w:val="true"/>
              </w:rPr>
              <w:tab/>
            </w:r>
            <w:r>
              <w:rPr>
                <w:rStyle w:val="IndexLink"/>
              </w:rPr>
              <w:t>57</w:t>
            </w:r>
          </w:hyperlink>
        </w:p>
        <w:p>
          <w:pPr>
            <w:pStyle w:val="Contents6"/>
            <w:tabs>
              <w:tab w:val="clear" w:pos="7609"/>
              <w:tab w:val="right" w:pos="9026" w:leader="dot"/>
            </w:tabs>
            <w:rPr/>
          </w:pPr>
          <w:hyperlink w:anchor="__RefHeading___Toc3360010_2314609296">
            <w:r>
              <w:rPr>
                <w:webHidden/>
                <w:rStyle w:val="IndexLink"/>
                <w:rtl w:val="true"/>
              </w:rPr>
              <w:t>فينبغي التكلّم في مقامات ثلاث</w:t>
            </w:r>
            <w:r>
              <w:rPr>
                <w:rStyle w:val="IndexLink"/>
                <w:rtl w:val="true"/>
              </w:rPr>
              <w:t>:</w:t>
              <w:tab/>
            </w:r>
            <w:r>
              <w:rPr>
                <w:rStyle w:val="IndexLink"/>
              </w:rPr>
              <w:t>68</w:t>
            </w:r>
          </w:hyperlink>
        </w:p>
        <w:p>
          <w:pPr>
            <w:pStyle w:val="Contents6"/>
            <w:tabs>
              <w:tab w:val="clear" w:pos="7609"/>
              <w:tab w:val="right" w:pos="9026" w:leader="dot"/>
            </w:tabs>
            <w:rPr/>
          </w:pPr>
          <w:hyperlink w:anchor="__RefHeading___Toc3360012_2314609296">
            <w:r>
              <w:rPr>
                <w:webHidden/>
                <w:rStyle w:val="IndexLink"/>
                <w:rtl w:val="true"/>
              </w:rPr>
              <w:t>اشارة</w:t>
            </w:r>
            <w:r>
              <w:rPr>
                <w:rStyle w:val="IndexLink"/>
                <w:rtl w:val="true"/>
              </w:rPr>
              <w:tab/>
            </w:r>
            <w:r>
              <w:rPr>
                <w:rStyle w:val="IndexLink"/>
              </w:rPr>
              <w:t>68</w:t>
            </w:r>
          </w:hyperlink>
        </w:p>
        <w:p>
          <w:pPr>
            <w:pStyle w:val="Contents6"/>
            <w:tabs>
              <w:tab w:val="clear" w:pos="7609"/>
              <w:tab w:val="right" w:pos="9026" w:leader="dot"/>
            </w:tabs>
            <w:rPr/>
          </w:pPr>
          <w:hyperlink w:anchor="__RefHeading___Toc3360014_2314609296">
            <w:r>
              <w:rPr>
                <w:webHidden/>
                <w:rStyle w:val="IndexLink"/>
                <w:rtl w:val="true"/>
              </w:rPr>
              <w:t>أمّا المقام الأول</w:t>
            </w:r>
            <w:r>
              <w:rPr>
                <w:rStyle w:val="IndexLink"/>
                <w:rtl w:val="true"/>
              </w:rPr>
              <w:t>:</w:t>
              <w:tab/>
            </w:r>
            <w:r>
              <w:rPr>
                <w:rStyle w:val="IndexLink"/>
              </w:rPr>
              <w:t>68</w:t>
            </w:r>
          </w:hyperlink>
        </w:p>
        <w:p>
          <w:pPr>
            <w:pStyle w:val="Contents6"/>
            <w:tabs>
              <w:tab w:val="clear" w:pos="7609"/>
              <w:tab w:val="right" w:pos="9026" w:leader="dot"/>
            </w:tabs>
            <w:rPr/>
          </w:pPr>
          <w:hyperlink w:anchor="__RefHeading___Toc3360016_2314609296">
            <w:r>
              <w:rPr>
                <w:webHidden/>
                <w:rStyle w:val="IndexLink"/>
                <w:rtl w:val="true"/>
              </w:rPr>
              <w:t>اشارة</w:t>
            </w:r>
            <w:r>
              <w:rPr>
                <w:rStyle w:val="IndexLink"/>
                <w:rtl w:val="true"/>
              </w:rPr>
              <w:tab/>
            </w:r>
            <w:r>
              <w:rPr>
                <w:rStyle w:val="IndexLink"/>
              </w:rPr>
              <w:t>68</w:t>
            </w:r>
          </w:hyperlink>
        </w:p>
        <w:p>
          <w:pPr>
            <w:pStyle w:val="Contents6"/>
            <w:tabs>
              <w:tab w:val="clear" w:pos="7609"/>
              <w:tab w:val="right" w:pos="9026" w:leader="dot"/>
            </w:tabs>
            <w:rPr/>
          </w:pPr>
          <w:hyperlink w:anchor="__RefHeading___Toc3360018_2314609296">
            <w:r>
              <w:rPr>
                <w:webHidden/>
                <w:rStyle w:val="IndexLink"/>
                <w:rtl w:val="true"/>
              </w:rPr>
              <w:t>أمّا الكلام في الموضع الأول</w:t>
            </w:r>
            <w:r>
              <w:rPr>
                <w:rStyle w:val="IndexLink"/>
                <w:rtl w:val="true"/>
              </w:rPr>
              <w:tab/>
            </w:r>
            <w:r>
              <w:rPr>
                <w:rStyle w:val="IndexLink"/>
              </w:rPr>
              <w:t>71</w:t>
            </w:r>
          </w:hyperlink>
        </w:p>
        <w:p>
          <w:pPr>
            <w:pStyle w:val="Contents6"/>
            <w:tabs>
              <w:tab w:val="clear" w:pos="7609"/>
              <w:tab w:val="right" w:pos="9026" w:leader="dot"/>
            </w:tabs>
            <w:rPr/>
          </w:pPr>
          <w:hyperlink w:anchor="__RefHeading___Toc3360020_2314609296">
            <w:r>
              <w:rPr>
                <w:webHidden/>
                <w:rStyle w:val="IndexLink"/>
                <w:rtl w:val="true"/>
              </w:rPr>
              <w:t>بقي الكلام في الموضع الثاني</w:t>
            </w:r>
            <w:r>
              <w:rPr>
                <w:rStyle w:val="IndexLink"/>
                <w:rtl w:val="true"/>
              </w:rPr>
              <w:t>:</w:t>
              <w:tab/>
            </w:r>
            <w:r>
              <w:rPr>
                <w:rStyle w:val="IndexLink"/>
              </w:rPr>
              <w:t>75</w:t>
            </w:r>
          </w:hyperlink>
        </w:p>
        <w:p>
          <w:pPr>
            <w:pStyle w:val="Contents6"/>
            <w:tabs>
              <w:tab w:val="clear" w:pos="7609"/>
              <w:tab w:val="right" w:pos="9026" w:leader="dot"/>
            </w:tabs>
            <w:rPr/>
          </w:pPr>
          <w:hyperlink w:anchor="__RefHeading___Toc3360022_2314609296">
            <w:r>
              <w:rPr>
                <w:webHidden/>
                <w:rStyle w:val="IndexLink"/>
                <w:rtl w:val="true"/>
              </w:rPr>
              <w:t>المقام الثاني</w:t>
            </w:r>
            <w:r>
              <w:rPr>
                <w:rStyle w:val="IndexLink"/>
                <w:rtl w:val="true"/>
              </w:rPr>
              <w:t xml:space="preserve">: </w:t>
            </w:r>
            <w:r>
              <w:rPr>
                <w:rStyle w:val="IndexLink"/>
                <w:rtl w:val="true"/>
              </w:rPr>
              <w:t>في بيان آخر وقت المغرب و العشاء، و أول وقت العشاء</w:t>
            </w:r>
            <w:r>
              <w:rPr>
                <w:rStyle w:val="IndexLink"/>
                <w:rtl w:val="true"/>
              </w:rPr>
              <w:tab/>
            </w:r>
            <w:r>
              <w:rPr>
                <w:rStyle w:val="IndexLink"/>
              </w:rPr>
              <w:t>77</w:t>
            </w:r>
          </w:hyperlink>
        </w:p>
        <w:p>
          <w:pPr>
            <w:pStyle w:val="Contents6"/>
            <w:tabs>
              <w:tab w:val="clear" w:pos="7609"/>
              <w:tab w:val="right" w:pos="9026" w:leader="dot"/>
            </w:tabs>
            <w:rPr/>
          </w:pPr>
          <w:hyperlink w:anchor="__RefHeading___Toc3360024_2314609296">
            <w:r>
              <w:rPr>
                <w:webHidden/>
                <w:rStyle w:val="IndexLink"/>
                <w:rtl w:val="true"/>
              </w:rPr>
              <w:t>اشارة</w:t>
            </w:r>
            <w:r>
              <w:rPr>
                <w:rStyle w:val="IndexLink"/>
                <w:rtl w:val="true"/>
              </w:rPr>
              <w:tab/>
            </w:r>
            <w:r>
              <w:rPr>
                <w:rStyle w:val="IndexLink"/>
              </w:rPr>
              <w:t>77</w:t>
            </w:r>
          </w:hyperlink>
        </w:p>
        <w:p>
          <w:pPr>
            <w:pStyle w:val="Contents6"/>
            <w:tabs>
              <w:tab w:val="clear" w:pos="7609"/>
              <w:tab w:val="right" w:pos="9026" w:leader="dot"/>
            </w:tabs>
            <w:rPr/>
          </w:pPr>
          <w:hyperlink w:anchor="__RefHeading___Toc3360026_2314609296">
            <w:r>
              <w:rPr>
                <w:webHidden/>
                <w:rStyle w:val="IndexLink"/>
                <w:rtl w:val="true"/>
              </w:rPr>
              <w:t>تنبيه</w:t>
            </w:r>
            <w:r>
              <w:rPr>
                <w:rStyle w:val="IndexLink"/>
                <w:rtl w:val="true"/>
              </w:rPr>
              <w:t>:</w:t>
              <w:tab/>
            </w:r>
            <w:r>
              <w:rPr>
                <w:rStyle w:val="IndexLink"/>
              </w:rPr>
              <w:t>88</w:t>
            </w:r>
          </w:hyperlink>
        </w:p>
        <w:p>
          <w:pPr>
            <w:pStyle w:val="Contents6"/>
            <w:tabs>
              <w:tab w:val="clear" w:pos="7609"/>
              <w:tab w:val="right" w:pos="9026" w:leader="dot"/>
            </w:tabs>
            <w:rPr/>
          </w:pPr>
          <w:hyperlink w:anchor="__RefHeading___Toc3360028_2314609296">
            <w:r>
              <w:rPr>
                <w:webHidden/>
                <w:rStyle w:val="IndexLink"/>
                <w:rtl w:val="true"/>
              </w:rPr>
              <w:t>المقام الثالث</w:t>
            </w:r>
            <w:r>
              <w:rPr>
                <w:rStyle w:val="IndexLink"/>
                <w:rtl w:val="true"/>
              </w:rPr>
              <w:t>:</w:t>
              <w:tab/>
            </w:r>
            <w:r>
              <w:rPr>
                <w:rStyle w:val="IndexLink"/>
              </w:rPr>
              <w:t>88</w:t>
            </w:r>
          </w:hyperlink>
        </w:p>
        <w:p>
          <w:pPr>
            <w:pStyle w:val="Contents5"/>
            <w:tabs>
              <w:tab w:val="clear" w:pos="7892"/>
              <w:tab w:val="right" w:pos="9026" w:leader="dot"/>
            </w:tabs>
            <w:rPr/>
          </w:pPr>
          <w:hyperlink w:anchor="__RefHeading___Toc3360030_2314609296">
            <w:r>
              <w:rPr>
                <w:webHidden/>
                <w:rStyle w:val="IndexLink"/>
                <w:rtl w:val="true"/>
              </w:rPr>
              <w:t>المقام الثالث في أوقات النوافل اليومية</w:t>
            </w:r>
            <w:r>
              <w:rPr>
                <w:rStyle w:val="IndexLink"/>
                <w:rtl w:val="true"/>
              </w:rPr>
              <w:tab/>
            </w:r>
            <w:r>
              <w:rPr>
                <w:rStyle w:val="IndexLink"/>
              </w:rPr>
              <w:t>92</w:t>
            </w:r>
          </w:hyperlink>
        </w:p>
        <w:p>
          <w:pPr>
            <w:pStyle w:val="Contents5"/>
            <w:tabs>
              <w:tab w:val="clear" w:pos="7892"/>
              <w:tab w:val="right" w:pos="9026" w:leader="dot"/>
            </w:tabs>
            <w:rPr/>
          </w:pPr>
          <w:hyperlink w:anchor="__RefHeading___Toc3360032_2314609296">
            <w:r>
              <w:rPr>
                <w:webHidden/>
                <w:rStyle w:val="IndexLink"/>
                <w:rtl w:val="true"/>
              </w:rPr>
              <w:t>المقام الرابع في الأحكام المتعلّقة بالمواقيت</w:t>
            </w:r>
            <w:r>
              <w:rPr>
                <w:rStyle w:val="IndexLink"/>
                <w:rtl w:val="true"/>
              </w:rPr>
              <w:tab/>
            </w:r>
            <w:r>
              <w:rPr>
                <w:rStyle w:val="IndexLink"/>
              </w:rPr>
              <w:t>102</w:t>
            </w:r>
          </w:hyperlink>
        </w:p>
        <w:p>
          <w:pPr>
            <w:pStyle w:val="Contents6"/>
            <w:tabs>
              <w:tab w:val="clear" w:pos="7609"/>
              <w:tab w:val="right" w:pos="9026" w:leader="dot"/>
            </w:tabs>
            <w:rPr/>
          </w:pPr>
          <w:hyperlink w:anchor="__RefHeading___Toc3360034_2314609296">
            <w:r>
              <w:rPr>
                <w:webHidden/>
                <w:rStyle w:val="IndexLink"/>
                <w:rtl w:val="true"/>
              </w:rPr>
              <w:t>اشارة</w:t>
            </w:r>
            <w:r>
              <w:rPr>
                <w:rStyle w:val="IndexLink"/>
                <w:rtl w:val="true"/>
              </w:rPr>
              <w:tab/>
            </w:r>
            <w:r>
              <w:rPr>
                <w:rStyle w:val="IndexLink"/>
              </w:rPr>
              <w:t>102</w:t>
            </w:r>
          </w:hyperlink>
        </w:p>
        <w:p>
          <w:pPr>
            <w:pStyle w:val="Contents6"/>
            <w:tabs>
              <w:tab w:val="clear" w:pos="7609"/>
              <w:tab w:val="right" w:pos="9026" w:leader="dot"/>
            </w:tabs>
            <w:rPr/>
          </w:pPr>
          <w:hyperlink w:anchor="__RefHeading___Toc3360036_2314609296">
            <w:r>
              <w:rPr>
                <w:webHidden/>
                <w:rStyle w:val="IndexLink"/>
                <w:rtl w:val="true"/>
              </w:rPr>
              <w:t>الاولى</w:t>
            </w:r>
            <w:r>
              <w:rPr>
                <w:rStyle w:val="IndexLink"/>
                <w:rtl w:val="true"/>
              </w:rPr>
              <w:t xml:space="preserve">: </w:t>
            </w:r>
            <w:r>
              <w:rPr>
                <w:rStyle w:val="IndexLink"/>
                <w:rtl w:val="true"/>
              </w:rPr>
              <w:t>في جواز التطوّع في وقت الفريضة</w:t>
            </w:r>
            <w:r>
              <w:rPr>
                <w:rStyle w:val="IndexLink"/>
                <w:rtl w:val="true"/>
              </w:rPr>
              <w:t>.</w:t>
              <w:tab/>
            </w:r>
            <w:r>
              <w:rPr>
                <w:rStyle w:val="IndexLink"/>
              </w:rPr>
              <w:t>102</w:t>
            </w:r>
          </w:hyperlink>
        </w:p>
        <w:p>
          <w:pPr>
            <w:pStyle w:val="Contents6"/>
            <w:tabs>
              <w:tab w:val="clear" w:pos="7609"/>
              <w:tab w:val="right" w:pos="9026" w:leader="dot"/>
            </w:tabs>
            <w:rPr/>
          </w:pPr>
          <w:hyperlink w:anchor="__RefHeading___Toc3360038_2314609296">
            <w:r>
              <w:rPr>
                <w:webHidden/>
                <w:rStyle w:val="IndexLink"/>
                <w:rtl w:val="true"/>
              </w:rPr>
              <w:t>اشارة</w:t>
            </w:r>
            <w:r>
              <w:rPr>
                <w:rStyle w:val="IndexLink"/>
                <w:rtl w:val="true"/>
              </w:rPr>
              <w:tab/>
            </w:r>
            <w:r>
              <w:rPr>
                <w:rStyle w:val="IndexLink"/>
              </w:rPr>
              <w:t>102</w:t>
            </w:r>
          </w:hyperlink>
        </w:p>
        <w:p>
          <w:pPr>
            <w:pStyle w:val="Contents6"/>
            <w:tabs>
              <w:tab w:val="clear" w:pos="7609"/>
              <w:tab w:val="right" w:pos="9026" w:leader="dot"/>
            </w:tabs>
            <w:rPr/>
          </w:pPr>
          <w:hyperlink w:anchor="__RefHeading___Toc3360040_2314609296">
            <w:r>
              <w:rPr>
                <w:webHidden/>
                <w:rStyle w:val="IndexLink"/>
                <w:rtl w:val="true"/>
              </w:rPr>
              <w:t>فرع</w:t>
            </w:r>
            <w:r>
              <w:rPr>
                <w:rStyle w:val="IndexLink"/>
                <w:rtl w:val="true"/>
              </w:rPr>
              <w:t>:</w:t>
              <w:tab/>
            </w:r>
            <w:r>
              <w:rPr>
                <w:rStyle w:val="IndexLink"/>
              </w:rPr>
              <w:t>111</w:t>
            </w:r>
          </w:hyperlink>
        </w:p>
        <w:p>
          <w:pPr>
            <w:pStyle w:val="Contents6"/>
            <w:tabs>
              <w:tab w:val="clear" w:pos="7609"/>
              <w:tab w:val="right" w:pos="9026" w:leader="dot"/>
            </w:tabs>
            <w:rPr/>
          </w:pPr>
          <w:hyperlink w:anchor="__RefHeading___Toc3360042_2314609296">
            <w:r>
              <w:rPr>
                <w:webHidden/>
                <w:rStyle w:val="IndexLink"/>
                <w:rtl w:val="true"/>
              </w:rPr>
              <w:t>المسألة الثانية</w:t>
            </w:r>
            <w:r>
              <w:rPr>
                <w:rStyle w:val="IndexLink"/>
                <w:rtl w:val="true"/>
              </w:rPr>
              <w:t xml:space="preserve">: </w:t>
            </w:r>
            <w:r>
              <w:rPr>
                <w:rStyle w:val="IndexLink"/>
                <w:rtl w:val="true"/>
              </w:rPr>
              <w:t>لو حصل للمكلّف أحد الأعذار المانعة عن التكليف،</w:t>
            </w:r>
            <w:r>
              <w:rPr>
                <w:rStyle w:val="IndexLink"/>
                <w:rtl w:val="true"/>
              </w:rPr>
              <w:tab/>
            </w:r>
            <w:r>
              <w:rPr>
                <w:rStyle w:val="IndexLink"/>
              </w:rPr>
              <w:t>121</w:t>
            </w:r>
          </w:hyperlink>
        </w:p>
        <w:p>
          <w:pPr>
            <w:pStyle w:val="Contents6"/>
            <w:tabs>
              <w:tab w:val="clear" w:pos="7609"/>
              <w:tab w:val="right" w:pos="9026" w:leader="dot"/>
            </w:tabs>
            <w:rPr/>
          </w:pPr>
          <w:hyperlink w:anchor="__RefHeading___Toc3360044_2314609296">
            <w:r>
              <w:rPr>
                <w:webHidden/>
                <w:rStyle w:val="IndexLink"/>
                <w:rtl w:val="true"/>
              </w:rPr>
              <w:t>المسألة الثالثة</w:t>
            </w:r>
            <w:r>
              <w:rPr>
                <w:rStyle w:val="IndexLink"/>
                <w:rtl w:val="true"/>
              </w:rPr>
              <w:t xml:space="preserve">: </w:t>
            </w:r>
            <w:r>
              <w:rPr>
                <w:rStyle w:val="IndexLink"/>
                <w:rtl w:val="true"/>
              </w:rPr>
              <w:t>لا إشكال في أنّ مقتضى القاعدة الأولية هو لزوم تحصيل العلم بالوقت مع إمكانه</w:t>
            </w:r>
            <w:r>
              <w:rPr>
                <w:rStyle w:val="IndexLink"/>
                <w:rtl w:val="true"/>
              </w:rPr>
              <w:tab/>
            </w:r>
            <w:r>
              <w:rPr>
                <w:rStyle w:val="IndexLink"/>
              </w:rPr>
              <w:t>133</w:t>
            </w:r>
          </w:hyperlink>
        </w:p>
        <w:p>
          <w:pPr>
            <w:pStyle w:val="Contents4"/>
            <w:tabs>
              <w:tab w:val="clear" w:pos="8176"/>
              <w:tab w:val="right" w:pos="9026" w:leader="dot"/>
            </w:tabs>
            <w:rPr/>
          </w:pPr>
          <w:hyperlink w:anchor="__RefHeading___Toc3360046_2314609296">
            <w:r>
              <w:rPr>
                <w:webHidden/>
                <w:rStyle w:val="IndexLink"/>
                <w:rtl w:val="true"/>
              </w:rPr>
              <w:t>[</w:t>
            </w:r>
            <w:r>
              <w:rPr>
                <w:rStyle w:val="IndexLink"/>
                <w:rtl w:val="true"/>
              </w:rPr>
              <w:t>البحث الثاني</w:t>
            </w:r>
            <w:r>
              <w:rPr>
                <w:rStyle w:val="IndexLink"/>
                <w:rtl w:val="true"/>
              </w:rPr>
              <w:t xml:space="preserve">] </w:t>
            </w:r>
            <w:r>
              <w:rPr>
                <w:rStyle w:val="IndexLink"/>
                <w:rtl w:val="true"/>
              </w:rPr>
              <w:t>الكلام في القبلة</w:t>
            </w:r>
            <w:r>
              <w:rPr>
                <w:rStyle w:val="IndexLink"/>
                <w:rtl w:val="true"/>
              </w:rPr>
              <w:tab/>
            </w:r>
            <w:r>
              <w:rPr>
                <w:rStyle w:val="IndexLink"/>
              </w:rPr>
              <w:t>144</w:t>
            </w:r>
          </w:hyperlink>
        </w:p>
        <w:p>
          <w:pPr>
            <w:pStyle w:val="Contents5"/>
            <w:tabs>
              <w:tab w:val="clear" w:pos="7892"/>
              <w:tab w:val="right" w:pos="9026" w:leader="dot"/>
            </w:tabs>
            <w:rPr/>
          </w:pPr>
          <w:hyperlink w:anchor="__RefHeading___Toc3360048_2314609296">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3360050_2314609296">
            <w:r>
              <w:rPr>
                <w:webHidden/>
                <w:rStyle w:val="IndexLink"/>
                <w:rtl w:val="true"/>
              </w:rPr>
              <w:t>المبحث الأول فيما يجب استقباله في حال الصلاة و الدفن و غير ذلك</w:t>
            </w:r>
            <w:r>
              <w:rPr>
                <w:rStyle w:val="IndexLink"/>
                <w:rtl w:val="true"/>
              </w:rPr>
              <w:t>.</w:t>
              <w:tab/>
            </w:r>
            <w:r>
              <w:rPr>
                <w:rStyle w:val="IndexLink"/>
              </w:rPr>
              <w:t>144</w:t>
            </w:r>
          </w:hyperlink>
        </w:p>
        <w:p>
          <w:pPr>
            <w:pStyle w:val="Contents6"/>
            <w:tabs>
              <w:tab w:val="clear" w:pos="7609"/>
              <w:tab w:val="right" w:pos="9026" w:leader="dot"/>
            </w:tabs>
            <w:rPr/>
          </w:pPr>
          <w:hyperlink w:anchor="__RefHeading___Toc3360052_2314609296">
            <w:r>
              <w:rPr>
                <w:webHidden/>
                <w:rStyle w:val="IndexLink"/>
                <w:rtl w:val="true"/>
              </w:rPr>
              <w:t>اشارة</w:t>
            </w:r>
            <w:r>
              <w:rPr>
                <w:rStyle w:val="IndexLink"/>
                <w:rtl w:val="true"/>
              </w:rPr>
              <w:tab/>
            </w:r>
            <w:r>
              <w:rPr>
                <w:rStyle w:val="IndexLink"/>
              </w:rPr>
              <w:t>144</w:t>
            </w:r>
          </w:hyperlink>
        </w:p>
        <w:p>
          <w:pPr>
            <w:pStyle w:val="Contents6"/>
            <w:tabs>
              <w:tab w:val="clear" w:pos="7609"/>
              <w:tab w:val="right" w:pos="9026" w:leader="dot"/>
            </w:tabs>
            <w:rPr/>
          </w:pPr>
          <w:hyperlink w:anchor="__RefHeading___Toc3360054_2314609296">
            <w:r>
              <w:rPr>
                <w:webHidden/>
                <w:rStyle w:val="IndexLink"/>
                <w:rtl w:val="true"/>
              </w:rPr>
              <w:t>فرع</w:t>
            </w:r>
            <w:r>
              <w:rPr>
                <w:rStyle w:val="IndexLink"/>
                <w:rtl w:val="true"/>
              </w:rPr>
              <w:t xml:space="preserve">: </w:t>
            </w:r>
            <w:r>
              <w:rPr>
                <w:rStyle w:val="IndexLink"/>
                <w:rtl w:val="true"/>
              </w:rPr>
              <w:t>الظاهر أنّ حجر إسماعيل خارج عن البيت</w:t>
            </w:r>
            <w:r>
              <w:rPr>
                <w:rStyle w:val="IndexLink"/>
                <w:rtl w:val="true"/>
              </w:rPr>
              <w:tab/>
            </w:r>
            <w:r>
              <w:rPr>
                <w:rStyle w:val="IndexLink"/>
              </w:rPr>
              <w:t>152</w:t>
            </w:r>
          </w:hyperlink>
        </w:p>
        <w:p>
          <w:pPr>
            <w:pStyle w:val="Contents6"/>
            <w:tabs>
              <w:tab w:val="clear" w:pos="7609"/>
              <w:tab w:val="right" w:pos="9026" w:leader="dot"/>
            </w:tabs>
            <w:rPr/>
          </w:pPr>
          <w:hyperlink w:anchor="__RefHeading___Toc3360056_2314609296">
            <w:r>
              <w:rPr>
                <w:webHidden/>
                <w:rStyle w:val="IndexLink"/>
                <w:rtl w:val="true"/>
              </w:rPr>
              <w:t>تنبيه</w:t>
            </w:r>
            <w:r>
              <w:rPr>
                <w:rStyle w:val="IndexLink"/>
                <w:rtl w:val="true"/>
              </w:rPr>
              <w:t>:</w:t>
              <w:tab/>
            </w:r>
            <w:r>
              <w:rPr>
                <w:rStyle w:val="IndexLink"/>
              </w:rPr>
              <w:t>152</w:t>
            </w:r>
          </w:hyperlink>
        </w:p>
        <w:p>
          <w:pPr>
            <w:pStyle w:val="Contents5"/>
            <w:tabs>
              <w:tab w:val="clear" w:pos="7892"/>
              <w:tab w:val="right" w:pos="9026" w:leader="dot"/>
            </w:tabs>
            <w:rPr/>
          </w:pPr>
          <w:hyperlink w:anchor="__RefHeading___Toc3360058_2314609296">
            <w:r>
              <w:rPr>
                <w:webHidden/>
                <w:rStyle w:val="IndexLink"/>
                <w:rtl w:val="true"/>
              </w:rPr>
              <w:t>المبحث الثاني في بيان ما يعرف به قبلة كلّ إقليم</w:t>
            </w:r>
            <w:r>
              <w:rPr>
                <w:rStyle w:val="IndexLink"/>
                <w:rtl w:val="true"/>
              </w:rPr>
              <w:tab/>
            </w:r>
            <w:r>
              <w:rPr>
                <w:rStyle w:val="IndexLink"/>
              </w:rPr>
              <w:t>153</w:t>
            </w:r>
          </w:hyperlink>
        </w:p>
        <w:p>
          <w:pPr>
            <w:pStyle w:val="Contents6"/>
            <w:tabs>
              <w:tab w:val="clear" w:pos="7609"/>
              <w:tab w:val="right" w:pos="9026" w:leader="dot"/>
            </w:tabs>
            <w:rPr/>
          </w:pPr>
          <w:hyperlink w:anchor="__RefHeading___Toc3360060_2314609296">
            <w:r>
              <w:rPr>
                <w:webHidden/>
                <w:rStyle w:val="IndexLink"/>
                <w:rtl w:val="true"/>
              </w:rPr>
              <w:t>اشارة</w:t>
            </w:r>
            <w:r>
              <w:rPr>
                <w:rStyle w:val="IndexLink"/>
                <w:rtl w:val="true"/>
              </w:rPr>
              <w:tab/>
            </w:r>
            <w:r>
              <w:rPr>
                <w:rStyle w:val="IndexLink"/>
              </w:rPr>
              <w:t>153</w:t>
            </w:r>
          </w:hyperlink>
        </w:p>
        <w:p>
          <w:pPr>
            <w:pStyle w:val="Contents6"/>
            <w:tabs>
              <w:tab w:val="clear" w:pos="7609"/>
              <w:tab w:val="right" w:pos="9026" w:leader="dot"/>
            </w:tabs>
            <w:rPr/>
          </w:pPr>
          <w:hyperlink w:anchor="__RefHeading___Toc3360062_2314609296">
            <w:r>
              <w:rPr>
                <w:webHidden/>
                <w:rStyle w:val="IndexLink"/>
                <w:rtl w:val="true"/>
              </w:rPr>
              <w:t>و معرفة ذلك لها طرق متعدّدة</w:t>
            </w:r>
            <w:r>
              <w:rPr>
                <w:rStyle w:val="IndexLink"/>
                <w:rtl w:val="true"/>
              </w:rPr>
              <w:t>.</w:t>
              <w:tab/>
            </w:r>
            <w:r>
              <w:rPr>
                <w:rStyle w:val="IndexLink"/>
              </w:rPr>
              <w:t>155</w:t>
            </w:r>
          </w:hyperlink>
        </w:p>
        <w:p>
          <w:pPr>
            <w:pStyle w:val="Contents6"/>
            <w:tabs>
              <w:tab w:val="clear" w:pos="7609"/>
              <w:tab w:val="right" w:pos="9026" w:leader="dot"/>
            </w:tabs>
            <w:rPr/>
          </w:pPr>
          <w:hyperlink w:anchor="__RefHeading___Toc3360064_2314609296">
            <w:r>
              <w:rPr>
                <w:webHidden/>
                <w:rStyle w:val="IndexLink"/>
                <w:rtl w:val="true"/>
              </w:rPr>
              <w:t>منها</w:t>
            </w:r>
            <w:r>
              <w:rPr>
                <w:rStyle w:val="IndexLink"/>
                <w:rtl w:val="true"/>
              </w:rPr>
              <w:t xml:space="preserve">: </w:t>
            </w:r>
            <w:r>
              <w:rPr>
                <w:rStyle w:val="IndexLink"/>
                <w:rtl w:val="true"/>
              </w:rPr>
              <w:t>محراب صلّى فيه معصوم عليه السّلام</w:t>
            </w:r>
            <w:r>
              <w:rPr>
                <w:rStyle w:val="IndexLink"/>
                <w:rtl w:val="true"/>
              </w:rPr>
              <w:tab/>
            </w:r>
            <w:r>
              <w:rPr>
                <w:rStyle w:val="IndexLink"/>
              </w:rPr>
              <w:t>155</w:t>
            </w:r>
          </w:hyperlink>
        </w:p>
        <w:p>
          <w:pPr>
            <w:pStyle w:val="Contents6"/>
            <w:tabs>
              <w:tab w:val="clear" w:pos="7609"/>
              <w:tab w:val="right" w:pos="9026" w:leader="dot"/>
            </w:tabs>
            <w:rPr/>
          </w:pPr>
          <w:hyperlink w:anchor="__RefHeading___Toc3360066_2314609296">
            <w:r>
              <w:rPr>
                <w:webHidden/>
                <w:rStyle w:val="IndexLink"/>
                <w:rtl w:val="true"/>
              </w:rPr>
              <w:t>و منها</w:t>
            </w:r>
            <w:r>
              <w:rPr>
                <w:rStyle w:val="IndexLink"/>
                <w:rtl w:val="true"/>
              </w:rPr>
              <w:t xml:space="preserve">: </w:t>
            </w:r>
            <w:r>
              <w:rPr>
                <w:rStyle w:val="IndexLink"/>
                <w:rtl w:val="true"/>
              </w:rPr>
              <w:t>قبر المعصوم عليه السّلام</w:t>
            </w:r>
            <w:r>
              <w:rPr>
                <w:rStyle w:val="IndexLink"/>
                <w:rtl w:val="true"/>
              </w:rPr>
              <w:tab/>
            </w:r>
            <w:r>
              <w:rPr>
                <w:rStyle w:val="IndexLink"/>
              </w:rPr>
              <w:t>156</w:t>
            </w:r>
          </w:hyperlink>
        </w:p>
        <w:p>
          <w:pPr>
            <w:pStyle w:val="Contents6"/>
            <w:tabs>
              <w:tab w:val="clear" w:pos="7609"/>
              <w:tab w:val="right" w:pos="9026" w:leader="dot"/>
            </w:tabs>
            <w:rPr/>
          </w:pPr>
          <w:hyperlink w:anchor="__RefHeading___Toc3360068_2314609296">
            <w:r>
              <w:rPr>
                <w:webHidden/>
                <w:rStyle w:val="IndexLink"/>
                <w:rtl w:val="true"/>
              </w:rPr>
              <w:t>و منها</w:t>
            </w:r>
            <w:r>
              <w:rPr>
                <w:rStyle w:val="IndexLink"/>
                <w:rtl w:val="true"/>
              </w:rPr>
              <w:t xml:space="preserve">: </w:t>
            </w:r>
            <w:r>
              <w:rPr>
                <w:rStyle w:val="IndexLink"/>
                <w:rtl w:val="true"/>
              </w:rPr>
              <w:t>العلائم المنصوبة لذلك من مهرة أهل الفنّ</w:t>
            </w:r>
            <w:r>
              <w:rPr>
                <w:rStyle w:val="IndexLink"/>
                <w:rtl w:val="true"/>
              </w:rPr>
              <w:tab/>
            </w:r>
            <w:r>
              <w:rPr>
                <w:rStyle w:val="IndexLink"/>
              </w:rPr>
              <w:t>156</w:t>
            </w:r>
          </w:hyperlink>
        </w:p>
        <w:p>
          <w:pPr>
            <w:pStyle w:val="Contents6"/>
            <w:tabs>
              <w:tab w:val="clear" w:pos="7609"/>
              <w:tab w:val="right" w:pos="9026" w:leader="dot"/>
            </w:tabs>
            <w:rPr/>
          </w:pPr>
          <w:hyperlink w:anchor="__RefHeading___Toc3360070_2314609296">
            <w:r>
              <w:rPr>
                <w:webHidden/>
                <w:rStyle w:val="IndexLink"/>
                <w:rtl w:val="true"/>
              </w:rPr>
              <w:t>بقي في المقام أمور ينبغي التنبيه عليها</w:t>
            </w:r>
            <w:r>
              <w:rPr>
                <w:rStyle w:val="IndexLink"/>
                <w:rtl w:val="true"/>
              </w:rPr>
              <w:t>.</w:t>
              <w:tab/>
            </w:r>
            <w:r>
              <w:rPr>
                <w:rStyle w:val="IndexLink"/>
              </w:rPr>
              <w:t>165</w:t>
            </w:r>
          </w:hyperlink>
        </w:p>
        <w:p>
          <w:pPr>
            <w:pStyle w:val="Contents6"/>
            <w:tabs>
              <w:tab w:val="clear" w:pos="7609"/>
              <w:tab w:val="right" w:pos="9026" w:leader="dot"/>
            </w:tabs>
            <w:rPr/>
          </w:pPr>
          <w:hyperlink w:anchor="__RefHeading___Toc3360072_2314609296">
            <w:r>
              <w:rPr>
                <w:webHidden/>
                <w:rStyle w:val="IndexLink"/>
                <w:rtl w:val="true"/>
              </w:rPr>
              <w:t>الأول</w:t>
            </w:r>
            <w:r>
              <w:rPr>
                <w:rStyle w:val="IndexLink"/>
                <w:rtl w:val="true"/>
              </w:rPr>
              <w:t xml:space="preserve">: </w:t>
            </w:r>
            <w:r>
              <w:rPr>
                <w:rStyle w:val="IndexLink"/>
                <w:rtl w:val="true"/>
              </w:rPr>
              <w:t>أنّه يعتبر أن تكون الصلوات الأربع إلى جهات أربع</w:t>
            </w:r>
            <w:r>
              <w:rPr>
                <w:rStyle w:val="IndexLink"/>
                <w:rtl w:val="true"/>
              </w:rPr>
              <w:tab/>
            </w:r>
            <w:r>
              <w:rPr>
                <w:rStyle w:val="IndexLink"/>
              </w:rPr>
              <w:t>165</w:t>
            </w:r>
          </w:hyperlink>
        </w:p>
        <w:p>
          <w:pPr>
            <w:pStyle w:val="Contents6"/>
            <w:tabs>
              <w:tab w:val="clear" w:pos="7609"/>
              <w:tab w:val="right" w:pos="9026" w:leader="dot"/>
            </w:tabs>
            <w:rPr/>
          </w:pPr>
          <w:hyperlink w:anchor="__RefHeading___Toc3360074_2314609296">
            <w:r>
              <w:rPr>
                <w:webHidden/>
                <w:rStyle w:val="IndexLink"/>
                <w:rtl w:val="true"/>
              </w:rPr>
              <w:t>الأمر الثاني</w:t>
            </w:r>
            <w:r>
              <w:rPr>
                <w:rStyle w:val="IndexLink"/>
                <w:rtl w:val="true"/>
              </w:rPr>
              <w:t xml:space="preserve">: </w:t>
            </w:r>
            <w:r>
              <w:rPr>
                <w:rStyle w:val="IndexLink"/>
                <w:rtl w:val="true"/>
              </w:rPr>
              <w:t>هل يعتبر أن يستوفي أولا محتملات الظهر ثمّ يعقبه بمحتملات العصر</w:t>
            </w:r>
            <w:r>
              <w:rPr>
                <w:rStyle w:val="IndexLink"/>
                <w:rtl w:val="true"/>
              </w:rPr>
              <w:tab/>
            </w:r>
            <w:r>
              <w:rPr>
                <w:rStyle w:val="IndexLink"/>
              </w:rPr>
              <w:t>166</w:t>
            </w:r>
          </w:hyperlink>
        </w:p>
        <w:p>
          <w:pPr>
            <w:pStyle w:val="Contents6"/>
            <w:tabs>
              <w:tab w:val="clear" w:pos="7609"/>
              <w:tab w:val="right" w:pos="9026" w:leader="dot"/>
            </w:tabs>
            <w:rPr/>
          </w:pPr>
          <w:hyperlink w:anchor="__RefHeading___Toc3360076_2314609296">
            <w:r>
              <w:rPr>
                <w:webHidden/>
                <w:rStyle w:val="IndexLink"/>
                <w:rtl w:val="true"/>
              </w:rPr>
              <w:t>الأمر الثالث</w:t>
            </w:r>
            <w:r>
              <w:rPr>
                <w:rStyle w:val="IndexLink"/>
                <w:rtl w:val="true"/>
              </w:rPr>
              <w:t xml:space="preserve">: </w:t>
            </w:r>
            <w:r>
              <w:rPr>
                <w:rStyle w:val="IndexLink"/>
                <w:rtl w:val="true"/>
              </w:rPr>
              <w:t>لو ضاق الوقت عن استيفاء جميع محتملات الظهر و العصر</w:t>
            </w:r>
            <w:r>
              <w:rPr>
                <w:rStyle w:val="IndexLink"/>
                <w:rtl w:val="true"/>
              </w:rPr>
              <w:tab/>
            </w:r>
            <w:r>
              <w:rPr>
                <w:rStyle w:val="IndexLink"/>
              </w:rPr>
              <w:t>169</w:t>
            </w:r>
          </w:hyperlink>
        </w:p>
        <w:p>
          <w:pPr>
            <w:pStyle w:val="Contents6"/>
            <w:tabs>
              <w:tab w:val="clear" w:pos="7609"/>
              <w:tab w:val="right" w:pos="9026" w:leader="dot"/>
            </w:tabs>
            <w:rPr/>
          </w:pPr>
          <w:hyperlink w:anchor="__RefHeading___Toc3360078_2314609296">
            <w:r>
              <w:rPr>
                <w:webHidden/>
                <w:rStyle w:val="IndexLink"/>
                <w:rtl w:val="true"/>
              </w:rPr>
              <w:t>الأمر الرابع</w:t>
            </w:r>
            <w:r>
              <w:rPr>
                <w:rStyle w:val="IndexLink"/>
                <w:rtl w:val="true"/>
              </w:rPr>
              <w:t xml:space="preserve">: </w:t>
            </w:r>
            <w:r>
              <w:rPr>
                <w:rStyle w:val="IndexLink"/>
                <w:rtl w:val="true"/>
              </w:rPr>
              <w:t>لو ضاق الوقت إلّا عن ثلاث أو اثنتان</w:t>
            </w:r>
            <w:r>
              <w:rPr>
                <w:rStyle w:val="IndexLink"/>
                <w:rtl w:val="true"/>
              </w:rPr>
              <w:tab/>
            </w:r>
            <w:r>
              <w:rPr>
                <w:rStyle w:val="IndexLink"/>
              </w:rPr>
              <w:t>171</w:t>
            </w:r>
          </w:hyperlink>
        </w:p>
        <w:p>
          <w:pPr>
            <w:pStyle w:val="Contents6"/>
            <w:tabs>
              <w:tab w:val="clear" w:pos="7609"/>
              <w:tab w:val="right" w:pos="9026" w:leader="dot"/>
            </w:tabs>
            <w:rPr/>
          </w:pPr>
          <w:hyperlink w:anchor="__RefHeading___Toc3360080_2314609296">
            <w:r>
              <w:rPr>
                <w:webHidden/>
                <w:rStyle w:val="IndexLink"/>
                <w:rtl w:val="true"/>
              </w:rPr>
              <w:t>الأمر الخامس</w:t>
            </w:r>
            <w:r>
              <w:rPr>
                <w:rStyle w:val="IndexLink"/>
                <w:rtl w:val="true"/>
              </w:rPr>
              <w:t xml:space="preserve">: </w:t>
            </w:r>
            <w:r>
              <w:rPr>
                <w:rStyle w:val="IndexLink"/>
                <w:rtl w:val="true"/>
              </w:rPr>
              <w:t>أنّه لا إشكال في عدم الإعادة و القضاء على من صلّى أربع</w:t>
            </w:r>
            <w:r>
              <w:rPr>
                <w:rStyle w:val="IndexLink"/>
                <w:rtl w:val="true"/>
              </w:rPr>
              <w:tab/>
            </w:r>
            <w:r>
              <w:rPr>
                <w:rStyle w:val="IndexLink"/>
              </w:rPr>
              <w:t>173</w:t>
            </w:r>
          </w:hyperlink>
        </w:p>
        <w:p>
          <w:pPr>
            <w:pStyle w:val="Contents6"/>
            <w:tabs>
              <w:tab w:val="clear" w:pos="7609"/>
              <w:tab w:val="right" w:pos="9026" w:leader="dot"/>
            </w:tabs>
            <w:rPr/>
          </w:pPr>
          <w:hyperlink w:anchor="__RefHeading___Toc3360082_2314609296">
            <w:r>
              <w:rPr>
                <w:webHidden/>
                <w:rStyle w:val="IndexLink"/>
                <w:rtl w:val="true"/>
              </w:rPr>
              <w:t>الأمر السادس</w:t>
            </w:r>
            <w:r>
              <w:rPr>
                <w:rStyle w:val="IndexLink"/>
                <w:rtl w:val="true"/>
              </w:rPr>
              <w:t xml:space="preserve">: </w:t>
            </w:r>
            <w:r>
              <w:rPr>
                <w:rStyle w:val="IndexLink"/>
                <w:rtl w:val="true"/>
              </w:rPr>
              <w:t>لا فرق في عدم التمكّن فيما ذكر له من الأحكام بين أن يكون ذلك لضيق الوقت أو لأمر آخر</w:t>
            </w:r>
            <w:r>
              <w:rPr>
                <w:rStyle w:val="IndexLink"/>
                <w:rtl w:val="true"/>
              </w:rPr>
              <w:tab/>
            </w:r>
            <w:r>
              <w:rPr>
                <w:rStyle w:val="IndexLink"/>
              </w:rPr>
              <w:t>175</w:t>
            </w:r>
          </w:hyperlink>
        </w:p>
        <w:p>
          <w:pPr>
            <w:pStyle w:val="Contents6"/>
            <w:tabs>
              <w:tab w:val="clear" w:pos="7609"/>
              <w:tab w:val="right" w:pos="9026" w:leader="dot"/>
            </w:tabs>
            <w:rPr/>
          </w:pPr>
          <w:hyperlink w:anchor="__RefHeading___Toc3360084_2314609296">
            <w:r>
              <w:rPr>
                <w:webHidden/>
                <w:rStyle w:val="IndexLink"/>
                <w:rtl w:val="true"/>
              </w:rPr>
              <w:t>الأمر السابع</w:t>
            </w:r>
            <w:r>
              <w:rPr>
                <w:rStyle w:val="IndexLink"/>
                <w:rtl w:val="true"/>
              </w:rPr>
              <w:t xml:space="preserve">: </w:t>
            </w:r>
            <w:r>
              <w:rPr>
                <w:rStyle w:val="IndexLink"/>
                <w:rtl w:val="true"/>
              </w:rPr>
              <w:t>لو حصل له الظنّ إلى أنّ القبلة في أحد هاتين الجهتين</w:t>
            </w:r>
            <w:r>
              <w:rPr>
                <w:rStyle w:val="IndexLink"/>
                <w:rtl w:val="true"/>
              </w:rPr>
              <w:tab/>
            </w:r>
            <w:r>
              <w:rPr>
                <w:rStyle w:val="IndexLink"/>
              </w:rPr>
              <w:t>175</w:t>
            </w:r>
          </w:hyperlink>
        </w:p>
        <w:p>
          <w:pPr>
            <w:pStyle w:val="Contents5"/>
            <w:tabs>
              <w:tab w:val="clear" w:pos="7892"/>
              <w:tab w:val="right" w:pos="9026" w:leader="dot"/>
            </w:tabs>
            <w:rPr/>
          </w:pPr>
          <w:hyperlink w:anchor="__RefHeading___Toc3360086_2314609296">
            <w:r>
              <w:rPr>
                <w:webHidden/>
                <w:rStyle w:val="IndexLink"/>
                <w:rtl w:val="true"/>
              </w:rPr>
              <w:t>المبحث الثالث</w:t>
            </w:r>
            <w:r>
              <w:rPr>
                <w:rStyle w:val="IndexLink"/>
                <w:rtl w:val="true"/>
              </w:rPr>
              <w:tab/>
            </w:r>
            <w:r>
              <w:rPr>
                <w:rStyle w:val="IndexLink"/>
              </w:rPr>
              <w:t>176</w:t>
            </w:r>
          </w:hyperlink>
        </w:p>
        <w:p>
          <w:pPr>
            <w:pStyle w:val="Contents6"/>
            <w:tabs>
              <w:tab w:val="clear" w:pos="7609"/>
              <w:tab w:val="right" w:pos="9026" w:leader="dot"/>
            </w:tabs>
            <w:rPr/>
          </w:pPr>
          <w:hyperlink w:anchor="__RefHeading___Toc3360088_2314609296">
            <w:r>
              <w:rPr>
                <w:webHidden/>
                <w:rStyle w:val="IndexLink"/>
                <w:rtl w:val="true"/>
              </w:rPr>
              <w:t>اشارة</w:t>
            </w:r>
            <w:r>
              <w:rPr>
                <w:rStyle w:val="IndexLink"/>
                <w:rtl w:val="true"/>
              </w:rPr>
              <w:tab/>
            </w:r>
            <w:r>
              <w:rPr>
                <w:rStyle w:val="IndexLink"/>
              </w:rPr>
              <w:t>176</w:t>
            </w:r>
          </w:hyperlink>
        </w:p>
        <w:p>
          <w:pPr>
            <w:pStyle w:val="Contents6"/>
            <w:tabs>
              <w:tab w:val="clear" w:pos="7609"/>
              <w:tab w:val="right" w:pos="9026" w:leader="dot"/>
            </w:tabs>
            <w:rPr/>
          </w:pPr>
          <w:hyperlink w:anchor="__RefHeading___Toc3360090_2314609296">
            <w:r>
              <w:rPr>
                <w:webHidden/>
                <w:rStyle w:val="IndexLink"/>
                <w:rtl w:val="true"/>
              </w:rPr>
              <w:t>أمّا المقام الأول</w:t>
            </w:r>
            <w:r>
              <w:rPr>
                <w:rStyle w:val="IndexLink"/>
                <w:rtl w:val="true"/>
              </w:rPr>
              <w:t>:</w:t>
              <w:tab/>
            </w:r>
            <w:r>
              <w:rPr>
                <w:rStyle w:val="IndexLink"/>
              </w:rPr>
              <w:t>182</w:t>
            </w:r>
          </w:hyperlink>
        </w:p>
        <w:p>
          <w:pPr>
            <w:pStyle w:val="Contents6"/>
            <w:tabs>
              <w:tab w:val="clear" w:pos="7609"/>
              <w:tab w:val="right" w:pos="9026" w:leader="dot"/>
            </w:tabs>
            <w:rPr/>
          </w:pPr>
          <w:hyperlink w:anchor="__RefHeading___Toc3360092_2314609296">
            <w:r>
              <w:rPr>
                <w:webHidden/>
                <w:rStyle w:val="IndexLink"/>
                <w:rtl w:val="true"/>
              </w:rPr>
              <w:t>المقام الثاني</w:t>
            </w:r>
            <w:r>
              <w:rPr>
                <w:rStyle w:val="IndexLink"/>
                <w:rtl w:val="true"/>
              </w:rPr>
              <w:t>:</w:t>
              <w:tab/>
            </w:r>
            <w:r>
              <w:rPr>
                <w:rStyle w:val="IndexLink"/>
              </w:rPr>
              <w:t>183</w:t>
            </w:r>
          </w:hyperlink>
        </w:p>
        <w:p>
          <w:pPr>
            <w:pStyle w:val="Contents6"/>
            <w:tabs>
              <w:tab w:val="clear" w:pos="7609"/>
              <w:tab w:val="right" w:pos="9026" w:leader="dot"/>
            </w:tabs>
            <w:rPr/>
          </w:pPr>
          <w:hyperlink w:anchor="__RefHeading___Toc3360094_2314609296">
            <w:r>
              <w:rPr>
                <w:webHidden/>
                <w:rStyle w:val="IndexLink"/>
                <w:rtl w:val="true"/>
              </w:rPr>
              <w:t>بقي الكلام في حكم الصلاة في السفينة في حال سيرها</w:t>
            </w:r>
            <w:r>
              <w:rPr>
                <w:rStyle w:val="IndexLink"/>
                <w:rtl w:val="true"/>
              </w:rPr>
              <w:tab/>
            </w:r>
            <w:r>
              <w:rPr>
                <w:rStyle w:val="IndexLink"/>
              </w:rPr>
              <w:t>186</w:t>
            </w:r>
          </w:hyperlink>
        </w:p>
        <w:p>
          <w:pPr>
            <w:pStyle w:val="Contents5"/>
            <w:tabs>
              <w:tab w:val="clear" w:pos="7892"/>
              <w:tab w:val="right" w:pos="9026" w:leader="dot"/>
            </w:tabs>
            <w:rPr/>
          </w:pPr>
          <w:hyperlink w:anchor="__RefHeading___Toc3360096_2314609296">
            <w:r>
              <w:rPr>
                <w:webHidden/>
                <w:rStyle w:val="IndexLink"/>
                <w:rtl w:val="true"/>
              </w:rPr>
              <w:t>المبحث الرابع في الخلل الواقع في القبلة</w:t>
            </w:r>
            <w:r>
              <w:rPr>
                <w:rStyle w:val="IndexLink"/>
                <w:rtl w:val="true"/>
              </w:rPr>
              <w:t>:</w:t>
              <w:tab/>
            </w:r>
            <w:r>
              <w:rPr>
                <w:rStyle w:val="IndexLink"/>
              </w:rPr>
              <w:t>194</w:t>
            </w:r>
          </w:hyperlink>
        </w:p>
        <w:p>
          <w:pPr>
            <w:pStyle w:val="Contents6"/>
            <w:tabs>
              <w:tab w:val="clear" w:pos="7609"/>
              <w:tab w:val="right" w:pos="9026" w:leader="dot"/>
            </w:tabs>
            <w:rPr/>
          </w:pPr>
          <w:hyperlink w:anchor="__RefHeading___Toc3360098_2314609296">
            <w:r>
              <w:rPr>
                <w:webHidden/>
                <w:rStyle w:val="IndexLink"/>
                <w:rtl w:val="true"/>
              </w:rPr>
              <w:t>اشارة</w:t>
            </w:r>
            <w:r>
              <w:rPr>
                <w:rStyle w:val="IndexLink"/>
                <w:rtl w:val="true"/>
              </w:rPr>
              <w:tab/>
            </w:r>
            <w:r>
              <w:rPr>
                <w:rStyle w:val="IndexLink"/>
              </w:rPr>
              <w:t>194</w:t>
            </w:r>
          </w:hyperlink>
        </w:p>
        <w:p>
          <w:pPr>
            <w:pStyle w:val="Contents6"/>
            <w:tabs>
              <w:tab w:val="clear" w:pos="7609"/>
              <w:tab w:val="right" w:pos="9026" w:leader="dot"/>
            </w:tabs>
            <w:rPr/>
          </w:pPr>
          <w:hyperlink w:anchor="__RefHeading___Toc3360100_2314609296">
            <w:r>
              <w:rPr>
                <w:webHidden/>
                <w:rStyle w:val="IndexLink"/>
                <w:rtl w:val="true"/>
              </w:rPr>
              <w:t>الأخبار الواردة في المقام و هي على طوائف ثلاث</w:t>
            </w:r>
            <w:r>
              <w:rPr>
                <w:rStyle w:val="IndexLink"/>
                <w:rtl w:val="true"/>
              </w:rPr>
              <w:t>:</w:t>
              <w:tab/>
            </w:r>
            <w:r>
              <w:rPr>
                <w:rStyle w:val="IndexLink"/>
              </w:rPr>
              <w:t>196</w:t>
            </w:r>
          </w:hyperlink>
        </w:p>
        <w:p>
          <w:pPr>
            <w:pStyle w:val="Contents6"/>
            <w:tabs>
              <w:tab w:val="clear" w:pos="7609"/>
              <w:tab w:val="right" w:pos="9026" w:leader="dot"/>
            </w:tabs>
            <w:rPr/>
          </w:pPr>
          <w:hyperlink w:anchor="__RefHeading___Toc3360102_2314609296">
            <w:r>
              <w:rPr>
                <w:webHidden/>
                <w:rStyle w:val="IndexLink"/>
                <w:rtl w:val="true"/>
              </w:rPr>
              <w:t>منها</w:t>
            </w:r>
            <w:r>
              <w:rPr>
                <w:rStyle w:val="IndexLink"/>
                <w:rtl w:val="true"/>
              </w:rPr>
              <w:t xml:space="preserve">: </w:t>
            </w:r>
            <w:r>
              <w:rPr>
                <w:rStyle w:val="IndexLink"/>
                <w:rtl w:val="true"/>
              </w:rPr>
              <w:t>ما دلّ على عدم وجوب الإعادة لا في الوقت و لا في خارجه</w:t>
            </w:r>
            <w:r>
              <w:rPr>
                <w:rStyle w:val="IndexLink"/>
                <w:rtl w:val="true"/>
              </w:rPr>
              <w:tab/>
            </w:r>
            <w:r>
              <w:rPr>
                <w:rStyle w:val="IndexLink"/>
              </w:rPr>
              <w:t>196</w:t>
            </w:r>
          </w:hyperlink>
        </w:p>
        <w:p>
          <w:pPr>
            <w:pStyle w:val="Contents6"/>
            <w:tabs>
              <w:tab w:val="clear" w:pos="7609"/>
              <w:tab w:val="right" w:pos="9026" w:leader="dot"/>
            </w:tabs>
            <w:rPr/>
          </w:pPr>
          <w:hyperlink w:anchor="__RefHeading___Toc3360104_2314609296">
            <w:r>
              <w:rPr>
                <w:webHidden/>
                <w:rStyle w:val="IndexLink"/>
                <w:rtl w:val="true"/>
              </w:rPr>
              <w:t>الطائفة الثانية</w:t>
            </w:r>
            <w:r>
              <w:rPr>
                <w:rStyle w:val="IndexLink"/>
                <w:rtl w:val="true"/>
              </w:rPr>
              <w:t xml:space="preserve">: </w:t>
            </w:r>
            <w:r>
              <w:rPr>
                <w:rStyle w:val="IndexLink"/>
                <w:rtl w:val="true"/>
              </w:rPr>
              <w:t>من الأخبار</w:t>
            </w:r>
            <w:r>
              <w:rPr>
                <w:rStyle w:val="IndexLink"/>
                <w:rtl w:val="true"/>
              </w:rPr>
              <w:tab/>
            </w:r>
            <w:r>
              <w:rPr>
                <w:rStyle w:val="IndexLink"/>
              </w:rPr>
              <w:t>199</w:t>
            </w:r>
          </w:hyperlink>
        </w:p>
        <w:p>
          <w:pPr>
            <w:pStyle w:val="Contents6"/>
            <w:tabs>
              <w:tab w:val="clear" w:pos="7609"/>
              <w:tab w:val="right" w:pos="9026" w:leader="dot"/>
            </w:tabs>
            <w:rPr/>
          </w:pPr>
          <w:hyperlink w:anchor="__RefHeading___Toc3360106_2314609296">
            <w:r>
              <w:rPr>
                <w:webHidden/>
                <w:rStyle w:val="IndexLink"/>
                <w:rtl w:val="true"/>
              </w:rPr>
              <w:t>الطائفة الثالثة</w:t>
            </w:r>
            <w:r>
              <w:rPr>
                <w:rStyle w:val="IndexLink"/>
                <w:rtl w:val="true"/>
              </w:rPr>
              <w:t>:</w:t>
              <w:tab/>
            </w:r>
            <w:r>
              <w:rPr>
                <w:rStyle w:val="IndexLink"/>
              </w:rPr>
              <w:t>200</w:t>
            </w:r>
          </w:hyperlink>
        </w:p>
        <w:p>
          <w:pPr>
            <w:pStyle w:val="Contents6"/>
            <w:tabs>
              <w:tab w:val="clear" w:pos="7609"/>
              <w:tab w:val="right" w:pos="9026" w:leader="dot"/>
            </w:tabs>
            <w:rPr/>
          </w:pPr>
          <w:hyperlink w:anchor="__RefHeading___Toc3360108_2314609296">
            <w:r>
              <w:rPr>
                <w:webHidden/>
                <w:rStyle w:val="IndexLink"/>
                <w:rtl w:val="true"/>
              </w:rPr>
              <w:t>الاستدلال على بطلان الصلاة الواقعة على دبر القبلة بالأخبار الدالّة على بطلان الصلاة عند الالتفات إلى ما وراء القبلة في أثناء الصلاة يتوقّف على أمور</w:t>
            </w:r>
            <w:r>
              <w:rPr>
                <w:rStyle w:val="IndexLink"/>
                <w:rtl w:val="true"/>
              </w:rPr>
              <w:t>:</w:t>
              <w:tab/>
            </w:r>
            <w:r>
              <w:rPr>
                <w:rStyle w:val="IndexLink"/>
              </w:rPr>
              <w:t>201</w:t>
            </w:r>
          </w:hyperlink>
        </w:p>
        <w:p>
          <w:pPr>
            <w:pStyle w:val="Contents6"/>
            <w:tabs>
              <w:tab w:val="clear" w:pos="7609"/>
              <w:tab w:val="right" w:pos="9026" w:leader="dot"/>
            </w:tabs>
            <w:rPr/>
          </w:pPr>
          <w:hyperlink w:anchor="__RefHeading___Toc3360110_2314609296">
            <w:r>
              <w:rPr>
                <w:webHidden/>
                <w:rStyle w:val="IndexLink"/>
                <w:rtl w:val="true"/>
              </w:rPr>
              <w:t>الأول</w:t>
            </w:r>
            <w:r>
              <w:rPr>
                <w:rStyle w:val="IndexLink"/>
                <w:rtl w:val="true"/>
              </w:rPr>
              <w:t xml:space="preserve">: </w:t>
            </w:r>
            <w:r>
              <w:rPr>
                <w:rStyle w:val="IndexLink"/>
                <w:rtl w:val="true"/>
              </w:rPr>
              <w:t>أنّ أخبار الباب الدالّة على أنّ من صلّى إلى غير القبلة يعيد في الوقت</w:t>
            </w:r>
            <w:r>
              <w:rPr>
                <w:rStyle w:val="IndexLink"/>
                <w:rtl w:val="true"/>
              </w:rPr>
              <w:tab/>
            </w:r>
            <w:r>
              <w:rPr>
                <w:rStyle w:val="IndexLink"/>
              </w:rPr>
              <w:t>201</w:t>
            </w:r>
          </w:hyperlink>
        </w:p>
        <w:p>
          <w:pPr>
            <w:pStyle w:val="Contents6"/>
            <w:tabs>
              <w:tab w:val="clear" w:pos="7609"/>
              <w:tab w:val="right" w:pos="9026" w:leader="dot"/>
            </w:tabs>
            <w:rPr/>
          </w:pPr>
          <w:hyperlink w:anchor="__RefHeading___Toc3360112_2314609296">
            <w:r>
              <w:rPr>
                <w:webHidden/>
                <w:rStyle w:val="IndexLink"/>
                <w:rtl w:val="true"/>
              </w:rPr>
              <w:t>الأمر الثاني</w:t>
            </w:r>
            <w:r>
              <w:rPr>
                <w:rStyle w:val="IndexLink"/>
                <w:rtl w:val="true"/>
              </w:rPr>
              <w:t xml:space="preserve">: </w:t>
            </w:r>
            <w:r>
              <w:rPr>
                <w:rStyle w:val="IndexLink"/>
                <w:rtl w:val="true"/>
              </w:rPr>
              <w:t>أنّه لا إشكال في صدق الصلاة على غير القبلة</w:t>
            </w:r>
            <w:r>
              <w:rPr>
                <w:rStyle w:val="IndexLink"/>
                <w:rtl w:val="true"/>
              </w:rPr>
              <w:tab/>
            </w:r>
            <w:r>
              <w:rPr>
                <w:rStyle w:val="IndexLink"/>
              </w:rPr>
              <w:t>202</w:t>
            </w:r>
          </w:hyperlink>
        </w:p>
        <w:p>
          <w:pPr>
            <w:pStyle w:val="Contents6"/>
            <w:tabs>
              <w:tab w:val="clear" w:pos="7609"/>
              <w:tab w:val="right" w:pos="9026" w:leader="dot"/>
            </w:tabs>
            <w:rPr/>
          </w:pPr>
          <w:hyperlink w:anchor="__RefHeading___Toc3360114_2314609296">
            <w:r>
              <w:rPr>
                <w:webHidden/>
                <w:rStyle w:val="IndexLink"/>
                <w:rtl w:val="true"/>
              </w:rPr>
              <w:t>الأمر الثالث</w:t>
            </w:r>
            <w:r>
              <w:rPr>
                <w:rStyle w:val="IndexLink"/>
                <w:rtl w:val="true"/>
              </w:rPr>
              <w:t>:</w:t>
              <w:tab/>
            </w:r>
            <w:r>
              <w:rPr>
                <w:rStyle w:val="IndexLink"/>
              </w:rPr>
              <w:t>202</w:t>
            </w:r>
          </w:hyperlink>
        </w:p>
        <w:p>
          <w:pPr>
            <w:pStyle w:val="Contents6"/>
            <w:tabs>
              <w:tab w:val="clear" w:pos="7609"/>
              <w:tab w:val="right" w:pos="9026" w:leader="dot"/>
            </w:tabs>
            <w:rPr/>
          </w:pPr>
          <w:hyperlink w:anchor="__RefHeading___Toc3360116_2314609296">
            <w:r>
              <w:rPr>
                <w:webHidden/>
                <w:rStyle w:val="IndexLink"/>
                <w:rtl w:val="true"/>
              </w:rPr>
              <w:t>الأمر الرابع</w:t>
            </w:r>
            <w:r>
              <w:rPr>
                <w:rStyle w:val="IndexLink"/>
                <w:rtl w:val="true"/>
              </w:rPr>
              <w:t>:</w:t>
              <w:tab/>
            </w:r>
            <w:r>
              <w:rPr>
                <w:rStyle w:val="IndexLink"/>
              </w:rPr>
              <w:t>202</w:t>
            </w:r>
          </w:hyperlink>
        </w:p>
        <w:p>
          <w:pPr>
            <w:pStyle w:val="Contents6"/>
            <w:tabs>
              <w:tab w:val="clear" w:pos="7609"/>
              <w:tab w:val="right" w:pos="9026" w:leader="dot"/>
            </w:tabs>
            <w:rPr/>
          </w:pPr>
          <w:hyperlink w:anchor="__RefHeading___Toc3360118_2314609296">
            <w:r>
              <w:rPr>
                <w:webHidden/>
                <w:rStyle w:val="IndexLink"/>
                <w:rtl w:val="true"/>
              </w:rPr>
              <w:t>بقي الكلام في معنى الاستدبار الموجب لبطلان الصلاة مطلقا</w:t>
            </w:r>
            <w:r>
              <w:rPr>
                <w:rStyle w:val="IndexLink"/>
                <w:rtl w:val="true"/>
              </w:rPr>
              <w:tab/>
            </w:r>
            <w:r>
              <w:rPr>
                <w:rStyle w:val="IndexLink"/>
              </w:rPr>
              <w:t>209</w:t>
            </w:r>
          </w:hyperlink>
        </w:p>
        <w:p>
          <w:pPr>
            <w:pStyle w:val="Contents6"/>
            <w:tabs>
              <w:tab w:val="clear" w:pos="7609"/>
              <w:tab w:val="right" w:pos="9026" w:leader="dot"/>
            </w:tabs>
            <w:rPr/>
          </w:pPr>
          <w:hyperlink w:anchor="__RefHeading___Toc3360120_2314609296">
            <w:r>
              <w:rPr>
                <w:webHidden/>
                <w:rStyle w:val="IndexLink"/>
                <w:rtl w:val="true"/>
              </w:rPr>
              <w:t>بقي الكلام في بعض الفروع التي تعرض لها في الشرائع،</w:t>
            </w:r>
            <w:r>
              <w:rPr>
                <w:rStyle w:val="IndexLink"/>
                <w:rtl w:val="true"/>
              </w:rPr>
              <w:tab/>
            </w:r>
            <w:r>
              <w:rPr>
                <w:rStyle w:val="IndexLink"/>
              </w:rPr>
              <w:t>210</w:t>
            </w:r>
          </w:hyperlink>
        </w:p>
        <w:p>
          <w:pPr>
            <w:pStyle w:val="Contents4"/>
            <w:tabs>
              <w:tab w:val="clear" w:pos="8176"/>
              <w:tab w:val="right" w:pos="9026" w:leader="dot"/>
            </w:tabs>
            <w:rPr/>
          </w:pPr>
          <w:hyperlink w:anchor="__RefHeading___Toc3360122_2314609296">
            <w:r>
              <w:rPr>
                <w:webHidden/>
                <w:rStyle w:val="IndexLink"/>
                <w:rtl w:val="true"/>
              </w:rPr>
              <w:t>[</w:t>
            </w:r>
            <w:r>
              <w:rPr>
                <w:rStyle w:val="IndexLink"/>
                <w:rtl w:val="true"/>
              </w:rPr>
              <w:t>البحث الثالث</w:t>
            </w:r>
            <w:r>
              <w:rPr>
                <w:rStyle w:val="IndexLink"/>
                <w:rtl w:val="true"/>
              </w:rPr>
              <w:t xml:space="preserve">] </w:t>
            </w:r>
            <w:r>
              <w:rPr>
                <w:rStyle w:val="IndexLink"/>
                <w:rtl w:val="true"/>
              </w:rPr>
              <w:t>لباس المصلّي و بحث المكان</w:t>
            </w:r>
            <w:r>
              <w:rPr>
                <w:rStyle w:val="IndexLink"/>
                <w:rtl w:val="true"/>
              </w:rPr>
              <w:tab/>
            </w:r>
            <w:r>
              <w:rPr>
                <w:rStyle w:val="IndexLink"/>
              </w:rPr>
              <w:t>211</w:t>
            </w:r>
          </w:hyperlink>
        </w:p>
        <w:p>
          <w:pPr>
            <w:pStyle w:val="Contents5"/>
            <w:tabs>
              <w:tab w:val="clear" w:pos="7892"/>
              <w:tab w:val="right" w:pos="9026" w:leader="dot"/>
            </w:tabs>
            <w:rPr/>
          </w:pPr>
          <w:hyperlink w:anchor="__RefHeading___Toc3360124_2314609296">
            <w:r>
              <w:rPr>
                <w:webHidden/>
                <w:rStyle w:val="IndexLink"/>
                <w:rtl w:val="true"/>
              </w:rPr>
              <w:t>القول في لباس المصلّي</w:t>
            </w:r>
            <w:r>
              <w:rPr>
                <w:rStyle w:val="IndexLink"/>
                <w:rtl w:val="true"/>
              </w:rPr>
              <w:t xml:space="preserve">: </w:t>
            </w:r>
            <w:r>
              <w:rPr>
                <w:rStyle w:val="IndexLink"/>
                <w:rtl w:val="true"/>
              </w:rPr>
              <w:t>و يعتبر فيه أمور</w:t>
            </w:r>
            <w:r>
              <w:rPr>
                <w:rStyle w:val="IndexLink"/>
                <w:rtl w:val="true"/>
              </w:rPr>
              <w:t>:</w:t>
              <w:tab/>
            </w:r>
            <w:r>
              <w:rPr>
                <w:rStyle w:val="IndexLink"/>
              </w:rPr>
              <w:t>211</w:t>
            </w:r>
          </w:hyperlink>
        </w:p>
        <w:p>
          <w:pPr>
            <w:pStyle w:val="Contents6"/>
            <w:tabs>
              <w:tab w:val="clear" w:pos="7609"/>
              <w:tab w:val="right" w:pos="9026" w:leader="dot"/>
            </w:tabs>
            <w:rPr/>
          </w:pPr>
          <w:hyperlink w:anchor="__RefHeading___Toc3360126_2314609296">
            <w:r>
              <w:rPr>
                <w:webHidden/>
                <w:rStyle w:val="IndexLink"/>
                <w:rtl w:val="true"/>
              </w:rPr>
              <w:t>الأول</w:t>
            </w:r>
            <w:r>
              <w:rPr>
                <w:rStyle w:val="IndexLink"/>
                <w:rtl w:val="true"/>
              </w:rPr>
              <w:t xml:space="preserve">: </w:t>
            </w:r>
            <w:r>
              <w:rPr>
                <w:rStyle w:val="IndexLink"/>
                <w:rtl w:val="true"/>
              </w:rPr>
              <w:t>أن لا يكون من جلد الميتة و غيره من سائر أجزائها</w:t>
            </w:r>
            <w:r>
              <w:rPr>
                <w:rStyle w:val="IndexLink"/>
                <w:rtl w:val="true"/>
              </w:rPr>
              <w:tab/>
            </w:r>
            <w:r>
              <w:rPr>
                <w:rStyle w:val="IndexLink"/>
              </w:rPr>
              <w:t>211</w:t>
            </w:r>
          </w:hyperlink>
        </w:p>
        <w:p>
          <w:pPr>
            <w:pStyle w:val="Contents6"/>
            <w:tabs>
              <w:tab w:val="clear" w:pos="7609"/>
              <w:tab w:val="right" w:pos="9026" w:leader="dot"/>
            </w:tabs>
            <w:rPr/>
          </w:pPr>
          <w:hyperlink w:anchor="__RefHeading___Toc3360128_2314609296">
            <w:r>
              <w:rPr>
                <w:webHidden/>
                <w:rStyle w:val="IndexLink"/>
                <w:rtl w:val="true"/>
              </w:rPr>
              <w:t>اشارة</w:t>
            </w:r>
            <w:r>
              <w:rPr>
                <w:rStyle w:val="IndexLink"/>
                <w:rtl w:val="true"/>
              </w:rPr>
              <w:tab/>
            </w:r>
            <w:r>
              <w:rPr>
                <w:rStyle w:val="IndexLink"/>
              </w:rPr>
              <w:t>211</w:t>
            </w:r>
          </w:hyperlink>
        </w:p>
        <w:p>
          <w:pPr>
            <w:pStyle w:val="Contents6"/>
            <w:tabs>
              <w:tab w:val="clear" w:pos="7609"/>
              <w:tab w:val="right" w:pos="9026" w:leader="dot"/>
            </w:tabs>
            <w:rPr/>
          </w:pPr>
          <w:hyperlink w:anchor="__RefHeading___Toc3360130_2314609296">
            <w:r>
              <w:rPr>
                <w:webHidden/>
                <w:rStyle w:val="IndexLink"/>
                <w:rtl w:val="true"/>
              </w:rPr>
              <w:t>يقع الكلام في مقامين</w:t>
            </w:r>
            <w:r>
              <w:rPr>
                <w:rStyle w:val="IndexLink"/>
                <w:rtl w:val="true"/>
              </w:rPr>
              <w:t>:</w:t>
              <w:tab/>
            </w:r>
            <w:r>
              <w:rPr>
                <w:rStyle w:val="IndexLink"/>
              </w:rPr>
              <w:t>211</w:t>
            </w:r>
          </w:hyperlink>
        </w:p>
        <w:p>
          <w:pPr>
            <w:pStyle w:val="Contents6"/>
            <w:tabs>
              <w:tab w:val="clear" w:pos="7609"/>
              <w:tab w:val="right" w:pos="9026" w:leader="dot"/>
            </w:tabs>
            <w:rPr/>
          </w:pPr>
          <w:hyperlink w:anchor="__RefHeading___Toc3360132_2314609296">
            <w:r>
              <w:rPr>
                <w:webHidden/>
                <w:rStyle w:val="IndexLink"/>
                <w:rtl w:val="true"/>
              </w:rPr>
              <w:t>الأول</w:t>
            </w:r>
            <w:r>
              <w:rPr>
                <w:rStyle w:val="IndexLink"/>
                <w:rtl w:val="true"/>
              </w:rPr>
              <w:t xml:space="preserve">: </w:t>
            </w:r>
            <w:r>
              <w:rPr>
                <w:rStyle w:val="IndexLink"/>
                <w:rtl w:val="true"/>
              </w:rPr>
              <w:t>في بيان الحال عند الشكّ في كون الجلد جلد ميتة</w:t>
            </w:r>
            <w:r>
              <w:rPr>
                <w:rStyle w:val="IndexLink"/>
                <w:rtl w:val="true"/>
              </w:rPr>
              <w:tab/>
            </w:r>
            <w:r>
              <w:rPr>
                <w:rStyle w:val="IndexLink"/>
              </w:rPr>
              <w:t>211</w:t>
            </w:r>
          </w:hyperlink>
        </w:p>
        <w:p>
          <w:pPr>
            <w:pStyle w:val="Contents6"/>
            <w:tabs>
              <w:tab w:val="clear" w:pos="7609"/>
              <w:tab w:val="right" w:pos="9026" w:leader="dot"/>
            </w:tabs>
            <w:rPr/>
          </w:pPr>
          <w:hyperlink w:anchor="__RefHeading___Toc3360134_2314609296">
            <w:r>
              <w:rPr>
                <w:webHidden/>
                <w:rStyle w:val="IndexLink"/>
                <w:rtl w:val="true"/>
              </w:rPr>
              <w:t>المقام الثاني</w:t>
            </w:r>
            <w:r>
              <w:rPr>
                <w:rStyle w:val="IndexLink"/>
                <w:rtl w:val="true"/>
              </w:rPr>
              <w:t xml:space="preserve">: </w:t>
            </w:r>
            <w:r>
              <w:rPr>
                <w:rStyle w:val="IndexLink"/>
                <w:rtl w:val="true"/>
              </w:rPr>
              <w:t>بعد ما تبيّن أنّ المرجع عند الشكّ في التذكية هو أصالة العدم</w:t>
            </w:r>
            <w:r>
              <w:rPr>
                <w:rStyle w:val="IndexLink"/>
                <w:rtl w:val="true"/>
              </w:rPr>
              <w:tab/>
            </w:r>
            <w:r>
              <w:rPr>
                <w:rStyle w:val="IndexLink"/>
              </w:rPr>
              <w:t>217</w:t>
            </w:r>
          </w:hyperlink>
        </w:p>
        <w:p>
          <w:pPr>
            <w:pStyle w:val="Contents6"/>
            <w:tabs>
              <w:tab w:val="clear" w:pos="7609"/>
              <w:tab w:val="right" w:pos="9026" w:leader="dot"/>
            </w:tabs>
            <w:rPr/>
          </w:pPr>
          <w:hyperlink w:anchor="__RefHeading___Toc3360136_2314609296">
            <w:r>
              <w:rPr>
                <w:webHidden/>
                <w:rStyle w:val="IndexLink"/>
                <w:rtl w:val="true"/>
              </w:rPr>
              <w:t>اشارة</w:t>
            </w:r>
            <w:r>
              <w:rPr>
                <w:rStyle w:val="IndexLink"/>
                <w:rtl w:val="true"/>
              </w:rPr>
              <w:tab/>
            </w:r>
            <w:r>
              <w:rPr>
                <w:rStyle w:val="IndexLink"/>
              </w:rPr>
              <w:t>217</w:t>
            </w:r>
          </w:hyperlink>
        </w:p>
        <w:p>
          <w:pPr>
            <w:pStyle w:val="Contents6"/>
            <w:tabs>
              <w:tab w:val="clear" w:pos="7609"/>
              <w:tab w:val="right" w:pos="9026" w:leader="dot"/>
            </w:tabs>
            <w:rPr/>
          </w:pPr>
          <w:hyperlink w:anchor="__RefHeading___Toc3360138_2314609296">
            <w:r>
              <w:rPr>
                <w:webHidden/>
                <w:rStyle w:val="IndexLink"/>
                <w:rtl w:val="true"/>
              </w:rPr>
              <w:t>في بيان ما هو المخرج عن هذا الأصل، و هو أحد أمور</w:t>
            </w:r>
            <w:r>
              <w:rPr>
                <w:rStyle w:val="IndexLink"/>
                <w:rtl w:val="true"/>
              </w:rPr>
              <w:t>:</w:t>
              <w:tab/>
            </w:r>
            <w:r>
              <w:rPr>
                <w:rStyle w:val="IndexLink"/>
              </w:rPr>
              <w:t>217</w:t>
            </w:r>
          </w:hyperlink>
        </w:p>
        <w:p>
          <w:pPr>
            <w:pStyle w:val="Contents6"/>
            <w:tabs>
              <w:tab w:val="clear" w:pos="7609"/>
              <w:tab w:val="right" w:pos="9026" w:leader="dot"/>
            </w:tabs>
            <w:rPr/>
          </w:pPr>
          <w:hyperlink w:anchor="__RefHeading___Toc3360140_2314609296">
            <w:r>
              <w:rPr>
                <w:webHidden/>
                <w:rStyle w:val="IndexLink"/>
                <w:rtl w:val="true"/>
              </w:rPr>
              <w:t>الأول</w:t>
            </w:r>
            <w:r>
              <w:rPr>
                <w:rStyle w:val="IndexLink"/>
                <w:rtl w:val="true"/>
              </w:rPr>
              <w:t xml:space="preserve">: </w:t>
            </w:r>
            <w:r>
              <w:rPr>
                <w:rStyle w:val="IndexLink"/>
                <w:rtl w:val="true"/>
              </w:rPr>
              <w:t>المأخوذ من المسلم</w:t>
            </w:r>
            <w:r>
              <w:rPr>
                <w:rStyle w:val="IndexLink"/>
                <w:rtl w:val="true"/>
              </w:rPr>
              <w:tab/>
            </w:r>
            <w:r>
              <w:rPr>
                <w:rStyle w:val="IndexLink"/>
              </w:rPr>
              <w:t>217</w:t>
            </w:r>
          </w:hyperlink>
        </w:p>
        <w:p>
          <w:pPr>
            <w:pStyle w:val="Contents6"/>
            <w:tabs>
              <w:tab w:val="clear" w:pos="7609"/>
              <w:tab w:val="right" w:pos="9026" w:leader="dot"/>
            </w:tabs>
            <w:rPr/>
          </w:pPr>
          <w:hyperlink w:anchor="__RefHeading___Toc3360142_2314609296">
            <w:r>
              <w:rPr>
                <w:webHidden/>
                <w:rStyle w:val="IndexLink"/>
                <w:rtl w:val="true"/>
              </w:rPr>
              <w:t>الأمر الثاني</w:t>
            </w:r>
            <w:r>
              <w:rPr>
                <w:rStyle w:val="IndexLink"/>
                <w:rtl w:val="true"/>
              </w:rPr>
              <w:t xml:space="preserve">: </w:t>
            </w:r>
            <w:r>
              <w:rPr>
                <w:rStyle w:val="IndexLink"/>
                <w:rtl w:val="true"/>
              </w:rPr>
              <w:t>الاشتراء من سوق المسلمين</w:t>
            </w:r>
            <w:r>
              <w:rPr>
                <w:rStyle w:val="IndexLink"/>
                <w:rtl w:val="true"/>
              </w:rPr>
              <w:tab/>
            </w:r>
            <w:r>
              <w:rPr>
                <w:rStyle w:val="IndexLink"/>
              </w:rPr>
              <w:t>218</w:t>
            </w:r>
          </w:hyperlink>
        </w:p>
        <w:p>
          <w:pPr>
            <w:pStyle w:val="Contents6"/>
            <w:tabs>
              <w:tab w:val="clear" w:pos="7609"/>
              <w:tab w:val="right" w:pos="9026" w:leader="dot"/>
            </w:tabs>
            <w:rPr/>
          </w:pPr>
          <w:hyperlink w:anchor="__RefHeading___Toc3360144_2314609296">
            <w:r>
              <w:rPr>
                <w:webHidden/>
                <w:rStyle w:val="IndexLink"/>
                <w:rtl w:val="true"/>
              </w:rPr>
              <w:t>الأمر الثالث</w:t>
            </w:r>
            <w:r>
              <w:rPr>
                <w:rStyle w:val="IndexLink"/>
                <w:rtl w:val="true"/>
              </w:rPr>
              <w:t xml:space="preserve">: </w:t>
            </w:r>
            <w:r>
              <w:rPr>
                <w:rStyle w:val="IndexLink"/>
                <w:rtl w:val="true"/>
              </w:rPr>
              <w:t>ما إذا كان الجلد أو غيره من أجزاء الحيوان مطروحا في أرض الإسلام</w:t>
            </w:r>
            <w:r>
              <w:rPr>
                <w:rStyle w:val="IndexLink"/>
                <w:rtl w:val="true"/>
              </w:rPr>
              <w:t>.</w:t>
              <w:tab/>
            </w:r>
            <w:r>
              <w:rPr>
                <w:rStyle w:val="IndexLink"/>
              </w:rPr>
              <w:t>218</w:t>
            </w:r>
          </w:hyperlink>
        </w:p>
        <w:p>
          <w:pPr>
            <w:pStyle w:val="Contents6"/>
            <w:tabs>
              <w:tab w:val="clear" w:pos="7609"/>
              <w:tab w:val="right" w:pos="9026" w:leader="dot"/>
            </w:tabs>
            <w:rPr/>
          </w:pPr>
          <w:hyperlink w:anchor="__RefHeading___Toc3360146_2314609296">
            <w:r>
              <w:rPr>
                <w:webHidden/>
                <w:rStyle w:val="IndexLink"/>
                <w:rtl w:val="true"/>
              </w:rPr>
              <w:t>بقي في المقام أمور ينبغي التنبيه عليها</w:t>
            </w:r>
            <w:r>
              <w:rPr>
                <w:rStyle w:val="IndexLink"/>
                <w:rtl w:val="true"/>
              </w:rPr>
              <w:t>.</w:t>
              <w:tab/>
            </w:r>
            <w:r>
              <w:rPr>
                <w:rStyle w:val="IndexLink"/>
              </w:rPr>
              <w:t>223</w:t>
            </w:r>
          </w:hyperlink>
        </w:p>
        <w:p>
          <w:pPr>
            <w:pStyle w:val="Contents6"/>
            <w:tabs>
              <w:tab w:val="clear" w:pos="7609"/>
              <w:tab w:val="right" w:pos="9026" w:leader="dot"/>
            </w:tabs>
            <w:rPr/>
          </w:pPr>
          <w:hyperlink w:anchor="__RefHeading___Toc3360148_2314609296">
            <w:r>
              <w:rPr>
                <w:webHidden/>
                <w:rStyle w:val="IndexLink"/>
                <w:rtl w:val="true"/>
              </w:rPr>
              <w:t>الأول</w:t>
            </w:r>
            <w:r>
              <w:rPr>
                <w:rStyle w:val="IndexLink"/>
                <w:rtl w:val="true"/>
              </w:rPr>
              <w:t xml:space="preserve">: </w:t>
            </w:r>
            <w:r>
              <w:rPr>
                <w:rStyle w:val="IndexLink"/>
                <w:rtl w:val="true"/>
              </w:rPr>
              <w:t>في أنّه هل يد الكافر أمارة على عدم التذكية</w:t>
            </w:r>
            <w:r>
              <w:rPr>
                <w:rStyle w:val="IndexLink"/>
                <w:rtl w:val="true"/>
              </w:rPr>
              <w:tab/>
            </w:r>
            <w:r>
              <w:rPr>
                <w:rStyle w:val="IndexLink"/>
              </w:rPr>
              <w:t>223</w:t>
            </w:r>
          </w:hyperlink>
        </w:p>
        <w:p>
          <w:pPr>
            <w:pStyle w:val="Contents6"/>
            <w:tabs>
              <w:tab w:val="clear" w:pos="7609"/>
              <w:tab w:val="right" w:pos="9026" w:leader="dot"/>
            </w:tabs>
            <w:rPr/>
          </w:pPr>
          <w:hyperlink w:anchor="__RefHeading___Toc3360150_2314609296">
            <w:r>
              <w:rPr>
                <w:webHidden/>
                <w:rStyle w:val="IndexLink"/>
                <w:rtl w:val="true"/>
              </w:rPr>
              <w:t>الأمر الثاني</w:t>
            </w:r>
            <w:r>
              <w:rPr>
                <w:rStyle w:val="IndexLink"/>
                <w:rtl w:val="true"/>
              </w:rPr>
              <w:t xml:space="preserve">: </w:t>
            </w:r>
            <w:r>
              <w:rPr>
                <w:rStyle w:val="IndexLink"/>
                <w:rtl w:val="true"/>
              </w:rPr>
              <w:t>في أنّ أمارية يد المسلم على التذكية هل مطلقة</w:t>
            </w:r>
            <w:r>
              <w:rPr>
                <w:rStyle w:val="IndexLink"/>
                <w:rtl w:val="true"/>
              </w:rPr>
              <w:tab/>
            </w:r>
            <w:r>
              <w:rPr>
                <w:rStyle w:val="IndexLink"/>
              </w:rPr>
              <w:t>224</w:t>
            </w:r>
          </w:hyperlink>
        </w:p>
        <w:p>
          <w:pPr>
            <w:pStyle w:val="Contents6"/>
            <w:tabs>
              <w:tab w:val="clear" w:pos="7609"/>
              <w:tab w:val="right" w:pos="9026" w:leader="dot"/>
            </w:tabs>
            <w:rPr/>
          </w:pPr>
          <w:hyperlink w:anchor="__RefHeading___Toc3360152_2314609296">
            <w:r>
              <w:rPr>
                <w:webHidden/>
                <w:rStyle w:val="IndexLink"/>
                <w:rtl w:val="true"/>
              </w:rPr>
              <w:t>الأمر الثالث</w:t>
            </w:r>
            <w:r>
              <w:rPr>
                <w:rStyle w:val="IndexLink"/>
                <w:rtl w:val="true"/>
              </w:rPr>
              <w:t xml:space="preserve">: </w:t>
            </w:r>
            <w:r>
              <w:rPr>
                <w:rStyle w:val="IndexLink"/>
                <w:rtl w:val="true"/>
              </w:rPr>
              <w:t>هل يعتبر في أمارية يد المسلم أن يكون المسلم مستعملا للجلد أو غيره</w:t>
            </w:r>
            <w:r>
              <w:rPr>
                <w:rStyle w:val="IndexLink"/>
                <w:rtl w:val="true"/>
              </w:rPr>
              <w:tab/>
            </w:r>
            <w:r>
              <w:rPr>
                <w:rStyle w:val="IndexLink"/>
              </w:rPr>
              <w:t>227</w:t>
            </w:r>
          </w:hyperlink>
        </w:p>
        <w:p>
          <w:pPr>
            <w:pStyle w:val="Contents6"/>
            <w:tabs>
              <w:tab w:val="clear" w:pos="7609"/>
              <w:tab w:val="right" w:pos="9026" w:leader="dot"/>
            </w:tabs>
            <w:rPr/>
          </w:pPr>
          <w:hyperlink w:anchor="__RefHeading___Toc3360154_2314609296">
            <w:r>
              <w:rPr>
                <w:webHidden/>
                <w:rStyle w:val="IndexLink"/>
                <w:rtl w:val="true"/>
              </w:rPr>
              <w:t>الأمر الرابع</w:t>
            </w:r>
            <w:r>
              <w:rPr>
                <w:rStyle w:val="IndexLink"/>
                <w:rtl w:val="true"/>
              </w:rPr>
              <w:t xml:space="preserve">: </w:t>
            </w:r>
            <w:r>
              <w:rPr>
                <w:rStyle w:val="IndexLink"/>
                <w:rtl w:val="true"/>
              </w:rPr>
              <w:t>لو كان الشي‌ء مسبوقا بيد المسلم و لو كان الآن بيد الكافر</w:t>
            </w:r>
            <w:r>
              <w:rPr>
                <w:rStyle w:val="IndexLink"/>
                <w:rtl w:val="true"/>
              </w:rPr>
              <w:tab/>
            </w:r>
            <w:r>
              <w:rPr>
                <w:rStyle w:val="IndexLink"/>
              </w:rPr>
              <w:t>228</w:t>
            </w:r>
          </w:hyperlink>
        </w:p>
        <w:p>
          <w:pPr>
            <w:pStyle w:val="Contents6"/>
            <w:tabs>
              <w:tab w:val="clear" w:pos="7609"/>
              <w:tab w:val="right" w:pos="9026" w:leader="dot"/>
            </w:tabs>
            <w:rPr/>
          </w:pPr>
          <w:hyperlink w:anchor="__RefHeading___Toc3360156_2314609296">
            <w:r>
              <w:rPr>
                <w:webHidden/>
                <w:rStyle w:val="IndexLink"/>
                <w:rtl w:val="true"/>
              </w:rPr>
              <w:t>الأمر الخامس</w:t>
            </w:r>
            <w:r>
              <w:rPr>
                <w:rStyle w:val="IndexLink"/>
                <w:rtl w:val="true"/>
              </w:rPr>
              <w:t xml:space="preserve">: </w:t>
            </w:r>
            <w:r>
              <w:rPr>
                <w:rStyle w:val="IndexLink"/>
                <w:rtl w:val="true"/>
              </w:rPr>
              <w:t>في أنّ المنع عن الصلاة في الميتة هل يعمّ جميع أقسام الميتة</w:t>
            </w:r>
            <w:r>
              <w:rPr>
                <w:rStyle w:val="IndexLink"/>
                <w:rtl w:val="true"/>
              </w:rPr>
              <w:tab/>
            </w:r>
            <w:r>
              <w:rPr>
                <w:rStyle w:val="IndexLink"/>
              </w:rPr>
              <w:t>229</w:t>
            </w:r>
          </w:hyperlink>
        </w:p>
        <w:p>
          <w:pPr>
            <w:pStyle w:val="Contents6"/>
            <w:tabs>
              <w:tab w:val="clear" w:pos="7609"/>
              <w:tab w:val="right" w:pos="9026" w:leader="dot"/>
            </w:tabs>
            <w:rPr/>
          </w:pPr>
          <w:hyperlink w:anchor="__RefHeading___Toc3360158_2314609296">
            <w:r>
              <w:rPr>
                <w:webHidden/>
                <w:rStyle w:val="IndexLink"/>
                <w:rtl w:val="true"/>
              </w:rPr>
              <w:t>الأمر السادس</w:t>
            </w:r>
            <w:r>
              <w:rPr>
                <w:rStyle w:val="IndexLink"/>
                <w:rtl w:val="true"/>
              </w:rPr>
              <w:t xml:space="preserve">: </w:t>
            </w:r>
            <w:r>
              <w:rPr>
                <w:rStyle w:val="IndexLink"/>
                <w:rtl w:val="true"/>
              </w:rPr>
              <w:t>في أنّه هل يشترط في أمارية يد المسلم على التذكية كونه غير مستحلّ للميتة بالدبغ، أو لا يشترط ذلك؟</w:t>
            </w:r>
            <w:r>
              <w:rPr>
                <w:rStyle w:val="IndexLink"/>
                <w:rtl w:val="true"/>
              </w:rPr>
              <w:tab/>
            </w:r>
            <w:r>
              <w:rPr>
                <w:rStyle w:val="IndexLink"/>
              </w:rPr>
              <w:t>231</w:t>
            </w:r>
          </w:hyperlink>
        </w:p>
        <w:p>
          <w:pPr>
            <w:pStyle w:val="Contents6"/>
            <w:tabs>
              <w:tab w:val="clear" w:pos="7609"/>
              <w:tab w:val="right" w:pos="9026" w:leader="dot"/>
            </w:tabs>
            <w:rPr/>
          </w:pPr>
          <w:hyperlink w:anchor="__RefHeading___Toc3360160_2314609296">
            <w:r>
              <w:rPr>
                <w:webHidden/>
                <w:rStyle w:val="IndexLink"/>
                <w:rtl w:val="true"/>
              </w:rPr>
              <w:t>الأمر السابع</w:t>
            </w:r>
            <w:r>
              <w:rPr>
                <w:rStyle w:val="IndexLink"/>
                <w:rtl w:val="true"/>
              </w:rPr>
              <w:t xml:space="preserve">: </w:t>
            </w:r>
            <w:r>
              <w:rPr>
                <w:rStyle w:val="IndexLink"/>
                <w:rtl w:val="true"/>
              </w:rPr>
              <w:t>مقتضى إطلاق الأدلّة هو عدم جواز الصلاة في الميتة مطلقا،</w:t>
            </w:r>
            <w:r>
              <w:rPr>
                <w:rStyle w:val="IndexLink"/>
                <w:rtl w:val="true"/>
              </w:rPr>
              <w:tab/>
            </w:r>
            <w:r>
              <w:rPr>
                <w:rStyle w:val="IndexLink"/>
              </w:rPr>
              <w:t>234</w:t>
            </w:r>
          </w:hyperlink>
        </w:p>
        <w:p>
          <w:pPr>
            <w:pStyle w:val="Contents6"/>
            <w:tabs>
              <w:tab w:val="clear" w:pos="7609"/>
              <w:tab w:val="right" w:pos="9026" w:leader="dot"/>
            </w:tabs>
            <w:rPr/>
          </w:pPr>
          <w:hyperlink w:anchor="__RefHeading___Toc3360162_2314609296">
            <w:r>
              <w:rPr>
                <w:webHidden/>
                <w:rStyle w:val="IndexLink"/>
                <w:rtl w:val="true"/>
              </w:rPr>
              <w:t>الأمر الثاني</w:t>
            </w:r>
            <w:r>
              <w:rPr>
                <w:rStyle w:val="IndexLink"/>
                <w:rtl w:val="true"/>
              </w:rPr>
              <w:t xml:space="preserve">: </w:t>
            </w:r>
            <w:r>
              <w:rPr>
                <w:rStyle w:val="IndexLink"/>
                <w:rtl w:val="true"/>
              </w:rPr>
              <w:t>أن لا يكون من أجزاء غير مأكول اللّحم و إن ذكّي و كان قابلا للتذكية</w:t>
            </w:r>
            <w:r>
              <w:rPr>
                <w:rStyle w:val="IndexLink"/>
                <w:rtl w:val="true"/>
              </w:rPr>
              <w:tab/>
            </w:r>
            <w:r>
              <w:rPr>
                <w:rStyle w:val="IndexLink"/>
              </w:rPr>
              <w:t>235</w:t>
            </w:r>
          </w:hyperlink>
        </w:p>
        <w:p>
          <w:pPr>
            <w:pStyle w:val="Contents6"/>
            <w:tabs>
              <w:tab w:val="clear" w:pos="7609"/>
              <w:tab w:val="right" w:pos="9026" w:leader="dot"/>
            </w:tabs>
            <w:rPr/>
          </w:pPr>
          <w:hyperlink w:anchor="__RefHeading___Toc3360164_2314609296">
            <w:r>
              <w:rPr>
                <w:webHidden/>
                <w:rStyle w:val="IndexLink"/>
                <w:rtl w:val="true"/>
              </w:rPr>
              <w:t>اشارة</w:t>
            </w:r>
            <w:r>
              <w:rPr>
                <w:rStyle w:val="IndexLink"/>
                <w:rtl w:val="true"/>
              </w:rPr>
              <w:tab/>
            </w:r>
            <w:r>
              <w:rPr>
                <w:rStyle w:val="IndexLink"/>
              </w:rPr>
              <w:t>235</w:t>
            </w:r>
          </w:hyperlink>
        </w:p>
        <w:p>
          <w:pPr>
            <w:pStyle w:val="Contents6"/>
            <w:tabs>
              <w:tab w:val="clear" w:pos="7609"/>
              <w:tab w:val="right" w:pos="9026" w:leader="dot"/>
            </w:tabs>
            <w:rPr/>
          </w:pPr>
          <w:hyperlink w:anchor="__RefHeading___Toc3360166_2314609296">
            <w:r>
              <w:rPr>
                <w:webHidden/>
                <w:rStyle w:val="IndexLink"/>
                <w:rtl w:val="true"/>
              </w:rPr>
              <w:t>و تنقيح البحث عن ذلك يستدعي رسم أمور</w:t>
            </w:r>
            <w:r>
              <w:rPr>
                <w:rStyle w:val="IndexLink"/>
                <w:rtl w:val="true"/>
              </w:rPr>
              <w:t>:</w:t>
              <w:tab/>
            </w:r>
            <w:r>
              <w:rPr>
                <w:rStyle w:val="IndexLink"/>
              </w:rPr>
              <w:t>236</w:t>
            </w:r>
          </w:hyperlink>
        </w:p>
        <w:p>
          <w:pPr>
            <w:pStyle w:val="Contents6"/>
            <w:tabs>
              <w:tab w:val="clear" w:pos="7609"/>
              <w:tab w:val="right" w:pos="9026" w:leader="dot"/>
            </w:tabs>
            <w:rPr/>
          </w:pPr>
          <w:hyperlink w:anchor="__RefHeading___Toc3360168_2314609296">
            <w:r>
              <w:rPr>
                <w:webHidden/>
                <w:rStyle w:val="IndexLink"/>
                <w:rtl w:val="true"/>
              </w:rPr>
              <w:t>الأول</w:t>
            </w:r>
            <w:r>
              <w:rPr>
                <w:rStyle w:val="IndexLink"/>
                <w:rtl w:val="true"/>
              </w:rPr>
              <w:t xml:space="preserve">: </w:t>
            </w:r>
            <w:r>
              <w:rPr>
                <w:rStyle w:val="IndexLink"/>
                <w:rtl w:val="true"/>
              </w:rPr>
              <w:t>لا إشكال و لا خلاف في مانعية غير المأكول للصلاة</w:t>
            </w:r>
            <w:r>
              <w:rPr>
                <w:rStyle w:val="IndexLink"/>
                <w:rtl w:val="true"/>
              </w:rPr>
              <w:tab/>
            </w:r>
            <w:r>
              <w:rPr>
                <w:rStyle w:val="IndexLink"/>
              </w:rPr>
              <w:t>236</w:t>
            </w:r>
          </w:hyperlink>
        </w:p>
        <w:p>
          <w:pPr>
            <w:pStyle w:val="Contents6"/>
            <w:tabs>
              <w:tab w:val="clear" w:pos="7609"/>
              <w:tab w:val="right" w:pos="9026" w:leader="dot"/>
            </w:tabs>
            <w:rPr/>
          </w:pPr>
          <w:hyperlink w:anchor="__RefHeading___Toc3360170_2314609296">
            <w:r>
              <w:rPr>
                <w:webHidden/>
                <w:rStyle w:val="IndexLink"/>
                <w:rtl w:val="true"/>
              </w:rPr>
              <w:t>الأمر الثاني</w:t>
            </w:r>
            <w:r>
              <w:rPr>
                <w:rStyle w:val="IndexLink"/>
                <w:rtl w:val="true"/>
              </w:rPr>
              <w:t>:</w:t>
              <w:tab/>
            </w:r>
            <w:r>
              <w:rPr>
                <w:rStyle w:val="IndexLink"/>
              </w:rPr>
              <w:t>241</w:t>
            </w:r>
          </w:hyperlink>
        </w:p>
        <w:p>
          <w:pPr>
            <w:pStyle w:val="Contents6"/>
            <w:tabs>
              <w:tab w:val="clear" w:pos="7609"/>
              <w:tab w:val="right" w:pos="9026" w:leader="dot"/>
            </w:tabs>
            <w:rPr/>
          </w:pPr>
          <w:hyperlink w:anchor="__RefHeading___Toc3360172_2314609296">
            <w:r>
              <w:rPr>
                <w:webHidden/>
                <w:rStyle w:val="IndexLink"/>
                <w:rtl w:val="true"/>
              </w:rPr>
              <w:t>الأمر الثالث</w:t>
            </w:r>
            <w:r>
              <w:rPr>
                <w:rStyle w:val="IndexLink"/>
                <w:rtl w:val="true"/>
              </w:rPr>
              <w:t xml:space="preserve">: </w:t>
            </w:r>
            <w:r>
              <w:rPr>
                <w:rStyle w:val="IndexLink"/>
                <w:rtl w:val="true"/>
              </w:rPr>
              <w:t>في تحقيق الحال في شرطية المأكولية أو مانعية غير المأكولية</w:t>
            </w:r>
            <w:r>
              <w:rPr>
                <w:rStyle w:val="IndexLink"/>
                <w:rtl w:val="true"/>
              </w:rPr>
              <w:tab/>
            </w:r>
            <w:r>
              <w:rPr>
                <w:rStyle w:val="IndexLink"/>
              </w:rPr>
              <w:t>251</w:t>
            </w:r>
          </w:hyperlink>
        </w:p>
        <w:p>
          <w:pPr>
            <w:pStyle w:val="Contents6"/>
            <w:tabs>
              <w:tab w:val="clear" w:pos="7609"/>
              <w:tab w:val="right" w:pos="9026" w:leader="dot"/>
            </w:tabs>
            <w:rPr/>
          </w:pPr>
          <w:hyperlink w:anchor="__RefHeading___Toc3360174_2314609296">
            <w:r>
              <w:rPr>
                <w:webHidden/>
                <w:rStyle w:val="IndexLink"/>
                <w:rtl w:val="true"/>
              </w:rPr>
              <w:t>اشارة</w:t>
            </w:r>
            <w:r>
              <w:rPr>
                <w:rStyle w:val="IndexLink"/>
                <w:rtl w:val="true"/>
              </w:rPr>
              <w:tab/>
            </w:r>
            <w:r>
              <w:rPr>
                <w:rStyle w:val="IndexLink"/>
              </w:rPr>
              <w:t>251</w:t>
            </w:r>
          </w:hyperlink>
        </w:p>
        <w:p>
          <w:pPr>
            <w:pStyle w:val="Contents6"/>
            <w:tabs>
              <w:tab w:val="clear" w:pos="7609"/>
              <w:tab w:val="right" w:pos="9026" w:leader="dot"/>
            </w:tabs>
            <w:rPr/>
          </w:pPr>
          <w:hyperlink w:anchor="__RefHeading___Toc3360176_2314609296">
            <w:r>
              <w:rPr>
                <w:webHidden/>
                <w:rStyle w:val="IndexLink"/>
                <w:rtl w:val="true"/>
              </w:rPr>
              <w:t>و أقصى ما يمكن أن يستدلّ به على ذلك أحد أمور</w:t>
            </w:r>
            <w:r>
              <w:rPr>
                <w:rStyle w:val="IndexLink"/>
                <w:rtl w:val="true"/>
              </w:rPr>
              <w:t>:</w:t>
              <w:tab/>
            </w:r>
            <w:r>
              <w:rPr>
                <w:rStyle w:val="IndexLink"/>
              </w:rPr>
              <w:t>264</w:t>
            </w:r>
          </w:hyperlink>
        </w:p>
        <w:p>
          <w:pPr>
            <w:pStyle w:val="Contents6"/>
            <w:tabs>
              <w:tab w:val="clear" w:pos="7609"/>
              <w:tab w:val="right" w:pos="9026" w:leader="dot"/>
            </w:tabs>
            <w:rPr/>
          </w:pPr>
          <w:hyperlink w:anchor="__RefHeading___Toc3360178_2314609296">
            <w:r>
              <w:rPr>
                <w:webHidden/>
                <w:rStyle w:val="IndexLink"/>
                <w:rtl w:val="true"/>
              </w:rPr>
              <w:t>الأول</w:t>
            </w:r>
            <w:r>
              <w:rPr>
                <w:rStyle w:val="IndexLink"/>
                <w:rtl w:val="true"/>
              </w:rPr>
              <w:t xml:space="preserve">: </w:t>
            </w:r>
            <w:r>
              <w:rPr>
                <w:rStyle w:val="IndexLink"/>
                <w:rtl w:val="true"/>
              </w:rPr>
              <w:t>هو دعوى أخذ العلم في مداليل الألفاظ وضعا و انصرافا</w:t>
            </w:r>
            <w:r>
              <w:rPr>
                <w:rStyle w:val="IndexLink"/>
                <w:rtl w:val="true"/>
              </w:rPr>
              <w:t>.</w:t>
              <w:tab/>
            </w:r>
            <w:r>
              <w:rPr>
                <w:rStyle w:val="IndexLink"/>
              </w:rPr>
              <w:t>264</w:t>
            </w:r>
          </w:hyperlink>
        </w:p>
        <w:p>
          <w:pPr>
            <w:pStyle w:val="Contents6"/>
            <w:tabs>
              <w:tab w:val="clear" w:pos="7609"/>
              <w:tab w:val="right" w:pos="9026" w:leader="dot"/>
            </w:tabs>
            <w:rPr/>
          </w:pPr>
          <w:hyperlink w:anchor="__RefHeading___Toc3360180_2314609296">
            <w:r>
              <w:rPr>
                <w:webHidden/>
                <w:rStyle w:val="IndexLink"/>
                <w:rtl w:val="true"/>
              </w:rPr>
              <w:t>الثاني</w:t>
            </w:r>
            <w:r>
              <w:rPr>
                <w:rStyle w:val="IndexLink"/>
                <w:rtl w:val="true"/>
              </w:rPr>
              <w:t xml:space="preserve">: </w:t>
            </w:r>
            <w:r>
              <w:rPr>
                <w:rStyle w:val="IndexLink"/>
                <w:rtl w:val="true"/>
              </w:rPr>
              <w:t>دعوى دلالة رواية عبد الرحمن على ذلك</w:t>
            </w:r>
            <w:r>
              <w:rPr>
                <w:rStyle w:val="IndexLink"/>
                <w:rtl w:val="true"/>
              </w:rPr>
              <w:tab/>
            </w:r>
            <w:r>
              <w:rPr>
                <w:rStyle w:val="IndexLink"/>
              </w:rPr>
              <w:t>264</w:t>
            </w:r>
          </w:hyperlink>
        </w:p>
        <w:p>
          <w:pPr>
            <w:pStyle w:val="Contents6"/>
            <w:tabs>
              <w:tab w:val="clear" w:pos="7609"/>
              <w:tab w:val="right" w:pos="9026" w:leader="dot"/>
            </w:tabs>
            <w:rPr/>
          </w:pPr>
          <w:hyperlink w:anchor="__RefHeading___Toc3360182_2314609296">
            <w:r>
              <w:rPr>
                <w:webHidden/>
                <w:rStyle w:val="IndexLink"/>
                <w:rtl w:val="true"/>
              </w:rPr>
              <w:t>الثالث</w:t>
            </w:r>
            <w:r>
              <w:rPr>
                <w:rStyle w:val="IndexLink"/>
                <w:rtl w:val="true"/>
              </w:rPr>
              <w:t xml:space="preserve">: </w:t>
            </w:r>
            <w:r>
              <w:rPr>
                <w:rStyle w:val="IndexLink"/>
                <w:rtl w:val="true"/>
              </w:rPr>
              <w:t>دعوى اختصاص أدلّة الباب بصورة العلم بغير المأكولية</w:t>
            </w:r>
            <w:r>
              <w:rPr>
                <w:rStyle w:val="IndexLink"/>
                <w:rtl w:val="true"/>
              </w:rPr>
              <w:t>.</w:t>
              <w:tab/>
            </w:r>
            <w:r>
              <w:rPr>
                <w:rStyle w:val="IndexLink"/>
              </w:rPr>
              <w:t>267</w:t>
            </w:r>
          </w:hyperlink>
        </w:p>
        <w:p>
          <w:pPr>
            <w:pStyle w:val="Contents6"/>
            <w:tabs>
              <w:tab w:val="clear" w:pos="7609"/>
              <w:tab w:val="right" w:pos="9026" w:leader="dot"/>
            </w:tabs>
            <w:rPr/>
          </w:pPr>
          <w:hyperlink w:anchor="__RefHeading___Toc3360184_2314609296">
            <w:r>
              <w:rPr>
                <w:webHidden/>
                <w:rStyle w:val="IndexLink"/>
                <w:rtl w:val="true"/>
              </w:rPr>
              <w:t>الرابع</w:t>
            </w:r>
            <w:r>
              <w:rPr>
                <w:rStyle w:val="IndexLink"/>
                <w:rtl w:val="true"/>
              </w:rPr>
              <w:t xml:space="preserve">: </w:t>
            </w:r>
            <w:r>
              <w:rPr>
                <w:rStyle w:val="IndexLink"/>
                <w:rtl w:val="true"/>
              </w:rPr>
              <w:t>دعوى عدم إطلاق أدلّة الباب بحيث يعمّ صورة العلم و الجهل</w:t>
            </w:r>
            <w:r>
              <w:rPr>
                <w:rStyle w:val="IndexLink"/>
                <w:rtl w:val="true"/>
              </w:rPr>
              <w:t>.</w:t>
              <w:tab/>
            </w:r>
            <w:r>
              <w:rPr>
                <w:rStyle w:val="IndexLink"/>
              </w:rPr>
              <w:t>267</w:t>
            </w:r>
          </w:hyperlink>
        </w:p>
        <w:p>
          <w:pPr>
            <w:pStyle w:val="Contents6"/>
            <w:tabs>
              <w:tab w:val="clear" w:pos="7609"/>
              <w:tab w:val="right" w:pos="9026" w:leader="dot"/>
            </w:tabs>
            <w:rPr/>
          </w:pPr>
          <w:hyperlink w:anchor="__RefHeading___Toc3360186_2314609296">
            <w:r>
              <w:rPr>
                <w:webHidden/>
                <w:rStyle w:val="IndexLink"/>
                <w:rtl w:val="true"/>
              </w:rPr>
              <w:t>الخامس</w:t>
            </w:r>
            <w:r>
              <w:rPr>
                <w:rStyle w:val="IndexLink"/>
                <w:rtl w:val="true"/>
              </w:rPr>
              <w:t xml:space="preserve">: </w:t>
            </w:r>
            <w:r>
              <w:rPr>
                <w:rStyle w:val="IndexLink"/>
                <w:rtl w:val="true"/>
              </w:rPr>
              <w:t>دعوى قصر القيدية المستفادة من الخطابات الغيرية بصورة العلم</w:t>
            </w:r>
            <w:r>
              <w:rPr>
                <w:rStyle w:val="IndexLink"/>
                <w:rtl w:val="true"/>
              </w:rPr>
              <w:t>.</w:t>
              <w:tab/>
            </w:r>
            <w:r>
              <w:rPr>
                <w:rStyle w:val="IndexLink"/>
              </w:rPr>
              <w:t>267</w:t>
            </w:r>
          </w:hyperlink>
        </w:p>
        <w:p>
          <w:pPr>
            <w:pStyle w:val="Contents6"/>
            <w:tabs>
              <w:tab w:val="clear" w:pos="7609"/>
              <w:tab w:val="right" w:pos="9026" w:leader="dot"/>
            </w:tabs>
            <w:rPr/>
          </w:pPr>
          <w:hyperlink w:anchor="__RefHeading___Toc3360188_2314609296">
            <w:r>
              <w:rPr>
                <w:webHidden/>
                <w:rStyle w:val="IndexLink"/>
                <w:rtl w:val="true"/>
              </w:rPr>
              <w:t>السادس</w:t>
            </w:r>
            <w:r>
              <w:rPr>
                <w:rStyle w:val="IndexLink"/>
                <w:rtl w:val="true"/>
              </w:rPr>
              <w:t xml:space="preserve">: </w:t>
            </w:r>
            <w:r>
              <w:rPr>
                <w:rStyle w:val="IndexLink"/>
                <w:rtl w:val="true"/>
              </w:rPr>
              <w:t>دعوى دلالة إطلاقات أدلّة جواز الصلاة في كلّ لباس على جواز الصلاة في المشكوك</w:t>
            </w:r>
            <w:r>
              <w:rPr>
                <w:rStyle w:val="IndexLink"/>
                <w:rtl w:val="true"/>
              </w:rPr>
              <w:tab/>
            </w:r>
            <w:r>
              <w:rPr>
                <w:rStyle w:val="IndexLink"/>
              </w:rPr>
              <w:t>270</w:t>
            </w:r>
          </w:hyperlink>
        </w:p>
        <w:p>
          <w:pPr>
            <w:pStyle w:val="Contents6"/>
            <w:tabs>
              <w:tab w:val="clear" w:pos="7609"/>
              <w:tab w:val="right" w:pos="9026" w:leader="dot"/>
            </w:tabs>
            <w:rPr/>
          </w:pPr>
          <w:hyperlink w:anchor="__RefHeading___Toc3360190_2314609296">
            <w:r>
              <w:rPr>
                <w:webHidden/>
                <w:rStyle w:val="IndexLink"/>
                <w:rtl w:val="true"/>
              </w:rPr>
              <w:t>الكلام في تحرير الأصل الجاري في المشكوك يقع في مقامات ثلاث</w:t>
            </w:r>
            <w:r>
              <w:rPr>
                <w:rStyle w:val="IndexLink"/>
                <w:rtl w:val="true"/>
              </w:rPr>
              <w:t>:</w:t>
              <w:tab/>
            </w:r>
            <w:r>
              <w:rPr>
                <w:rStyle w:val="IndexLink"/>
              </w:rPr>
              <w:t>272</w:t>
            </w:r>
          </w:hyperlink>
        </w:p>
        <w:p>
          <w:pPr>
            <w:pStyle w:val="Contents6"/>
            <w:tabs>
              <w:tab w:val="clear" w:pos="7609"/>
              <w:tab w:val="right" w:pos="9026" w:leader="dot"/>
            </w:tabs>
            <w:rPr/>
          </w:pPr>
          <w:hyperlink w:anchor="__RefHeading___Toc3360192_2314609296">
            <w:r>
              <w:rPr>
                <w:webHidden/>
                <w:rStyle w:val="IndexLink"/>
                <w:rtl w:val="true"/>
              </w:rPr>
              <w:t>اشارة</w:t>
            </w:r>
            <w:r>
              <w:rPr>
                <w:rStyle w:val="IndexLink"/>
                <w:rtl w:val="true"/>
              </w:rPr>
              <w:tab/>
            </w:r>
            <w:r>
              <w:rPr>
                <w:rStyle w:val="IndexLink"/>
              </w:rPr>
              <w:t>272</w:t>
            </w:r>
          </w:hyperlink>
        </w:p>
        <w:p>
          <w:pPr>
            <w:pStyle w:val="Contents6"/>
            <w:tabs>
              <w:tab w:val="clear" w:pos="7609"/>
              <w:tab w:val="right" w:pos="9026" w:leader="dot"/>
            </w:tabs>
            <w:rPr/>
          </w:pPr>
          <w:hyperlink w:anchor="__RefHeading___Toc3360194_2314609296">
            <w:r>
              <w:rPr>
                <w:webHidden/>
                <w:rStyle w:val="IndexLink"/>
                <w:rtl w:val="true"/>
              </w:rPr>
              <w:t>أمّا الكلام في المقام الأول</w:t>
            </w:r>
            <w:r>
              <w:rPr>
                <w:rStyle w:val="IndexLink"/>
                <w:rtl w:val="true"/>
              </w:rPr>
              <w:t xml:space="preserve">: </w:t>
            </w:r>
            <w:r>
              <w:rPr>
                <w:rStyle w:val="IndexLink"/>
                <w:rtl w:val="true"/>
              </w:rPr>
              <w:t>و هو في بيان جريان أصالة البراءة في المشكوك فتنقيحه يستدعي رسم أمور</w:t>
            </w:r>
            <w:r>
              <w:rPr>
                <w:rStyle w:val="IndexLink"/>
                <w:rtl w:val="true"/>
              </w:rPr>
              <w:t>:</w:t>
              <w:tab/>
            </w:r>
            <w:r>
              <w:rPr>
                <w:rStyle w:val="IndexLink"/>
              </w:rPr>
              <w:t>272</w:t>
            </w:r>
          </w:hyperlink>
        </w:p>
        <w:p>
          <w:pPr>
            <w:pStyle w:val="Contents6"/>
            <w:tabs>
              <w:tab w:val="clear" w:pos="7609"/>
              <w:tab w:val="right" w:pos="9026" w:leader="dot"/>
            </w:tabs>
            <w:rPr/>
          </w:pPr>
          <w:hyperlink w:anchor="__RefHeading___Toc3360196_2314609296">
            <w:r>
              <w:rPr>
                <w:webHidden/>
                <w:rStyle w:val="IndexLink"/>
                <w:rtl w:val="true"/>
              </w:rPr>
              <w:t>الأول</w:t>
            </w:r>
            <w:r>
              <w:rPr>
                <w:rStyle w:val="IndexLink"/>
                <w:rtl w:val="true"/>
              </w:rPr>
              <w:t xml:space="preserve">: </w:t>
            </w:r>
            <w:r>
              <w:rPr>
                <w:rStyle w:val="IndexLink"/>
                <w:rtl w:val="true"/>
              </w:rPr>
              <w:t>أنّ الأحكام الشرعية بعد ما كان لا محيص عن تعلّقها بفعل المكلّف،</w:t>
            </w:r>
            <w:r>
              <w:rPr>
                <w:rStyle w:val="IndexLink"/>
                <w:rtl w:val="true"/>
              </w:rPr>
              <w:tab/>
            </w:r>
            <w:r>
              <w:rPr>
                <w:rStyle w:val="IndexLink"/>
              </w:rPr>
              <w:t>272</w:t>
            </w:r>
          </w:hyperlink>
        </w:p>
        <w:p>
          <w:pPr>
            <w:pStyle w:val="Contents6"/>
            <w:tabs>
              <w:tab w:val="clear" w:pos="7609"/>
              <w:tab w:val="right" w:pos="9026" w:leader="dot"/>
            </w:tabs>
            <w:rPr/>
          </w:pPr>
          <w:hyperlink w:anchor="__RefHeading___Toc3360198_2314609296">
            <w:r>
              <w:rPr>
                <w:webHidden/>
                <w:rStyle w:val="IndexLink"/>
                <w:rtl w:val="true"/>
              </w:rPr>
              <w:t>الأمر الثاني</w:t>
            </w:r>
            <w:r>
              <w:rPr>
                <w:rStyle w:val="IndexLink"/>
                <w:rtl w:val="true"/>
              </w:rPr>
              <w:t xml:space="preserve">: </w:t>
            </w:r>
            <w:r>
              <w:rPr>
                <w:rStyle w:val="IndexLink"/>
                <w:rtl w:val="true"/>
              </w:rPr>
              <w:t>ما كان من التكليف الذي له تعلّق و ربط بموضوع خارجي</w:t>
            </w:r>
            <w:r>
              <w:rPr>
                <w:rStyle w:val="IndexLink"/>
                <w:rtl w:val="true"/>
              </w:rPr>
              <w:tab/>
            </w:r>
            <w:r>
              <w:rPr>
                <w:rStyle w:val="IndexLink"/>
              </w:rPr>
              <w:t>274</w:t>
            </w:r>
          </w:hyperlink>
        </w:p>
        <w:p>
          <w:pPr>
            <w:pStyle w:val="Contents6"/>
            <w:tabs>
              <w:tab w:val="clear" w:pos="7609"/>
              <w:tab w:val="right" w:pos="9026" w:leader="dot"/>
            </w:tabs>
            <w:rPr/>
          </w:pPr>
          <w:hyperlink w:anchor="__RefHeading___Toc3360200_2314609296">
            <w:r>
              <w:rPr>
                <w:webHidden/>
                <w:rStyle w:val="IndexLink"/>
                <w:rtl w:val="true"/>
              </w:rPr>
              <w:t>الأمر الثالث</w:t>
            </w:r>
            <w:r>
              <w:rPr>
                <w:rStyle w:val="IndexLink"/>
                <w:rtl w:val="true"/>
              </w:rPr>
              <w:t>:</w:t>
              <w:tab/>
            </w:r>
            <w:r>
              <w:rPr>
                <w:rStyle w:val="IndexLink"/>
              </w:rPr>
              <w:t>282</w:t>
            </w:r>
          </w:hyperlink>
        </w:p>
        <w:p>
          <w:pPr>
            <w:pStyle w:val="Contents6"/>
            <w:tabs>
              <w:tab w:val="clear" w:pos="7609"/>
              <w:tab w:val="right" w:pos="9026" w:leader="dot"/>
            </w:tabs>
            <w:rPr/>
          </w:pPr>
          <w:hyperlink w:anchor="__RefHeading___Toc3360202_2314609296">
            <w:r>
              <w:rPr>
                <w:webHidden/>
                <w:rStyle w:val="IndexLink"/>
                <w:rtl w:val="true"/>
              </w:rPr>
              <w:t>الأمر الرابع</w:t>
            </w:r>
            <w:r>
              <w:rPr>
                <w:rStyle w:val="IndexLink"/>
                <w:rtl w:val="true"/>
              </w:rPr>
              <w:t>:</w:t>
              <w:tab/>
            </w:r>
            <w:r>
              <w:rPr>
                <w:rStyle w:val="IndexLink"/>
              </w:rPr>
              <w:t>286</w:t>
            </w:r>
          </w:hyperlink>
        </w:p>
        <w:p>
          <w:pPr>
            <w:pStyle w:val="Contents6"/>
            <w:tabs>
              <w:tab w:val="clear" w:pos="7609"/>
              <w:tab w:val="right" w:pos="9026" w:leader="dot"/>
            </w:tabs>
            <w:rPr/>
          </w:pPr>
          <w:hyperlink w:anchor="__RefHeading___Toc3360204_2314609296">
            <w:r>
              <w:rPr>
                <w:webHidden/>
                <w:rStyle w:val="IndexLink"/>
                <w:rtl w:val="true"/>
              </w:rPr>
              <w:t>المقام الثاني في توضيح كون الشبهة من مجاري أصالة الحلّ</w:t>
            </w:r>
            <w:r>
              <w:rPr>
                <w:rStyle w:val="IndexLink"/>
                <w:rtl w:val="true"/>
              </w:rPr>
              <w:tab/>
            </w:r>
            <w:r>
              <w:rPr>
                <w:rStyle w:val="IndexLink"/>
              </w:rPr>
              <w:t>310</w:t>
            </w:r>
          </w:hyperlink>
        </w:p>
        <w:p>
          <w:pPr>
            <w:pStyle w:val="Contents6"/>
            <w:tabs>
              <w:tab w:val="clear" w:pos="7609"/>
              <w:tab w:val="right" w:pos="9026" w:leader="dot"/>
            </w:tabs>
            <w:rPr/>
          </w:pPr>
          <w:hyperlink w:anchor="__RefHeading___Toc3360206_2314609296">
            <w:r>
              <w:rPr>
                <w:webHidden/>
                <w:rStyle w:val="IndexLink"/>
                <w:rtl w:val="true"/>
              </w:rPr>
              <w:t>اشارة</w:t>
            </w:r>
            <w:r>
              <w:rPr>
                <w:rStyle w:val="IndexLink"/>
                <w:rtl w:val="true"/>
              </w:rPr>
              <w:tab/>
            </w:r>
            <w:r>
              <w:rPr>
                <w:rStyle w:val="IndexLink"/>
              </w:rPr>
              <w:t>310</w:t>
            </w:r>
          </w:hyperlink>
        </w:p>
        <w:p>
          <w:pPr>
            <w:pStyle w:val="Contents6"/>
            <w:tabs>
              <w:tab w:val="clear" w:pos="7609"/>
              <w:tab w:val="right" w:pos="9026" w:leader="dot"/>
            </w:tabs>
            <w:rPr/>
          </w:pPr>
          <w:hyperlink w:anchor="__RefHeading___Toc3360208_2314609296">
            <w:r>
              <w:rPr>
                <w:webHidden/>
                <w:rStyle w:val="IndexLink"/>
                <w:rtl w:val="true"/>
              </w:rPr>
              <w:t>إذا عرفت ذلك فنقول</w:t>
            </w:r>
            <w:r>
              <w:rPr>
                <w:rStyle w:val="IndexLink"/>
                <w:rtl w:val="true"/>
              </w:rPr>
              <w:t xml:space="preserve">: </w:t>
            </w:r>
            <w:r>
              <w:rPr>
                <w:rStyle w:val="IndexLink"/>
                <w:rtl w:val="true"/>
              </w:rPr>
              <w:t>إنّ الحكم المترتّب على ما يحلّ أكله و ما لا يحلّ، كعدم جواز الصلاة في أجزائه و جوازها، يمكن أن يكون على أحد وجوه ثلاث</w:t>
            </w:r>
            <w:r>
              <w:rPr>
                <w:rStyle w:val="IndexLink"/>
                <w:rtl w:val="true"/>
              </w:rPr>
              <w:t>.</w:t>
              <w:tab/>
            </w:r>
            <w:r>
              <w:rPr>
                <w:rStyle w:val="IndexLink"/>
              </w:rPr>
              <w:t>314</w:t>
            </w:r>
          </w:hyperlink>
        </w:p>
        <w:p>
          <w:pPr>
            <w:pStyle w:val="Contents6"/>
            <w:tabs>
              <w:tab w:val="clear" w:pos="7609"/>
              <w:tab w:val="right" w:pos="9026" w:leader="dot"/>
            </w:tabs>
            <w:rPr/>
          </w:pPr>
          <w:hyperlink w:anchor="__RefHeading___Toc3360210_2314609296">
            <w:r>
              <w:rPr>
                <w:webHidden/>
                <w:rStyle w:val="IndexLink"/>
                <w:rtl w:val="true"/>
              </w:rPr>
              <w:t>الأول</w:t>
            </w:r>
            <w:r>
              <w:rPr>
                <w:rStyle w:val="IndexLink"/>
                <w:rtl w:val="true"/>
              </w:rPr>
              <w:t xml:space="preserve">: </w:t>
            </w:r>
            <w:r>
              <w:rPr>
                <w:rStyle w:val="IndexLink"/>
                <w:rtl w:val="true"/>
              </w:rPr>
              <w:t>أن يكون الحلّية و الحرمة أخذت في موضوع الدليل لمجرّد المعرّفية إلى الذوات التي يحلّ أكلها أو يحرم</w:t>
            </w:r>
            <w:r>
              <w:rPr>
                <w:rStyle w:val="IndexLink"/>
                <w:rtl w:val="true"/>
              </w:rPr>
              <w:tab/>
            </w:r>
            <w:r>
              <w:rPr>
                <w:rStyle w:val="IndexLink"/>
              </w:rPr>
              <w:t>314</w:t>
            </w:r>
          </w:hyperlink>
        </w:p>
        <w:p>
          <w:pPr>
            <w:pStyle w:val="Contents6"/>
            <w:tabs>
              <w:tab w:val="clear" w:pos="7609"/>
              <w:tab w:val="right" w:pos="9026" w:leader="dot"/>
            </w:tabs>
            <w:rPr/>
          </w:pPr>
          <w:hyperlink w:anchor="__RefHeading___Toc3360212_2314609296">
            <w:r>
              <w:rPr>
                <w:webHidden/>
                <w:rStyle w:val="IndexLink"/>
                <w:rtl w:val="true"/>
              </w:rPr>
              <w:t>الوجه الثاني</w:t>
            </w:r>
            <w:r>
              <w:rPr>
                <w:rStyle w:val="IndexLink"/>
                <w:rtl w:val="true"/>
              </w:rPr>
              <w:t xml:space="preserve">: </w:t>
            </w:r>
            <w:r>
              <w:rPr>
                <w:rStyle w:val="IndexLink"/>
                <w:rtl w:val="true"/>
              </w:rPr>
              <w:t>أن يكون الحلّية و الحرمة أخذت في موضوع الدليل للعنوانية،</w:t>
            </w:r>
            <w:r>
              <w:rPr>
                <w:rStyle w:val="IndexLink"/>
                <w:rtl w:val="true"/>
              </w:rPr>
              <w:tab/>
            </w:r>
            <w:r>
              <w:rPr>
                <w:rStyle w:val="IndexLink"/>
              </w:rPr>
              <w:t>315</w:t>
            </w:r>
          </w:hyperlink>
        </w:p>
        <w:p>
          <w:pPr>
            <w:pStyle w:val="Contents6"/>
            <w:tabs>
              <w:tab w:val="clear" w:pos="7609"/>
              <w:tab w:val="right" w:pos="9026" w:leader="dot"/>
            </w:tabs>
            <w:rPr/>
          </w:pPr>
          <w:hyperlink w:anchor="__RefHeading___Toc3360214_2314609296">
            <w:r>
              <w:rPr>
                <w:webHidden/>
                <w:rStyle w:val="IndexLink"/>
                <w:rtl w:val="true"/>
              </w:rPr>
              <w:t>الوجه الثالث</w:t>
            </w:r>
            <w:r>
              <w:rPr>
                <w:rStyle w:val="IndexLink"/>
                <w:rtl w:val="true"/>
              </w:rPr>
              <w:t xml:space="preserve">: </w:t>
            </w:r>
            <w:r>
              <w:rPr>
                <w:rStyle w:val="IndexLink"/>
                <w:rtl w:val="true"/>
              </w:rPr>
              <w:t>أن يكون الحلّية و الحرمة الفعليّان موضوعين لجواز الصلاة و عدمه</w:t>
            </w:r>
            <w:r>
              <w:rPr>
                <w:rStyle w:val="IndexLink"/>
                <w:rtl w:val="true"/>
              </w:rPr>
              <w:tab/>
            </w:r>
            <w:r>
              <w:rPr>
                <w:rStyle w:val="IndexLink"/>
              </w:rPr>
              <w:t>316</w:t>
            </w:r>
          </w:hyperlink>
        </w:p>
        <w:p>
          <w:pPr>
            <w:pStyle w:val="Contents6"/>
            <w:tabs>
              <w:tab w:val="clear" w:pos="7609"/>
              <w:tab w:val="right" w:pos="9026" w:leader="dot"/>
            </w:tabs>
            <w:rPr/>
          </w:pPr>
          <w:hyperlink w:anchor="__RefHeading___Toc3360216_2314609296">
            <w:r>
              <w:rPr>
                <w:webHidden/>
                <w:rStyle w:val="IndexLink"/>
                <w:rtl w:val="true"/>
              </w:rPr>
              <w:t>فتحصّل من جميع ما ذكرنا</w:t>
            </w:r>
            <w:r>
              <w:rPr>
                <w:rStyle w:val="IndexLink"/>
                <w:rtl w:val="true"/>
              </w:rPr>
              <w:t xml:space="preserve">: </w:t>
            </w:r>
            <w:r>
              <w:rPr>
                <w:rStyle w:val="IndexLink"/>
                <w:rtl w:val="true"/>
              </w:rPr>
              <w:t>أنّه لو كان الشكّ في انطباق المشكوك على المأمور به</w:t>
            </w:r>
            <w:r>
              <w:rPr>
                <w:rStyle w:val="IndexLink"/>
                <w:rtl w:val="true"/>
              </w:rPr>
              <w:tab/>
            </w:r>
            <w:r>
              <w:rPr>
                <w:rStyle w:val="IndexLink"/>
              </w:rPr>
              <w:t>322</w:t>
            </w:r>
          </w:hyperlink>
        </w:p>
        <w:p>
          <w:pPr>
            <w:pStyle w:val="Contents6"/>
            <w:tabs>
              <w:tab w:val="clear" w:pos="7609"/>
              <w:tab w:val="right" w:pos="9026" w:leader="dot"/>
            </w:tabs>
            <w:rPr/>
          </w:pPr>
          <w:hyperlink w:anchor="__RefHeading___Toc3360218_2314609296">
            <w:r>
              <w:rPr>
                <w:webHidden/>
                <w:rStyle w:val="IndexLink"/>
                <w:rtl w:val="true"/>
              </w:rPr>
              <w:t>و بالجملة</w:t>
            </w:r>
            <w:r>
              <w:rPr>
                <w:rStyle w:val="IndexLink"/>
                <w:rtl w:val="true"/>
              </w:rPr>
              <w:t xml:space="preserve">: </w:t>
            </w:r>
            <w:r>
              <w:rPr>
                <w:rStyle w:val="IndexLink"/>
                <w:rtl w:val="true"/>
              </w:rPr>
              <w:t>الاستدلال بأصالة الحلّ لجواز الصلاة في المشكوك يتركّب من مقدّمات ثلاث</w:t>
            </w:r>
            <w:r>
              <w:rPr>
                <w:rStyle w:val="IndexLink"/>
                <w:rtl w:val="true"/>
              </w:rPr>
              <w:t>.</w:t>
              <w:tab/>
            </w:r>
            <w:r>
              <w:rPr>
                <w:rStyle w:val="IndexLink"/>
              </w:rPr>
              <w:t>327</w:t>
            </w:r>
          </w:hyperlink>
        </w:p>
        <w:p>
          <w:pPr>
            <w:pStyle w:val="Contents6"/>
            <w:tabs>
              <w:tab w:val="clear" w:pos="7609"/>
              <w:tab w:val="right" w:pos="9026" w:leader="dot"/>
            </w:tabs>
            <w:rPr/>
          </w:pPr>
          <w:hyperlink w:anchor="__RefHeading___Toc3360220_2314609296">
            <w:r>
              <w:rPr>
                <w:webHidden/>
                <w:rStyle w:val="IndexLink"/>
                <w:rtl w:val="true"/>
              </w:rPr>
              <w:t>الأولى</w:t>
            </w:r>
            <w:r>
              <w:rPr>
                <w:rStyle w:val="IndexLink"/>
                <w:rtl w:val="true"/>
              </w:rPr>
              <w:t xml:space="preserve">: </w:t>
            </w:r>
            <w:r>
              <w:rPr>
                <w:rStyle w:val="IndexLink"/>
                <w:rtl w:val="true"/>
              </w:rPr>
              <w:t>رجوع الشكّ في مانعية المشتبه إلى الشكّ في منع الشارع</w:t>
            </w:r>
            <w:r>
              <w:rPr>
                <w:rStyle w:val="IndexLink"/>
                <w:rtl w:val="true"/>
              </w:rPr>
              <w:tab/>
            </w:r>
            <w:r>
              <w:rPr>
                <w:rStyle w:val="IndexLink"/>
              </w:rPr>
              <w:t>327</w:t>
            </w:r>
          </w:hyperlink>
        </w:p>
        <w:p>
          <w:pPr>
            <w:pStyle w:val="Contents6"/>
            <w:tabs>
              <w:tab w:val="clear" w:pos="7609"/>
              <w:tab w:val="right" w:pos="9026" w:leader="dot"/>
            </w:tabs>
            <w:rPr/>
          </w:pPr>
          <w:hyperlink w:anchor="__RefHeading___Toc3360222_2314609296">
            <w:r>
              <w:rPr>
                <w:webHidden/>
                <w:rStyle w:val="IndexLink"/>
                <w:rtl w:val="true"/>
              </w:rPr>
              <w:t>المقدمة الثانية</w:t>
            </w:r>
            <w:r>
              <w:rPr>
                <w:rStyle w:val="IndexLink"/>
                <w:rtl w:val="true"/>
              </w:rPr>
              <w:t>:</w:t>
              <w:tab/>
            </w:r>
            <w:r>
              <w:rPr>
                <w:rStyle w:val="IndexLink"/>
              </w:rPr>
              <w:t>330</w:t>
            </w:r>
          </w:hyperlink>
        </w:p>
        <w:p>
          <w:pPr>
            <w:pStyle w:val="Contents6"/>
            <w:tabs>
              <w:tab w:val="clear" w:pos="7609"/>
              <w:tab w:val="right" w:pos="9026" w:leader="dot"/>
            </w:tabs>
            <w:rPr/>
          </w:pPr>
          <w:hyperlink w:anchor="__RefHeading___Toc3360224_2314609296">
            <w:r>
              <w:rPr>
                <w:webHidden/>
                <w:rStyle w:val="IndexLink"/>
                <w:rtl w:val="true"/>
              </w:rPr>
              <w:t>المقدمة الثالثة</w:t>
            </w:r>
            <w:r>
              <w:rPr>
                <w:rStyle w:val="IndexLink"/>
                <w:rtl w:val="true"/>
              </w:rPr>
              <w:t xml:space="preserve">: </w:t>
            </w:r>
            <w:r>
              <w:rPr>
                <w:rStyle w:val="IndexLink"/>
                <w:rtl w:val="true"/>
              </w:rPr>
              <w:t>بعد ما عرفت من أنّ الترخيص و الحلّية الظاهرية المستفادة من أصالة الحلّ</w:t>
            </w:r>
            <w:r>
              <w:rPr>
                <w:rStyle w:val="IndexLink"/>
                <w:rtl w:val="true"/>
              </w:rPr>
              <w:tab/>
            </w:r>
            <w:r>
              <w:rPr>
                <w:rStyle w:val="IndexLink"/>
              </w:rPr>
              <w:t>332</w:t>
            </w:r>
          </w:hyperlink>
        </w:p>
        <w:p>
          <w:pPr>
            <w:pStyle w:val="Contents6"/>
            <w:tabs>
              <w:tab w:val="clear" w:pos="7609"/>
              <w:tab w:val="right" w:pos="9026" w:leader="dot"/>
            </w:tabs>
            <w:rPr/>
          </w:pPr>
          <w:hyperlink w:anchor="__RefHeading___Toc3360226_2314609296">
            <w:r>
              <w:rPr>
                <w:webHidden/>
                <w:rStyle w:val="IndexLink"/>
                <w:rtl w:val="true"/>
              </w:rPr>
              <w:t>تنبيه</w:t>
            </w:r>
            <w:r>
              <w:rPr>
                <w:rStyle w:val="IndexLink"/>
                <w:rtl w:val="true"/>
              </w:rPr>
              <w:t xml:space="preserve">: </w:t>
            </w:r>
            <w:r>
              <w:rPr>
                <w:rStyle w:val="IndexLink"/>
                <w:rtl w:val="true"/>
              </w:rPr>
              <w:t>لا يخفى عليك</w:t>
            </w:r>
            <w:r>
              <w:rPr>
                <w:rStyle w:val="IndexLink"/>
                <w:rtl w:val="true"/>
              </w:rPr>
              <w:tab/>
            </w:r>
            <w:r>
              <w:rPr>
                <w:rStyle w:val="IndexLink"/>
              </w:rPr>
              <w:t>334</w:t>
            </w:r>
          </w:hyperlink>
        </w:p>
        <w:p>
          <w:pPr>
            <w:pStyle w:val="Contents6"/>
            <w:tabs>
              <w:tab w:val="clear" w:pos="7609"/>
              <w:tab w:val="right" w:pos="9026" w:leader="dot"/>
            </w:tabs>
            <w:rPr/>
          </w:pPr>
          <w:hyperlink w:anchor="__RefHeading___Toc3360228_2314609296">
            <w:r>
              <w:rPr>
                <w:webHidden/>
                <w:rStyle w:val="IndexLink"/>
                <w:rtl w:val="true"/>
              </w:rPr>
              <w:t>المقام الثالث</w:t>
            </w:r>
            <w:r>
              <w:rPr>
                <w:rStyle w:val="IndexLink"/>
                <w:rtl w:val="true"/>
              </w:rPr>
              <w:t xml:space="preserve">: </w:t>
            </w:r>
            <w:r>
              <w:rPr>
                <w:rStyle w:val="IndexLink"/>
                <w:rtl w:val="true"/>
              </w:rPr>
              <w:t>في بيان جريان أصالة عدم المانع في المقام</w:t>
            </w:r>
            <w:r>
              <w:rPr>
                <w:rStyle w:val="IndexLink"/>
                <w:rtl w:val="true"/>
              </w:rPr>
              <w:tab/>
            </w:r>
            <w:r>
              <w:rPr>
                <w:rStyle w:val="IndexLink"/>
              </w:rPr>
              <w:t>335</w:t>
            </w:r>
          </w:hyperlink>
        </w:p>
        <w:p>
          <w:pPr>
            <w:pStyle w:val="Contents6"/>
            <w:tabs>
              <w:tab w:val="clear" w:pos="7609"/>
              <w:tab w:val="right" w:pos="9026" w:leader="dot"/>
            </w:tabs>
            <w:rPr/>
          </w:pPr>
          <w:hyperlink w:anchor="__RefHeading___Toc3360230_2314609296">
            <w:r>
              <w:rPr>
                <w:webHidden/>
                <w:rStyle w:val="IndexLink"/>
                <w:rtl w:val="true"/>
              </w:rPr>
              <w:t>اشارة</w:t>
            </w:r>
            <w:r>
              <w:rPr>
                <w:rStyle w:val="IndexLink"/>
                <w:rtl w:val="true"/>
              </w:rPr>
              <w:tab/>
            </w:r>
            <w:r>
              <w:rPr>
                <w:rStyle w:val="IndexLink"/>
              </w:rPr>
              <w:t>335</w:t>
            </w:r>
          </w:hyperlink>
        </w:p>
        <w:p>
          <w:pPr>
            <w:pStyle w:val="Contents6"/>
            <w:tabs>
              <w:tab w:val="clear" w:pos="7609"/>
              <w:tab w:val="right" w:pos="9026" w:leader="dot"/>
            </w:tabs>
            <w:rPr/>
          </w:pPr>
          <w:hyperlink w:anchor="__RefHeading___Toc3360232_2314609296">
            <w:r>
              <w:rPr>
                <w:webHidden/>
                <w:rStyle w:val="IndexLink"/>
                <w:rtl w:val="true"/>
              </w:rPr>
              <w:t>و توضيح ذلك يتوقّف على بيان أمرين</w:t>
            </w:r>
            <w:r>
              <w:rPr>
                <w:rStyle w:val="IndexLink"/>
                <w:rtl w:val="true"/>
              </w:rPr>
              <w:t>:</w:t>
              <w:tab/>
            </w:r>
            <w:r>
              <w:rPr>
                <w:rStyle w:val="IndexLink"/>
              </w:rPr>
              <w:t>336</w:t>
            </w:r>
          </w:hyperlink>
        </w:p>
        <w:p>
          <w:pPr>
            <w:pStyle w:val="Contents6"/>
            <w:tabs>
              <w:tab w:val="clear" w:pos="7609"/>
              <w:tab w:val="right" w:pos="9026" w:leader="dot"/>
            </w:tabs>
            <w:rPr/>
          </w:pPr>
          <w:hyperlink w:anchor="__RefHeading___Toc3360234_2314609296">
            <w:r>
              <w:rPr>
                <w:webHidden/>
                <w:rStyle w:val="IndexLink"/>
                <w:rtl w:val="true"/>
              </w:rPr>
              <w:t>الأول</w:t>
            </w:r>
            <w:r>
              <w:rPr>
                <w:rStyle w:val="IndexLink"/>
                <w:rtl w:val="true"/>
              </w:rPr>
              <w:t xml:space="preserve">: </w:t>
            </w:r>
            <w:r>
              <w:rPr>
                <w:rStyle w:val="IndexLink"/>
                <w:rtl w:val="true"/>
              </w:rPr>
              <w:t>أنّ المجعول في باب الطرق و الأمارات مغاير لما هو المجعول في باب الأصول</w:t>
            </w:r>
            <w:r>
              <w:rPr>
                <w:rStyle w:val="IndexLink"/>
                <w:rtl w:val="true"/>
              </w:rPr>
              <w:tab/>
            </w:r>
            <w:r>
              <w:rPr>
                <w:rStyle w:val="IndexLink"/>
              </w:rPr>
              <w:t>336</w:t>
            </w:r>
          </w:hyperlink>
        </w:p>
        <w:p>
          <w:pPr>
            <w:pStyle w:val="Contents6"/>
            <w:tabs>
              <w:tab w:val="clear" w:pos="7609"/>
              <w:tab w:val="right" w:pos="9026" w:leader="dot"/>
            </w:tabs>
            <w:rPr/>
          </w:pPr>
          <w:hyperlink w:anchor="__RefHeading___Toc3360236_2314609296">
            <w:r>
              <w:rPr>
                <w:webHidden/>
                <w:rStyle w:val="IndexLink"/>
                <w:rtl w:val="true"/>
              </w:rPr>
              <w:t>الأمر الثاني</w:t>
            </w:r>
            <w:r>
              <w:rPr>
                <w:rStyle w:val="IndexLink"/>
                <w:rtl w:val="true"/>
              </w:rPr>
              <w:t xml:space="preserve">: </w:t>
            </w:r>
            <w:r>
              <w:rPr>
                <w:rStyle w:val="IndexLink"/>
                <w:rtl w:val="true"/>
              </w:rPr>
              <w:t>لا إشكال في رجوع كلّ وصف اعتبر في المصلّي</w:t>
            </w:r>
            <w:r>
              <w:rPr>
                <w:rStyle w:val="IndexLink"/>
                <w:rtl w:val="true"/>
              </w:rPr>
              <w:tab/>
            </w:r>
            <w:r>
              <w:rPr>
                <w:rStyle w:val="IndexLink"/>
              </w:rPr>
              <w:t>342</w:t>
            </w:r>
          </w:hyperlink>
        </w:p>
        <w:p>
          <w:pPr>
            <w:pStyle w:val="Contents6"/>
            <w:tabs>
              <w:tab w:val="clear" w:pos="7609"/>
              <w:tab w:val="right" w:pos="9026" w:leader="dot"/>
            </w:tabs>
            <w:rPr/>
          </w:pPr>
          <w:hyperlink w:anchor="__RefHeading___Toc3360238_2314609296">
            <w:r>
              <w:rPr>
                <w:webHidden/>
                <w:rStyle w:val="IndexLink"/>
                <w:rtl w:val="true"/>
              </w:rPr>
              <w:t>إذا عرفت ذلك فلا إشكال في جريان الاستصحاب فيما إذا كان المحلّ المعتبر فيه الوصف هو المصلّي، أو اللّباس</w:t>
            </w:r>
            <w:r>
              <w:rPr>
                <w:rStyle w:val="IndexLink"/>
                <w:rtl w:val="true"/>
              </w:rPr>
              <w:t>.</w:t>
              <w:tab/>
            </w:r>
            <w:r>
              <w:rPr>
                <w:rStyle w:val="IndexLink"/>
              </w:rPr>
              <w:t>342</w:t>
            </w:r>
          </w:hyperlink>
        </w:p>
        <w:p>
          <w:pPr>
            <w:pStyle w:val="Contents6"/>
            <w:tabs>
              <w:tab w:val="clear" w:pos="7609"/>
              <w:tab w:val="right" w:pos="9026" w:leader="dot"/>
            </w:tabs>
            <w:rPr/>
          </w:pPr>
          <w:hyperlink w:anchor="__RefHeading___Toc3360240_2314609296">
            <w:r>
              <w:rPr>
                <w:webHidden/>
                <w:rStyle w:val="IndexLink"/>
                <w:rtl w:val="true"/>
              </w:rPr>
              <w:t>و بالجملة</w:t>
            </w:r>
            <w:r>
              <w:rPr>
                <w:rStyle w:val="IndexLink"/>
                <w:rtl w:val="true"/>
              </w:rPr>
              <w:t xml:space="preserve">: </w:t>
            </w:r>
            <w:r>
              <w:rPr>
                <w:rStyle w:val="IndexLink"/>
                <w:rtl w:val="true"/>
              </w:rPr>
              <w:t>لا فرق في ترتّب أثر الصحّة و الإجزاء بين جريان استصحاب الطهارة قبل الصلاة أو بعدها</w:t>
            </w:r>
            <w:r>
              <w:rPr>
                <w:rStyle w:val="IndexLink"/>
                <w:rtl w:val="true"/>
              </w:rPr>
              <w:tab/>
            </w:r>
            <w:r>
              <w:rPr>
                <w:rStyle w:val="IndexLink"/>
              </w:rPr>
              <w:t>344</w:t>
            </w:r>
          </w:hyperlink>
        </w:p>
        <w:p>
          <w:pPr>
            <w:pStyle w:val="Contents6"/>
            <w:tabs>
              <w:tab w:val="clear" w:pos="7609"/>
              <w:tab w:val="right" w:pos="9026" w:leader="dot"/>
            </w:tabs>
            <w:rPr/>
          </w:pPr>
          <w:hyperlink w:anchor="__RefHeading___Toc3360242_2314609296">
            <w:r>
              <w:rPr>
                <w:webHidden/>
                <w:rStyle w:val="IndexLink"/>
                <w:rtl w:val="true"/>
              </w:rPr>
              <w:t>إذا فرض كونه وصفا للصلاة لا للّباس</w:t>
            </w:r>
            <w:r>
              <w:rPr>
                <w:rStyle w:val="IndexLink"/>
                <w:rtl w:val="true"/>
              </w:rPr>
              <w:t xml:space="preserve">- </w:t>
            </w:r>
            <w:r>
              <w:rPr>
                <w:rStyle w:val="IndexLink"/>
                <w:rtl w:val="true"/>
              </w:rPr>
              <w:t>كما سيأتي بيانه</w:t>
            </w:r>
            <w:r>
              <w:rPr>
                <w:rStyle w:val="IndexLink"/>
                <w:rtl w:val="true"/>
              </w:rPr>
              <w:t xml:space="preserve">- </w:t>
            </w:r>
            <w:r>
              <w:rPr>
                <w:rStyle w:val="IndexLink"/>
                <w:rtl w:val="true"/>
              </w:rPr>
              <w:t>ففي كفاية جريان استصحاب عدم اتّصاف الصلاة بغير المأكولية</w:t>
            </w:r>
            <w:r>
              <w:rPr>
                <w:rStyle w:val="IndexLink"/>
                <w:rtl w:val="true"/>
              </w:rPr>
              <w:tab/>
            </w:r>
            <w:r>
              <w:rPr>
                <w:rStyle w:val="IndexLink"/>
              </w:rPr>
              <w:t>349</w:t>
            </w:r>
          </w:hyperlink>
        </w:p>
        <w:p>
          <w:pPr>
            <w:pStyle w:val="Contents6"/>
            <w:tabs>
              <w:tab w:val="clear" w:pos="7609"/>
              <w:tab w:val="right" w:pos="9026" w:leader="dot"/>
            </w:tabs>
            <w:rPr/>
          </w:pPr>
          <w:hyperlink w:anchor="__RefHeading___Toc3360244_2314609296">
            <w:r>
              <w:rPr>
                <w:webHidden/>
                <w:rStyle w:val="IndexLink"/>
                <w:rtl w:val="true"/>
              </w:rPr>
              <w:t>اشارة</w:t>
            </w:r>
            <w:r>
              <w:rPr>
                <w:rStyle w:val="IndexLink"/>
                <w:rtl w:val="true"/>
              </w:rPr>
              <w:tab/>
            </w:r>
            <w:r>
              <w:rPr>
                <w:rStyle w:val="IndexLink"/>
              </w:rPr>
              <w:t>349</w:t>
            </w:r>
          </w:hyperlink>
        </w:p>
        <w:p>
          <w:pPr>
            <w:pStyle w:val="Contents6"/>
            <w:tabs>
              <w:tab w:val="clear" w:pos="7609"/>
              <w:tab w:val="right" w:pos="9026" w:leader="dot"/>
            </w:tabs>
            <w:rPr/>
          </w:pPr>
          <w:hyperlink w:anchor="__RefHeading___Toc3360246_2314609296">
            <w:r>
              <w:rPr>
                <w:webHidden/>
                <w:rStyle w:val="IndexLink"/>
                <w:rtl w:val="true"/>
              </w:rPr>
              <w:t>الأول</w:t>
            </w:r>
            <w:r>
              <w:rPr>
                <w:rStyle w:val="IndexLink"/>
                <w:rtl w:val="true"/>
              </w:rPr>
              <w:t xml:space="preserve">: </w:t>
            </w:r>
            <w:r>
              <w:rPr>
                <w:rStyle w:val="IndexLink"/>
                <w:rtl w:val="true"/>
              </w:rPr>
              <w:t>لا إشكال في جريان الاستصحابات العدمية بالنسبة إلى نفس التكاليف و موضوعاتها</w:t>
            </w:r>
            <w:r>
              <w:rPr>
                <w:rStyle w:val="IndexLink"/>
                <w:rtl w:val="true"/>
              </w:rPr>
              <w:t>.</w:t>
              <w:tab/>
            </w:r>
            <w:r>
              <w:rPr>
                <w:rStyle w:val="IndexLink"/>
              </w:rPr>
              <w:t>349</w:t>
            </w:r>
          </w:hyperlink>
        </w:p>
        <w:p>
          <w:pPr>
            <w:pStyle w:val="Contents6"/>
            <w:tabs>
              <w:tab w:val="clear" w:pos="7609"/>
              <w:tab w:val="right" w:pos="9026" w:leader="dot"/>
            </w:tabs>
            <w:rPr/>
          </w:pPr>
          <w:hyperlink w:anchor="__RefHeading___Toc3360248_2314609296">
            <w:r>
              <w:rPr>
                <w:webHidden/>
                <w:rStyle w:val="IndexLink"/>
                <w:rtl w:val="true"/>
              </w:rPr>
              <w:t>الأمر الثاني</w:t>
            </w:r>
            <w:r>
              <w:rPr>
                <w:rStyle w:val="IndexLink"/>
                <w:rtl w:val="true"/>
              </w:rPr>
              <w:t xml:space="preserve">: </w:t>
            </w:r>
            <w:r>
              <w:rPr>
                <w:rStyle w:val="IndexLink"/>
                <w:rtl w:val="true"/>
              </w:rPr>
              <w:t>بعد ما عرفت من أنّه لا يتوقف جريان الأصل على كون الأثر</w:t>
            </w:r>
            <w:r>
              <w:rPr>
                <w:rStyle w:val="IndexLink"/>
                <w:rtl w:val="true"/>
              </w:rPr>
              <w:tab/>
            </w:r>
            <w:r>
              <w:rPr>
                <w:rStyle w:val="IndexLink"/>
              </w:rPr>
              <w:t>350</w:t>
            </w:r>
          </w:hyperlink>
        </w:p>
        <w:p>
          <w:pPr>
            <w:pStyle w:val="Contents6"/>
            <w:tabs>
              <w:tab w:val="clear" w:pos="7609"/>
              <w:tab w:val="right" w:pos="9026" w:leader="dot"/>
            </w:tabs>
            <w:rPr/>
          </w:pPr>
          <w:hyperlink w:anchor="__RefHeading___Toc3360250_2314609296">
            <w:r>
              <w:rPr>
                <w:webHidden/>
                <w:rStyle w:val="IndexLink"/>
                <w:rtl w:val="true"/>
              </w:rPr>
              <w:t>الأمر الثالث</w:t>
            </w:r>
            <w:r>
              <w:rPr>
                <w:rStyle w:val="IndexLink"/>
                <w:rtl w:val="true"/>
              </w:rPr>
              <w:t xml:space="preserve">: </w:t>
            </w:r>
            <w:r>
              <w:rPr>
                <w:rStyle w:val="IndexLink"/>
                <w:rtl w:val="true"/>
              </w:rPr>
              <w:t>أنّ تركّب متعلّقات الأحكام أو موضوعاتها يكون تارة من العرض و محلّه</w:t>
            </w:r>
            <w:r>
              <w:rPr>
                <w:rStyle w:val="IndexLink"/>
                <w:rtl w:val="true"/>
              </w:rPr>
              <w:tab/>
            </w:r>
            <w:r>
              <w:rPr>
                <w:rStyle w:val="IndexLink"/>
              </w:rPr>
              <w:t>356</w:t>
            </w:r>
          </w:hyperlink>
        </w:p>
        <w:p>
          <w:pPr>
            <w:pStyle w:val="Contents6"/>
            <w:tabs>
              <w:tab w:val="clear" w:pos="7609"/>
              <w:tab w:val="right" w:pos="9026" w:leader="dot"/>
            </w:tabs>
            <w:rPr/>
          </w:pPr>
          <w:hyperlink w:anchor="__RefHeading___Toc3360252_2314609296">
            <w:r>
              <w:rPr>
                <w:webHidden/>
                <w:rStyle w:val="IndexLink"/>
                <w:rtl w:val="true"/>
              </w:rPr>
              <w:t>اشارة</w:t>
            </w:r>
            <w:r>
              <w:rPr>
                <w:rStyle w:val="IndexLink"/>
                <w:rtl w:val="true"/>
              </w:rPr>
              <w:tab/>
            </w:r>
            <w:r>
              <w:rPr>
                <w:rStyle w:val="IndexLink"/>
              </w:rPr>
              <w:t>356</w:t>
            </w:r>
          </w:hyperlink>
        </w:p>
        <w:p>
          <w:pPr>
            <w:pStyle w:val="Contents6"/>
            <w:tabs>
              <w:tab w:val="clear" w:pos="7609"/>
              <w:tab w:val="right" w:pos="9026" w:leader="dot"/>
            </w:tabs>
            <w:rPr/>
          </w:pPr>
          <w:hyperlink w:anchor="__RefHeading___Toc3360254_2314609296">
            <w:r>
              <w:rPr>
                <w:webHidden/>
                <w:rStyle w:val="IndexLink"/>
                <w:rtl w:val="true"/>
              </w:rPr>
              <w:t>تنبيه</w:t>
            </w:r>
            <w:r>
              <w:rPr>
                <w:rStyle w:val="IndexLink"/>
                <w:rtl w:val="true"/>
              </w:rPr>
              <w:t>:</w:t>
              <w:tab/>
            </w:r>
            <w:r>
              <w:rPr>
                <w:rStyle w:val="IndexLink"/>
              </w:rPr>
              <w:t>369</w:t>
            </w:r>
          </w:hyperlink>
        </w:p>
        <w:p>
          <w:pPr>
            <w:pStyle w:val="Contents6"/>
            <w:tabs>
              <w:tab w:val="clear" w:pos="7609"/>
              <w:tab w:val="right" w:pos="9026" w:leader="dot"/>
            </w:tabs>
            <w:rPr/>
          </w:pPr>
          <w:hyperlink w:anchor="__RefHeading___Toc3360256_2314609296">
            <w:r>
              <w:rPr>
                <w:webHidden/>
                <w:rStyle w:val="IndexLink"/>
                <w:rtl w:val="true"/>
              </w:rPr>
              <w:t>بقي في المقام بعض الفروع المرتبطة بالمقام</w:t>
            </w:r>
            <w:r>
              <w:rPr>
                <w:rStyle w:val="IndexLink"/>
                <w:rtl w:val="true"/>
              </w:rPr>
              <w:t>.</w:t>
              <w:tab/>
            </w:r>
            <w:r>
              <w:rPr>
                <w:rStyle w:val="IndexLink"/>
              </w:rPr>
              <w:t>384</w:t>
            </w:r>
          </w:hyperlink>
        </w:p>
        <w:p>
          <w:pPr>
            <w:pStyle w:val="Contents6"/>
            <w:tabs>
              <w:tab w:val="clear" w:pos="7609"/>
              <w:tab w:val="right" w:pos="9026" w:leader="dot"/>
            </w:tabs>
            <w:rPr/>
          </w:pPr>
          <w:hyperlink w:anchor="__RefHeading___Toc3360258_2314609296">
            <w:r>
              <w:rPr>
                <w:webHidden/>
                <w:rStyle w:val="IndexLink"/>
                <w:rtl w:val="true"/>
              </w:rPr>
              <w:t>اشارة</w:t>
            </w:r>
            <w:r>
              <w:rPr>
                <w:rStyle w:val="IndexLink"/>
                <w:rtl w:val="true"/>
              </w:rPr>
              <w:tab/>
            </w:r>
            <w:r>
              <w:rPr>
                <w:rStyle w:val="IndexLink"/>
              </w:rPr>
              <w:t>384</w:t>
            </w:r>
          </w:hyperlink>
        </w:p>
        <w:p>
          <w:pPr>
            <w:pStyle w:val="Contents6"/>
            <w:tabs>
              <w:tab w:val="clear" w:pos="7609"/>
              <w:tab w:val="right" w:pos="9026" w:leader="dot"/>
            </w:tabs>
            <w:rPr/>
          </w:pPr>
          <w:hyperlink w:anchor="__RefHeading___Toc3360260_2314609296">
            <w:r>
              <w:rPr>
                <w:webHidden/>
                <w:rStyle w:val="IndexLink"/>
                <w:rtl w:val="true"/>
              </w:rPr>
              <w:t>الأوّل</w:t>
            </w:r>
            <w:r>
              <w:rPr>
                <w:rStyle w:val="IndexLink"/>
                <w:rtl w:val="true"/>
              </w:rPr>
              <w:t xml:space="preserve">: </w:t>
            </w:r>
            <w:r>
              <w:rPr>
                <w:rStyle w:val="IndexLink"/>
                <w:rtl w:val="true"/>
              </w:rPr>
              <w:t>لو وجب على الغاصب حفظ المغصوب</w:t>
            </w:r>
            <w:r>
              <w:rPr>
                <w:rStyle w:val="IndexLink"/>
                <w:rtl w:val="true"/>
              </w:rPr>
              <w:tab/>
            </w:r>
            <w:r>
              <w:rPr>
                <w:rStyle w:val="IndexLink"/>
              </w:rPr>
              <w:t>385</w:t>
            </w:r>
          </w:hyperlink>
        </w:p>
        <w:p>
          <w:pPr>
            <w:pStyle w:val="Contents6"/>
            <w:tabs>
              <w:tab w:val="clear" w:pos="7609"/>
              <w:tab w:val="right" w:pos="9026" w:leader="dot"/>
            </w:tabs>
            <w:rPr/>
          </w:pPr>
          <w:hyperlink w:anchor="__RefHeading___Toc3360262_2314609296">
            <w:r>
              <w:rPr>
                <w:webHidden/>
                <w:rStyle w:val="IndexLink"/>
                <w:rtl w:val="true"/>
              </w:rPr>
              <w:t>الثاني</w:t>
            </w:r>
            <w:r>
              <w:rPr>
                <w:rStyle w:val="IndexLink"/>
                <w:rtl w:val="true"/>
              </w:rPr>
              <w:t xml:space="preserve">: </w:t>
            </w:r>
            <w:r>
              <w:rPr>
                <w:rStyle w:val="IndexLink"/>
                <w:rtl w:val="true"/>
              </w:rPr>
              <w:t>لو صبغ الثوب بصبغ مغصوب</w:t>
            </w:r>
            <w:r>
              <w:rPr>
                <w:rStyle w:val="IndexLink"/>
                <w:rtl w:val="true"/>
              </w:rPr>
              <w:tab/>
            </w:r>
            <w:r>
              <w:rPr>
                <w:rStyle w:val="IndexLink"/>
              </w:rPr>
              <w:t>386</w:t>
            </w:r>
          </w:hyperlink>
        </w:p>
        <w:p>
          <w:pPr>
            <w:pStyle w:val="Contents6"/>
            <w:tabs>
              <w:tab w:val="clear" w:pos="7609"/>
              <w:tab w:val="right" w:pos="9026" w:leader="dot"/>
            </w:tabs>
            <w:rPr/>
          </w:pPr>
          <w:hyperlink w:anchor="__RefHeading___Toc3360264_2314609296">
            <w:r>
              <w:rPr>
                <w:webHidden/>
                <w:rStyle w:val="IndexLink"/>
                <w:rtl w:val="true"/>
              </w:rPr>
              <w:t>الثالث</w:t>
            </w:r>
            <w:r>
              <w:rPr>
                <w:rStyle w:val="IndexLink"/>
                <w:rtl w:val="true"/>
              </w:rPr>
              <w:t xml:space="preserve">: </w:t>
            </w:r>
            <w:r>
              <w:rPr>
                <w:rStyle w:val="IndexLink"/>
                <w:rtl w:val="true"/>
              </w:rPr>
              <w:t>لا إشكال في جواز الصلاة لو أذن المالك الصلاة في المغصوب حتّى بالنسبة إلى الغاصب</w:t>
            </w:r>
            <w:r>
              <w:rPr>
                <w:rStyle w:val="IndexLink"/>
                <w:rtl w:val="true"/>
              </w:rPr>
              <w:tab/>
            </w:r>
            <w:r>
              <w:rPr>
                <w:rStyle w:val="IndexLink"/>
              </w:rPr>
              <w:t>387</w:t>
            </w:r>
          </w:hyperlink>
        </w:p>
        <w:p>
          <w:pPr>
            <w:pStyle w:val="Contents6"/>
            <w:tabs>
              <w:tab w:val="clear" w:pos="7609"/>
              <w:tab w:val="right" w:pos="9026" w:leader="dot"/>
            </w:tabs>
            <w:rPr/>
          </w:pPr>
          <w:hyperlink w:anchor="__RefHeading___Toc3360266_2314609296">
            <w:r>
              <w:rPr>
                <w:webHidden/>
                <w:rStyle w:val="IndexLink"/>
                <w:rtl w:val="true"/>
              </w:rPr>
              <w:t>بقي في المقام فروع مهمّة ينبغي التعرّض لها</w:t>
            </w:r>
            <w:r>
              <w:rPr>
                <w:rStyle w:val="IndexLink"/>
                <w:rtl w:val="true"/>
              </w:rPr>
              <w:t>.</w:t>
              <w:tab/>
            </w:r>
            <w:r>
              <w:rPr>
                <w:rStyle w:val="IndexLink"/>
              </w:rPr>
              <w:t>389</w:t>
            </w:r>
          </w:hyperlink>
        </w:p>
        <w:p>
          <w:pPr>
            <w:pStyle w:val="Contents6"/>
            <w:tabs>
              <w:tab w:val="clear" w:pos="7609"/>
              <w:tab w:val="right" w:pos="9026" w:leader="dot"/>
            </w:tabs>
            <w:rPr/>
          </w:pPr>
          <w:hyperlink w:anchor="__RefHeading___Toc3360268_2314609296">
            <w:r>
              <w:rPr>
                <w:webHidden/>
                <w:rStyle w:val="IndexLink"/>
                <w:rtl w:val="true"/>
              </w:rPr>
              <w:t>الأول</w:t>
            </w:r>
            <w:r>
              <w:rPr>
                <w:rStyle w:val="IndexLink"/>
                <w:rtl w:val="true"/>
              </w:rPr>
              <w:t xml:space="preserve">: </w:t>
            </w:r>
            <w:r>
              <w:rPr>
                <w:rStyle w:val="IndexLink"/>
                <w:rtl w:val="true"/>
              </w:rPr>
              <w:t>يتحقّق الستر بكلّ ما يكون ساترا بحسب نوعه و طبعه</w:t>
            </w:r>
            <w:r>
              <w:rPr>
                <w:rStyle w:val="IndexLink"/>
                <w:rtl w:val="true"/>
              </w:rPr>
              <w:tab/>
            </w:r>
            <w:r>
              <w:rPr>
                <w:rStyle w:val="IndexLink"/>
              </w:rPr>
              <w:t>389</w:t>
            </w:r>
          </w:hyperlink>
        </w:p>
        <w:p>
          <w:pPr>
            <w:pStyle w:val="Contents6"/>
            <w:tabs>
              <w:tab w:val="clear" w:pos="7609"/>
              <w:tab w:val="right" w:pos="9026" w:leader="dot"/>
            </w:tabs>
            <w:rPr/>
          </w:pPr>
          <w:hyperlink w:anchor="__RefHeading___Toc3360270_2314609296">
            <w:r>
              <w:rPr>
                <w:webHidden/>
                <w:rStyle w:val="IndexLink"/>
                <w:rtl w:val="true"/>
              </w:rPr>
              <w:t>الثاني</w:t>
            </w:r>
            <w:r>
              <w:rPr>
                <w:rStyle w:val="IndexLink"/>
                <w:rtl w:val="true"/>
              </w:rPr>
              <w:t xml:space="preserve">: </w:t>
            </w:r>
            <w:r>
              <w:rPr>
                <w:rStyle w:val="IndexLink"/>
                <w:rtl w:val="true"/>
              </w:rPr>
              <w:t>الستر واجب في الصلاة و إن لم يكن هناك ناظر محترم</w:t>
            </w:r>
            <w:r>
              <w:rPr>
                <w:rStyle w:val="IndexLink"/>
                <w:rtl w:val="true"/>
              </w:rPr>
              <w:tab/>
            </w:r>
            <w:r>
              <w:rPr>
                <w:rStyle w:val="IndexLink"/>
              </w:rPr>
              <w:t>390</w:t>
            </w:r>
          </w:hyperlink>
        </w:p>
        <w:p>
          <w:pPr>
            <w:pStyle w:val="Contents6"/>
            <w:tabs>
              <w:tab w:val="clear" w:pos="7609"/>
              <w:tab w:val="right" w:pos="9026" w:leader="dot"/>
            </w:tabs>
            <w:rPr/>
          </w:pPr>
          <w:hyperlink w:anchor="__RefHeading___Toc3360272_2314609296">
            <w:r>
              <w:rPr>
                <w:webHidden/>
                <w:rStyle w:val="IndexLink"/>
                <w:rtl w:val="true"/>
              </w:rPr>
              <w:t>الثالث</w:t>
            </w:r>
            <w:r>
              <w:rPr>
                <w:rStyle w:val="IndexLink"/>
                <w:rtl w:val="true"/>
              </w:rPr>
              <w:t xml:space="preserve">: </w:t>
            </w:r>
            <w:r>
              <w:rPr>
                <w:rStyle w:val="IndexLink"/>
                <w:rtl w:val="true"/>
              </w:rPr>
              <w:t>وجوب الستر في الصلاة إنّما هو وجوب شرطي لا تكليفي محض</w:t>
            </w:r>
            <w:r>
              <w:rPr>
                <w:rStyle w:val="IndexLink"/>
                <w:rtl w:val="true"/>
              </w:rPr>
              <w:tab/>
            </w:r>
            <w:r>
              <w:rPr>
                <w:rStyle w:val="IndexLink"/>
              </w:rPr>
              <w:t>391</w:t>
            </w:r>
          </w:hyperlink>
        </w:p>
        <w:p>
          <w:pPr>
            <w:pStyle w:val="Contents6"/>
            <w:tabs>
              <w:tab w:val="clear" w:pos="7609"/>
              <w:tab w:val="right" w:pos="9026" w:leader="dot"/>
            </w:tabs>
            <w:rPr/>
          </w:pPr>
          <w:hyperlink w:anchor="__RefHeading___Toc3360274_2314609296">
            <w:r>
              <w:rPr>
                <w:webHidden/>
                <w:rStyle w:val="IndexLink"/>
                <w:rtl w:val="true"/>
              </w:rPr>
              <w:t>الخامس</w:t>
            </w:r>
            <w:r>
              <w:rPr>
                <w:rStyle w:val="IndexLink"/>
                <w:rtl w:val="true"/>
              </w:rPr>
              <w:t xml:space="preserve">: </w:t>
            </w:r>
            <w:r>
              <w:rPr>
                <w:rStyle w:val="IndexLink"/>
                <w:rtl w:val="true"/>
              </w:rPr>
              <w:t>قد عرفت فيما تقدّم الكلام في الستر بالحشيش</w:t>
            </w:r>
            <w:r>
              <w:rPr>
                <w:rStyle w:val="IndexLink"/>
                <w:rtl w:val="true"/>
              </w:rPr>
              <w:tab/>
            </w:r>
            <w:r>
              <w:rPr>
                <w:rStyle w:val="IndexLink"/>
              </w:rPr>
              <w:t>398</w:t>
            </w:r>
          </w:hyperlink>
        </w:p>
        <w:p>
          <w:pPr>
            <w:pStyle w:val="Contents6"/>
            <w:tabs>
              <w:tab w:val="clear" w:pos="7609"/>
              <w:tab w:val="right" w:pos="9026" w:leader="dot"/>
            </w:tabs>
            <w:rPr/>
          </w:pPr>
          <w:hyperlink w:anchor="__RefHeading___Toc3360276_2314609296">
            <w:r>
              <w:rPr>
                <w:webHidden/>
                <w:rStyle w:val="IndexLink"/>
                <w:rtl w:val="true"/>
              </w:rPr>
              <w:t>الفرع السادس</w:t>
            </w:r>
            <w:r>
              <w:rPr>
                <w:rStyle w:val="IndexLink"/>
                <w:rtl w:val="true"/>
              </w:rPr>
              <w:t xml:space="preserve">: </w:t>
            </w:r>
            <w:r>
              <w:rPr>
                <w:rStyle w:val="IndexLink"/>
                <w:rtl w:val="true"/>
              </w:rPr>
              <w:t>من لم يجد شيئا يستر به عورته للصلاة</w:t>
            </w:r>
            <w:r>
              <w:rPr>
                <w:rStyle w:val="IndexLink"/>
                <w:rtl w:val="true"/>
              </w:rPr>
              <w:tab/>
            </w:r>
            <w:r>
              <w:rPr>
                <w:rStyle w:val="IndexLink"/>
              </w:rPr>
              <w:t>402</w:t>
            </w:r>
          </w:hyperlink>
        </w:p>
        <w:p>
          <w:pPr>
            <w:pStyle w:val="Contents6"/>
            <w:tabs>
              <w:tab w:val="clear" w:pos="7609"/>
              <w:tab w:val="right" w:pos="9026" w:leader="dot"/>
            </w:tabs>
            <w:rPr/>
          </w:pPr>
          <w:hyperlink w:anchor="__RefHeading___Toc3360278_2314609296">
            <w:r>
              <w:rPr>
                <w:webHidden/>
                <w:rStyle w:val="IndexLink"/>
                <w:rtl w:val="true"/>
              </w:rPr>
              <w:t>الفرع السابع</w:t>
            </w:r>
            <w:r>
              <w:rPr>
                <w:rStyle w:val="IndexLink"/>
                <w:rtl w:val="true"/>
              </w:rPr>
              <w:t xml:space="preserve">: </w:t>
            </w:r>
            <w:r>
              <w:rPr>
                <w:rStyle w:val="IndexLink"/>
                <w:rtl w:val="true"/>
              </w:rPr>
              <w:t>لا إشكال في أنّه تشرع الجماعة للعراة بل تستحبّ</w:t>
            </w:r>
            <w:r>
              <w:rPr>
                <w:rStyle w:val="IndexLink"/>
                <w:rtl w:val="true"/>
              </w:rPr>
              <w:t>.</w:t>
              <w:tab/>
            </w:r>
            <w:r>
              <w:rPr>
                <w:rStyle w:val="IndexLink"/>
              </w:rPr>
              <w:t>404</w:t>
            </w:r>
          </w:hyperlink>
        </w:p>
        <w:p>
          <w:pPr>
            <w:pStyle w:val="Contents6"/>
            <w:tabs>
              <w:tab w:val="clear" w:pos="7609"/>
              <w:tab w:val="right" w:pos="9026" w:leader="dot"/>
            </w:tabs>
            <w:rPr/>
          </w:pPr>
          <w:hyperlink w:anchor="__RefHeading___Toc3360280_2314609296">
            <w:r>
              <w:rPr>
                <w:webHidden/>
                <w:rStyle w:val="IndexLink"/>
                <w:rtl w:val="true"/>
              </w:rPr>
              <w:t>المقام الرابع</w:t>
            </w:r>
            <w:r>
              <w:rPr>
                <w:rStyle w:val="IndexLink"/>
                <w:rtl w:val="true"/>
              </w:rPr>
              <w:t xml:space="preserve">: </w:t>
            </w:r>
            <w:r>
              <w:rPr>
                <w:rStyle w:val="IndexLink"/>
                <w:rtl w:val="true"/>
              </w:rPr>
              <w:t>في تحديد الحائل الذي يكون رافعا للمانعية أو الكراهة</w:t>
            </w:r>
            <w:r>
              <w:rPr>
                <w:rStyle w:val="IndexLink"/>
                <w:rtl w:val="true"/>
              </w:rPr>
              <w:t>.</w:t>
              <w:tab/>
            </w:r>
            <w:r>
              <w:rPr>
                <w:rStyle w:val="IndexLink"/>
              </w:rPr>
              <w:t>408</w:t>
            </w:r>
          </w:hyperlink>
        </w:p>
        <w:p>
          <w:pPr>
            <w:pStyle w:val="Contents6"/>
            <w:tabs>
              <w:tab w:val="clear" w:pos="7609"/>
              <w:tab w:val="right" w:pos="9026" w:leader="dot"/>
            </w:tabs>
            <w:rPr/>
          </w:pPr>
          <w:hyperlink w:anchor="__RefHeading___Toc3360282_2314609296">
            <w:r>
              <w:rPr>
                <w:webHidden/>
                <w:rStyle w:val="IndexLink"/>
                <w:rtl w:val="true"/>
              </w:rPr>
              <w:t>اشارة</w:t>
            </w:r>
            <w:r>
              <w:rPr>
                <w:rStyle w:val="IndexLink"/>
                <w:rtl w:val="true"/>
              </w:rPr>
              <w:tab/>
            </w:r>
            <w:r>
              <w:rPr>
                <w:rStyle w:val="IndexLink"/>
              </w:rPr>
              <w:t>408</w:t>
            </w:r>
          </w:hyperlink>
        </w:p>
        <w:p>
          <w:pPr>
            <w:pStyle w:val="Contents6"/>
            <w:tabs>
              <w:tab w:val="clear" w:pos="7609"/>
              <w:tab w:val="right" w:pos="9026" w:leader="dot"/>
            </w:tabs>
            <w:rPr/>
          </w:pPr>
          <w:hyperlink w:anchor="__RefHeading___Toc3360284_2314609296">
            <w:r>
              <w:rPr>
                <w:webHidden/>
                <w:rStyle w:val="IndexLink"/>
                <w:rtl w:val="true"/>
              </w:rPr>
              <w:t>هذا تمام الكلام في أصل المسألة</w:t>
            </w:r>
            <w:r>
              <w:rPr>
                <w:rStyle w:val="IndexLink"/>
                <w:rtl w:val="true"/>
              </w:rPr>
              <w:t xml:space="preserve">. </w:t>
            </w:r>
            <w:r>
              <w:rPr>
                <w:rStyle w:val="IndexLink"/>
                <w:rtl w:val="true"/>
              </w:rPr>
              <w:t>بقي في المقام فروع ينبغي التنبيه عليها</w:t>
            </w:r>
            <w:r>
              <w:rPr>
                <w:rStyle w:val="IndexLink"/>
                <w:rtl w:val="true"/>
              </w:rPr>
              <w:t>:</w:t>
              <w:tab/>
            </w:r>
            <w:r>
              <w:rPr>
                <w:rStyle w:val="IndexLink"/>
              </w:rPr>
              <w:t>413</w:t>
            </w:r>
          </w:hyperlink>
        </w:p>
        <w:p>
          <w:pPr>
            <w:pStyle w:val="Contents6"/>
            <w:tabs>
              <w:tab w:val="clear" w:pos="7609"/>
              <w:tab w:val="right" w:pos="9026" w:leader="dot"/>
            </w:tabs>
            <w:rPr/>
          </w:pPr>
          <w:hyperlink w:anchor="__RefHeading___Toc3360286_2314609296">
            <w:r>
              <w:rPr>
                <w:webHidden/>
                <w:rStyle w:val="IndexLink"/>
                <w:rtl w:val="true"/>
              </w:rPr>
              <w:t>الأول</w:t>
            </w:r>
            <w:r>
              <w:rPr>
                <w:rStyle w:val="IndexLink"/>
                <w:rtl w:val="true"/>
              </w:rPr>
              <w:t xml:space="preserve">: </w:t>
            </w:r>
            <w:r>
              <w:rPr>
                <w:rStyle w:val="IndexLink"/>
                <w:rtl w:val="true"/>
              </w:rPr>
              <w:t>هل يعتبر في مانعية المحاذاة أن تكون كلّ من صلاة الرجل و المرأة صحيحة من غير جهة المحاذاة أو لا يعتبر ذلك</w:t>
            </w:r>
            <w:r>
              <w:rPr>
                <w:rStyle w:val="IndexLink"/>
                <w:rtl w:val="true"/>
              </w:rPr>
              <w:tab/>
            </w:r>
            <w:r>
              <w:rPr>
                <w:rStyle w:val="IndexLink"/>
              </w:rPr>
              <w:t>413</w:t>
            </w:r>
          </w:hyperlink>
        </w:p>
        <w:p>
          <w:pPr>
            <w:pStyle w:val="Contents6"/>
            <w:tabs>
              <w:tab w:val="clear" w:pos="7609"/>
              <w:tab w:val="right" w:pos="9026" w:leader="dot"/>
            </w:tabs>
            <w:rPr/>
          </w:pPr>
          <w:hyperlink w:anchor="__RefHeading___Toc3360288_2314609296">
            <w:r>
              <w:rPr>
                <w:webHidden/>
                <w:rStyle w:val="IndexLink"/>
                <w:rtl w:val="true"/>
              </w:rPr>
              <w:t>الفرع الثاني</w:t>
            </w:r>
            <w:r>
              <w:rPr>
                <w:rStyle w:val="IndexLink"/>
                <w:rtl w:val="true"/>
              </w:rPr>
              <w:t xml:space="preserve">: </w:t>
            </w:r>
            <w:r>
              <w:rPr>
                <w:rStyle w:val="IndexLink"/>
                <w:rtl w:val="true"/>
              </w:rPr>
              <w:t>لو علم أحدهما بفساد صلاة الآخر من غير جهة المحاذاة في أول الأمر</w:t>
            </w:r>
            <w:r>
              <w:rPr>
                <w:rStyle w:val="IndexLink"/>
                <w:rtl w:val="true"/>
              </w:rPr>
              <w:tab/>
            </w:r>
            <w:r>
              <w:rPr>
                <w:rStyle w:val="IndexLink"/>
              </w:rPr>
              <w:t>414</w:t>
            </w:r>
          </w:hyperlink>
        </w:p>
        <w:p>
          <w:pPr>
            <w:pStyle w:val="Contents6"/>
            <w:tabs>
              <w:tab w:val="clear" w:pos="7609"/>
              <w:tab w:val="right" w:pos="9026" w:leader="dot"/>
            </w:tabs>
            <w:rPr/>
          </w:pPr>
          <w:hyperlink w:anchor="__RefHeading___Toc3360290_2314609296">
            <w:r>
              <w:rPr>
                <w:webHidden/>
                <w:rStyle w:val="IndexLink"/>
                <w:rtl w:val="true"/>
              </w:rPr>
              <w:t>الفرع الثالث</w:t>
            </w:r>
            <w:r>
              <w:rPr>
                <w:rStyle w:val="IndexLink"/>
                <w:rtl w:val="true"/>
              </w:rPr>
              <w:t xml:space="preserve">: </w:t>
            </w:r>
            <w:r>
              <w:rPr>
                <w:rStyle w:val="IndexLink"/>
                <w:rtl w:val="true"/>
              </w:rPr>
              <w:t>لا إشكال في أنّه لا يجب عليه الاستفسار و الاستخبار من الآخر في صحّة صلاته و فسادها عند الشكّ فيها</w:t>
            </w:r>
            <w:r>
              <w:rPr>
                <w:rStyle w:val="IndexLink"/>
                <w:rtl w:val="true"/>
              </w:rPr>
              <w:tab/>
            </w:r>
            <w:r>
              <w:rPr>
                <w:rStyle w:val="IndexLink"/>
              </w:rPr>
              <w:t>414</w:t>
            </w:r>
          </w:hyperlink>
        </w:p>
        <w:p>
          <w:pPr>
            <w:pStyle w:val="Contents6"/>
            <w:tabs>
              <w:tab w:val="clear" w:pos="7609"/>
              <w:tab w:val="right" w:pos="9026" w:leader="dot"/>
            </w:tabs>
            <w:rPr/>
          </w:pPr>
          <w:hyperlink w:anchor="__RefHeading___Toc3360292_2314609296">
            <w:r>
              <w:rPr>
                <w:webHidden/>
                <w:rStyle w:val="IndexLink"/>
                <w:rtl w:val="true"/>
              </w:rPr>
              <w:t>الفرع الرابع</w:t>
            </w:r>
            <w:r>
              <w:rPr>
                <w:rStyle w:val="IndexLink"/>
                <w:rtl w:val="true"/>
              </w:rPr>
              <w:t xml:space="preserve">: </w:t>
            </w:r>
            <w:r>
              <w:rPr>
                <w:rStyle w:val="IndexLink"/>
                <w:rtl w:val="true"/>
              </w:rPr>
              <w:t>لو عرض لأحد الصلاتين الفساد في الأثناء فهل هو كالفساد من أول الأمر</w:t>
            </w:r>
            <w:r>
              <w:rPr>
                <w:rStyle w:val="IndexLink"/>
                <w:rtl w:val="true"/>
              </w:rPr>
              <w:tab/>
            </w:r>
            <w:r>
              <w:rPr>
                <w:rStyle w:val="IndexLink"/>
              </w:rPr>
              <w:t>415</w:t>
            </w:r>
          </w:hyperlink>
        </w:p>
        <w:p>
          <w:pPr>
            <w:pStyle w:val="Contents6"/>
            <w:tabs>
              <w:tab w:val="clear" w:pos="7609"/>
              <w:tab w:val="right" w:pos="9026" w:leader="dot"/>
            </w:tabs>
            <w:rPr/>
          </w:pPr>
          <w:hyperlink w:anchor="__RefHeading___Toc3360294_2314609296">
            <w:r>
              <w:rPr>
                <w:webHidden/>
                <w:rStyle w:val="IndexLink"/>
                <w:rtl w:val="true"/>
              </w:rPr>
              <w:t>الفرع الخامس</w:t>
            </w:r>
            <w:r>
              <w:rPr>
                <w:rStyle w:val="IndexLink"/>
                <w:rtl w:val="true"/>
              </w:rPr>
              <w:t xml:space="preserve">: </w:t>
            </w:r>
            <w:r>
              <w:rPr>
                <w:rStyle w:val="IndexLink"/>
                <w:rtl w:val="true"/>
              </w:rPr>
              <w:t>هل مانعية المحاذاة مطلقة أو مقصورة بصورة الاختيار؟ و الالتفات</w:t>
            </w:r>
            <w:r>
              <w:rPr>
                <w:rStyle w:val="IndexLink"/>
                <w:rtl w:val="true"/>
              </w:rPr>
              <w:tab/>
            </w:r>
            <w:r>
              <w:rPr>
                <w:rStyle w:val="IndexLink"/>
              </w:rPr>
              <w:t>415</w:t>
            </w:r>
          </w:hyperlink>
        </w:p>
        <w:p>
          <w:pPr>
            <w:pStyle w:val="Contents6"/>
            <w:tabs>
              <w:tab w:val="clear" w:pos="7609"/>
              <w:tab w:val="right" w:pos="9026" w:leader="dot"/>
            </w:tabs>
            <w:rPr/>
          </w:pPr>
          <w:hyperlink w:anchor="__RefHeading___Toc3360296_2314609296">
            <w:r>
              <w:rPr>
                <w:webHidden/>
                <w:rStyle w:val="IndexLink"/>
                <w:rtl w:val="true"/>
              </w:rPr>
              <w:t>الفرع السادس</w:t>
            </w:r>
            <w:r>
              <w:rPr>
                <w:rStyle w:val="IndexLink"/>
                <w:rtl w:val="true"/>
              </w:rPr>
              <w:t xml:space="preserve">: </w:t>
            </w:r>
            <w:r>
              <w:rPr>
                <w:rStyle w:val="IndexLink"/>
                <w:rtl w:val="true"/>
              </w:rPr>
              <w:t>لا عبرة بالفوقية و التحتية مع صدق كون أحدهما في يمين الآخر</w:t>
            </w:r>
            <w:r>
              <w:rPr>
                <w:rStyle w:val="IndexLink"/>
                <w:rtl w:val="true"/>
              </w:rPr>
              <w:tab/>
            </w:r>
            <w:r>
              <w:rPr>
                <w:rStyle w:val="IndexLink"/>
              </w:rPr>
              <w:t>416</w:t>
            </w:r>
          </w:hyperlink>
        </w:p>
        <w:p>
          <w:pPr>
            <w:pStyle w:val="Contents6"/>
            <w:tabs>
              <w:tab w:val="clear" w:pos="7609"/>
              <w:tab w:val="right" w:pos="9026" w:leader="dot"/>
            </w:tabs>
            <w:rPr/>
          </w:pPr>
          <w:hyperlink w:anchor="__RefHeading___Toc3360298_2314609296">
            <w:r>
              <w:rPr>
                <w:webHidden/>
                <w:rStyle w:val="IndexLink"/>
                <w:rtl w:val="true"/>
              </w:rPr>
              <w:t>الفرع السابع</w:t>
            </w:r>
            <w:r>
              <w:rPr>
                <w:rStyle w:val="IndexLink"/>
                <w:rtl w:val="true"/>
              </w:rPr>
              <w:t xml:space="preserve">: </w:t>
            </w:r>
            <w:r>
              <w:rPr>
                <w:rStyle w:val="IndexLink"/>
                <w:rtl w:val="true"/>
              </w:rPr>
              <w:t>لو كانا في موقف لا يمكنهما التباعد فإن كانا في ضيق الوقت صلّيا جميعا و سقط اعتبار عدم المحاذاة</w:t>
            </w:r>
            <w:r>
              <w:rPr>
                <w:rStyle w:val="IndexLink"/>
                <w:rtl w:val="true"/>
              </w:rPr>
              <w:tab/>
            </w:r>
            <w:r>
              <w:rPr>
                <w:rStyle w:val="IndexLink"/>
              </w:rPr>
              <w:t>417</w:t>
            </w:r>
          </w:hyperlink>
        </w:p>
        <w:p>
          <w:pPr>
            <w:pStyle w:val="Contents6"/>
            <w:tabs>
              <w:tab w:val="clear" w:pos="7609"/>
              <w:tab w:val="right" w:pos="9026" w:leader="dot"/>
            </w:tabs>
            <w:rPr/>
          </w:pPr>
          <w:hyperlink w:anchor="__RefHeading___Toc3360300_2314609296">
            <w:r>
              <w:rPr>
                <w:webHidden/>
                <w:rStyle w:val="IndexLink"/>
                <w:rtl w:val="true"/>
              </w:rPr>
              <w:t>الفرع الثامن</w:t>
            </w:r>
            <w:r>
              <w:rPr>
                <w:rStyle w:val="IndexLink"/>
                <w:rtl w:val="true"/>
              </w:rPr>
              <w:t xml:space="preserve">: </w:t>
            </w:r>
            <w:r>
              <w:rPr>
                <w:rStyle w:val="IndexLink"/>
                <w:rtl w:val="true"/>
              </w:rPr>
              <w:t>ظاهر أخبار الباب اختصاص الحكم بالرجل و المرأة</w:t>
            </w:r>
            <w:r>
              <w:rPr>
                <w:rStyle w:val="IndexLink"/>
                <w:rtl w:val="true"/>
              </w:rPr>
              <w:tab/>
            </w:r>
            <w:r>
              <w:rPr>
                <w:rStyle w:val="IndexLink"/>
              </w:rPr>
              <w:t>417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820_206432"/>
      <w:bookmarkStart w:id="1" w:name="pg19820_206432"/>
      <w:bookmarkEnd w:id="1"/>
    </w:p>
    <w:p>
      <w:pPr>
        <w:pStyle w:val="Heading2"/>
        <w:numPr>
          <w:ilvl w:val="1"/>
          <w:numId w:val="1"/>
        </w:numPr>
        <w:rPr/>
      </w:pPr>
      <w:bookmarkStart w:id="2" w:name="pg19820_206432"/>
      <w:bookmarkStart w:id="3" w:name="__RefHeading___Toc3359948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نایینی، محمدحسین، </w:t>
      </w:r>
      <w:r>
        <w:rPr>
          <w:rFonts w:ascii="IRNazanin" w:hAnsi="IRNazanin" w:eastAsia="IRNazanin"/>
          <w:color w:val="111111"/>
          <w:sz w:val="28"/>
          <w:sz w:val="28"/>
          <w:szCs w:val="28"/>
          <w:lang w:bidi="fa-IR"/>
        </w:rPr>
        <w:t>۱۲۳۹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افادات محمدحسین الغروی‌النائینی؛ تالیف محمدعلی الکاظمی الخراسانی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لجماعه المدرسین فی الحوزه العلمیه بقم، موسسه النشر اللاسلامی،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النشر‌الاسلامی، التابعه لجماعه‌المدرسین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بقم؛ </w:t>
      </w:r>
      <w:r>
        <w:rPr>
          <w:rFonts w:ascii="IRNazanin" w:hAnsi="IRNazanin" w:eastAsia="IRNazanin"/>
          <w:color w:val="111111"/>
          <w:sz w:val="28"/>
          <w:sz w:val="28"/>
          <w:szCs w:val="28"/>
          <w:lang w:bidi="fa-IR"/>
        </w:rPr>
        <w:t>۳۹۳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کاظمی خراسانی، محمدعلی، </w:t>
      </w:r>
      <w:r>
        <w:rPr>
          <w:rFonts w:ascii="IRNazanin" w:hAnsi="IRNazanin" w:eastAsia="IRNazanin"/>
          <w:color w:val="111111"/>
          <w:sz w:val="28"/>
          <w:sz w:val="28"/>
          <w:szCs w:val="28"/>
          <w:lang w:bidi="fa-IR"/>
        </w:rPr>
        <w:t>۱۸۹۱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دفترانتشارات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۵۸۲۷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59950_2314609296"/>
      <w:bookmarkStart w:id="6" w:name="_Toc2"/>
      <w:bookmarkEnd w:id="5"/>
      <w:r>
        <w:rPr>
          <w:rtl w:val="true"/>
        </w:rPr>
        <w:t>اشارة</w:t>
      </w:r>
      <w:bookmarkStart w:id="7" w:name="pg19820_206436"/>
      <w:bookmarkEnd w:id="6"/>
    </w:p>
    <w:p>
      <w:pPr>
        <w:pStyle w:val="Heading2"/>
        <w:numPr>
          <w:ilvl w:val="1"/>
          <w:numId w:val="1"/>
        </w:numPr>
        <w:rPr/>
      </w:pPr>
      <w:bookmarkStart w:id="8" w:name="__RefHeading___Toc3359952_2314609296"/>
      <w:bookmarkStart w:id="9" w:name="_Toc3"/>
      <w:bookmarkEnd w:id="7"/>
      <w:bookmarkEnd w:id="8"/>
      <w:r>
        <w:rPr>
          <w:rtl w:val="true"/>
        </w:rPr>
        <w:t>آية اللّٰه الكاظمي رائد العلم و الاجتهاد</w:t>
      </w:r>
      <w:bookmarkEnd w:id="9"/>
    </w:p>
    <w:p>
      <w:pPr>
        <w:pStyle w:val="Heading3"/>
        <w:numPr>
          <w:ilvl w:val="2"/>
          <w:numId w:val="1"/>
        </w:numPr>
        <w:rPr/>
      </w:pPr>
      <w:bookmarkStart w:id="10" w:name="__RefHeading___Toc3359954_2314609296"/>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عاش هذا الرائد الفذ، و هو يتسنّم هذه المكانة المرموقة في حاضرة النجف الأشرف عاصمة العلم و الدين، و معقل الجهاد و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ظلّت تثقل هذه الحاضرة الإسلامية ميّزتان لم تتميّز بها حاضرة علمية أخرى في العالم الإسلامي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مدفن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مزاره، و عتبته المقدسة، و سدّته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موطن العلم، و معقل الدين، و مطمح أنظار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الميزة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مهبط الخير و البركة، و الأمان و الإيمان، و البقعة التي يستلهم منها المسلمون نهج الهداية و الحق، و السبيل الأقوم إلى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الميزة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كعبة الرواد و المتعطشين، ممن قيض اللّٰه فيهم روح الاجتهاد في العلم، و نزعة التفقه في الدين، ليكونوا مصابيح للهداية، و نذرا للحق، حتى يرجع المسلمون إليهم في معالم دينهم، و هم حفظة التراث، و حملة الشريعة، و خزّان العلم، و الأمناء على القيادة الإسلامية</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3359956_2314609296"/>
      <w:bookmarkStart w:id="13" w:name="_Toc5"/>
      <w:bookmarkEnd w:id="12"/>
      <w:r>
        <w:rPr>
          <w:rtl w:val="true"/>
        </w:rPr>
        <w:t>حاضرة النجف الأشرف</w:t>
      </w:r>
      <w:r>
        <w:rPr>
          <w:rtl w:val="true"/>
        </w:rPr>
        <w:t>:</w:t>
      </w:r>
      <w:bookmarkEnd w:id="13"/>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اختار السلف الصالح من العلماء هذه المدينة المقدسة عاصمة للعلم، و معقلا للجهاد و الاجتهاد، إذ كان الراقد فيها باب مدينة علم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قائد جهاده، و إمام أمته، و قد سدّت الأبواب إلّا بابه، ذلك الذي يؤتى منه الوحي و الرسالة، و العلم و الحكمة</w:t>
      </w:r>
      <w:r>
        <w:rPr>
          <w:rFonts w:eastAsia="Amiri" w:cs="Amiri" w:ascii="Amiri" w:hAnsi="Amiri"/>
          <w:color w:val="111111"/>
          <w:sz w:val="28"/>
          <w:szCs w:val="28"/>
          <w:rtl w:val="true"/>
          <w:lang w:bidi="ar-SA"/>
        </w:rPr>
        <w:t>.</w:t>
      </w:r>
      <w:bookmarkStart w:id="14" w:name="pg19820_206437"/>
    </w:p>
    <w:p>
      <w:pPr>
        <w:pStyle w:val="BookText"/>
        <w:rPr/>
      </w:pPr>
      <w:bookmarkEnd w:id="14"/>
      <w:r>
        <w:rPr>
          <w:rFonts w:ascii="Amiri" w:hAnsi="Amiri" w:eastAsia="Amiri" w:cs="Amiri"/>
          <w:color w:val="111111"/>
          <w:sz w:val="28"/>
          <w:sz w:val="28"/>
          <w:szCs w:val="28"/>
          <w:rtl w:val="true"/>
          <w:lang w:bidi="ar-SA"/>
        </w:rPr>
        <w:t>و على هذا الصعيد الطيب برز علماء أفذاذ، انتهت إليهم المرجعية و القيادة الإسلامية العامة، تحولت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الشريعة، حتى بلغت ذروة الكمال و الإبداع، و الحركة المفتوحة الدائية، التي ظلت تواكب الحياة و تسايرها، و تعالج مشاكلها، و تستجيب الى متطلّباتها، كما ظلّت طريقها الأمثل الى الهداية و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هذا الاجتهاد المتجدد في الشريعة من شأنه أن يصلح حياة المسلمين بالمعايير الشرعية، و يقم شئونها على معرفة ما أحلّ اللّٰه و ما حرّم، و على ما يجب الاجتناب منه، و ما يلزم الأخذ به، و هو ينير معالم الطريق، و يرشد المسلمين الى صوابهم، و يجنّبهم متاهات الضلالة، لئلا يسلكوها، كما سلكها غيرهم من الأمم و الشعوب، و حتى لا يفقدوا شخصيتهم و قدسيتهم، و حياتهم الحرّة الكريمة التي خططها لهم الإسلام، و لئلا ينحرفوا عن مسيرتهم إلى السعادة الأبدية، و الى الزلفى من اللّٰه</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3359958_2314609296"/>
      <w:bookmarkStart w:id="16" w:name="_Toc6"/>
      <w:bookmarkEnd w:id="15"/>
      <w:r>
        <w:rPr>
          <w:rtl w:val="true"/>
        </w:rPr>
        <w:t>ميزة الدراسة الحرّة</w:t>
      </w:r>
      <w:r>
        <w:rPr>
          <w:rtl w:val="true"/>
        </w:rPr>
        <w:t>:</w:t>
      </w:r>
      <w:bookmarkEnd w:id="16"/>
    </w:p>
    <w:p>
      <w:pPr>
        <w:pStyle w:val="BookText"/>
        <w:rPr/>
      </w:pPr>
      <w:r>
        <w:rPr>
          <w:rFonts w:ascii="Amiri" w:hAnsi="Amiri" w:eastAsia="Amiri" w:cs="Amiri"/>
          <w:color w:val="111111"/>
          <w:sz w:val="28"/>
          <w:sz w:val="28"/>
          <w:szCs w:val="28"/>
          <w:rtl w:val="true"/>
          <w:lang w:bidi="ar-SA"/>
        </w:rPr>
        <w:t>و لضمان هذه المسيرة الإسلامية، ذات القيادة الرائدة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الى الحوزة العلمية أن تقوم برسالة التفقه في الدين، و الاجتهاد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المنطلق تميّزت أروقة هذه الحوزة بطلب العلم للعلم، و التفقه في الدين للدين، كما تميّزت بالدراسة الحرّة ذات العمق و الأصالة، و التجرّد عن الأغراض، حتى درج طلابها على أن يؤثروا الفقر على الغنى، و الهجرة عن الأوطان، تفرّغا للتحصيل و طلبا للعلم في سبيل إعلاء كلمة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واقعته هذه الدراسة الحرّة أن امتاز أسلوبها بالجدل و النقاش، و تقضي الحقائق و الوجوه المختلفة التي تحتملها المسائل العلمية المطروحة، ثم اختيار ما هو الأحرى بالدليل، و الألجن بالحجة، و الأصلح بالأخذ و الاعتبار</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يمضي الطالب في تحصيل العلم، تنمو مواهبه، و تتفتح آفاقه، لا يغفل عن قول أو احتمال، يستعرض الحقائق العلمية بجهد متواصل، يسير غورها،</w:t>
      </w:r>
      <w:bookmarkStart w:id="17" w:name="pg19820_206438"/>
    </w:p>
    <w:p>
      <w:pPr>
        <w:pStyle w:val="BookText"/>
        <w:rPr/>
      </w:pPr>
      <w:bookmarkEnd w:id="17"/>
      <w:r>
        <w:rPr>
          <w:rFonts w:ascii="Amiri" w:hAnsi="Amiri" w:eastAsia="Amiri" w:cs="Amiri"/>
          <w:color w:val="111111"/>
          <w:sz w:val="28"/>
          <w:sz w:val="28"/>
          <w:szCs w:val="28"/>
          <w:rtl w:val="true"/>
          <w:lang w:bidi="ar-SA"/>
        </w:rPr>
        <w:t>و يسكنه دقائقها، الأمر الذي كان يدفع بالحوزة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الجدّة و التحوّل، و الإبداع في فهم الشريعة جديدا بجديد، وفق تطور الحياة، و مستلزماتها الزمنية</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3359960_2314609296"/>
      <w:bookmarkStart w:id="19" w:name="_Toc7"/>
      <w:bookmarkEnd w:id="18"/>
      <w:r>
        <w:rPr>
          <w:rtl w:val="true"/>
        </w:rPr>
        <w:t>تقييم الفقه الإسلامي</w:t>
      </w:r>
      <w:r>
        <w:rPr>
          <w:rtl w:val="true"/>
        </w:rPr>
        <w:t>:</w:t>
      </w:r>
      <w:bookmarkEnd w:id="19"/>
    </w:p>
    <w:p>
      <w:pPr>
        <w:pStyle w:val="BookText"/>
        <w:rPr/>
      </w:pPr>
      <w:r>
        <w:rPr>
          <w:rFonts w:ascii="Amiri" w:hAnsi="Amiri" w:eastAsia="Amiri" w:cs="Amiri"/>
          <w:color w:val="111111"/>
          <w:sz w:val="28"/>
          <w:sz w:val="28"/>
          <w:szCs w:val="28"/>
          <w:rtl w:val="true"/>
          <w:lang w:bidi="ar-SA"/>
        </w:rPr>
        <w:t>و واضح من أن الفقه الإسلامي هو القانون الإلهي، الذي يستوعب جميع مدارج الحياة، على مستوى التعامل مع اللّٰه عبادة و طاعة، و التعامل مع المجتمع تعايشا و مسالمة و على هذا الأساس فإن الاهتمام في تحرّي الحقائق الفقهية دقة و إحاطة ممّا تدفع إليه الضرورة القصوى في متابعة العمل بها من جانب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يمكن لفقيه عادل أن يفتي من جراب النورة، أو أن يستحسن حكما من دون حجة شرعية، أو مبرّر فقهي، حتى يكون ذلك منجزا في حقّ المكلّفين، و معذرا للمفتين، إن أصاب فله أجران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الإصابة و أجر الاجتهاد، و ان أخطأ فله أجر واحد هو أجر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يتحرّى المجتهد هذه المحاولة في رعاية الحجج و الذرائع، تلك الشي‌ء أجاز الشارع ممارستها في الوصول الى حكم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تجدر الإشارة إليه، أنه ليس معنى الاجتهاد إصابة واقع معيّن محفوظ في اللوح المحفوظ، و إلّا للزم أن يتحد المجتهدون في إصابة حكم اللّٰه الواقعي و هم يختلفون في الفتيا و القول بالتصويب أيضا يستلزم أن تكون الأحكام الإلهية تابعة لآراء المجتهدين و ظنونهم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وظيفة المجتهد ان يلتمس الطرق و الأمارات، و يتبنى الأصول العامة الموضوعة من قبل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 حكم ذلك فيما توصّل إليه من حكم فهو حكم اللّٰه تعالى في حقّ المكلّفين من عباده</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3359962_2314609296"/>
      <w:bookmarkStart w:id="21" w:name="_Toc8"/>
      <w:bookmarkEnd w:id="20"/>
      <w:r>
        <w:rPr>
          <w:rtl w:val="true"/>
        </w:rPr>
        <w:t>مقومات هذه الشخصية العملاقة</w:t>
      </w:r>
      <w:r>
        <w:rPr>
          <w:rtl w:val="true"/>
        </w:rPr>
        <w:t>:</w:t>
      </w:r>
      <w:bookmarkEnd w:id="21"/>
    </w:p>
    <w:p>
      <w:pPr>
        <w:pStyle w:val="BookText"/>
        <w:rPr/>
      </w:pPr>
      <w:r>
        <w:rPr>
          <w:rFonts w:ascii="Amiri" w:hAnsi="Amiri" w:eastAsia="Amiri" w:cs="Amiri"/>
          <w:color w:val="111111"/>
          <w:sz w:val="28"/>
          <w:sz w:val="28"/>
          <w:szCs w:val="28"/>
          <w:rtl w:val="true"/>
          <w:lang w:bidi="ar-SA"/>
        </w:rPr>
        <w:t>و في هذه الحاضرة المتميزة لمع آية اللّٰه العظمى الكاظمي، و نبغ في الفقه و الأصول، حتى أصبح رائدا للعلم و الاجتهاد، و أسوة للكمال و الفضيلة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حقا أحد العلماء المتفكرين، و القادة الهداة المبدعين، بما استطاع ان يقدّم</w:t>
      </w:r>
    </w:p>
    <w:p>
      <w:pPr>
        <w:pStyle w:val="BookText"/>
        <w:rPr/>
      </w:pPr>
      <w:r>
        <w:rPr>
          <w:rFonts w:ascii="Amiri" w:hAnsi="Amiri" w:eastAsia="Amiri" w:cs="Amiri"/>
          <w:color w:val="111111"/>
          <w:sz w:val="28"/>
          <w:sz w:val="28"/>
          <w:szCs w:val="28"/>
          <w:rtl w:val="true"/>
          <w:lang w:bidi="ar-SA"/>
        </w:rPr>
        <w:t>لروّاد العلم من مقوّمات الاجتهاد، و قد خلّف وراءه آثارا فريدة، من مبان للعلم، و حملة للفقه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المحقّق آقا بزرگ الطهراني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الشيخ محمّد علي بن الشيخ حسن بن الشيخ محمّد الجمالي القابچي الخراساني الكاظمي عالم كبير و مدرس جليل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جده الشيخ محمّد ممن له شرف الخدمة في مرقد الإمامين الكاظمين و من أسره تعرف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الجمالي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فيها بعض أهل الفضل و العلم منهم الشيخ عباس الذي كان مشتغلا في سامراء برهة و في الكاظمية و النجف أيضا، و كان من قدماء أصدقائنا، و هو والد الدكتور محمّد فاضل الجمالي الذي هو من رجال التربية ثم السياسة المعروفين في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الشيخ حسن من أجلاء علماء عصره و قد تقدم ذكره في 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له ثلاثة أولاد الميرزا مهدي و هو كبيرهم، و المترجم له و هو الأوسط، و الحاج محمّد جواد و هو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كلهم من العلوية الجليلة حفيده العلامة السيد صادق الطباطبائي المعروف بالسنگلجي صاحب المقبرة المشهورة في مشهد عبد العظيم الحسني عليه السّلام بالري، كما حدّثني به المرحوم المترجم له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كما أخبرني به نقلا عن خط والده في سامراء في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نشأ على أبيه الجليل فمال الى طلب العلم دون أخويه، فلازم خدمة والده سفرا و حضرا، و اقتبس من معارفه كثيرا، و أكمل الأوليات في مشهد الرضا عليه السّلام، ثم حضر في سطوح الفقه و الأصول على السيد آقا حسين القمي و الميرزا محمّد ابن شيخنا الكاظم الخراساني، و بعثه والده بعد ذلك الى النجف الأشرف للتكميل فوصل كربلاء في أوائل سنة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فيها شهرين لازم فيهما بحث الشيخ محمّد تقي الشيرازي، ثم هبط النجف فحضر حلقة درس كل واحد من مشاهير علمائها أياما للاختبار، فلم يرق له منها إلا ما كان رجحه له والده و أشار به عليه، و هو درس الحجة الميرزا محمّد حسين النائيني، فلازم تمام دروسه في مباحث الأصول و الفقه ليلا و نهارا، و كان يكتب تقريرات دروسه كلها، و تقدم في الفضل و سطع نجمة،</w:t>
      </w:r>
    </w:p>
    <w:p>
      <w:pPr>
        <w:pStyle w:val="BookText"/>
        <w:rPr/>
      </w:pPr>
      <w:r>
        <w:rPr>
          <w:rFonts w:ascii="Amiri" w:hAnsi="Amiri" w:eastAsia="Amiri" w:cs="Amiri"/>
          <w:color w:val="111111"/>
          <w:sz w:val="28"/>
          <w:sz w:val="28"/>
          <w:szCs w:val="28"/>
          <w:rtl w:val="true"/>
          <w:lang w:bidi="ar-SA"/>
        </w:rPr>
        <w:t>و كثر فضله و نما علمه، و أشير إليه بين تلامذة النائيني، و لم يكن فيهم غير أفاضل المشتغلين و أجلاء المحصلين إلا عددا يسيرا، و كان الغالب فيهم و الظاهر عليهم التأثر باستاذهم الأجل المقدّس من الجمع بين العلم و العمل، في تلك المدرسة المثلي نشأ المترجم له، و على ذلك العالم الفحل تخرّج، و بين أولئك الأعلام نبغ و تفوّق، و تفتحت مواهبه و قابلياته، و عرف بالتحقيق و عمق الفكر و دقة النظر، و حلاوة المنطق، و حسن البيان و التحرير، فأخذ يقرر تقريرات أستاذه لغيره من تلامذة الشيخ و من دونهم في الفضل، و صار مدرّسا مشهورا على عهد أستاذه، و عالما مبرزا له في الأوساط العلمية مكانه الرفيع و احترامه اللائق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انتقل إلى رحمة اللّٰه و رضوانه ذلك العبد الصالح و الحبر البحر، و فجع به الإسلام و خسر به العلم و الدين دعامة من أكثر و أرسخ دعائمه، فبرز المترجم له و اتجهت أنظار الطلاب و المحصّلين المجدّين اليه فاستقلّ بالتدريس و انصرف إليه بكله، و تهافت عليه المشتغلون تهافت الفراش على النور لميزاته التي أشرنا إليها سابقا، و لما كانوا يرونه من رعاية أستاذه له و عنايته به و اعتماده عليه، و كان مجلس درسه من أكبر مجالس الدرس في النجف و أميزها كمية و كيفية، و اشتغل بالتدريس ليلا و نهارا، و كان دائم المذاكرة و المحاورة أينما حلّ، فما استقرّ به المجلس في مكان ما إلّا و سارع الى تحرير مسألة و دخل مع العلماء في النقاش، و كان مواظبا على الحضور في مقبرة أستاذه النائيني في الليالي مع جمع آخر من أفاضل تلامذة الشيخ و يطرحون فيما بينهم بعض الفروع المهمّة و يستمرّون على الخوض و الكلام في أطراف الموضوع الى أن يحين وقت غلق أبواب الصحن فيتفرقون</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قضى المترجم له بعد وفاة أستاذه عشر سنين على هذا المنوال من خدمة العلم و التضحية بالنفس في سبيله مواصلا العمل دون ملل أو كلل، و دون انقطاع و استراحة حتى ابتلي بالسكتة القلبية من كثرة الاجهاد و أخذت النوبات تعاوده و قضت عليه في المرة الثالثة عصر يوم الخميس الحادي عشر من ربيع الأول 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فكانت خسارة العلم به جسيمة و المصاب كبيرا، و غسّله تلميذه و وصيه</w:t>
      </w:r>
      <w:bookmarkStart w:id="22" w:name="pg19820_206441"/>
    </w:p>
    <w:p>
      <w:pPr>
        <w:pStyle w:val="BookText"/>
        <w:rPr/>
      </w:pPr>
      <w:bookmarkEnd w:id="22"/>
      <w:r>
        <w:rPr>
          <w:rFonts w:ascii="Amiri" w:hAnsi="Amiri" w:eastAsia="Amiri" w:cs="Amiri"/>
          <w:color w:val="111111"/>
          <w:sz w:val="28"/>
          <w:sz w:val="28"/>
          <w:szCs w:val="28"/>
          <w:rtl w:val="true"/>
          <w:lang w:bidi="ar-SA"/>
        </w:rPr>
        <w:t>الفاضل السيد جعفر بن محمّد المرعشي و دفن في مقبرة أستاذه النائيني، و أرخ وفاته السيد محمّد حسن آل الطالقاني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شريعة الحق أصيبت و الهدى أركانه الراسخة اليوم هوت</w:t>
      </w:r>
    </w:p>
    <w:p>
      <w:pPr>
        <w:pStyle w:val="BookText"/>
        <w:rPr/>
      </w:pPr>
      <w:r>
        <w:rPr>
          <w:rFonts w:ascii="Amiri" w:hAnsi="Amiri" w:eastAsia="Amiri" w:cs="Amiri"/>
          <w:color w:val="111111"/>
          <w:sz w:val="28"/>
          <w:sz w:val="28"/>
          <w:szCs w:val="28"/>
          <w:rtl w:val="true"/>
          <w:lang w:bidi="ar-SA"/>
        </w:rPr>
        <w:t>قضى علي فالعلوم بعده راياتها حزنا عليه نكست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الكل أصيب فالورى بفقده أرخته قد خسرت</w:t>
      </w:r>
    </w:p>
    <w:p>
      <w:pPr>
        <w:pStyle w:val="BookText"/>
        <w:rPr/>
      </w:pPr>
      <w:r>
        <w:rPr>
          <w:rFonts w:ascii="Amiri" w:hAnsi="Amiri" w:eastAsia="Amiri" w:cs="Amiri"/>
          <w:color w:val="111111"/>
          <w:sz w:val="28"/>
          <w:sz w:val="28"/>
          <w:szCs w:val="28"/>
          <w:rtl w:val="true"/>
          <w:lang w:bidi="ar-SA"/>
        </w:rPr>
        <w:t xml:space="preserve">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اضافة الى مجموع أرقام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آثاره قيمة فقد كتب من تقريرات أستاذه تمام دورة الأصول، و طبع منها في حياته و على عهد أستاذه في سنة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مجلّدان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في القطع و الظن، و الثاني في الأصول العملية كما ذكرناه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تقريظ أستاذه و ثناؤه عليه، و طبع بعد ذلك الجزء الثالث في مباحث الألفاظ و به تمت دورة الأصول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أعيد طبع بعضها، و نشرت له ترجمة في مقدّمته بقلمي </w:t>
      </w:r>
      <w:r>
        <w:rPr>
          <w:rStyle w:val="FootnoteAnchor"/>
          <w:rtl w:val="true"/>
        </w:rPr>
        <w:footnoteReference w:id="3"/>
      </w:r>
    </w:p>
    <w:p>
      <w:pPr>
        <w:pStyle w:val="Heading3"/>
        <w:numPr>
          <w:ilvl w:val="2"/>
          <w:numId w:val="1"/>
        </w:numPr>
        <w:rPr/>
      </w:pPr>
      <w:bookmarkStart w:id="23" w:name="__RefHeading___Toc3359964_2314609296"/>
      <w:bookmarkStart w:id="24" w:name="_Toc9"/>
      <w:bookmarkEnd w:id="23"/>
      <w:r>
        <w:rPr>
          <w:rtl w:val="true"/>
        </w:rPr>
        <w:t>ما قيل حول الكتاب</w:t>
      </w:r>
      <w:r>
        <w:rPr>
          <w:rtl w:val="true"/>
        </w:rPr>
        <w:t>:</w:t>
      </w:r>
      <w:bookmarkEnd w:id="24"/>
    </w:p>
    <w:p>
      <w:pPr>
        <w:pStyle w:val="BookText"/>
        <w:rPr/>
      </w:pPr>
      <w:r>
        <w:rPr>
          <w:rFonts w:ascii="IRNazanin" w:hAnsi="IRNazanin" w:eastAsia="IRNazanin"/>
          <w:color w:val="111111"/>
          <w:sz w:val="28"/>
          <w:sz w:val="28"/>
          <w:szCs w:val="28"/>
          <w:rtl w:val="true"/>
          <w:lang w:bidi="fa-IR"/>
        </w:rPr>
        <w:t>قال المحقّق الآقا بزرگ الطهراني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كتب في الفقه تمام تقريرات أستاذه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هذّبه و نقحه و عزم على طبعه و لم يمهله الأجل، و كتب من تقريراته أيضا كثيرا من كتاب التجارة لكنه لم يتمّه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الصلاة و اللباس المشكوك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مستقلّة غير ما هو تقرير أستاذه، و غير ذلك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3359966_2314609296"/>
      <w:bookmarkStart w:id="26" w:name="_Toc10"/>
      <w:bookmarkEnd w:id="25"/>
      <w:r>
        <w:rPr>
          <w:rtl w:val="true"/>
        </w:rPr>
        <w:t>أولاده</w:t>
      </w:r>
      <w:r>
        <w:rPr>
          <w:rtl w:val="true"/>
        </w:rPr>
        <w:t>:</w:t>
      </w:r>
      <w:bookmarkEnd w:id="26"/>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أعقب آية اللّٰه الكاظمي أولادا عديدين نخصّ بالذكر منهم حجة الإسلام و المسلمين الشيخ عباس الجمالي، و هو اليوم يقوم بالتدريس في السطوح العالية و إقامة الجماعة في طهران</w:t>
      </w:r>
      <w:r>
        <w:rPr>
          <w:rFonts w:eastAsia="Amiri" w:cs="Amiri" w:ascii="Amiri" w:hAnsi="Amiri"/>
          <w:color w:val="111111"/>
          <w:sz w:val="28"/>
          <w:szCs w:val="28"/>
          <w:rtl w:val="true"/>
          <w:lang w:bidi="ar-SA"/>
        </w:rPr>
        <w:t>.</w:t>
      </w:r>
      <w:bookmarkStart w:id="27" w:name="pg19820_206442"/>
    </w:p>
    <w:p>
      <w:pPr>
        <w:pStyle w:val="BookText"/>
        <w:rPr/>
      </w:pPr>
      <w:bookmarkEnd w:id="27"/>
      <w:r>
        <w:rPr>
          <w:rFonts w:ascii="Amiri" w:hAnsi="Amiri" w:eastAsia="Amiri" w:cs="Amiri"/>
          <w:color w:val="111111"/>
          <w:sz w:val="28"/>
          <w:sz w:val="28"/>
          <w:szCs w:val="28"/>
          <w:rtl w:val="true"/>
          <w:lang w:bidi="ar-SA"/>
        </w:rPr>
        <w:t xml:space="preserve">بسم اللّٰه الرّحمن الرّحيم و به نستعين كتاب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أربعة مقاصد</w:t>
      </w:r>
      <w:r>
        <w:rPr>
          <w:rFonts w:eastAsia="Amiri" w:cs="Amiri" w:ascii="Amiri" w:hAnsi="Amiri"/>
          <w:color w:val="111111"/>
          <w:sz w:val="28"/>
          <w:szCs w:val="28"/>
          <w:rtl w:val="true"/>
          <w:lang w:bidi="ar-SA"/>
        </w:rPr>
        <w:t>:]</w:t>
      </w:r>
    </w:p>
    <w:p>
      <w:pPr>
        <w:pStyle w:val="Heading2"/>
        <w:numPr>
          <w:ilvl w:val="1"/>
          <w:numId w:val="1"/>
        </w:numPr>
        <w:rPr/>
      </w:pPr>
      <w:bookmarkStart w:id="28" w:name="__RefHeading___Toc3359968_2314609296"/>
      <w:bookmarkStart w:id="29" w:name="_Toc11"/>
      <w:bookmarkEnd w:id="28"/>
      <w:r>
        <w:rPr>
          <w:rtl w:val="true"/>
        </w:rPr>
        <w:t>[</w:t>
      </w:r>
      <w:r>
        <w:rPr>
          <w:rtl w:val="true"/>
        </w:rPr>
        <w:t>المقصد الأوّل</w:t>
      </w:r>
      <w:r>
        <w:rPr>
          <w:rtl w:val="true"/>
        </w:rPr>
        <w:t>] [</w:t>
      </w:r>
      <w:r>
        <w:rPr>
          <w:rtl w:val="true"/>
        </w:rPr>
        <w:t>في أقسام الصلاة</w:t>
      </w:r>
      <w:r>
        <w:rPr>
          <w:rtl w:val="true"/>
        </w:rPr>
        <w:t>]</w:t>
      </w:r>
      <w:bookmarkEnd w:id="29"/>
    </w:p>
    <w:p>
      <w:pPr>
        <w:pStyle w:val="Heading3"/>
        <w:numPr>
          <w:ilvl w:val="2"/>
          <w:numId w:val="1"/>
        </w:numPr>
        <w:rPr/>
      </w:pPr>
      <w:bookmarkStart w:id="30" w:name="__RefHeading___Toc3359970_2314609296"/>
      <w:bookmarkStart w:id="31" w:name="_Toc12"/>
      <w:bookmarkEnd w:id="30"/>
      <w:r>
        <w:rPr>
          <w:rtl w:val="true"/>
        </w:rPr>
        <w:t>و قبل الدخول في المقصود ينبغي تمهيد مقال يشتمل على مقدّمتين</w:t>
      </w:r>
      <w:r>
        <w:rPr>
          <w:rtl w:val="true"/>
        </w:rPr>
        <w:t>:</w:t>
      </w:r>
      <w:bookmarkEnd w:id="31"/>
    </w:p>
    <w:p>
      <w:pPr>
        <w:pStyle w:val="Heading4"/>
        <w:numPr>
          <w:ilvl w:val="3"/>
          <w:numId w:val="1"/>
        </w:numPr>
        <w:rPr/>
      </w:pPr>
      <w:bookmarkStart w:id="32" w:name="__RefHeading___Toc3359972_2314609296"/>
      <w:bookmarkStart w:id="33" w:name="_Toc13"/>
      <w:bookmarkEnd w:id="32"/>
      <w:r>
        <w:rPr>
          <w:rtl w:val="true"/>
        </w:rPr>
        <w:t>الاولى</w:t>
      </w:r>
      <w:bookmarkEnd w:id="33"/>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و ان قد أطالوا الأعلام في البحث في شرح لفظة الصلاة و بيان معانيها اللغوية و العرفية إلّا أنّ الظاهر أنّه لا ثمرة مهمّة في ذلك بعد معلومية المراد منها، و أنّه صلّى اللّٰه عليه و آله استعملها في أول زمان البعثة في هذه العبادة الموظّفة المخترعة الإلهية التي هي رأس كل عبادة و ميزان كلّ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وردت هذه اللفظة في الكتاب و السنّة فالمراد منها هذا المعنى الذي نتعبّد به صباحا و مساء إلّا أن تقوم قرينة على أنّ المراد منها ليس هذا المعنى، و لا حاجة إلى إتعاب النفس و إثبات أنّ هذه العبادة كانت في الشرائع السابقة بزيادة و نقصان و أنّها كانت</w:t>
      </w:r>
      <w:bookmarkStart w:id="34" w:name="pg19820_206443"/>
    </w:p>
    <w:p>
      <w:pPr>
        <w:pStyle w:val="BookText"/>
        <w:rPr/>
      </w:pPr>
      <w:bookmarkEnd w:id="34"/>
      <w:r>
        <w:rPr>
          <w:rFonts w:ascii="Amiri" w:hAnsi="Amiri" w:eastAsia="Amiri" w:cs="Amiri"/>
          <w:color w:val="111111"/>
          <w:sz w:val="28"/>
          <w:sz w:val="28"/>
          <w:szCs w:val="28"/>
          <w:rtl w:val="true"/>
          <w:lang w:bidi="ar-SA"/>
        </w:rPr>
        <w:t>تسمّى بهذه اللفظة حتّى تكون حقيقة لغوية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إثبات ذلك لا يهمّنا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طريق لنا إلى إثباته، إذ تسمية تلك العبادة التي كانت في تلك الشرائع بلفظ الصلاة غير معلوم، و على تقدير العلم بذلك لم يعلم أنّ إطلاق لفظ الصلاة على ما كانوا يتعبّدون به في الشرائع السابقة بأيّ عناية كان، إذ من المحتمل أن يكون إطلاق الصلاة عليه بعناية معناها اللغوي و هو الدعاء لا من باب كونها وظيفة خاصّة إلهية و عبادة مخترعة شرعية كما هو كذلك في شرعنا، فإنّ ما وظّف في الشرائع السابقة لم يعلم ما هو، فلعلّه كان سنخ من الدعاء، فإطلاق الصلاة عليه من باب المعنى اللغوي، و هذا بخلاف الإطلاق في شرعنا، فإنّه ليس من ذلك الباب قطعا، و إنّما لفظ أطلق على موضوع خاصّ و معنى مخصوص مغاير للمعنى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عرفت أنّ إطلاق لفظ الصلاة على هذه العبادة الخاصّة كان من أول الأمر و أول البعثة كما يظهر ذلك من بعض التواريخ و الأخبار، فلا بدّ من حمل لفظة الصلاة على هذا المعنى كلّما وردت في الكتاب و السنّة، و لكن بعد اشتهارها في ذلك في لسانه صلّى اللّٰه عليه و آله و لسان تابعيه إلّا أن يقوم دليل على خلافه</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3359974_2314609296"/>
      <w:bookmarkStart w:id="36" w:name="_Toc14"/>
      <w:bookmarkEnd w:id="35"/>
      <w:r>
        <w:rPr>
          <w:rtl w:val="true"/>
        </w:rPr>
        <w:t>المقدّمة الثانية</w:t>
      </w:r>
      <w:bookmarkEnd w:id="3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اختلفت كلمات الأصحاب في أعداد الصلوات المفروضة، فربّما أنهاها بعض إلى تسعة و آخر إلى سبعة و غير ذلك ممّا يظهر للمتتبّع، هذا و لكن لا بدّ أن يكون التقسيم باعتبار اختلاف القيود و الخصوصيّات المأخوذة فيها الموجبة لاختلافها في نوعها بحسب الجعل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الخصوصية الموجبة للاختلاف في الصنف و الفرد فلا يكون ميزانا للتقسيم و إلّا لزادت الأقسام إلى ما لا يمكن إحصاؤها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ينبغي تقسيمها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العبادة المخترعة الشرعية التي تسمّى صلاة إمّا أن تكون مفروضة و إمّا أن تكون مسنونة، ثمّ المفروضة إمّا أن تكون مفروضة بحسب الجعل الأولي و إمّا أن يعرض لها وصف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فالمفروضة بحسب الأصل و الجعل الأولي على أنواع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الصلاة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الجمعة فإنها بدل عن الظهر في يومها و ليست هي مباينة لليومية في نوعها حتّى تعدّ قسما آخر في قبالها كما عن بعض، بل هي داخلة في اليومية حقيقة، و لا فرق في اليومية بين الأداء و القضاء من الوليّ و غيره، فإنّ القضاء هي الصلاة اليومية، غايته أنّه في خارج الوقت و ليس خصوصية الوقتية منوّعة بحيث تكون صلاة الظهر في وقتها مباينة لها في خارج الوقت في نوعها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 صلاة 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باعتبار اشتمالها على خصوصيّات و قيود تحفّها من الكيفية و الوقت تكون مباينة في نوعها لسائر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الثالث، صلاة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الخسوف و الكسوف و الزلزلة و كلّ آية، فإنّها بجميع أقسامها نوع واحد مباين لسائر أنواع الصلاة، غاية الأمر يكون الاختلاف في سبب الوجوب فإنّه تارة يكون الخسوف و اخرى يكون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الرابع، صلاة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و إن كانت بحسب الصورة كصلاة الصبح إلّا أنّه باعتبار أخذ زمان و مكان خاصّ فيها تكون مباينة في نوعها لباقي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الأنواع الأربع مفروضة بحسب الأصل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المفروضة بالعارض فكالمستأجر عليها و المنذورة و ما شابهها، و لكن</w:t>
      </w:r>
    </w:p>
    <w:p>
      <w:pPr>
        <w:pStyle w:val="BookText"/>
        <w:rPr/>
      </w:pPr>
      <w:r>
        <w:rPr>
          <w:rFonts w:ascii="Amiri" w:hAnsi="Amiri" w:eastAsia="Amiri" w:cs="Amiri"/>
          <w:color w:val="111111"/>
          <w:sz w:val="28"/>
          <w:sz w:val="28"/>
          <w:szCs w:val="28"/>
          <w:rtl w:val="true"/>
          <w:lang w:bidi="ar-SA"/>
        </w:rPr>
        <w:t>ينبغي أن يعلم أنّه ليست المفروضة بالعارض مباينة بالنوع للمفروضة بالأصل أو المسنونة بل هي متّحدة بالنوع لسائر الصلاة، و إنّما الاختلاف نشأ من سبب الوجوب كما تقدّم، فلو نذر صلاة الظهر أو صلاة الليل أو استؤجر عليها لم يخرج المنذور عن حقيقته قبل النذر بل هو باق على ما كان عليه من النوع، غاية الأمر أنّه عرض له وصف الوجوب بعد ما كان فاقدا له، و يلحقه بعض أحكام الصلاة الواجبة من وجوب الاستقبال و الاستقرار، و غير ذلك على ما يأتي تفصيله فيما بعد إن شاء اللّٰه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فعلم أنّ أنواع الصلاة المفروضة منحصرة في هذه الأربع، و صلاة الأموات لا ينبغي عدّها من هذه العبادة الخاصّة و الوظيفة المخصوصة بل هي أشبه شي‌ء بالصلاة بمعناها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حينئذ أن نرتّب كتاب الصلاة على فصول أربع، يبحث في كلّ فصل عن نوع من هذه الأنواع الأربع مع ما يلحقه من الأحكام و اللواحق</w:t>
      </w:r>
      <w:r>
        <w:rPr>
          <w:rFonts w:eastAsia="Amiri" w:cs="Amiri" w:ascii="Amiri" w:hAnsi="Amiri"/>
          <w:color w:val="111111"/>
          <w:sz w:val="28"/>
          <w:szCs w:val="28"/>
          <w:rtl w:val="true"/>
          <w:lang w:bidi="ar-SA"/>
        </w:rPr>
        <w:t>.</w:t>
      </w:r>
      <w:bookmarkStart w:id="37" w:name="pg19820_206446"/>
    </w:p>
    <w:p>
      <w:pPr>
        <w:pStyle w:val="Heading3"/>
        <w:numPr>
          <w:ilvl w:val="2"/>
          <w:numId w:val="1"/>
        </w:numPr>
        <w:rPr/>
      </w:pPr>
      <w:bookmarkStart w:id="38" w:name="__RefHeading___Toc3359976_2314609296"/>
      <w:bookmarkStart w:id="39" w:name="_Toc15"/>
      <w:bookmarkEnd w:id="37"/>
      <w:bookmarkEnd w:id="38"/>
      <w:r>
        <w:rPr>
          <w:rtl w:val="true"/>
        </w:rPr>
        <w:t>الفصل الأول في الصلوات اليومية</w:t>
      </w:r>
      <w:bookmarkEnd w:id="39"/>
    </w:p>
    <w:p>
      <w:pPr>
        <w:pStyle w:val="Heading4"/>
        <w:numPr>
          <w:ilvl w:val="3"/>
          <w:numId w:val="1"/>
        </w:numPr>
        <w:rPr/>
      </w:pPr>
      <w:bookmarkStart w:id="40" w:name="__RefHeading___Toc3359978_2314609296"/>
      <w:bookmarkStart w:id="41" w:name="_Toc16"/>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و فيه أركان، و ينبغي أولا تعداد ركعاتها و نوافلها،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و لا خلاف في أنّ عدد ركعاتها سبعة عشر في الحضر و إحدى عشر في السفر بإسقاط الركعتين الأخيرتين من الرباعيّات الثلاث، بل ربّما كاد أن يكون ذلك من ضروريّات الدين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النوافل فالمشهور المعروف بين الأعلام أنّها أربعة و ثلاثون ركعة، و لكن قد وردت طوائف من الأخبار أنّها ثلاثة و ثلاثون بإسقاط الوتيرة </w:t>
      </w:r>
      <w:r>
        <w:rPr>
          <w:rStyle w:val="FootnoteAnchor"/>
          <w:rtl w:val="true"/>
        </w:rPr>
        <w:footnoteReference w:id="5"/>
      </w:r>
      <w:r>
        <w:rPr>
          <w:rFonts w:ascii="Amiri" w:hAnsi="Amiri" w:eastAsia="Amiri" w:cs="Amiri"/>
          <w:color w:val="111111"/>
          <w:sz w:val="28"/>
          <w:sz w:val="28"/>
          <w:szCs w:val="28"/>
          <w:rtl w:val="true"/>
          <w:lang w:bidi="ar-SA"/>
        </w:rPr>
        <w:t xml:space="preserve">، أو تسعة و عشرون </w:t>
      </w:r>
      <w:r>
        <w:rPr>
          <w:rStyle w:val="FootnoteAnchor"/>
          <w:rtl w:val="true"/>
        </w:rPr>
        <w:footnoteReference w:id="6"/>
      </w:r>
      <w:r>
        <w:rPr>
          <w:rFonts w:ascii="Amiri" w:hAnsi="Amiri" w:eastAsia="Amiri" w:cs="Amiri"/>
          <w:color w:val="111111"/>
          <w:sz w:val="28"/>
          <w:sz w:val="28"/>
          <w:szCs w:val="28"/>
          <w:rtl w:val="true"/>
          <w:lang w:bidi="ar-SA"/>
        </w:rPr>
        <w:t xml:space="preserve">بإسقاط أربع من نافلة العصر أيضا أو سبعة و عشرون بإسقاط ركعتين من نافلة المغرب أيضا </w:t>
      </w:r>
      <w:r>
        <w:rPr>
          <w:rStyle w:val="FootnoteAnchor"/>
          <w:rtl w:val="true"/>
        </w:rPr>
        <w:footnoteReference w:id="7"/>
      </w:r>
      <w:r>
        <w:rPr>
          <w:rFonts w:ascii="Amiri" w:hAnsi="Amiri" w:eastAsia="Amiri" w:cs="Amiri"/>
          <w:color w:val="111111"/>
          <w:sz w:val="28"/>
          <w:sz w:val="28"/>
          <w:szCs w:val="28"/>
          <w:rtl w:val="true"/>
          <w:lang w:bidi="ar-SA"/>
        </w:rPr>
        <w:t>هذا و لكن حيث كانت هذه الطوائف ممّا أعرض عنها الأصحاب و إن كان يوجد بينها من الصحاح فلا بدّ إمّا من طرحها أو تأويلها بما لا ينافي ما عليه المشهور بل كاد أن يكون من المجمع عليه بل هو كذلك في هذه</w:t>
      </w:r>
    </w:p>
    <w:p>
      <w:pPr>
        <w:pStyle w:val="BookText"/>
        <w:rPr/>
      </w:pPr>
      <w:r>
        <w:rPr>
          <w:rFonts w:ascii="Amiri" w:hAnsi="Amiri" w:eastAsia="Amiri" w:cs="Amiri"/>
          <w:color w:val="111111"/>
          <w:sz w:val="28"/>
          <w:sz w:val="28"/>
          <w:szCs w:val="28"/>
          <w:rtl w:val="true"/>
          <w:lang w:bidi="ar-SA"/>
        </w:rPr>
        <w:t xml:space="preserve">الأعصار و يمكن حملها على زيادة مزية و تأكّد استحباب في سبعة و عشرين بحيث لم تكن تلك المزية في الساقط، لا أنّ الساقط لم يكن من النوافل المرتّبة و لعلّه يشعر إلى ذلك بعض الأخبار كقوله عليه السّلام لا تصلّ أقلّ من أربع و أربعين ركعة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 الكلام في صلاة الغفيلة و الوصية اللتين بين المغرب و العشاء و صلاة أربع ركعات بعد العشاء فهل هي من الرواتب الموظّفة في هذه الأوقات أو ليست كذلك، بل ربّما احتمل بعض عدم مشروعيّتها، و لكنّ الإنصاف أنّ صلاة الغفيلة في غاية الاعتبار، لأن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في مصباحه </w:t>
      </w:r>
      <w:r>
        <w:rPr>
          <w:rStyle w:val="FootnoteAnchor"/>
          <w:rtl w:val="true"/>
        </w:rPr>
        <w:footnoteReference w:id="9"/>
      </w:r>
      <w:r>
        <w:rPr>
          <w:rFonts w:ascii="Amiri" w:hAnsi="Amiri" w:eastAsia="Amiri" w:cs="Amiri"/>
          <w:color w:val="111111"/>
          <w:sz w:val="28"/>
          <w:sz w:val="28"/>
          <w:szCs w:val="28"/>
          <w:rtl w:val="true"/>
          <w:lang w:bidi="ar-SA"/>
        </w:rPr>
        <w:t>الذي هو متأخّر عن التهذيب و الاستبصار و كان عليه العمل، فهو في غاية القوّة، و لا يصغى إلى مناقشة بعض في مشروعيّتها أو عدّها من نافلة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الوصية فإنّها و إن لم تكن بتلك المثابة من الاعتبار على ما ذكره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بحثه إلّا أنّه ليس كذلك، فإنّها قد ذكرها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مصباحه </w:t>
      </w:r>
      <w:r>
        <w:rPr>
          <w:rStyle w:val="FootnoteAnchor"/>
          <w:rtl w:val="true"/>
        </w:rPr>
        <w:footnoteReference w:id="10"/>
      </w:r>
      <w:r>
        <w:rPr>
          <w:rFonts w:ascii="Amiri" w:hAnsi="Amiri" w:eastAsia="Amiri" w:cs="Amiri"/>
          <w:color w:val="111111"/>
          <w:sz w:val="28"/>
          <w:sz w:val="28"/>
          <w:szCs w:val="28"/>
          <w:rtl w:val="true"/>
          <w:lang w:bidi="ar-SA"/>
        </w:rPr>
        <w:t>فهي في الاعتبار كالغفيلة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أربع ركعات بعد العشاء فقد وردت رواية </w:t>
      </w:r>
      <w:r>
        <w:rPr>
          <w:rStyle w:val="FootnoteAnchor"/>
          <w:rtl w:val="true"/>
        </w:rPr>
        <w:footnoteReference w:id="11"/>
      </w:r>
      <w:r>
        <w:rPr>
          <w:rFonts w:ascii="Amiri" w:hAnsi="Amiri" w:eastAsia="Amiri" w:cs="Amiri"/>
          <w:color w:val="111111"/>
          <w:sz w:val="28"/>
          <w:sz w:val="28"/>
          <w:szCs w:val="28"/>
          <w:rtl w:val="true"/>
          <w:lang w:bidi="ar-SA"/>
        </w:rPr>
        <w:t>أنّ الصادق عليه السّلام كان يصلّيها بعد العشاء، و نقل عن بعض الأعلام العمل بها و مداومتها سفرا و حضرا، و لا بأس به بعد جبر ضعف الرواية لو كان بعمل بعض الأصحاب و بعد التسامح في أدلّة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جعلها من الرواتب الموظّفة الليلية مشكل، و الأمر في ذلك سهل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إشكال في سقوط نافلة الظهر و العصر في السفر في غير مواطن التخيير</w:t>
      </w:r>
    </w:p>
    <w:p>
      <w:pPr>
        <w:pStyle w:val="BookText"/>
        <w:rPr/>
      </w:pPr>
      <w:r>
        <w:rPr>
          <w:rFonts w:ascii="Amiri" w:hAnsi="Amiri" w:eastAsia="Amiri" w:cs="Amiri"/>
          <w:color w:val="111111"/>
          <w:sz w:val="28"/>
          <w:sz w:val="28"/>
          <w:szCs w:val="28"/>
          <w:rtl w:val="true"/>
          <w:lang w:bidi="ar-SA"/>
        </w:rPr>
        <w:t>و عدم سقوط نافلة المغرب و الصبح، إنّما الكلام في سقوط نافلة العشاء فيه و سقوط نافلة الظهر و العصر في مواطن التخيير و سقوط أربع ركعات التي تزاد في نافلة الظهر يوم الجمعة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سقوط نافلة العشاء في السفر فالمشهور على سقوطها بل ادّعي الإجماع عليه، للأخبار المستفيضة الدالّة على أنّ كلّ صلاة مقصورة في السفر تسقط نافلتها و في بعضها أنّ الصلاة في السفر ركعتان ليس قبلهما و لا بعدهما شي‌ء إلّا المغرب </w:t>
      </w:r>
      <w:r>
        <w:rPr>
          <w:rStyle w:val="FootnoteAnchor"/>
          <w:rtl w:val="true"/>
        </w:rPr>
        <w:footnoteReference w:id="12"/>
      </w:r>
      <w:r>
        <w:rPr>
          <w:rFonts w:ascii="Amiri" w:hAnsi="Amiri" w:eastAsia="Amiri" w:cs="Amiri"/>
          <w:color w:val="111111"/>
          <w:sz w:val="28"/>
          <w:sz w:val="28"/>
          <w:szCs w:val="28"/>
          <w:rtl w:val="true"/>
          <w:lang w:bidi="ar-SA"/>
        </w:rPr>
        <w:t>و لإشعار خبر أبي يحيى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عليه السّلام عن صلاة النافلة بالنهار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لو صلحت النافلة بالنهار في السفر تمّت الفريضة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يشعر بأنّ التمامية علّة لثبوت النافلة، و منه يعلم إشعاره بأنّ القصرية علّة للسقوط، فيدور الثبوت و السقوط مدار التمامية و القصرية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الأعلام عدم سقوطها لرواية فضل بن شاذان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صارت العشاء مقصورة و ليس تترك ركعتاها لأنّها زيادة في الخمسين تطوّعا ليتمّ بها بدل كلّ ركعة من الفريضة ركعتان من التطوّع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خبر ابن الضحّاك أنّه كان الرضا عليه السّلام يصلّي الوتيرة في السفر </w:t>
      </w:r>
      <w:r>
        <w:rPr>
          <w:rStyle w:val="FootnoteAnchor"/>
          <w:rtl w:val="true"/>
        </w:rPr>
        <w:footnoteReference w:id="15"/>
      </w:r>
      <w:r>
        <w:rPr>
          <w:rFonts w:ascii="Amiri" w:hAnsi="Amiri" w:eastAsia="Amiri" w:cs="Amiri"/>
          <w:color w:val="111111"/>
          <w:sz w:val="28"/>
          <w:sz w:val="28"/>
          <w:szCs w:val="28"/>
          <w:rtl w:val="true"/>
          <w:lang w:bidi="ar-SA"/>
        </w:rPr>
        <w:t>و بهذين الخبرين لأخصّيتهما و اشتمال الأول على التعليل خصوصا مع التسامح في أدلّة السنن لو كان فيهما ضعف يقوى في النظر عدم السقوط و إن ذهب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السقوط عملا بتلك المطلقات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سقوط نافلة الجمعة في السفر فالأقوى سقوطها، للأخبار المستفيضة من</w:t>
      </w:r>
    </w:p>
    <w:p>
      <w:pPr>
        <w:pStyle w:val="BookText"/>
        <w:rPr/>
      </w:pPr>
      <w:r>
        <w:rPr>
          <w:rFonts w:ascii="Amiri" w:hAnsi="Amiri" w:eastAsia="Amiri" w:cs="Amiri"/>
          <w:color w:val="111111"/>
          <w:sz w:val="28"/>
          <w:sz w:val="28"/>
          <w:szCs w:val="28"/>
          <w:rtl w:val="true"/>
          <w:lang w:bidi="ar-SA"/>
        </w:rPr>
        <w:t>سقوط النافلة النهارية، و هي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يعلم أنّه لو قلنا بأنّ النوافل إنّما هي للوقت لا للفريضة على أضعف الاحتمالين كان الأقوى أيضا السقوط، لأنّ الأخبار مصرّحة في سقوط النوافل النهارية في السفر، سواء كانت للوقت أو للفريضة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سقوط النوافل في مواضع التخيير كالحرمين فهل تسقط مطلقا سواء أتمّ أو قصّر أو أنّها لا تسقط مطلقا أو يفصّل بين الإتمام فلا تسقط و بين التقصير فتسقط؟ وجوه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السقوط مطلقا فلأنّ الصلاة في السفر بحسب الجعل الأولي مقصورة، و أنّ الإتمام في المواطن الأربعة رخصة، فإذا كانت بحسب الجعل مقصورة فلا بدّ من أن تسقط نافلتها، لما عرفت من الأخبار من أنّ كلّ صلاة مقصورة تسقط نافلتها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أنّ الصلاة في الحضر قد أخذت بالنسبة إلى الركعتين الآخرتين بشرط الانضمام، و في السفر في غير المواطن الأربعة بشرط لا، و في المواطن الأربعة لا بشرط، و معنى كونها لا بشرط أنّه للمكلّف إيقاعها تماما، و حينئذ يقع الكلام في أنّ الأخبار الدالّة على الملازمة بين القصر في الفريضة و سقوط نافلتها هل تدلّ على الملازمة فيما يجب التقصير و يتحتّم أو الأعمّ من ذلك و ممّا يجوز التقصير؟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قلنا بالأول فلا تكون دالّة على سقوط النافلة في مواطن التخيير لعدم تحتّم القصر فيها، فلا بدّ من الرجوع إلى عمومات مشروعية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 بالثاني فلا بدّ من سقوط لجواز التقصير في المواطن الأربعة، و لا يبعد استفادة هذا المعنى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النافلة تدور مدار تمامية الصلاة، بحيث كلّما وجبت الصلاة تماما فالنافلة تشرع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قيل بأنّ النافلة تدور مدار فعل الصلاة تماما، فإذا أتمّ في المواطن الأربعة فلا تسقط النافلة، و إن قصّر فتسقط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w:t>
      </w:r>
    </w:p>
    <w:p>
      <w:pPr>
        <w:pStyle w:val="BookText"/>
        <w:rPr/>
      </w:pPr>
      <w:r>
        <w:rPr>
          <w:rFonts w:ascii="Amiri" w:hAnsi="Amiri" w:eastAsia="Amiri" w:cs="Amiri"/>
          <w:color w:val="111111"/>
          <w:sz w:val="28"/>
          <w:sz w:val="28"/>
          <w:szCs w:val="28"/>
          <w:rtl w:val="true"/>
          <w:lang w:bidi="ar-SA"/>
        </w:rPr>
        <w:t xml:space="preserve">يشعر إلى ذلك خبر أبي يحيى الحنّاط </w:t>
      </w:r>
      <w:r>
        <w:rPr>
          <w:rStyle w:val="FootnoteAnchor"/>
          <w:rtl w:val="true"/>
        </w:rPr>
        <w:footnoteReference w:id="16"/>
      </w:r>
      <w:r>
        <w:rPr>
          <w:rFonts w:ascii="Amiri" w:hAnsi="Amiri" w:eastAsia="Amiri" w:cs="Amiri"/>
          <w:color w:val="111111"/>
          <w:sz w:val="28"/>
          <w:sz w:val="28"/>
          <w:szCs w:val="28"/>
          <w:rtl w:val="true"/>
          <w:lang w:bidi="ar-SA"/>
        </w:rPr>
        <w:t>المتقدّم، فتأمّل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الركن الأول من الفصل الأول في مقدّمات الصلاة التي يجب أو يستحبّ تحصيلها قبل فعل الصلاة، و فيه أبحاث</w:t>
      </w:r>
      <w:r>
        <w:rPr>
          <w:rFonts w:eastAsia="Amiri" w:cs="Amiri" w:ascii="Amiri" w:hAnsi="Amiri"/>
          <w:color w:val="111111"/>
          <w:sz w:val="28"/>
          <w:szCs w:val="28"/>
          <w:rtl w:val="true"/>
          <w:lang w:bidi="ar-SA"/>
        </w:rPr>
        <w:t>:</w:t>
      </w:r>
      <w:bookmarkStart w:id="42" w:name="pg19820_206451"/>
    </w:p>
    <w:p>
      <w:pPr>
        <w:pStyle w:val="Heading4"/>
        <w:numPr>
          <w:ilvl w:val="3"/>
          <w:numId w:val="1"/>
        </w:numPr>
        <w:rPr/>
      </w:pPr>
      <w:bookmarkStart w:id="43" w:name="__RefHeading___Toc3359980_2314609296"/>
      <w:bookmarkStart w:id="44" w:name="_Toc17"/>
      <w:bookmarkEnd w:id="42"/>
      <w:bookmarkEnd w:id="43"/>
      <w:r>
        <w:rPr>
          <w:rtl w:val="true"/>
        </w:rPr>
        <w:t>البحث الأول في المواقيت</w:t>
      </w:r>
      <w:bookmarkEnd w:id="44"/>
    </w:p>
    <w:p>
      <w:pPr>
        <w:pStyle w:val="Heading5"/>
        <w:numPr>
          <w:ilvl w:val="4"/>
          <w:numId w:val="1"/>
        </w:numPr>
        <w:rPr/>
      </w:pPr>
      <w:bookmarkStart w:id="45" w:name="__RefHeading___Toc3359982_2314609296"/>
      <w:bookmarkStart w:id="46" w:name="_Toc18"/>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و فيه مقامات</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3359984_2314609296"/>
      <w:bookmarkStart w:id="48" w:name="_Toc19"/>
      <w:bookmarkEnd w:id="47"/>
      <w:r>
        <w:rPr>
          <w:rtl w:val="true"/>
        </w:rPr>
        <w:t>المقام الأول في تعيين المواقيت من الوقت الاشتراكي و الاختصاصي للظهر و العصر</w:t>
      </w:r>
      <w:bookmarkEnd w:id="48"/>
    </w:p>
    <w:p>
      <w:pPr>
        <w:pStyle w:val="Heading6"/>
        <w:numPr>
          <w:ilvl w:val="5"/>
          <w:numId w:val="1"/>
        </w:numPr>
        <w:rPr/>
      </w:pPr>
      <w:bookmarkStart w:id="49" w:name="__RefHeading___Toc3359986_2314609296"/>
      <w:bookmarkStart w:id="50" w:name="_Toc20"/>
      <w:bookmarkEnd w:id="49"/>
      <w:r>
        <w:rPr>
          <w:rtl w:val="true"/>
        </w:rPr>
        <w:t>اشارة</w:t>
      </w:r>
      <w:bookmarkEnd w:id="5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فاعلم أنّه لا إشكال في أنّ أول وقت الظهر هو الزوال بل الإجماع منعقد عليه، و ما ورد من الأخبار من القدمين </w:t>
      </w:r>
      <w:r>
        <w:rPr>
          <w:rStyle w:val="FootnoteAnchor"/>
          <w:rtl w:val="true"/>
        </w:rPr>
        <w:footnoteReference w:id="17"/>
      </w:r>
      <w:r>
        <w:rPr>
          <w:rFonts w:ascii="IRNazanin" w:hAnsi="IRNazanin" w:eastAsia="IRNazanin"/>
          <w:color w:val="111111"/>
          <w:sz w:val="28"/>
          <w:sz w:val="28"/>
          <w:szCs w:val="28"/>
          <w:rtl w:val="true"/>
          <w:lang w:bidi="fa-IR"/>
        </w:rPr>
        <w:t xml:space="preserve">و المثل </w:t>
      </w:r>
      <w:r>
        <w:rPr>
          <w:rStyle w:val="FootnoteAnchor"/>
          <w:rtl w:val="true"/>
        </w:rPr>
        <w:footnoteReference w:id="18"/>
      </w:r>
      <w:r>
        <w:rPr>
          <w:rFonts w:ascii="Amiri" w:hAnsi="Amiri" w:eastAsia="Amiri" w:cs="Amiri"/>
          <w:color w:val="111111"/>
          <w:sz w:val="28"/>
          <w:sz w:val="28"/>
          <w:szCs w:val="28"/>
          <w:rtl w:val="true"/>
          <w:lang w:bidi="ar-SA"/>
        </w:rPr>
        <w:t>و أمثال ذلك محمول على وقت الفضيلة للمتنفّل، و ربّما يأتي الإشارة إليه، و كذلك لا إشكال و لا خلاف في صحّة فعل العصر عقيب فعل الظهر خلافا للعامّة، و كذا في العشاءين يدخل وقت المغرب بأول ذهاب الحمرة المشرقية، و يصحّ فعل العشاء عقيبها و إن لم يذهب الشفق نعم نقل عن بعض الأعلام لزوم تأخير العشاء إلى ذهاب الشفق كما هو كذلك عند العامّة أيضا، و لكن قد تواتر الأخبار بصحّتها قبل ذلك فلا ينبغي الشكّ فيه، و كذلك لا إشكال في امتداد وقت الظهر إلى مقدار أداء العصر قبل</w:t>
      </w:r>
    </w:p>
    <w:p>
      <w:pPr>
        <w:pStyle w:val="BookText"/>
        <w:rPr/>
      </w:pPr>
      <w:r>
        <w:rPr>
          <w:rFonts w:ascii="Amiri" w:hAnsi="Amiri" w:eastAsia="Amiri" w:cs="Amiri"/>
          <w:color w:val="111111"/>
          <w:sz w:val="28"/>
          <w:sz w:val="28"/>
          <w:szCs w:val="28"/>
          <w:rtl w:val="true"/>
          <w:lang w:bidi="ar-SA"/>
        </w:rPr>
        <w:t>الغروب، و صحّة فعل المغرب إلى مقدار أداء العشاء قبل الانتصاف أو قبل الفجر، على تفصيل يأتي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الخلاف و الإشكال في أنّ ما بين الزوال و الغروب وقت لمجموع الظهرين، و كذلك ما بين المغرب و انتصاف الليل وقت لمجموع العشاءين، أو أنّه يختصّ من أول الوقت بمقدار أداء الظهر كما أنّه يختصّ من آخر الوقت بمقدار أداء العصر، و كذلك في طرف العشاءين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الأقوال في المسألة ثلاثة على ما يظهر من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بأنّ ما بين الزوال و الغروب وقت لمجموع الفريضتين، غاية الأمر أنّه يجب فعل الظهر قبل العصر، و لازم هذا القول أنّه لو نسي الترتيب و صلّى العصر في أول الزوال صحّت صلاته بمقتضى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و قول بأنّه يختصّ من أول الوقت بمقدار أداء الظهر كما يختصّ من آخره بمقدار أداء العصر، بحيث لا تصحّ الشريكة فيه بحال من الأحوال، حتّى أنّه لو فرض أنّه صلّى الظهر قبل الزوال على وجه صحيح، كما إذا دخل الوقت و هو بعد لم يفرغ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يأتي تفصيله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فعل العصر قبل مضيّ مقدار أربع ركعات من الزوال، و كذلك لو صلّى العصر قبل فعل الظهر على وجه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يأتي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فعل الظهر في الوقت الاختصاصي لها، و هذا القول هو الاختصاص المطلق</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أن يكون عليه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الاختصاص في الجملة، بمعنى أنّه لو لم يصلّ الظهر على وجه صحيح لا تصحّ فعل العصر مطلقا و لو نسيانا في الوقت الاختصاصي للظهر، و كذلك في آخر الوقت لو لم يصلّ العصر على وجه صحيح لا يصحّ فعل الظهر في الوقت الاختصاصي للعصر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فرض أنّه قد صلّى</w:t>
      </w:r>
    </w:p>
    <w:p>
      <w:pPr>
        <w:pStyle w:val="BookText"/>
        <w:rPr/>
      </w:pPr>
      <w:r>
        <w:rPr>
          <w:rFonts w:ascii="Amiri" w:hAnsi="Amiri" w:eastAsia="Amiri" w:cs="Amiri"/>
          <w:color w:val="111111"/>
          <w:sz w:val="28"/>
          <w:sz w:val="28"/>
          <w:szCs w:val="28"/>
          <w:rtl w:val="true"/>
          <w:lang w:bidi="ar-SA"/>
        </w:rPr>
        <w:t>الظهر على وجه صحيح قبل الزوال، و كذا صلّى العصر على وجه صحيح قبل فعل الظهر تصحّ فعل العصر عقيبها و إن وقعت في الوقت المختصّ للظهر، و كذلك تصحّ الظهر في الفرض الثاني و إن وقعت في الوقت الاختصاصي للعصر، و هذا القول هو المعتمد و عليه تنطبق الأخبار بعد تقييد مطلقاتها و تحكيم نصوصها، فلا بدّ أولا من ذكر الأخبار الواردة في المقام حتّى يتّضح حقيقة الحال، و هي على طوائف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بمجرّد الزوال يدخل وقت الظهرين، كرواية محمّد بن علي ابن الحسين بإسناده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زالت الشمس دخل الوقتان الظهر و العصر، فإذا غابت الشمس دخل الوقتان المغرب و العشاء الآخرة </w:t>
      </w:r>
      <w:r>
        <w:rPr>
          <w:rStyle w:val="FootnoteAnchor"/>
          <w:rtl w:val="true"/>
        </w:rPr>
        <w:footnoteReference w:id="20"/>
      </w:r>
      <w:r>
        <w:rPr>
          <w:rFonts w:ascii="Amiri" w:hAnsi="Amiri" w:eastAsia="Amiri" w:cs="Amiri"/>
          <w:color w:val="111111"/>
          <w:sz w:val="28"/>
          <w:sz w:val="28"/>
          <w:szCs w:val="28"/>
          <w:rtl w:val="true"/>
          <w:lang w:bidi="ar-SA"/>
        </w:rPr>
        <w:t>و قد ورد بهذا المضمون عدّة روايات بأسانيد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هذا المعنى بزيادة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هذه قبل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كرواية محمّد بن يعقوب عن علي بن محمّد و محمّد بن الحسن جميعا عن سهل بن زياد عن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أصحابنا أنّه إذا زالت الشمس فقد دخل وقت الظهر و العصر، و إذا غربت دخل وقت المغرب و العشاء الآخرة، إلّا أنّ هذه قبل هذه في السفر و الحضر، و أنّ وقت المغرب إلى ربع الليل،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الوقت غير أنّ وقت المغرب ضيّق </w:t>
      </w:r>
      <w:r>
        <w:rPr>
          <w:rStyle w:val="FootnoteAnchor"/>
          <w:rtl w:val="true"/>
        </w:rPr>
        <w:footnoteReference w:id="21"/>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أيضا بزيادة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أنت في وقت منهما جميعا حتّى تغيب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كرواية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w:t>
      </w:r>
    </w:p>
    <w:p>
      <w:pPr>
        <w:pStyle w:val="BookText"/>
        <w:rPr/>
      </w:pPr>
      <w:r>
        <w:rPr>
          <w:rFonts w:ascii="Amiri" w:hAnsi="Amiri" w:eastAsia="Amiri" w:cs="Amiri"/>
          <w:color w:val="111111"/>
          <w:sz w:val="28"/>
          <w:sz w:val="28"/>
          <w:szCs w:val="28"/>
          <w:rtl w:val="true"/>
          <w:lang w:bidi="ar-SA"/>
        </w:rPr>
        <w:t>وقت الظهر و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زالت الشمس فقد دخل وقت الظهر و العصر جميعا، إلّا أنّ هذه قبل هذه، ثمّ أنت في وقت منهما جميعا حتّى تغيب الشمس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اختصاص أول الوقت بالظهر و آخر الوقت بالعصر، و كذا العشاءان، كرواية داود بن فرقد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زالت الشمس فقد دخل وقت الظهر حتّى يمضي مقدار ما يصلّي المصلّي أربع ركعات، فإذا مضى ذلك فقد دخل وقت الظهر و العصر، حتّى يبقى من الشمس مقدار ما يصلّي المصلّي أربع ركعات، فإذا بقي مقدار ذلك فقد خرج وقت الظهر و بقي وقت العصر حتّى تغيب الشمس </w:t>
      </w:r>
      <w:r>
        <w:rPr>
          <w:rStyle w:val="FootnoteAnchor"/>
          <w:rtl w:val="true"/>
        </w:rPr>
        <w:footnoteReference w:id="23"/>
      </w:r>
      <w:r>
        <w:rPr>
          <w:rFonts w:ascii="Amiri" w:hAnsi="Amiri" w:eastAsia="Amiri" w:cs="Amiri"/>
          <w:color w:val="111111"/>
          <w:sz w:val="28"/>
          <w:sz w:val="28"/>
          <w:szCs w:val="28"/>
          <w:rtl w:val="true"/>
          <w:lang w:bidi="ar-SA"/>
        </w:rPr>
        <w:t>و بهذا التفصيل ذكر وقت العشاءين في تتمّة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جملة الأخبار الواردة في المقام، فينبغي أن يعلم ما يتحصّل من مجموعها و ما يستفاد منها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الطائفة الأولى فهي كالصريحة في أنّ بمجرّد الزوال يدخل الوقتان، بحيث يصلح هذا الزمان لوقوع أيّ من الصلاتين فيه، فتدلّ على صحّة العصر في أول الزوال، سواء كان قد صلّى الظهر أو لم يصلّها، فدلالتها على صحّة العصر في أول الوقت في الجملة بالصراحة، و إن كان بالنسبة إلى فعل الظهر و عدمه يكون بالإطلاق و الظهور، إذ لو لم تصحّ العصر في أول الوقت بوجه من الوجوه و حال من الأحوال لم يبق مورد 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زال الزوال دخل الوقتان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واضح</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الطائفة الثانية و هي المشتملة على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هذه قبل</w:t>
      </w:r>
    </w:p>
    <w:p>
      <w:pPr>
        <w:pStyle w:val="BookText"/>
        <w:rPr/>
      </w:pP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أنّها ليست في مقام شرطية الترتيب من دون تصرّف في الوقت، فإنّه لا وجه لذكر خصوص الترتيب من بين الشرائط، فينبغي حينئذ أن يعدّ سائر الشرائط أيضا كالقبلة و الطهور و أمثال ذلك، مع أنّه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الاستثناء منقطعا، إذ لو كان في مقام بيان شرطية الترتيب فقط من دون تعرّض للوقت لا تكون جملة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هذه قبل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مرتبطة بما قبلها و هو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زال الزوال دخل الوقتان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عقد المستثنى منه إنّما سيق لبيان الوقت المضروب للصلاة، و المفروض أنّ عقد المستثنى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لبيان شرطية الترتيب، و شرطية الترتيب لا دخل لها بالوقت المضروب للفعل، فيكون الاستثناء منقطعا، و هو خلاف الأصل كما بيّن في محلّه، فلا بدّ من أن يكون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هذه قبل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جعل مقدار من الوقت للأولى و يرتبط حينئذ بما قبله، فكأنّه أراد عليه السّلام بهذه الجملة تقييد ما أطلقه أولا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 الزوال دخل الوقتان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أنّ أول الوقت إنّما هو للصلاة الاولى، و لذا عقّبه عليه السّلام بما في الطائفة الثالثة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أنت في وقت منهما جميعا حتّى تغيب الشمس</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فالطائفة الثالثة أقوى دليل على أنّ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هذه قبل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تخصيص أول بالأولى، و إلّا لم يكن معنى 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أنت في وقت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لم تكن الجملة لبيان تعيين الوقت و تخصيصه، بل لبيان شرطية الترتيب فقط، فالمكلّف من أول الوقت في وقت منهما جميعا و الترتيب شرط في تمام الوقت، فلا معنى لقوله عليه السّلام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أنت في وقت منهما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التعقيب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بيان شرطية الترتيب لا موقع له إلّا لإفادة سقوط الترتيب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ضروري البطلان، فالتعقيب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يصلح إذا كان ما قبلها و هو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هذه قبل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w:t>
      </w:r>
    </w:p>
    <w:p>
      <w:pPr>
        <w:pStyle w:val="BookText"/>
        <w:rPr/>
      </w:pPr>
      <w:r>
        <w:rPr>
          <w:rFonts w:ascii="Amiri" w:hAnsi="Amiri" w:eastAsia="Amiri" w:cs="Amiri"/>
          <w:color w:val="111111"/>
          <w:sz w:val="28"/>
          <w:sz w:val="28"/>
          <w:szCs w:val="28"/>
          <w:rtl w:val="true"/>
          <w:lang w:bidi="ar-SA"/>
        </w:rPr>
        <w:t>تخصيص الوقت و جعله أوله للأولى، فينطبق على ما في الطائفة الرابعة، و هي رواية داود بن فرقد و أمثالها ممّا دلّ على اختصاص أول الوقت بالظهر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ظهر ضعف القول الأول و هو أنّ ما بين الزوال و الغروب وقت لمجموع الصلاتين، بحيث لو نسي الظهر و صلّى العصر في أول الزوال تقع صحيحة بمقتضى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لأنّ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هذه قبل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على أزيد من اشتراط الترتيب، و هو كسائر الشرائط عند النسيان يسقط، و رواية داود بن فرقد الدالة على الاختصاص ضعيف السند، لا يقاوم ما دلّ من المطلقات من أنّه إذا زال الزوال دخل الوقتان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أنّ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هذه قبل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الاختصاص بالبيان المتقدّم، و أمّا رواية داود بن فرقد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كونها معتبرة في نفسها كما يظهر بالمراجعة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جبرها عمل المعظم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فيما استفاده المعظم من أنّ الاختصاص إنّما هو فيما إذا لم يصلّ صاحبة الوقت، و أمّا إذا كان قد صلّاها بوجه صحيح تصحّ الشريكة في الوقت الاختصاصي، في مقابل من يقول بالاختصاص المطلق بحيث لم تصحّ الشريكة في الوقت المختصّ بحال من الأحوال و إن كان قد صلّى صاحب الوقت قبله بوجه صحيح، و الحقّ أنّهم قد أجادوا فيما استفادوه من الأخبار، و لا محيص عن استفادة ذلك منها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رواية داود بن فرقد إنّما تدلّ على الاختصاص المطلق بالإطلاق، فإنّ قوله عليه السّلام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مضى ذلك فقد دخل وقت الظهر و العصر حتّى</w:t>
      </w:r>
    </w:p>
    <w:p>
      <w:pPr>
        <w:pStyle w:val="BookText"/>
        <w:rPr/>
      </w:pPr>
      <w:r>
        <w:rPr>
          <w:rFonts w:ascii="Amiri" w:hAnsi="Amiri" w:eastAsia="Amiri" w:cs="Amiri"/>
          <w:color w:val="111111"/>
          <w:sz w:val="28"/>
          <w:sz w:val="28"/>
          <w:szCs w:val="28"/>
          <w:rtl w:val="true"/>
          <w:lang w:bidi="ar-SA"/>
        </w:rPr>
        <w:t xml:space="preserve">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يدلّ على عدم دخول وقت العصر حتّى يمضي مقدار أربع ركعات من أول الوقت، سواء قد صلّى الظهر قبل ذلك على وجه صحيح أو لم يصلّها، فدلالتها على عدم دخول وقت العصر عند فعل الظهر قبل الزوال على وجه صحيح، كما إذا ظنّ بدخول الوقت فشرع في الصلاة و دخل عليه الوقت و هو بعد في الصلاة و لو قبل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اعتبار الظنّ في باب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يكون بالإطلاق، مع أنّ دلالة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زال الزوال فقد دخل الوقتان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تقييده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هذه قبل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صلاحية فعل العصر في أول الوقت في الجملة إنّما يكون بالنصوصية، إذ لو لم تصحّ العصر في وقت الظهر بحال من الأحوال لم يبق مورد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الوقتان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لا بدّ من تقييد إطلاق رواية داود بن فرقد بما إذا لم يصلّ الظهر على وجه صحيح قبل دخول الوقت، و يبقى الصورة الأخرى و هي ما إذا صلّى الظهر قبل ذلك داخلة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زال الزوال دخل الوقتان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بخلاف ما إذا أخذنا بإطلاق رواية داود، فإنّه لم يبق مورد حينئذ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الوقتان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باب تحكيم النصّ على المطلق يستفاد ما أفاده المعظم من أنّ الاختصاص إنّما هو فيما إذا لم يؤدِّ صاحبة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النسبة بين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زال الزوال دخل الوقتان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ما في رواية داود بن فرقد و إن كان هو التباين، لأنّ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زال الزوال دخل الوقتان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فيما إذا لم يصلّ الظهر، فهو بإطلاقه دالّ على دخول وقت العصر و إن لم يكن قد صلّى الظهر، و كذا إطلاق رواية داود بن فرقد الدالّة على الاختصاص يدلّ على عدم دخول وقت العصر قبل مضيّ مقدار أربع ركعات من أول الزوال مطلقا سواء صلّى الظهر أو لم يصلّها، فالروايتان متعارضتان بإطلاقهما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بعد تقييد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زال الزوال دخل الوقتان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p>
    <w:p>
      <w:pPr>
        <w:pStyle w:val="BookText"/>
        <w:rPr/>
      </w:pPr>
      <w:r>
        <w:rPr>
          <w:rFonts w:ascii="Amiri" w:hAnsi="Amiri" w:eastAsia="Amiri" w:cs="Amiri"/>
          <w:color w:val="111111"/>
          <w:sz w:val="28"/>
          <w:sz w:val="28"/>
          <w:szCs w:val="28"/>
          <w:rtl w:val="true"/>
          <w:lang w:bidi="ar-SA"/>
        </w:rPr>
        <w:t xml:space="preserve">عليه السّلام عقيب ذلك كما في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هذه قبل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صورة عدم فعل الظهر عن إطلاقه، و يبقى صورة فعل الظهر قبل الزوال على وجه صحيح مشمولا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زال الزوال دخل الوقتان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دخول هذه الصورة تحت المقيّد،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هذه قبل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هذه الجملة إنّما تصحّ فيما إذا كان الفرضان بعد باقيين في ذمّة المكلّف، إذ لو لم يبق في ذمّة المكلّف إلّا فرض واحد لم يكن معنى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قبل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فالمقيّد إنّما يخرج صورة عن تحت الإطلاق و هي ما إذا لم يفعل الظهر، و تبقى الصورة الأخرى و هي ما إذا فعل الظهر على الوجه الصحيح مشمولة 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زال الزوال دخل الوقتان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تنقلب النسبة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زال الزوال دخل الوقتان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ما في رواية داود بالأعمّ و الأخصّ المطلق بعد ما كانت بالتباين، فإنّ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زال الزوال دخل الوقتان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بعد التقييد بصورة واحدة، و هي دخول وقت العصر في أول الزوال فيما إذا صلّى الظهر بوجه صحيح قبل الزوال، و رواية داود أعمّ من هذه، فإنّ مفادها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صلّى الظهر أو لم يصلّها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العصر لا يدخل، فيقيّد إطلاقها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زال الزوال دخل الوقتان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يكون بعد التقييد كالنصّ في دخول وقت العصر على تقدير صلاة الظهر، فتأمّل جيّدا، هذا كلّه في أول الوقت</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آخر الوقت فرواية داود بن فرقد و إن كانت قد دلّت على اختصاص مقدار أربع ركعات من الغروب للعصر خاصّة، سواء كان قد صلّى الظهر قبل ذلك أو لم يصلّها، و لازم ذلك عدم صحّة الظهر في هذا الوقت لو كان قد صلّى العصر قبل ذلك على وجه صحيح، كما إذا خاف الضيق فصلّى العصر بظنّ أنّه لم يبق من الوقت إلّا مقدار أدائها فتبيّن خلافه و أنّ الوقت بعد باق، فإطلاق رواية داود بن فرقد يدلّ على خروج وقت الظهر حينئذ فلا يصحّ إيقاعها أداء،</w:t>
      </w:r>
    </w:p>
    <w:p>
      <w:pPr>
        <w:pStyle w:val="BookText"/>
        <w:rPr/>
      </w:pPr>
      <w:r>
        <w:rPr>
          <w:rFonts w:ascii="Amiri" w:hAnsi="Amiri" w:eastAsia="Amiri" w:cs="Amiri"/>
          <w:color w:val="111111"/>
          <w:sz w:val="28"/>
          <w:sz w:val="28"/>
          <w:szCs w:val="28"/>
          <w:rtl w:val="true"/>
          <w:lang w:bidi="ar-SA"/>
        </w:rPr>
        <w:t>إلّا أنّه مع العلم بعدم الفرق بين أول الوقت و آخره و عدم القول به يقيّد ذلك الإطلاق بما في رواية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نسي الاولى و العصر جميعا ثمّ ذكر ذلك عند غروب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وقت لا يخاف فوت أحدهما فليصلّ الظهر ثمّ يصلّي العصر، و إن هو خاف أن تفوته فليبدأ بالعصر و لا يؤخّرها فتفوته فيكون قد فاتتاه جميعا، و لكن يصلّي العصر فيما قد بقي من وقتها ثم ليصلّ الاولى على أثرها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الرواية صدرها و إن كان من أدلّة الاختصاص إلّا أن قوله عليه السّلام في ذيلها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ليصلّ الاولى على أثرها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بإطلاقه يشمل ما إذا تبيّن بقاء الوقت، إذ لم يفرض الإمام عليه السّلام زائدا عن خوف الضيق و هو ممكن التخلّف، فالرواية تدلّ بإطلاقها على صحّة فعل الظهر في وقت العصر، و بعد تقييدها بما دلّ على التوسعة في القضاء تكون مختصّة بما إذا انكشف بقاء الوقت بمقدار فعل الظهر، فتكون أخصّ مطلقا من رواية داود بن فرقد و يرتفع المحذور، فتدبّر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تحديد مقدار الوقت الاختصاصي للفريضة، مع اختلافها سفرا و حضرا و خوفا، و كذلك اختلافها باعتبار اشتمالها على المستحبّات و عدمه، و اختلاف المصلّي باعتبار واجديّته للمقدّمات من الطهارة و الستر و غير ذلك، و باعتبار خفّة لسانه و بطئه و غير ذلك من الاختلاف، و المسألة لم تكن محرّرة في كلمات الأصحاب حقّ التحرير، و قد اختلفت كلماتهم في التعبير عن الوقت الاختصاصي، فبعضهم عبّر عن ذلك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 مضيّ 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عبّر به في رواية داود بن فرقد، و بعضهم 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الفراغ عن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عبّر به أيضا في رواية الفضل عن العلل </w:t>
      </w:r>
      <w:r>
        <w:rPr>
          <w:rStyle w:val="FootnoteAnchor"/>
          <w:rtl w:val="true"/>
        </w:rPr>
        <w:footnoteReference w:id="27"/>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صلّيت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p>
    <w:p>
      <w:pPr>
        <w:pStyle w:val="BookText"/>
        <w:rPr/>
      </w:pPr>
      <w:r>
        <w:rPr>
          <w:rFonts w:ascii="Amiri" w:hAnsi="Amiri" w:eastAsia="Amiri" w:cs="Amiri"/>
          <w:color w:val="111111"/>
          <w:sz w:val="28"/>
          <w:sz w:val="28"/>
          <w:szCs w:val="28"/>
          <w:rtl w:val="true"/>
          <w:lang w:bidi="ar-SA"/>
        </w:rPr>
        <w:t xml:space="preserve">رواية أخرى نقل عن المستند </w:t>
      </w:r>
      <w:r>
        <w:rPr>
          <w:rStyle w:val="FootnoteAnchor"/>
          <w:rtl w:val="true"/>
        </w:rPr>
        <w:footnoteReference w:id="28"/>
      </w:r>
      <w:r>
        <w:rPr>
          <w:rFonts w:ascii="Amiri" w:hAnsi="Amiri" w:eastAsia="Amiri" w:cs="Amiri"/>
          <w:color w:val="111111"/>
          <w:sz w:val="28"/>
          <w:sz w:val="28"/>
          <w:szCs w:val="28"/>
          <w:rtl w:val="true"/>
          <w:lang w:bidi="ar-SA"/>
        </w:rPr>
        <w:t>، فالمهمّ إنّما هو بيان ما يستفاد من الأخبار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يتوهّم أنّ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الفراغ عن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صلّيتها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الفراغ الفعلي بما لها من المقدّمات فتكون المقدّمات داخلة فيها تبعا، و يعتبر حينئذ في دخول وقت العصر مضيّ زمان من أول الوقت بحيث يفي بصلاة الظهر مع ما لها من المقدّمات، فلو صلّى العصر قبل ذلك تقع في الوقت الاختصاصي للظهر، بل ربّما يدّعى أظهرية هذه الأخبار عمّا في رواية داود بن فرقد </w:t>
      </w:r>
      <w:r>
        <w:rPr>
          <w:rStyle w:val="FootnoteAnchor"/>
          <w:rtl w:val="true"/>
        </w:rPr>
        <w:footnoteReference w:id="29"/>
      </w:r>
      <w:r>
        <w:rPr>
          <w:rFonts w:ascii="Amiri" w:hAnsi="Amiri" w:eastAsia="Amiri" w:cs="Amiri"/>
          <w:color w:val="111111"/>
          <w:sz w:val="28"/>
          <w:sz w:val="28"/>
          <w:szCs w:val="28"/>
          <w:rtl w:val="true"/>
          <w:lang w:bidi="ar-SA"/>
        </w:rPr>
        <w:t xml:space="preserve">من اعتبار مضيّ خصوص مقدار أربع ركعات الظاهرة في عدم دخول المقدّمات فيها، فيكون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الفراغ من الصلاة التي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تحديد وقت العصر كما في رواية العلل </w:t>
      </w:r>
      <w:r>
        <w:rPr>
          <w:rStyle w:val="FootnoteAnchor"/>
          <w:rtl w:val="true"/>
        </w:rPr>
        <w:footnoteReference w:id="30"/>
      </w:r>
      <w:r>
        <w:rPr>
          <w:rFonts w:ascii="Amiri" w:hAnsi="Amiri" w:eastAsia="Amiri" w:cs="Amiri"/>
          <w:color w:val="111111"/>
          <w:sz w:val="28"/>
          <w:sz w:val="28"/>
          <w:szCs w:val="28"/>
          <w:rtl w:val="true"/>
          <w:lang w:bidi="ar-SA"/>
        </w:rPr>
        <w:t xml:space="preserve">قرينة على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 مقدار 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داود مضيّ الأربع بما لها من المقدّمات،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 أنّ هذه الدعوى لا تستقيم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أظهرية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دخول المقدّمات تبعا عن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 مضيّ 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أنّ المدار على مضيّ هذا المقدار من الزمان خاصّة بلا دخل للمقدّمات فيها، بل ربّما يقال بأظهرية ما في رواية داود الظاهر في التحديد بالزمان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التحديد بالفعل كما لا يخفى على المتأمّل، فدعوى الأظهرية ممنوعة جدّا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ليس كلّ أظهرية توجب التصرّف في الظاهر، بل لا بدّ في الأظهرية من أن تكون على وجه لو القي الأظهر و الظاهر إلى العرف و اتّصلا في الكلام، يفهم منه المراد بلا تأويل و من غير أن يقع المخاطب في حيرة، بل بمجرّد</w:t>
      </w:r>
    </w:p>
    <w:p>
      <w:pPr>
        <w:pStyle w:val="BookText"/>
        <w:rPr/>
      </w:pPr>
      <w:r>
        <w:rPr>
          <w:rFonts w:ascii="Amiri" w:hAnsi="Amiri" w:eastAsia="Amiri" w:cs="Amiri"/>
          <w:color w:val="111111"/>
          <w:sz w:val="28"/>
          <w:sz w:val="28"/>
          <w:szCs w:val="28"/>
          <w:rtl w:val="true"/>
          <w:lang w:bidi="ar-SA"/>
        </w:rPr>
        <w:t>صدورهما عن المتكلّم يحمل الظاهر على الأظهر و يستفاد منه المراد كما إذا لم يكن هناك إلّا كلام واحد ظاهر في معنى واحد، فلو كانت الأظهرية بهذه المثابة تكون حينئذ قرينة على التصرّف في الظاهر و حمله على ما لا ينافي الأظهر، و أمّا لو كانت هناك مجرّد أظهرية من غير أن تصل إلى هذه المرتبة فلا تكون قرينة على التصرّف و الحمل و لا يخرجه عن كونه تبرّعيا، ففي المقام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مجرّد أظهرية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دخول المقدّمات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تسليمها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بتلك المثابة من الأظهرية بحيث يوجب التصرّف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يمضي مقدار 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على ما لا ينافي دخول المقدّمات، و الشاهد على ذلك أنّه لو جمع الفقرتين في كلام واحد،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وقت العصر حتّى يمضي مقدار أربع ركعات من أول الزوال فإذا فرغت من الصلاة يدخل وقت العصر، لا يفهم العرف أنّ المراد من المضيّ إنّما هو المضيّ بما للركعات من المقدّمات و يحكّم أظهرية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استدلّ به من الأخبار على دخول المقدّمات،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الفراغ من الصلاة التي قبلها</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و أمثال ذلك أجنبية عن المقام، فلأنّها ليست بصدد بيان تحديد الوقت الاختصاصي و أنّ مقدار فعل الظهر و الفراغ عنها يختصّ بها و ليس للشريكة فيه حظّ و نصيب، بل تلك الأخبار إنّما هي بصدد إفادة أمر آخر، و هو الردّ على العامّة حيث يوجبون تأخير العصر إلى ما يزيد على المثلين، فقوله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الفراغ من الصلاة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للردّ عليهم و أنّه ليس الأمر كما زعموا، بل يجوز فعل العصر عند الفراغ من الظهر و لا يجب تأخيرها إلى المثل كما في بعض الروايات، أو المثلين </w:t>
      </w:r>
      <w:r>
        <w:rPr>
          <w:rStyle w:val="FootnoteAnchor"/>
          <w:rtl w:val="true"/>
        </w:rPr>
        <w:footnoteReference w:id="32"/>
      </w:r>
      <w:r>
        <w:rPr>
          <w:rFonts w:ascii="Amiri" w:hAnsi="Amiri" w:eastAsia="Amiri" w:cs="Amiri"/>
          <w:color w:val="111111"/>
          <w:sz w:val="28"/>
          <w:sz w:val="28"/>
          <w:szCs w:val="28"/>
          <w:rtl w:val="true"/>
          <w:lang w:bidi="ar-SA"/>
        </w:rPr>
        <w:t>كما في بعضها الآخر المحمولة على</w:t>
      </w:r>
    </w:p>
    <w:p>
      <w:pPr>
        <w:pStyle w:val="BookText"/>
        <w:rPr/>
      </w:pPr>
      <w:r>
        <w:rPr>
          <w:rFonts w:ascii="Amiri" w:hAnsi="Amiri" w:eastAsia="Amiri" w:cs="Amiri"/>
          <w:color w:val="111111"/>
          <w:sz w:val="28"/>
          <w:sz w:val="28"/>
          <w:szCs w:val="28"/>
          <w:rtl w:val="true"/>
          <w:lang w:bidi="ar-SA"/>
        </w:rPr>
        <w:t>إرادة بيان الفضل للمتنفّل و أنّه المثل أو المثلان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سيأتي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يجب تأخيرها بما يزيد على ذلك كما يفعله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فالروايات إنّما هي بصدد بيان جواز فعل العصر عقيب الفراغ من الظهر، من دون انتظار المثل أو المثلين أو أزيد، كما يشعر إليه قوله عليه السّلام في رواية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للعصر وقت معلوم مشهور مثل هذه الأوقات الأربعة، فجعل وقتها عند الفراغ من الصلاة التي قبلها</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الحديث، فهذه الأخبار أجنبية عمّا نحن فيه من تحديد الوقت الاختصاصي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الأخبار لا تقاوم ظهور رواية داود </w:t>
      </w:r>
      <w:r>
        <w:rPr>
          <w:rStyle w:val="FootnoteAnchor"/>
          <w:rtl w:val="true"/>
        </w:rPr>
        <w:footnoteReference w:id="34"/>
      </w:r>
      <w:r>
        <w:rPr>
          <w:rFonts w:ascii="Amiri" w:hAnsi="Amiri" w:eastAsia="Amiri" w:cs="Amiri"/>
          <w:color w:val="111111"/>
          <w:sz w:val="28"/>
          <w:sz w:val="28"/>
          <w:szCs w:val="28"/>
          <w:rtl w:val="true"/>
          <w:lang w:bidi="ar-SA"/>
        </w:rPr>
        <w:t>في أنّ مقدار الوقت الاختصاصي إنّما هو مقدار مضيّ أربع ركعات خاصّة من غير دخول المقدّمات من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أنّ وقت العصر يدخل بمجرّد مضيّ ذلك المقدار مطلقا سواء كان المكلّف واجدا للمقدّمات أو فاقدا لها، هذا بالنسبة إلى دخول المقدّمات و خروجها عن تحديد الوقت الاختصاصي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بالنسبة إلى خفّة لسان المكلّف و بطء حركاته، و اشتمال الفريضة على المستحبّات و عدمه، فلا يبعد ملاحظة ما هو الوسط عند نوع المصلّين، فلا يقتصر على أقلّ الواجب و لا على اشتمال الفريضة بأكثر المستحبّات، و كذا بالنسبة إلى الخفّة و البطء بل يلاحظ في ذلك ما هو الوسط، فلو مضى من أول الزوال مقدار أربع ركعات متوسّطات في اشتمالها على المستحبّات و عدمه و في الخفّة و البطء فقد دخل وقت المشترك، كما هو الشأن في غالب التقديرات الشرعية، حيث إنّها محمولة على ما هو المعتاد و المتعارف عند الأواسط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تحديد الوقت الاختصاصي بالنسبة إلى الحاضر و المسافر، و أمثال ذلك من صلاة الخوف و المطاردة،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عليه السّلام في رواية داود بن فرقد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يمضي مقدار أربع ركعات</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محمول على المثال و لا خصوصية للأربع، بل هو كناية عن مضيّ مقدار الفريضة على اختلافها بالنسبة إلى أشخاص المكلّفين و غير ذلك، فيدخل وقت الاشتراكي بالنسبة إلى الحاضر مقدار مضيّ أربع ركعات من أول الزوال، و بالنسبة إلى المسافر مقدار مضيّ ركعتين، و هكذا بالنسبة إلى الخائف مقدار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الإنصاف أنّ الحمل على ذلك ممّا لا 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ليس ببعيد، إذ من المحتمل قريبا أن يكون لمضيّ مقدار أربع ركعات خصوصية، بحيث لا يدخل وقت المشترك إلّا بعد مضيّ ذلك المقدار من الوقت و لو كان الشخص مسافرا أو خائفا، فالحمل على المثالية تحتاج إلى دليل، و على تقدير الشكّ في ذلك فهل الأصل يقتضي الرجوع إلى المطلقات من قوله عليه السّلام إذا زال الزوال دخل الوقتان</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أو إلى استصحاب عدم دخول وقت العصر؟ وجهان، لا يخلو الأول من قوّة بعد ما كان الشكّ في المخصّص راجعا إلى الأقل و الأكثر، فتأمّل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الثمرة بين ما اخترناه من عدم دخول المقدّمات في الوقت الاختصاصي، و بين ما اختاره بعض الأعلام من دخولها في ذلك، إنّما تظهر فيما إذا لم يؤدّ صاحبة الوقت، و أمّا إذا أدّاها فوقت العصر يدخل مطلقا بناء على كلا القولين، لما تقدّم من أنّ أدلّة الاختصاص مختصّة بما إذا لم يؤدّ صاحبة الوقت</w:t>
      </w:r>
    </w:p>
    <w:p>
      <w:pPr>
        <w:pStyle w:val="BookText"/>
        <w:rPr/>
      </w:pPr>
      <w:r>
        <w:rPr>
          <w:rFonts w:ascii="Amiri" w:hAnsi="Amiri" w:eastAsia="Amiri" w:cs="Amiri"/>
          <w:color w:val="111111"/>
          <w:sz w:val="28"/>
          <w:sz w:val="28"/>
          <w:szCs w:val="28"/>
          <w:rtl w:val="true"/>
          <w:lang w:bidi="ar-SA"/>
        </w:rPr>
        <w:t>كما تقدّم تفصيله، و حينئذ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تظهر الثمرة بين القولين فيما إذا صلّى العصر نسيانا قبل الظهر بعد مضيّ مقدار أربع ركعات من الوقت أو أكثر، بحيث كان من أول الوقت مشغولا بتحصيل المقدّمات إلى مضي ذلك المقدار، و بعد تحصيلها نسي عن فعل الظهر و صلّى العصر، فبناء على ما اخترناه تصحّ العصر، لأنّها وقعت في الوقت المشترك،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يرفع الترتيب عند النسيان، و أمّا بناء على القول الآخر فينبغي الحكم ببطلانها، لأنّها وقعت في الوقت الاختصاصي، فانّ الوقت الاختصاصي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مقدار تحصيل المقدّمات مع فعل الفريضة، و المفروض أنّ العصر وقعت قبل ذلك فتبطل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قيّدنا بما إذا كان المكلّف مشغولا بتحصيل المقدّمات من أول الزوال إلى مضيّ ذلك المقدار فلأنّه لو كانت المقدّمات حاصلة له قبل الزوال، أو كانت متعذّرة عليه مطلقا، فلا ثمرة أيضا بين القولين، فإنّ من يقول بدخول المقدّمات فإنّما يقول به إذا كان المكلّف فاقدا لها و مكلّفا بها، و أمّا لو كان واجدا لها أو غير مكلّف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لتعذّرها و إمّا لنسيانها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فوقت الاختصاصي حينئذ يكون بمقدار مضيّ أربع ركعات فقط</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فرض أنّ نسيانه المقدّمات إنّما كان بتبع نسيان الظهر، بحيث لو لم يكن ناسيا للظهر لما كان ناسيا للمقدّمات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بعد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اللازم على هذا القول هو الالتزام ببطلان صلاة العصر أيضا، لو وقعت قبل مضيّ مقدار من الوقت بحيث لو كان متذكرا لكان يمكنه فعل الفريضة مع المقدّمات، فانّ نسيان المقدّمات حيث كان بتبع نسيان الظهر فالتكليف لا يسقط عنها لعدم سقوطه عن</w:t>
      </w:r>
    </w:p>
    <w:p>
      <w:pPr>
        <w:pStyle w:val="BookText"/>
        <w:rPr/>
      </w:pPr>
      <w:r>
        <w:rPr>
          <w:rFonts w:ascii="Amiri" w:hAnsi="Amiri" w:eastAsia="Amiri" w:cs="Amiri"/>
          <w:color w:val="111111"/>
          <w:sz w:val="28"/>
          <w:sz w:val="28"/>
          <w:szCs w:val="28"/>
          <w:rtl w:val="true"/>
          <w:lang w:bidi="ar-SA"/>
        </w:rPr>
        <w:t xml:space="preserve">الظهر، فيلزم وقوع العصر في الوقت الاختصاصي، فتأمّل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نعم المقدّمات المنسية بالنسبة إلى صلاة العصر على تقدير صحّتها تكون ساقطة لجريان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صلاة الظهر فحيث إنّها منسية من رأسها لا تكون مشمولة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مقدّماتها المنسية ساقطة، و يلزم على هذا وقوع العصر في الوقت الاختصاصي للظهر بناء على دخول المقدّمات فيه، فتبطل من جهة وقوعها في غير وقتها، فتأمّل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كلمات من يقول بدخول المقدّمات في الوقت الاختصاصي، إنّما هو في المقدّمات التي يجب تحصيلها، بحيث يكون المكلّف فاقدا لها و كان ممّا يمكنه تحصيلها بعد دخول الوقت، لا أنّه يدّعي بدخول المقدّمات في الوقت الاختصاصي مع كون المكلّف واجدا لها، أو غير مكلّف بها للتعذّر أو النسيان أو غير ذلك من أسباب العذر، حتّى يلزمه القول ببطلان العصر لمن أتى بها ناسيا للظهر بعد مضيّ مقدار أربع ركعات فقط مطلقا سواء كان المكلّف واجدا لها أو فاقدا، فانّ ذلك بعيد من كلماتهم بل المصرّح به خلاف ذلك</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الثمرة بين القولين إنّما تحصل فيما إذا مضى مقدار من الوقت لا يفي بتحصيل المقدّمات مع فعل الفريضة و صلّى العصر ناسيا للظهر، فإنّه بناء على ما اخترناه تصحّ، و بناء على القول الآخر لا تصحّ، هذا كلّه فيما إذا مضى مقدار أربع ركعات من الزوال و صلّى العصر ناسيا للظهر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يمض مقدار ذلك، فإن وقعت العصر بتمام أجزائها في الوقت الاختصاصي للظهر، بحيث لم يدخل الوقت المشترك قبل الفراغ منها فلا إشكال في بطلانها على كلا القولين، نعم لو لم نقل بالوقت الاختصاصي،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هذه قبل هذه</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لبيان إفادة مجرّد شرطية الترتيب، و أعرضنا عن رواية داود بن فرقد </w:t>
      </w:r>
      <w:r>
        <w:rPr>
          <w:rStyle w:val="FootnoteAnchor"/>
          <w:rtl w:val="true"/>
        </w:rPr>
        <w:footnoteReference w:id="40"/>
      </w:r>
      <w:r>
        <w:rPr>
          <w:rFonts w:ascii="Amiri" w:hAnsi="Amiri" w:eastAsia="Amiri" w:cs="Amiri"/>
          <w:color w:val="111111"/>
          <w:sz w:val="28"/>
          <w:sz w:val="28"/>
          <w:szCs w:val="28"/>
          <w:rtl w:val="true"/>
          <w:lang w:bidi="ar-SA"/>
        </w:rPr>
        <w:t>، لكانت الصلاة صحيحة، لاغتفار الترتيب عند النسيان كسائر الشرائط، و أمّا لو لم نقل بهذه 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المختار و عليه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بطلان صلاة العصر لو وقعت في الوقت الاختصاصي، و لا تحسب لا عصرا و لا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احتسابها عصرا فواضح، لأنّه من ثمرات القول بالاختصاص، و أمّا عدم احتسابها ظهرا فلأنّ الشي‌ء لا ينقلب عمّا وقع عليه، فإذا لم تصحّ عصرا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هي المنوي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تقع ظهرا؟</w:t>
      </w:r>
    </w:p>
    <w:p>
      <w:pPr>
        <w:pStyle w:val="BookText"/>
        <w:rPr/>
      </w:pPr>
      <w:r>
        <w:rPr>
          <w:rFonts w:ascii="Amiri" w:hAnsi="Amiri" w:eastAsia="Amiri" w:cs="Amiri"/>
          <w:color w:val="111111"/>
          <w:sz w:val="28"/>
          <w:sz w:val="28"/>
          <w:szCs w:val="28"/>
          <w:rtl w:val="true"/>
          <w:lang w:bidi="ar-SA"/>
        </w:rPr>
        <w:t>نعم وردت هنا رواية صحيحة عن زرارة عن أبي جعفر عليه السّلام مشتملة على جملة من الأحكام، و منها أنّه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نسيت الظهر حتّى صلّيت العصر فذكرتها و أنت في الصلاة أو بعد فراغك فانوها الاولى ثمّ صلّ العصر، فإنّما هي أربع مكان أربع، و إن ذكرت أنّك لم تصلّ الاولى و أنت في صلاة العصر و قد صلّيت منها ركعتين فانوها الاولى، ثمّ صلّ الركعتين الباقيتين و قم فصلّ العصر </w:t>
      </w:r>
      <w:r>
        <w:rPr>
          <w:rStyle w:val="FootnoteAnchor"/>
          <w:rtl w:val="true"/>
        </w:rPr>
        <w:footnoteReference w:id="4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عمل بهذه الصحيحة بعض المتأخرين و أفتى بإطلاقها،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صلّى العصر ناسيا للظهر في الوقت الاختصاصي، بحيث لم يدخل الوقت</w:t>
      </w:r>
    </w:p>
    <w:p>
      <w:pPr>
        <w:pStyle w:val="BookText"/>
        <w:rPr/>
      </w:pPr>
      <w:r>
        <w:rPr>
          <w:rFonts w:ascii="Amiri" w:hAnsi="Amiri" w:eastAsia="Amiri" w:cs="Amiri"/>
          <w:color w:val="111111"/>
          <w:sz w:val="28"/>
          <w:sz w:val="28"/>
          <w:szCs w:val="28"/>
          <w:rtl w:val="true"/>
          <w:lang w:bidi="ar-SA"/>
        </w:rPr>
        <w:t>المشترك و هو فيها بل وقعت بتمام أجزائها في الوقت الاختصاصي صحّت الصلاة و وقعت ظهرا، و بعد ذلك يصلّي العصر على اختلاف في تعبيراتهم من وقوعها ظهرا قهرا عليه و إن لم ينو ذلك، أو أنّه يعتبر احتسابها ظهرا بأن يجعلها في نيّته ظهرا و يحتسبها كذلك بعد الفراغ عند التذكّر،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 أنّ العمل بهذه الرواية و الفتوى على طبقها في غاية الوهن و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الرواية و إن كانت في الدرجة العليا من الصحّة، و قد أفتى المشهور بما اشتملت عليه من الأحكام و عمل بها، إلّا في خصوص هذا الجزء، و هو صحّتها عند التذكّر بعد الفراغ و احتساب العصر ظهرا، فإنّ المشهور قد أعرض عنه و أفتى ببطلان الصلاة لو وقعت بتمام أجزائها في الوقت الاختصاصي، و لا تحسب لا ظهرا و لا عصرا، و لو وقعت في الوقت المشترك و لو جزء منها تصحّ عصرا، فإعراض المشهور عن خصوص هذا الجزء مع الأخذ بسائر ما اشتملت عليه من الأحكام أقوى شاهد على وهن هذا الجزء و وقوع الخلل فيه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إطلاق في الرواية بحيث تشمل ما إذا وقعت العصر بتمام أجزائها في الوقت الاختصاصي، إمّا لندرة نسيان الظهر في أول وقتها بحيث يشرع في أول وقت الظهر في العصر ناسيا لها كما في الجواهر </w:t>
      </w:r>
      <w:r>
        <w:rPr>
          <w:rStyle w:val="FootnoteAnchor"/>
          <w:rtl w:val="true"/>
        </w:rPr>
        <w:footnoteReference w:id="42"/>
      </w:r>
      <w:r>
        <w:rPr>
          <w:rFonts w:ascii="Amiri" w:hAnsi="Amiri" w:eastAsia="Amiri" w:cs="Amiri"/>
          <w:color w:val="111111"/>
          <w:sz w:val="28"/>
          <w:sz w:val="28"/>
          <w:szCs w:val="28"/>
          <w:rtl w:val="true"/>
          <w:lang w:bidi="ar-SA"/>
        </w:rPr>
        <w:t xml:space="preserve">، و إمّا لظهور قوله عليه السّلام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نسيت الظهر حتّى صلّيت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امتداد النسيان و لو في الجملة، فإنّه لو شرع في العصر في أول وقت الظهر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نسي الظهر حتّى شرع في العصر،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 الظهر و صلّى العصر،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امتداد النسيان و لو في الجملة، فتقع العصر و لو جزء منها في</w:t>
      </w:r>
    </w:p>
    <w:p>
      <w:pPr>
        <w:pStyle w:val="BookText"/>
        <w:rPr/>
      </w:pPr>
      <w:r>
        <w:rPr>
          <w:rFonts w:ascii="Amiri" w:hAnsi="Amiri" w:eastAsia="Amiri" w:cs="Amiri"/>
          <w:color w:val="111111"/>
          <w:sz w:val="28"/>
          <w:sz w:val="28"/>
          <w:szCs w:val="28"/>
          <w:rtl w:val="true"/>
          <w:lang w:bidi="ar-SA"/>
        </w:rPr>
        <w:t>الوقت المشترك، و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لبيان امتداد النسيان إلى الفراغ من العصر، لمنافاته لقوله عليه السّلام عقيب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فذكرتها و أنت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فراغك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فالإنصاف أنّ الرواية لا إطلاق فيها بحيث تشمل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على فرض إطلاق الرواية لا بدّ من تقييدها بأدلّة الاختصاص الدالّة على عدم صحّة العصر في الوقت المختصّ و عدم صلاحيّته لذلك، فلأنّه بعد تقييد أدلّة الاختصاص بما إذا لم يؤدّ صاحبة الوقت على ما تقدّم بيانه، فتكون حينئذ نصّا في عدم صلاحية الوقت لوقوع العصر فيه عند عدم فعل الظهر، و لا مورد لها سوى هذه الصورة، فلو أخذنا بإطلاق تلك الرواية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متى ما صلّيت العصر قبل الظهر ناسيا لها تقع ظهرا فلا يبقى للاختصاص مورد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الاختصاص إنّما هي لبيان عدم صحّة الصلاة عصرا في الوقت المختصّ، و أما عدم وقوعها ظهرا فلا يستفاد من أدلّة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الأخذ بإطلاق الرواية،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متى ما وقعت فإنّما هي تقع ظهرا سواء كان ذلك في الوقت الاختصاصي أو في الوقت المشترك، فأيّ فائدة في جعل وقتين وقت اختصاصي و وقت اشتراكي؟ و هل ثمرة ذلك إلّا عدم صحّة العصر في الأول لو وقعت نسيانا الدالّة عليه أدلّة الاختصاص بالنصوصية و صحّتها في الثاني؟ فلا بدّ من تقييد إطلاق الرواية بما إذا وقعت العصر و لو جزء منها في الوقت المشترك بناء على العمل بها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قوله عليه السّلام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فانوها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 عدم وقوعها ظهرا قهرا، بل يحتاج إلى نية العدول و احتسابها ظهرا، فلو أنّ أحدا صلّى العصر نسيانا في أول وقت الظهر، و لم يتذكّر إلى أن مات فتقع العصر</w:t>
      </w:r>
    </w:p>
    <w:p>
      <w:pPr>
        <w:pStyle w:val="BookText"/>
        <w:rPr/>
      </w:pPr>
      <w:r>
        <w:rPr>
          <w:rFonts w:ascii="Amiri" w:hAnsi="Amiri" w:eastAsia="Amiri" w:cs="Amiri"/>
          <w:color w:val="111111"/>
          <w:sz w:val="28"/>
          <w:sz w:val="28"/>
          <w:szCs w:val="28"/>
          <w:rtl w:val="true"/>
          <w:lang w:bidi="ar-SA"/>
        </w:rPr>
        <w:t xml:space="preserve">باطلة، و لا بدّ من قضاء الوليّ عنه الظهر و العصر، و لا يمكن للوليّ أن ينوي ما وقع من الميّت ظهرا، فالأقوى أنّ هذا الجزء من الرواية ساقط من أصله و لا يمكن الفتوى به </w:t>
      </w:r>
      <w:r>
        <w:rPr>
          <w:rStyle w:val="FootnoteAnchor"/>
          <w:rtl w:val="true"/>
        </w:rPr>
        <w:footnoteReference w:id="43"/>
      </w:r>
      <w:r>
        <w:rPr>
          <w:rFonts w:ascii="Amiri" w:hAnsi="Amiri" w:eastAsia="Amiri" w:cs="Amiri"/>
          <w:color w:val="111111"/>
          <w:sz w:val="28"/>
          <w:sz w:val="28"/>
          <w:szCs w:val="28"/>
          <w:rtl w:val="true"/>
          <w:lang w:bidi="ar-SA"/>
        </w:rPr>
        <w:t>، هذا كلّه إذا لم يتذكّر حتّى فرغ من العصر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لو تذكّر في الأثناء، فإن كان تذكّره بعد دخول وقت المشترك فلا بدّ من نية العدول و إتمامها ظهرا، و يدلّ عليه أخبار العدول </w:t>
      </w:r>
      <w:r>
        <w:rPr>
          <w:rStyle w:val="FootnoteAnchor"/>
          <w:rtl w:val="true"/>
        </w:rPr>
        <w:footnoteReference w:id="44"/>
      </w:r>
      <w:r>
        <w:rPr>
          <w:rFonts w:ascii="Amiri" w:hAnsi="Amiri" w:eastAsia="Amiri" w:cs="Amiri"/>
          <w:color w:val="111111"/>
          <w:sz w:val="28"/>
          <w:sz w:val="28"/>
          <w:szCs w:val="28"/>
          <w:rtl w:val="true"/>
          <w:lang w:bidi="ar-SA"/>
        </w:rPr>
        <w:t>، و أمّا لو تذكّر و هو</w:t>
      </w:r>
      <w:bookmarkStart w:id="51" w:name="pg19820_206470"/>
    </w:p>
    <w:p>
      <w:pPr>
        <w:pStyle w:val="BookText"/>
        <w:rPr/>
      </w:pPr>
      <w:bookmarkEnd w:id="51"/>
      <w:r>
        <w:rPr>
          <w:rFonts w:ascii="Amiri" w:hAnsi="Amiri" w:eastAsia="Amiri" w:cs="Amiri"/>
          <w:color w:val="111111"/>
          <w:sz w:val="28"/>
          <w:sz w:val="28"/>
          <w:szCs w:val="28"/>
          <w:rtl w:val="true"/>
          <w:lang w:bidi="ar-SA"/>
        </w:rPr>
        <w:t xml:space="preserve">بعد في الوقت الاختصاصي فالذي يظهر من بعض الأعلام، كالبيان </w:t>
      </w:r>
      <w:r>
        <w:rPr>
          <w:rStyle w:val="FootnoteAnchor"/>
          <w:rtl w:val="true"/>
        </w:rPr>
        <w:footnoteReference w:id="45"/>
      </w:r>
      <w:r>
        <w:rPr>
          <w:rFonts w:ascii="Amiri" w:hAnsi="Amiri" w:eastAsia="Amiri" w:cs="Amiri"/>
          <w:color w:val="111111"/>
          <w:sz w:val="28"/>
          <w:sz w:val="28"/>
          <w:szCs w:val="28"/>
          <w:rtl w:val="true"/>
          <w:lang w:bidi="ar-SA"/>
        </w:rPr>
        <w:t xml:space="preserve">و المقاصد العلية </w:t>
      </w:r>
      <w:r>
        <w:rPr>
          <w:rStyle w:val="FootnoteAnchor"/>
          <w:rtl w:val="true"/>
        </w:rPr>
        <w:footnoteReference w:id="46"/>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47"/>
      </w:r>
      <w:r>
        <w:rPr>
          <w:rFonts w:ascii="Amiri" w:hAnsi="Amiri" w:eastAsia="Amiri" w:cs="Amiri"/>
          <w:color w:val="111111"/>
          <w:sz w:val="28"/>
          <w:sz w:val="28"/>
          <w:szCs w:val="28"/>
          <w:rtl w:val="true"/>
          <w:lang w:bidi="ar-SA"/>
        </w:rPr>
        <w:t xml:space="preserve">و المدارك </w:t>
      </w:r>
      <w:r>
        <w:rPr>
          <w:rStyle w:val="FootnoteAnchor"/>
          <w:rtl w:val="true"/>
        </w:rPr>
        <w:footnoteReference w:id="48"/>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يعدل و يتمّمها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يشكل ذلك بأنّ أخبار العدول لا يستفاد منها ذلك، فإنّها في مقام إحراز الترتيب بعد الفراغ عن أنّ ما وقع منه أولا كان جامعا لشرائط الصحّة سوى فوات الترتيب و بالعدول يحرز الترتيب، و أمّا لو فرض أنّ ما وقع منه أولا كان باطلا من أصله فبأخبار العدول لا يمكن تصحيحه، إذ ليست في مقام تصحيح الباطل، 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تذكّر و قد دخل عليه الوقت المشترك، فحيث إنّ دخول الوقت المشترك مصحّح لما وقع منه أولا في غير الوقت لكان مقتضى القاعدة المستفادة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أخبار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تتميمها عصرا و اغتفار فوات الترتيب كما لو لم يتذكّر إلى الفراغ، و بعد ملاحظة أخبار العدول يجب العدول و تتميمها ظهرا، و أمّا لو تذكّر و هو بعد في الوقت الاختصاصي، فحيث إنّ ما وقع من الصلاة كان في غير وقتها و بعد لم يدخل عليه الوقت المشترك فلا بدّ من وقوعه باطلا، و قد عرفت أنّ أخبار العدول ليست بصدد تصحيح ما وقع باطلا، فتأمّل</w:t>
      </w:r>
      <w:r>
        <w:rPr>
          <w:rFonts w:eastAsia="Amiri" w:cs="Amiri" w:ascii="Amiri" w:hAnsi="Amiri"/>
          <w:color w:val="111111"/>
          <w:sz w:val="28"/>
          <w:szCs w:val="28"/>
          <w:rtl w:val="true"/>
          <w:lang w:bidi="ar-SA"/>
        </w:rPr>
        <w:t>.</w:t>
      </w:r>
    </w:p>
    <w:p>
      <w:pPr>
        <w:pStyle w:val="Heading6"/>
        <w:numPr>
          <w:ilvl w:val="5"/>
          <w:numId w:val="1"/>
        </w:numPr>
        <w:rPr/>
      </w:pPr>
      <w:bookmarkStart w:id="52" w:name="__RefHeading___Toc3359988_2314609296"/>
      <w:bookmarkStart w:id="53" w:name="_Toc21"/>
      <w:bookmarkEnd w:id="52"/>
      <w:r>
        <w:rPr>
          <w:rtl w:val="true"/>
        </w:rPr>
        <w:t>فروع</w:t>
      </w:r>
      <w:bookmarkEnd w:id="53"/>
    </w:p>
    <w:p>
      <w:pPr>
        <w:pStyle w:val="Heading6"/>
        <w:numPr>
          <w:ilvl w:val="5"/>
          <w:numId w:val="1"/>
        </w:numPr>
        <w:rPr/>
      </w:pPr>
      <w:bookmarkStart w:id="54" w:name="__RefHeading___Toc3359990_2314609296"/>
      <w:bookmarkStart w:id="55" w:name="_Toc22"/>
      <w:bookmarkEnd w:id="54"/>
      <w:r>
        <w:rPr>
          <w:rtl w:val="true"/>
        </w:rPr>
        <w:t>الأول</w:t>
      </w:r>
      <w:r>
        <w:rPr>
          <w:rtl w:val="true"/>
        </w:rPr>
        <w:t xml:space="preserve">: </w:t>
      </w:r>
      <w:r>
        <w:rPr>
          <w:rtl w:val="true"/>
        </w:rPr>
        <w:t>لو صلّى العصر ناسيا للظهر و تذكر بعد الفراغ منها</w:t>
      </w:r>
      <w:bookmarkEnd w:id="5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لكن شكّ في</w:t>
      </w:r>
    </w:p>
    <w:p>
      <w:pPr>
        <w:pStyle w:val="BookText"/>
        <w:rPr/>
      </w:pPr>
      <w:r>
        <w:rPr>
          <w:rFonts w:ascii="Amiri" w:hAnsi="Amiri" w:eastAsia="Amiri" w:cs="Amiri"/>
          <w:color w:val="111111"/>
          <w:sz w:val="28"/>
          <w:sz w:val="28"/>
          <w:szCs w:val="28"/>
          <w:rtl w:val="true"/>
          <w:lang w:bidi="ar-SA"/>
        </w:rPr>
        <w:t xml:space="preserve">أنّه هل دخل عليه الوقت المشترك قبل فراغه منها حتّى تصحّ عصرا، أو أنّه لم يدخل و وقعت بجميع أجزائها في الوقت الاختصاصي فلا إشكال في عدم جواز التمسّك بإطلاق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زال الزوال دخل الوقتان</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لتصحيحها، لأنّ المفروض أنّه قد قيّد هذا الإطلاق بمقدار مضيّ أربع ركعات، و الشبهة في المقام مصداقية لا يجوز التمسّك فيها بالعام، و هذا ممّا لا شبهة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الإشكال في أنّ قاعدة الفراغ تجري أو لا؟ و الأقوى أنّه لا موقع لقاعدة الفراغ في المقام، بل استصحاب عدم دخول الوقت المشترك محكّم، فتكون الصلاة واقعة في غير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سيمرّ عليك إن شاء اللّٰه في بعض المباحث الآتية أنّ مورد قاعدة الفراغ إنّما هو الشكّ في فقدان شرط أو جزء كان مراعاته بيد المكلّف و بعد الفراغ شكّ في مراعاته، إمّا على النحو الشكّ الساري بحيث يشكّ الآن بأنّه هل راعى الشرط أو الجزء في موطنه، أو أنّه غفل عن مراعاته على أحد الاحتمالين في قاعدة الفراغ، و إمّا على نحو لا يرجع الشكّ إلى الشكّ الساري، كما إذا شكّ بعد الفراغ في إتيان الجزء أو الشرط بعد العلم بأنّه كان ملتفتا إليه في موطنه، كما هو أقوى الاحتمالين في قاعدة الفراغ</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على كلا الاحتمالين يعتبر أن يكون الشي‌ء المشكوك ممّا بيد المكلّف مراعاته، و أمّا لو لم يكن من هذا القبيل، بأن كان من الأمور الخارجة عن قدرة المكلّف، بحيث لو كان الشي‌ء المشكوك واقعا في الخارج لكان وقوعه من باب المصادفة الاتّفاقية بلا دخل لمراعاته فلا مورد لقاعدة الفراغ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ففيما نحن فيه الشكّ إنّما هو في دخول الوقت المشترك في أثناء الصلاة، و هذا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دخل لمراعاة المكلّف فيه، فإنّ دخول الوقت و عدم دخوله من المصادفات الاتّفاقية الخارجة عن قدرة المكلّف و مراعاته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هو بيد المكلّف إنّما هو مراعاة أنّ صلاته هذه كانت قبل الظهر أو بعدها، و هذا ممّا يقطع بعدم مراعاته، لأنّ المفروض القطع بوقوع العصر قبل الظهر، فما هو بيد المكلّف مراعاته يقطع بعدم المراعاة، و لا مجرى لقاعدة الفراغ بالنسبة إليه، و ما هو ليس بيد المكلّف مراعاته كدخول الوقت و عدم دخوله أجنبيّ عن قاعدة الفراغ، فلا محيص عن استصحاب عدم دخول الوقت و الحكم ببطلان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بعد الفراغ من صلاة الظهر و بعد دخول الوقت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الظهر هل وقعت بتمام اجزائها قبل الوقت أو بعده و لو جزء منها، فلا إشكال في جريان قاعدة الفراغ و الحكم بصحّتها، مع أنّ المشكوك هو دخول الوقت و عدم دخوله، و هو خارج عن قدرة المكلّف و مراعاته، فما الفرق بين هذا و بين ما نحن فيه؟ 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نجد فرقا بين الشكّ بعد الفراغ في دخول الزوال أثناء صلاة الظهر، حيث تسالموا على الحكم بصحّتها لأجل قاعدة الفراغ، و بين الشكّ بعد الفراغ في دخول الوقت المشترك في أثناء صلاة العصر، حيث قلتم بعدم جريان 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واضح، فإنّه في مسألة صلاة الظهر و إن كان دخول الوقت و عدم الدخول ليس بيد المكلّف، إلّا أنّه قبل فعل الظهر كان يمكنه مراعاة الوقت و أنّ الزوال تحقّق أو لم يتحقّق، فباعتبار أنّ مراعاة الوقت قبل فعل الظهر كان بيد المكلّف، فلو شكّ بعد فعل الظهر أنّه هل راعى الوقت أو لم يراع، على وجه لا يرجع إلى الشكّ الساري أو يرجع على الاحتمالين، فقاعدة الفراغ لا مانع منها، فجريان قاعدة الفراغ ليس لأجل الشكّ في دخول الوقت و عدمه في الأثناء،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خارج عن قدرة المكلّف و مراعاته، بل جريانها إنّما لأجل الشكّ في مراعاته الوقت قبل فعل الظهر أو عدم مراعاته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لو قطع بعدم المراعاة و علم أنّه دخل في الصلاة غافلا، و لكن شكّ بعد الفراغ في دخول الوقت في الأثناء قهرا لما كان موردا لقاعدة الفراغ، و هذا بخلاف ما نحن فيه، فإنّ الشكّ فيه متمحّض في دخول الوقت المشترك عليه قهرا في الأثناء و عدم دخوله، و ليست هناك جهة أخرى للشكّ كانت بيد المكلّف مراعاتها و شكّ في مراعاتها حتّى تجري قاعدة الفراغ بالنسبة إليها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أمكن رجوع الشكّ في المقام إلى الشكّ في مراعاته قبل فعل العصر أنّ الوقت المشترك دخل أو لم يدخل لكان لتوهّم جريان القاعدة وجه، إلّا أنّه لا يمكن رجوع الشكّ في المقام إلى ذلك، لأنّ هذا المراعاة قبل فعل العصر لا يكون إلّا مع التفاته إلى عدم فعل الظهر، و إلّا لا يمكن منه تحقّق هذا المراعاة، و مع التفاته إلى ذلك يخرج الفرض عمّا نحن فيه، لأنّ كلامنا إنّما فيما إذا نسي فعل الظهر و صلّى العصر و بعد الفراغ تذكّر و شكّ في دخول الوقت المشترك في الأثناء، فجهة الشكّ في المقام متمحّضة إلى ما ليس بيد المكلّف مراعاته، و قد عرفت أنّه لا يكون حينئذ موردا لقاعدة الفراغ،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كان تذكّره و شكّه في دخول الوقت المشترك بعد الفراغ من الصلاة</w:t>
      </w:r>
      <w:r>
        <w:rPr>
          <w:rFonts w:eastAsia="Amiri" w:cs="Amiri" w:ascii="Amiri" w:hAnsi="Amiri"/>
          <w:color w:val="111111"/>
          <w:sz w:val="28"/>
          <w:szCs w:val="28"/>
          <w:rtl w:val="true"/>
          <w:lang w:bidi="ar-SA"/>
        </w:rPr>
        <w:t>.</w:t>
      </w:r>
      <w:bookmarkStart w:id="56" w:name="pg19820_206474"/>
    </w:p>
    <w:p>
      <w:pPr>
        <w:pStyle w:val="BookText"/>
        <w:rPr/>
      </w:pPr>
      <w:bookmarkEnd w:id="56"/>
      <w:r>
        <w:rPr>
          <w:rFonts w:ascii="Amiri" w:hAnsi="Amiri" w:eastAsia="Amiri" w:cs="Amiri"/>
          <w:color w:val="111111"/>
          <w:sz w:val="28"/>
          <w:sz w:val="28"/>
          <w:szCs w:val="28"/>
          <w:rtl w:val="true"/>
          <w:lang w:bidi="ar-SA"/>
        </w:rPr>
        <w:t>و أمّا لو تذكّر في أثناء الصلاة عدم فعل الظهر، و شكّ في دخول الوقت المشترك حتّى يكون له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اخترناه من أنّ العدول مختصّ بما إذا تذكّر في الوقت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جريان قاعدة الفراغ حينئذ في غاية الوضوح، و لا بدّ من استصحاب عدم دخول الوقت المشترك، و يرتفع به موضوع العدول</w:t>
      </w:r>
      <w:r>
        <w:rPr>
          <w:rFonts w:eastAsia="Amiri" w:cs="Amiri" w:ascii="Amiri" w:hAnsi="Amiri"/>
          <w:color w:val="111111"/>
          <w:sz w:val="28"/>
          <w:szCs w:val="28"/>
          <w:rtl w:val="true"/>
          <w:lang w:bidi="ar-SA"/>
        </w:rPr>
        <w:t>.</w:t>
      </w:r>
    </w:p>
    <w:p>
      <w:pPr>
        <w:pStyle w:val="Heading6"/>
        <w:numPr>
          <w:ilvl w:val="5"/>
          <w:numId w:val="1"/>
        </w:numPr>
        <w:rPr/>
      </w:pPr>
      <w:bookmarkStart w:id="57" w:name="__RefHeading___Toc3359992_2314609296"/>
      <w:bookmarkStart w:id="58" w:name="_Toc23"/>
      <w:bookmarkEnd w:id="57"/>
      <w:r>
        <w:rPr>
          <w:rtl w:val="true"/>
        </w:rPr>
        <w:t>الفرع الثاني</w:t>
      </w:r>
      <w:r>
        <w:rPr>
          <w:rtl w:val="true"/>
        </w:rPr>
        <w:t xml:space="preserve">: </w:t>
      </w:r>
      <w:r>
        <w:rPr>
          <w:rtl w:val="true"/>
        </w:rPr>
        <w:t>لو خاف ضيق الوقت إلّا عن صلاة العصر فلا إشكال في وجوب تقديمها و تأخير الظهر</w:t>
      </w:r>
      <w:bookmarkEnd w:id="58"/>
    </w:p>
    <w:p>
      <w:pPr>
        <w:pStyle w:val="BookText"/>
        <w:rPr/>
      </w:pPr>
      <w:r>
        <w:rPr>
          <w:rFonts w:ascii="Amiri" w:hAnsi="Amiri" w:eastAsia="Amiri" w:cs="Amiri"/>
          <w:color w:val="111111"/>
          <w:sz w:val="28"/>
          <w:sz w:val="28"/>
          <w:szCs w:val="28"/>
          <w:rtl w:val="true"/>
          <w:lang w:bidi="ar-SA"/>
        </w:rPr>
        <w:t xml:space="preserve">الفرع الثاني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خاف ضيق الوقت إلّا عن صلاة العصر فلا إشكال في وجوب تقديمها و تأخير الظهر</w:t>
      </w:r>
    </w:p>
    <w:p>
      <w:pPr>
        <w:pStyle w:val="BookText"/>
        <w:rPr/>
      </w:pPr>
      <w:r>
        <w:rPr>
          <w:rFonts w:ascii="Amiri" w:hAnsi="Amiri" w:eastAsia="Amiri" w:cs="Amiri"/>
          <w:color w:val="111111"/>
          <w:sz w:val="28"/>
          <w:sz w:val="28"/>
          <w:szCs w:val="28"/>
          <w:rtl w:val="true"/>
          <w:lang w:bidi="ar-SA"/>
        </w:rPr>
        <w:t xml:space="preserve">، كما صرّحت به رواية الحلبي </w:t>
      </w:r>
      <w:r>
        <w:rPr>
          <w:rStyle w:val="FootnoteAnchor"/>
          <w:rtl w:val="true"/>
        </w:rPr>
        <w:footnoteReference w:id="52"/>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لو تبيّن مطابقة خوفه للواقع، و أنّه لم يبق من الوقت بعد فعل العصر شي‌ء فلا إشكال في خروج وقت الظهر و صيرورتها قضاء، و أمّا لو تبيّن بقاء الوقت بحيث يمكن فعل الظهر فيه ففي المقام وجوه بل أقوال، قول ببطلان العصر و يجب فعلها ثانيا، و هذا القول مبنيّ على أنّ قبل الوقت الاختصاصي للعصر بمقدار فعل الظهر يختصّ بالظهر أيضا كما في أوّل الوقت، و حينئذ تكون العصر</w:t>
      </w:r>
    </w:p>
    <w:p>
      <w:pPr>
        <w:pStyle w:val="BookText"/>
        <w:rPr/>
      </w:pPr>
      <w:r>
        <w:rPr>
          <w:rFonts w:ascii="Amiri" w:hAnsi="Amiri" w:eastAsia="Amiri" w:cs="Amiri"/>
          <w:color w:val="111111"/>
          <w:sz w:val="28"/>
          <w:sz w:val="28"/>
          <w:szCs w:val="28"/>
          <w:rtl w:val="true"/>
          <w:lang w:bidi="ar-SA"/>
        </w:rPr>
        <w:t>واقعة في الوقت المختصّ للظهر فتبطل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بصحّتها ظهرا و وجوب فعل العصر بعدها، 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هي أربع مكان أربع</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و قول بصحّتها عصرا و عدم جواز فعل الظهر فيما بقي من الوقت لا أداء و لا قضاء، لأنّ الوقت المختصّ بالعصر غير صالح لوقوع الشريكة فيه مطلقا، كعدم صلاحية وقوع غير صوم رمضان في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الظهر فيما بقي من الوقت أداء و أمّا قضاء فلا مانع منه، لأنّه لا ينقص عمّا بعد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بصحّتها و وجوب فعل الظهر فيه أداء، و هذا هو المختار و عليه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صحّة ما فعله أولا عصرا فلدلالة رواية الحلبي </w:t>
      </w:r>
      <w:r>
        <w:rPr>
          <w:rStyle w:val="FootnoteAnchor"/>
          <w:rtl w:val="true"/>
        </w:rPr>
        <w:footnoteReference w:id="54"/>
      </w:r>
      <w:r>
        <w:rPr>
          <w:rFonts w:ascii="Amiri" w:hAnsi="Amiri" w:eastAsia="Amiri" w:cs="Amiri"/>
          <w:color w:val="111111"/>
          <w:sz w:val="28"/>
          <w:sz w:val="28"/>
          <w:szCs w:val="28"/>
          <w:rtl w:val="true"/>
          <w:lang w:bidi="ar-SA"/>
        </w:rPr>
        <w:t xml:space="preserve">عليه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هو خاف أن تفوته فليبدأ بالعصر و لا يؤخّرها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الخوف أخذ فيها طريقا و بعد انكشاف الخلاف لا وجه للإجزاء و صحّتها عصرا، بل مقتضى القاعدة البطلان و عدم الإجزاء كسائر موارد تخلّف الطرق، فإنّه لا معنى لأخذ الخوف طريقا، إذ ليس له جهة كاشفية و طريقية حتّى يمكن اعتباره من جهة الطريقية، بل إنّما هو حالة نفسانية للمكلّف كالشكّ إذا وجد لا يعقل انكشاف الخلاف فيه، فلا بدّ من أخذه موضوعا، و لازم ذلك الإجزاء كما في جميع الموارد التي أخذ الخوف موضوعا للحكم، كخوف الضرر في باب الصوم و الوضوء و أمثال ذلك، فإنّ في جميع هذه الموارد مقتضى القاعدة الإجزاء</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وجوب فعل الظهر فيما بقي من الوقت أداء فلما تقدّم من أنّ الاختصاص إنّما هو فيما إذا لم يؤدّ صاحبة الوقت على وجه صحيح، و أمّا إذا أدّاها فالوقت صالح لوقوع الشريكة فيه، خصوصا بعد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أنت في وقت منهما إلى غروب الشمس</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و ممّا يدلّ على صحّة فعل الظهر في الوقت الاختصاصي</w:t>
      </w:r>
    </w:p>
    <w:p>
      <w:pPr>
        <w:pStyle w:val="BookText"/>
        <w:rPr/>
      </w:pPr>
      <w:r>
        <w:rPr>
          <w:rFonts w:ascii="Amiri" w:hAnsi="Amiri" w:eastAsia="Amiri" w:cs="Amiri"/>
          <w:color w:val="111111"/>
          <w:sz w:val="28"/>
          <w:sz w:val="28"/>
          <w:szCs w:val="28"/>
          <w:rtl w:val="true"/>
          <w:lang w:bidi="ar-SA"/>
        </w:rPr>
        <w:t xml:space="preserve">للعصر خصوصا قوله عليه السّلام في آخر رواية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صلّى الظهر على أثرها</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فإنّه و إن كان مطلقا بالنسبة إلى بقاء الوقت و خروجه، إلّا أنّه بعد تقييده بما دلّ على التوسعة في القضاء يكون نصّا فيما إذا بقي من الوقت مقدار فعل الظهر، و به يخصّص حينئذ إطلاق رواية داود بن فرقد </w:t>
      </w:r>
      <w:r>
        <w:rPr>
          <w:rStyle w:val="FootnoteAnchor"/>
          <w:rtl w:val="true"/>
        </w:rPr>
        <w:footnoteReference w:id="57"/>
      </w:r>
      <w:r>
        <w:rPr>
          <w:rFonts w:ascii="Amiri" w:hAnsi="Amiri" w:eastAsia="Amiri" w:cs="Amiri"/>
          <w:color w:val="111111"/>
          <w:sz w:val="28"/>
          <w:sz w:val="28"/>
          <w:szCs w:val="28"/>
          <w:rtl w:val="true"/>
          <w:lang w:bidi="ar-SA"/>
        </w:rPr>
        <w:t>، الدالّة بإطلاقها على اختصاص مقدار أربع ركعات من الغروب للعصر خاصّة، سواء صلّاها قبل ذلك على وجه صحيح أو لا، و قد تقدّم تفصيل ذلك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القواعد و الجمع بين الأدلّة هو صحّة فعل الظهر فيما بقي من الوقت أداء على تقدير فعل العصر قبل ذلك على وجه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ضعف سائر الأقوال، أمّا القول الأول فلأنّ دعوى اختصاص الظهر من آخر الوقت كأوله بمقدار أدائها خالية عن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توهّم ذلك من وجوب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الترتيب لا يختصّ بآخر الوقت، بل هو واجب من أوله إلى مقدار أربع ركعات إلى الغروب، فلازم ذلك الحكم ببطلان صلاة العصر لو خاف الضيق، أو نسي الظهر لو وقعت عقيب الزوال بنصف ساعة مع أنّه لم يقل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مسألة شرطية الترتيب أجنبية عن مسألة الاختصاص، و لا يمكن استفادة الاختصاص منها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يوجّه هذا القول بأنّ بطلان العصر ليس من جهة وقوعها في الوقت المختصّ بالظهر بل لأجل فوات الترتيب، و المتيقّن من سقوطه إنّما هو ما لو نسي عن الظهر، و أمّا لو كان ملتفتا إلى عدم فعله الظهر و لكن خاف 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مفروض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لسقوطه، و ينبغي حينئذ بطلان العصر</w:t>
      </w:r>
      <w:r>
        <w:rPr>
          <w:rFonts w:eastAsia="Amiri" w:cs="Amiri" w:ascii="Amiri" w:hAnsi="Amiri"/>
          <w:color w:val="111111"/>
          <w:sz w:val="28"/>
          <w:szCs w:val="28"/>
          <w:rtl w:val="true"/>
          <w:lang w:bidi="ar-SA"/>
        </w:rPr>
        <w:t>.</w:t>
      </w:r>
      <w:bookmarkStart w:id="59" w:name="pg19820_206477"/>
    </w:p>
    <w:p>
      <w:pPr>
        <w:pStyle w:val="BookText"/>
        <w:rPr/>
      </w:pPr>
      <w:bookmarkEnd w:id="59"/>
      <w:r>
        <w:rPr>
          <w:rFonts w:ascii="Amiri" w:hAnsi="Amiri" w:eastAsia="Amiri" w:cs="Amiri"/>
          <w:color w:val="111111"/>
          <w:sz w:val="28"/>
          <w:sz w:val="28"/>
          <w:szCs w:val="28"/>
          <w:rtl w:val="true"/>
          <w:lang w:bidi="ar-SA"/>
        </w:rPr>
        <w:t xml:space="preserve">و فيه ما لا يخفى، بعد ورود النصّ </w:t>
      </w:r>
      <w:r>
        <w:rPr>
          <w:rStyle w:val="FootnoteAnchor"/>
          <w:rtl w:val="true"/>
        </w:rPr>
        <w:footnoteReference w:id="58"/>
      </w:r>
      <w:r>
        <w:rPr>
          <w:rFonts w:ascii="Amiri" w:hAnsi="Amiri" w:eastAsia="Amiri" w:cs="Amiri"/>
          <w:color w:val="111111"/>
          <w:sz w:val="28"/>
          <w:sz w:val="28"/>
          <w:szCs w:val="28"/>
          <w:rtl w:val="true"/>
          <w:lang w:bidi="ar-SA"/>
        </w:rPr>
        <w:t>بأنّه عند خوف الضيق يقدّم العصر و يؤخر الظهر الدالّ على الإجزاء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القول الثاني فلما تقدّم من عدم عمل المشهور 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هي أربع مكان أربع</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القول الثالث مع ما يتلوه من القول، فلأنّه مبنيّ على الاختصاص المطلق و الأخذ بإطلاق رواية داود بن فرقد </w:t>
      </w:r>
      <w:r>
        <w:rPr>
          <w:rStyle w:val="FootnoteAnchor"/>
          <w:rtl w:val="true"/>
        </w:rPr>
        <w:footnoteReference w:id="60"/>
      </w:r>
      <w:r>
        <w:rPr>
          <w:rFonts w:ascii="Amiri" w:hAnsi="Amiri" w:eastAsia="Amiri" w:cs="Amiri"/>
          <w:color w:val="111111"/>
          <w:sz w:val="28"/>
          <w:sz w:val="28"/>
          <w:szCs w:val="28"/>
          <w:rtl w:val="true"/>
          <w:lang w:bidi="ar-SA"/>
        </w:rPr>
        <w:t>، و قد تقدّم فساده و أنّه مناف لمقتضى الجمع بين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عند انكشاف الخلاف لزوم فعل الظهر أداء، كما هو ظاهر المشهور</w:t>
      </w:r>
      <w:r>
        <w:rPr>
          <w:rFonts w:eastAsia="Amiri" w:cs="Amiri" w:ascii="Amiri" w:hAnsi="Amiri"/>
          <w:color w:val="111111"/>
          <w:sz w:val="28"/>
          <w:szCs w:val="28"/>
          <w:rtl w:val="true"/>
          <w:lang w:bidi="ar-SA"/>
        </w:rPr>
        <w:t>.</w:t>
      </w:r>
    </w:p>
    <w:p>
      <w:pPr>
        <w:pStyle w:val="Heading6"/>
        <w:numPr>
          <w:ilvl w:val="5"/>
          <w:numId w:val="1"/>
        </w:numPr>
        <w:rPr/>
      </w:pPr>
      <w:bookmarkStart w:id="60" w:name="__RefHeading___Toc3359994_2314609296"/>
      <w:bookmarkStart w:id="61" w:name="_Toc24"/>
      <w:bookmarkEnd w:id="60"/>
      <w:r>
        <w:rPr>
          <w:rtl w:val="true"/>
        </w:rPr>
        <w:t>الفرع الثالث</w:t>
      </w:r>
      <w:r>
        <w:rPr>
          <w:rtl w:val="true"/>
        </w:rPr>
        <w:t xml:space="preserve">: </w:t>
      </w:r>
      <w:r>
        <w:rPr>
          <w:rtl w:val="true"/>
        </w:rPr>
        <w:t>لو بقي من الوقت مقدار خمس ركعات فلا ينبغي الإشكال في لزوم فعل الظهر ثمّ العصر</w:t>
      </w:r>
      <w:bookmarkEnd w:id="61"/>
    </w:p>
    <w:p>
      <w:pPr>
        <w:pStyle w:val="BookText"/>
        <w:rPr/>
      </w:pPr>
      <w:r>
        <w:rPr>
          <w:rFonts w:ascii="Amiri" w:hAnsi="Amiri" w:eastAsia="Amiri" w:cs="Amiri"/>
          <w:color w:val="111111"/>
          <w:sz w:val="28"/>
          <w:sz w:val="28"/>
          <w:szCs w:val="28"/>
          <w:rtl w:val="true"/>
          <w:lang w:bidi="ar-SA"/>
        </w:rPr>
        <w:t xml:space="preserve">، لأنّه قد أدرك من الوقت مقدار ركعة فيجب فعل الظهر، لما ورد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ركعة من الوقت فقد أدرك الوقت جميعا</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أدرك ركعة من الظهر في الوقت المشترك يجب عليه فعلها و إن وقع الباقي منها في الوقت المختصّ بالعصر، لأنّ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 دائرة الوقت و تجعل ما وقع من الظهر في وقت المختصّ بالعصر وقتا للظهر، و تكون حاكمة على أدلّة الاختصاص</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التوسعة في الوقت، بمعنى أنّها تجعل ما ليس بوقت مضروب شرعا بعنوانه الأولي وقتا، فلسانها إنّما هو تنزيل</w:t>
      </w:r>
    </w:p>
    <w:p>
      <w:pPr>
        <w:pStyle w:val="BookText"/>
        <w:rPr/>
      </w:pPr>
      <w:r>
        <w:rPr>
          <w:rFonts w:ascii="Amiri" w:hAnsi="Amiri" w:eastAsia="Amiri" w:cs="Amiri"/>
          <w:color w:val="111111"/>
          <w:sz w:val="28"/>
          <w:sz w:val="28"/>
          <w:szCs w:val="28"/>
          <w:rtl w:val="true"/>
          <w:lang w:bidi="ar-SA"/>
        </w:rPr>
        <w:t xml:space="preserve">خارج الوقت منزلة الوقت، كما إذا أدرك من صلاة العصر ركعة، بحيث يقع الباقي منها في وقت المغرب الذي لم يضرب بعنوانه الأولي وقتا للعصر، بل إنّما هو ضرب وقتا للمغرب، و بالعنوان الثانوي ببركة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وقتا للعصر، و ما نحن فيه ليس من هذا القبيل، فإنّ الوقت الاختصاصي للعصر بالنسبة إلى صلاة الظهر ليس من قبيل خارج الوقت كالمغرب بالنسبة إلى العصر، بل هو وقت للظهر أيضا، بمعنى صلاحيّته بحسب الضرب و التشريع لوقوع الظهر فيه، كما يدلّ عليه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أنت في وقت منهما إلى الغروب</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فليس ما وقع من صلاة الظهر في الوقت المختصّ بالعصر من قبيل ما وقع من صلاة العصر في وقت المغرب، فإنّ في الثاني لم يكن الوقت صالحا لها بحسب التشريع بخلاف الأوّل، و قد عرفت أنّ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لتنزيل خارج الوقت منزلة الوقت، فلا تشمل القاعدة ما نحن فيه، و تبقى أدلّة الاختصاص على حالها من عدم صحّة الشريكة فيه إذا لم يكن مؤدّى صاحبة الوقت، و لازم ذلك عدم صحّة فعل الظهر في مفروض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دعوى الأولوية القطعية للصحّة فيما نحن فيه عمّا إذا وقعت بقية صلاة العصر في وقت المغرب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في شمول القاعدة بين المقامين، فإنّ القاعدة في مقام تنزيل خارج الوقت منزلة الوقت، سواء كان خروجه من جهة عدم المقتضي، كمقدار من وقت الغروب بالنسبة إلى صلاة العصر، أو كان ذلك لأجل المانع مع كون الوقت بحسب الاقتضاء صالحا، كمقدار من وقت العصر بالنسبة إلى صلاة الظهر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القاعدة كما تنزّل ما ليس فيه اقتضاء الوقتية منزلة الوقت،</w:t>
      </w:r>
    </w:p>
    <w:p>
      <w:pPr>
        <w:pStyle w:val="BookText"/>
        <w:rPr/>
      </w:pPr>
      <w:r>
        <w:rPr>
          <w:rFonts w:ascii="Amiri" w:hAnsi="Amiri" w:eastAsia="Amiri" w:cs="Amiri"/>
          <w:color w:val="111111"/>
          <w:sz w:val="28"/>
          <w:sz w:val="28"/>
          <w:szCs w:val="28"/>
          <w:rtl w:val="true"/>
          <w:lang w:bidi="ar-SA"/>
        </w:rPr>
        <w:t>كذلك تنزّل ما كان له مانعا عن الوقتية من جهة ابتلائه بصاحبته مع وجود المقتضي فيه منزلة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القاعدة كما توجد المقتضي لخارج الوقت و تجعله وقتا، كذلك ترفع المانع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أنّ من أدرك من الظهر مقدار ركعة يجب عليه، و إن وقع الباقي منها في الوقت المختصّ بالعصر، لعموم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على أدلّة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وقت الظهرين من المختصّ و المشترك، و ما يتفرّع عليهما من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بقي الكلام في معرفة الزوال، الذي هو أول وقت الظهرين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معرفة ذلك إنّما هو زيادة الظلّ بعد نقصانه، فيما كان عرض البلد مخالفا لميل الشمس في المقدار إلى جهة الشمال، أو حدوث الظلّ بعد انعدامه فيما كان موافقا للميل الأعظم، أو أنقص منه إلى جهة الجنوب</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ذلك، على وجه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لا إشكال في حركة الشمس بالنسبة إلى الفصول الأربعة تختلف، من حيث كونها في الشتاء و الخريف تكون في البروج الجنوبية، و في الصيف و الربيع تكون في البروج الشمالية، و البعد بين تمام ميلها إلى البروج الجنوبية الذي هو أول الجدي، و بين منتهى ميلها إلى البروج الشمالية الذي هو في أول السرطان مقدار أربع و عشرين درجة، فالبلاد الواقعة بين هذين الميلين لا محالة الظلّ ينعدم فيها في كلّ سنة يومين، في حال صعودها إلى البرج الشمالي، و في حال نزولها إلى البرج الجنوبي، فإنّه في مثل هذه البلاد تسامت الشمس في كلّ سنة يومين على رءوس أهل البلد، و يختلف ذلك اليومان باعتبار اختلاف البلاد في قربها إلى الميل الأعظم و بعدها، فربّ بلد ينعدم الظلّ فيه يومين، يوم قبل السرطان و يوم بعد السرطان، لقربه عن الميل الأعظم، و ربّ بلد يكون الانعدام فيه بعشرة أيّام أو عشرين يوما قبل ذلك،</w:t>
      </w:r>
    </w:p>
    <w:p>
      <w:pPr>
        <w:pStyle w:val="BookText"/>
        <w:rPr/>
      </w:pP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ينعدم الظلّ في مكّة قبل السرطان بستّة و عشرين يوما، ثمّ يحدث بعد ذلك ظلّ إلى أن ينتهي الميل الأعظم للشمس، و تأخذ في النزول، فإذا مضى من السرطان أيضا ستّة و عشرون يوما ينعدم الظلّ فيها أيضا يوما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اليومين يختلفان باعتبار قرب البلد و بعده عن خطّ الاستواء الذي يكون تحت الميل الأعظم، و أمّا البلاد الواقعة تحت خطّ الاستواء المساوي للميل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كمدينة الرسول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فيعدم الظلّ فيه يوما واحدا في كلّ سنة، و هو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ينتهي ميل الشمس إلى البرج الشمالي و هو أول السرطان، لأنّ في ذلك اليوم تكون الشمس مسامتة لرءوس أهل البلد الموافق في العرض للميل الأعظم، و بعد ذلك اليوم لا محالة يحدث ظلّ، لخروج الشمس عن المسامتة، ففي هذين الطائفتين من البلاد الظلّ ينعدم لا محالة إمّا يوما أو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يكن البلد بين الميلين و لا كان مساويا للميل الأعظم، بل كان خارجا عنه إلى جهة الشمال كالعراق، فالظلّ لا ينعدم فيه أصلا، لعدم اتّفاق مسامتة الشمس لرءوس أهل البلد في طول السنة، نعم يختلف الظلّ الباقي عند الزوال زيادة و نقصانا بحسب اختلاف بعد البلد إلى جهة الشمال عن الميل الأعظم كما هو واضح، و أمّا الأراضي الواقعة في منتهى ميل الشمس إلى جهة الجنوب، فحيث لم تكن مسكونة لا يهمّنا التعرّض عنها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علامة الزوال إنّما هي حدوث ظلّ الشاخص المنصوب على سطح الأرض نصبا مستقيما بعد انعدامه، في البلاد التي ينعدم فيها الظلّ يوما أو يومين، و زيادة الظلّ بعد نقصانه في غير تلك البلاد، أو فيها في غير اليوم و اليومين، و لكنّ هذه العلامة إنّما تظهر للحسّ بعد مضيّ مقدار من الزوال ممّا يزيد على نصف ساعة، فلم تكن علامة لمعرفة أول الزوال حقيقة، فإن أردت أن تعرف أوله الحقيقي فلا بدّ من إعمال الدائرة الهندية المجعولة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 معرفتها هو أن تدير على أرض مسطّحة دائرة، و تنصب على مركزها مقياسا محدّد الرأس مخروطيّ الشكل يكون طوله قد ربع الدائرة، و لا بدّ من أن يكون ذلك النصب نصبا مستقيما، ثمّ إنّ الشمس لا محالة إذا طلعت يحدث للمقياس ظلّ مستطيل إلى جهة المغرب، و لا يزال ينقص كلّما ارتفعت الشمس حتّى يصل الظلّ إلى رأس الدائرة، فإذا وصل إلى ذلك اجعل له علامة، ثمّ لا يزال الظلّ أيضا ينقص حتّى ينتهي نقصانه أو ينعدم على اختلاف البلاد، و بعد ذلك يأخذ في الزيادة و ينقلب الظلّ إلى جهة المشرق، و كذلك يزيد إلى أن يتجاوز عن الدائرة، فإذا وصل رأس الظلّ إلى منتهى الدائرة و أراد الخروج عنها اجعل له أيضا علامة، ثمّ تصل ما بين العلامتين بخطّ مستقيم و تنصّف ذلك الخطّ، ثمّ تصل ما بين مركز الدائرة و منتصف ذلك الخطّ بخطّ، و ذلك خطّ نصف النهار، فإذا أردت معرفة الزوال في غير يوم العمل تنظر إلى ظلّ المقياس، فمتى وصل إلى هذا الخطّ كانت الشمس في وسط السماء، فإذا ابتدأ رأس الظلّ يخرج عنه فقد زالت</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يعرف الزوال أيضا بميل الشمس إلى الحاجب الأيمن ممّا يلي الأنف لمن يستقبل نقطة الجنوب، سواء كانت قبلة له كالموصل و من والاها أو لم تكن قبلة له، ضرورة عدم التفاوت في ذلك، بل المدار على استقبال نقطة الجنوب، فإنّ الشمس عند الزوال تحاذي نقطة الجنوب، و تكون الشمس بين الحاجبين لمن استقبل النقطة، فإذا مالت إلى الحاجب الأيمن يعرف تحقّق الزوال، فحصر هذه العلامة بمن كانت نقطة الجنوب قبلة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المتون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العلامة أيضا لا تظهر للحسّ إلا بعد مضيّ مدّة من الزوال</w:t>
      </w:r>
      <w:r>
        <w:rPr>
          <w:rFonts w:eastAsia="Amiri" w:cs="Amiri" w:ascii="Amiri" w:hAnsi="Amiri"/>
          <w:color w:val="111111"/>
          <w:sz w:val="28"/>
          <w:szCs w:val="28"/>
          <w:rtl w:val="true"/>
          <w:lang w:bidi="ar-SA"/>
        </w:rPr>
        <w:t>.</w:t>
      </w:r>
      <w:bookmarkStart w:id="62" w:name="pg19820_206482"/>
    </w:p>
    <w:p>
      <w:pPr>
        <w:pStyle w:val="Heading5"/>
        <w:numPr>
          <w:ilvl w:val="4"/>
          <w:numId w:val="1"/>
        </w:numPr>
        <w:rPr/>
      </w:pPr>
      <w:bookmarkStart w:id="63" w:name="__RefHeading___Toc3359996_2314609296"/>
      <w:bookmarkStart w:id="64" w:name="_Toc25"/>
      <w:bookmarkEnd w:id="62"/>
      <w:bookmarkEnd w:id="63"/>
      <w:r>
        <w:rPr>
          <w:rtl w:val="true"/>
        </w:rPr>
        <w:t>المقام الثاني في بيان وقت المغرب و العشاء</w:t>
      </w:r>
      <w:bookmarkEnd w:id="64"/>
    </w:p>
    <w:p>
      <w:pPr>
        <w:pStyle w:val="Heading6"/>
        <w:numPr>
          <w:ilvl w:val="5"/>
          <w:numId w:val="1"/>
        </w:numPr>
        <w:rPr/>
      </w:pPr>
      <w:bookmarkStart w:id="65" w:name="__RefHeading___Toc3359998_2314609296"/>
      <w:bookmarkStart w:id="66" w:name="_Toc26"/>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اعلم أنّه قد اتّفق الأصحاب على أنّ أول وقت صلاة المغرب هو غروب الشمس، و لكن وقع الخلاف في تعيين الغروب، و أنّه هل هو استتار القرص عن أفق المصلّي، أو أنّه ذهاب الحمرة المشرقية و تجاوزها عن قمّة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الاختلاف في ذلك هو اختلاف الأخبار، و قبل ذكرها</w:t>
      </w:r>
    </w:p>
    <w:p>
      <w:pPr>
        <w:pStyle w:val="Heading6"/>
        <w:numPr>
          <w:ilvl w:val="5"/>
          <w:numId w:val="1"/>
        </w:numPr>
        <w:rPr/>
      </w:pPr>
      <w:bookmarkStart w:id="67" w:name="__RefHeading___Toc3360000_2314609296"/>
      <w:bookmarkStart w:id="68" w:name="_Toc27"/>
      <w:bookmarkEnd w:id="67"/>
      <w:r>
        <w:rPr>
          <w:rtl w:val="true"/>
        </w:rPr>
        <w:t>ينبغي تقديم أمور</w:t>
      </w:r>
      <w:r>
        <w:rPr>
          <w:rtl w:val="true"/>
        </w:rPr>
        <w:t>:</w:t>
      </w:r>
      <w:bookmarkEnd w:id="68"/>
    </w:p>
    <w:p>
      <w:pPr>
        <w:pStyle w:val="Heading6"/>
        <w:numPr>
          <w:ilvl w:val="5"/>
          <w:numId w:val="1"/>
        </w:numPr>
        <w:rPr/>
      </w:pPr>
      <w:bookmarkStart w:id="69" w:name="__RefHeading___Toc3360002_2314609296"/>
      <w:bookmarkStart w:id="70" w:name="_Toc28"/>
      <w:bookmarkEnd w:id="69"/>
      <w:r>
        <w:rPr>
          <w:rtl w:val="true"/>
        </w:rPr>
        <w:t>الأول</w:t>
      </w:r>
      <w:r>
        <w:rPr>
          <w:rtl w:val="true"/>
        </w:rPr>
        <w:t xml:space="preserve">: </w:t>
      </w:r>
      <w:r>
        <w:rPr>
          <w:rtl w:val="true"/>
        </w:rPr>
        <w:t>أنّ الجمع بين الدليلين بالإطلاق و التقييد لا ينحصر فيما إذا كان المقيّد من أفراد المطلق</w:t>
      </w:r>
      <w:bookmarkEnd w:id="70"/>
    </w:p>
    <w:p>
      <w:pPr>
        <w:pStyle w:val="BookText"/>
        <w:rPr/>
      </w:pPr>
      <w:r>
        <w:rPr>
          <w:rFonts w:ascii="Amiri" w:hAnsi="Amiri" w:eastAsia="Amiri" w:cs="Amiri"/>
          <w:color w:val="111111"/>
          <w:sz w:val="28"/>
          <w:sz w:val="28"/>
          <w:szCs w:val="28"/>
          <w:rtl w:val="true"/>
          <w:lang w:bidi="ar-SA"/>
        </w:rPr>
        <w:t xml:space="preserve">،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كلّ مطلق يوجب التوسعة، حتّى يكون المقيّد موجبا للتضييق و خروج بعض ما لولاه لكان داخلا في المطلق، فإنّه ربّ إطلاق يوجب التضييق، و التقييد يوجب التوسعة،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العقد يوجب التعجيل أو نقد البلد و غير ذلك، و كما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إطلاق الأمر يوجب النفسية و العينية و التعيينية، فإنّ مثل هذا الإطلاق يوجب التضييق، بداهة تخصيص العقد بنقد البلد أو التعجيل، و كذا تخصيص الأمر التعييني يوجب الضيق، بخلاف ما لو قيّد هذا الإطلاق بعدم لزوم نقد البلد أو التعجيل، أو قيّد الواجب بعدم التعيينية، فإنّ هذا التقييد يوجب التوسعة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هنا يعلم أنّه ليس التقييد منحصرا بما كان المقيّد من أفراد المطلق، بداهة أنّ غير نقد البلد أو الواجب التخييري لم يكن من أفراد نقد البلد أو الواجب التعييني الذي اقتضياهما الإطلاقان، ففي المثالين لو قام الدليل على إرادة الأعمّ من نقد البلد أو غير الواجب التعييني، لم يعامل ما بينه و بين ما دلّ على خصوص نقد البلد أو الواجب التعييني بالإطلاق معاملة المتعارضين بالتباين، بل يكون</w:t>
      </w:r>
      <w:bookmarkStart w:id="71" w:name="pg19820_206483"/>
    </w:p>
    <w:p>
      <w:pPr>
        <w:pStyle w:val="BookText"/>
        <w:rPr/>
      </w:pPr>
      <w:bookmarkEnd w:id="71"/>
      <w:r>
        <w:rPr>
          <w:rFonts w:ascii="Amiri" w:hAnsi="Amiri" w:eastAsia="Amiri" w:cs="Amiri"/>
          <w:color w:val="111111"/>
          <w:sz w:val="28"/>
          <w:sz w:val="28"/>
          <w:szCs w:val="28"/>
          <w:rtl w:val="true"/>
          <w:lang w:bidi="ar-SA"/>
        </w:rPr>
        <w:t>هذا الدليل مقيّدا لذلك الإطلاق و بمنزلة القرينة له، و يعامل معهما معاملة المطلق و المقيّد، و إن لم يكن المقيّد من أفراد المطلق، و ذلك واضح</w:t>
      </w:r>
      <w:r>
        <w:rPr>
          <w:rFonts w:eastAsia="Amiri" w:cs="Amiri" w:ascii="Amiri" w:hAnsi="Amiri"/>
          <w:color w:val="111111"/>
          <w:sz w:val="28"/>
          <w:szCs w:val="28"/>
          <w:rtl w:val="true"/>
          <w:lang w:bidi="ar-SA"/>
        </w:rPr>
        <w:t>.</w:t>
      </w:r>
    </w:p>
    <w:p>
      <w:pPr>
        <w:pStyle w:val="Heading6"/>
        <w:numPr>
          <w:ilvl w:val="5"/>
          <w:numId w:val="1"/>
        </w:numPr>
        <w:rPr/>
      </w:pPr>
      <w:bookmarkStart w:id="72" w:name="__RefHeading___Toc3360004_2314609296"/>
      <w:bookmarkStart w:id="73" w:name="_Toc29"/>
      <w:bookmarkEnd w:id="72"/>
      <w:r>
        <w:rPr>
          <w:rtl w:val="true"/>
        </w:rPr>
        <w:t>الثاني</w:t>
      </w:r>
      <w:r>
        <w:rPr>
          <w:rtl w:val="true"/>
        </w:rPr>
        <w:t xml:space="preserve">: </w:t>
      </w:r>
      <w:r>
        <w:rPr>
          <w:rtl w:val="true"/>
        </w:rPr>
        <w:t>أنّه ربّما يكون الدليل بحسب ظهوره الإطلاقي لا يعمّ غير شخص ما تعلّق به</w:t>
      </w:r>
      <w:bookmarkEnd w:id="73"/>
    </w:p>
    <w:p>
      <w:pPr>
        <w:pStyle w:val="BookText"/>
        <w:rPr/>
      </w:pPr>
      <w:r>
        <w:rPr>
          <w:rFonts w:ascii="Amiri" w:hAnsi="Amiri" w:eastAsia="Amiri" w:cs="Amiri"/>
          <w:color w:val="111111"/>
          <w:sz w:val="28"/>
          <w:sz w:val="28"/>
          <w:szCs w:val="28"/>
          <w:rtl w:val="true"/>
          <w:lang w:bidi="ar-SA"/>
        </w:rPr>
        <w:t>، و لكن يرد دليل آخر على دخول التوابع و الملحقات بما تعلّق به ذلك الدليل الذي لم يعمّ بحسب ظهوره الإطلاقي تلك التوابع و الملحقات، و حينئذ لا يعامل مع الدليلين معاملة المتعارضين بالتباين، بل يقدّم ما دلّ على دخول التوابع و يقيّد به ذلك الإطلاق، و إن لم تكن تلك التوابع داخلة في المطلق، لما عرفت في الأمر الأول من أنّه لا يعتبر في المقيّد من أن يكون من أفراد المطلق و داخلا فيه لو لا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القول بحسب ظهوره يدلّ على أنّ الجائي شخص زيد، من غير شمول زيد لمواليه و توابعه، و لو قال بعد ذلك أنّ مرادي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شخص زيد فقط بل هو مع توابعه، لم يكن هذا القول معارضا للقول الأول، بل يكون حاكما عليه، و مقدّما على ذلك الظهور، و مقيّدا لذلك الإطلاق، من غير استلزام المجازية، كما لا يخفى</w:t>
      </w:r>
      <w:r>
        <w:rPr>
          <w:rFonts w:eastAsia="Amiri" w:cs="Amiri" w:ascii="Amiri" w:hAnsi="Amiri"/>
          <w:color w:val="111111"/>
          <w:sz w:val="28"/>
          <w:szCs w:val="28"/>
          <w:rtl w:val="true"/>
          <w:lang w:bidi="ar-SA"/>
        </w:rPr>
        <w:t>.</w:t>
      </w:r>
    </w:p>
    <w:p>
      <w:pPr>
        <w:pStyle w:val="Heading6"/>
        <w:numPr>
          <w:ilvl w:val="5"/>
          <w:numId w:val="1"/>
        </w:numPr>
        <w:rPr/>
      </w:pPr>
      <w:bookmarkStart w:id="74" w:name="__RefHeading___Toc3360006_2314609296"/>
      <w:bookmarkStart w:id="75" w:name="_Toc30"/>
      <w:bookmarkEnd w:id="74"/>
      <w:r>
        <w:rPr>
          <w:rtl w:val="true"/>
        </w:rPr>
        <w:t>الثالث</w:t>
      </w:r>
      <w:r>
        <w:rPr>
          <w:rtl w:val="true"/>
        </w:rPr>
        <w:t xml:space="preserve">: </w:t>
      </w:r>
      <w:r>
        <w:rPr>
          <w:rtl w:val="true"/>
        </w:rPr>
        <w:t>أنّ التحديدات الشرعية الواردة في بيان تحديد الموضوعات العرفية</w:t>
      </w:r>
      <w:bookmarkEnd w:id="75"/>
    </w:p>
    <w:p>
      <w:pPr>
        <w:pStyle w:val="BookText"/>
        <w:rPr/>
      </w:pPr>
      <w:r>
        <w:rPr>
          <w:rFonts w:ascii="Amiri" w:hAnsi="Amiri" w:eastAsia="Amiri" w:cs="Amiri"/>
          <w:color w:val="111111"/>
          <w:sz w:val="28"/>
          <w:sz w:val="28"/>
          <w:szCs w:val="28"/>
          <w:rtl w:val="true"/>
          <w:lang w:bidi="ar-SA"/>
        </w:rPr>
        <w:t>الظاهرة في خلاف ما حدّده الشارع لا يعامل معها معاملة التعارض، مثلا لو ورد أنّ المسافر حكمه كذا، و المقيم حكمه كذا، و ماء الكثير حكمه كذا، فلو لم يرد من الشارع تحديد كان ما يفهمه العرف من هذه الموضوعات هو المتّبع، فربّما لا يرى العرف صدق الماء الكثير على الكرّ، و كذا لا يرى صدق السفر و الإقامة على ثمانية فراسخ أو إقامة عشرة أيّام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بعد تحديد الشارع الماء الكثير بالكرّ، و السفر بثمانية فراسخ، و الإقامة بعشرة أيّام، لا يعامل مع هذا التحديد معاملة المعارض، لمّا أخذ نفس الماء الكثير</w:t>
      </w:r>
      <w:bookmarkStart w:id="76" w:name="pg19820_206484"/>
    </w:p>
    <w:p>
      <w:pPr>
        <w:pStyle w:val="BookText"/>
        <w:rPr/>
      </w:pPr>
      <w:bookmarkEnd w:id="76"/>
      <w:r>
        <w:rPr>
          <w:rFonts w:ascii="Amiri" w:hAnsi="Amiri" w:eastAsia="Amiri" w:cs="Amiri"/>
          <w:color w:val="111111"/>
          <w:sz w:val="28"/>
          <w:sz w:val="28"/>
          <w:szCs w:val="28"/>
          <w:rtl w:val="true"/>
          <w:lang w:bidi="ar-SA"/>
        </w:rPr>
        <w:t>و السفر و الإقامة موضوعا، و إن كان ظاهر ما يتراءى من الموضوع منافيا لهذا التحديد، فإنّ هذا الظهور إنّما يكون متّبعا إذا لم يرد تحديد للشارع لبيانه، و بعد ورود التحديد يؤخذ به و يطرح ذلك الظهور، فإنّه يكون نظير التخطئة في المصداق، و ذلك أيضا واضح</w:t>
      </w:r>
      <w:r>
        <w:rPr>
          <w:rFonts w:eastAsia="Amiri" w:cs="Amiri" w:ascii="Amiri" w:hAnsi="Amiri"/>
          <w:color w:val="111111"/>
          <w:sz w:val="28"/>
          <w:szCs w:val="28"/>
          <w:rtl w:val="true"/>
          <w:lang w:bidi="ar-SA"/>
        </w:rPr>
        <w:t>.</w:t>
      </w:r>
    </w:p>
    <w:p>
      <w:pPr>
        <w:pStyle w:val="Heading6"/>
        <w:numPr>
          <w:ilvl w:val="5"/>
          <w:numId w:val="1"/>
        </w:numPr>
        <w:rPr/>
      </w:pPr>
      <w:bookmarkStart w:id="77" w:name="__RefHeading___Toc3360008_2314609296"/>
      <w:bookmarkStart w:id="78" w:name="_Toc31"/>
      <w:bookmarkEnd w:id="77"/>
      <w:r>
        <w:rPr>
          <w:rtl w:val="true"/>
        </w:rPr>
        <w:t>الرابع</w:t>
      </w:r>
      <w:r>
        <w:rPr>
          <w:rtl w:val="true"/>
        </w:rPr>
        <w:t xml:space="preserve">: </w:t>
      </w:r>
      <w:r>
        <w:rPr>
          <w:rtl w:val="true"/>
        </w:rPr>
        <w:t>أنّه لو لم يكن بين المتعارضين جمع دلالي</w:t>
      </w:r>
      <w:bookmarkEnd w:id="78"/>
    </w:p>
    <w:p>
      <w:pPr>
        <w:pStyle w:val="BookText"/>
        <w:rPr/>
      </w:pPr>
      <w:r>
        <w:rPr>
          <w:rFonts w:ascii="Amiri" w:hAnsi="Amiri" w:eastAsia="Amiri" w:cs="Amiri"/>
          <w:color w:val="111111"/>
          <w:sz w:val="28"/>
          <w:sz w:val="28"/>
          <w:szCs w:val="28"/>
          <w:rtl w:val="true"/>
          <w:lang w:bidi="ar-SA"/>
        </w:rPr>
        <w:t>، كالإطلاق و التقييد و النصّ و الظاهر، تصل النوبة حينئذ إلى المرجّحات السندية، و تكون مقدّمة على موافقة العامّة و مخالفتهم كما بيّن في محلّه، لكن هذا إذا لم يكن في أحد الدليلين ما يوجب الظهور في صدوره تقية، أو كان مضمون أحد الدليلين ممّا تفرّدت به العامّة، بحيث صار شعارا لهم و كانوا يعرفون بذلك، كمعرفة الخاصّة بما تضمّنه الدليل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ملاحظة المرجّحات السندية إنّما يكون بعد جريان الأصول الجهتية، من أصالة الصدور لبيان الحكم الواقعي، و أصالة عدم صدوره تقية، و أمّا مع عدم جريان الأصول الجهتيّة، إمّا لاحتفاف أحد الدليلين بما يوجب القطع أو الظنّ العقلائي على كونه صادرا تقية، و إمّا لكون ما تضمّنه أحد الدليلين من المعنى كان يعدّ في زمان الصدور من شعار العامّة و كانوا يعرفون به، عكس ما تضمّنه الدليل الآخر من كونه كان شعارا للخاصّة و يعرفون به، فلا تصل النوبة إلى المرجّحات السندية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الأمور فلنشرع في ذكر الأخبار، و هي و إن كانت من الجانبين كثيرة إلّا أنّا نقتصر بما هو صريح أو ظاهر الدلالة، ثمّ نعقبه بما يقتضيه النظر الصحيح في الجمع بينها،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دلّ على أنّ الغروب إنّما هو بذهاب الحمرة المشرقية عن قمّة الرأس و لا يكفي استتار القرص فهي على طوائف أربع</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أنّ وقت استتار القرص و غيبوبة الشمس إنّما هو ذهاب الحمرة المشرقية، و في بعضها تقييد الذهاب بتجاوزها عن قمّة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مرسلة ابن أبي عمير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سقوط القرص و وقت الإفطار من الصيام أن تقوم بحذاء القبلة و تتفقّد الحمرة التي ترتفع من المشرق، فإذا جازت قمّة الرأس إلى ناحية المغرب فقد وجب الإفطار و سقط القرص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الكليني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غابت الحمرة من هذا 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ناحية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غابت الشمس من شرق الأرض و غربها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المحكيّ عن 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وقت المغرب سقوط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على غروب الشمس ذهاب الحمرة من جانب المشرق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 أخرى عن ابن أبي عمير عن القاسم بن عروة عن بريد بن معاوية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غابت الشمس من هذا 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ناحية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غابت الشمس في شرق الأرض و غربها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معلوم أنّ المراد من غيبوبة الشمس من ناحية المشرق غيبوبتها بتوابعها و ملحقاتها من الشعاع و الحمرة، لا أنّ المراد خصوص غيبوبة جرم الشمس، إذ لا يكون حينئذ معنى 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ناحية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جرم الشمس إذا غاب يغيب من المشرق و المغرب لا خصوص المشرق، فيعلم من ذلك أنّ المراد منه غيبوبتها بتوابعها و لوازمها، و قد عرفت في الأمر الثاني صحّة إطلاق اللفظ و إرادة الأعمّ منه و من توابعه و ملحقاته إذا كانت هناك قرينة متّصلة أو منفصلة تدلّ</w:t>
      </w:r>
    </w:p>
    <w:p>
      <w:pPr>
        <w:pStyle w:val="BookText"/>
        <w:rPr/>
      </w:pPr>
      <w:r>
        <w:rPr>
          <w:rFonts w:ascii="Amiri" w:hAnsi="Amiri" w:eastAsia="Amiri" w:cs="Amiri"/>
          <w:color w:val="111111"/>
          <w:sz w:val="28"/>
          <w:sz w:val="28"/>
          <w:szCs w:val="28"/>
          <w:rtl w:val="true"/>
          <w:lang w:bidi="ar-SA"/>
        </w:rPr>
        <w:t>على إرادة الأعمّ، و إن كان اللفظ مع تجرّده عن تلك القرينة يكون ظاهرا في شخص ما وضع له و لا يعمّ التوابع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معناها روايات أخر ظاهرة الدلالة من أنّ مغيب الشمس و استتار القرص إنّما يكون بذهاب الحمرة المشرقية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أنّ وقت المغرب إنّما هو ذهاب الحمرة المشرقية، أو ما يقرب من هذا التعبير، مثل رؤية الكوكب و أمثال ذلك، من غير بيان أنّ استتار القرص أو غيبوبة الشمس يتحقّق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مرسلة ابن أشيم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المغرب إذا ذهبت الحمرة من المشرق </w:t>
      </w:r>
      <w:r>
        <w:rPr>
          <w:rStyle w:val="FootnoteAnchor"/>
          <w:rtl w:val="true"/>
        </w:rPr>
        <w:footnoteReference w:id="67"/>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محمّد بن علي بن الحسين بإسناده عن بكر بن محمّد عن أبي عبد اللّٰه عليه السّلام أنّه سأله سائل عن وقت المغرب،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 في كتابه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عليه الليل رأى كوكبا فقال هذا ربّي </w:t>
      </w:r>
      <w:r>
        <w:rPr>
          <w:rStyle w:val="FootnoteAnchor"/>
          <w:rtl w:val="true"/>
        </w:rPr>
        <w:footnoteReference w:id="68"/>
      </w:r>
      <w:r>
        <w:rPr>
          <w:rFonts w:ascii="Amiri" w:hAnsi="Amiri" w:eastAsia="Amiri" w:cs="Amiri"/>
          <w:color w:val="111111"/>
          <w:sz w:val="28"/>
          <w:sz w:val="28"/>
          <w:szCs w:val="28"/>
          <w:rtl w:val="true"/>
          <w:lang w:bidi="ar-SA"/>
        </w:rPr>
        <w:t xml:space="preserve">، و هذا أول الوقت، و آخر ذلك غيبوبة الشفق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معلوم أنّ ذهاب الحمرة ملازمة لرؤية الكوكب لغالب الناس المتعارفة في البصر، فلا عبرة بمن يراه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معناها أيضا عدّة روايات أخر لا تخفى على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ثبوت الفصل بين مغيب الشمس و صلاة المغرب</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رواية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ساعة كان رسول اللّٰه صلّى اللّٰه عليه و آله يوتر؟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مغيب الشمس إلى صلاة</w:t>
      </w:r>
    </w:p>
    <w:p>
      <w:pPr>
        <w:pStyle w:val="BookText"/>
        <w:rPr/>
      </w:pPr>
      <w:r>
        <w:rPr>
          <w:rFonts w:ascii="IRNazanin" w:hAnsi="IRNazanin" w:eastAsia="IRNazanin"/>
          <w:color w:val="111111"/>
          <w:sz w:val="28"/>
          <w:sz w:val="28"/>
          <w:szCs w:val="28"/>
          <w:rtl w:val="true"/>
          <w:lang w:bidi="fa-IR"/>
        </w:rPr>
        <w:t xml:space="preserve">المغرب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بداهة ظهوره في ثبوت الفصل في الجملة بينهما، و معلوم أنّ الفصل في الجملة يلازم ذهاب الحمرة المشرقية هذا، مع 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الأمر بالمساء بصلاة المغرب، و أنّ فعلهم عليهم السّلام لها عند استتار القرص، إنّما كان لأجل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رواية 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جارود ينصحون فلا يقبلون، و إذا سمعوا بشي‌ء نادوا به، أو حدّثوا بشي‌ء أذاعوه،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مسّوا بالمغرب قليلا فتركوها حتّى اشتبكت النجوم، فأنا الآن أصلّيها إذا سقط القرص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يخفى ظهور قوله عليه السّلام أخيرا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الآن أصلّيها إذا سقط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التقية لأن لا يعرف بما أذاعوه و نادوا به كما يدلّ على ذلك صدرها، فحينئذ يكون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مسّوا بالمغرب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التأخير عن استتار القرص في الجملة، حتّى لا ينافي ظهور فعله عليه السّلام </w:t>
      </w:r>
      <w:r>
        <w:rPr>
          <w:rStyle w:val="FootnoteAnchor"/>
          <w:rtl w:val="true"/>
        </w:rPr>
        <w:footnoteReference w:id="72"/>
      </w:r>
      <w:r>
        <w:rPr>
          <w:rFonts w:ascii="Amiri" w:hAnsi="Amiri" w:eastAsia="Amiri" w:cs="Amiri"/>
          <w:color w:val="111111"/>
          <w:sz w:val="28"/>
          <w:sz w:val="28"/>
          <w:szCs w:val="28"/>
          <w:rtl w:val="true"/>
          <w:lang w:bidi="ar-SA"/>
        </w:rPr>
        <w:t>لها عند الاستتار إنّما كان لأجل التقية، لكنّ التأخير لا على وجه يوجب اشتباك النجوم كما صنعه أبو الخطّاب و أصحابه، و قد عرفت أنّ التأخير عن الاستتار في الجملة يلازم القول بذهاب الحمرة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أردنا ذكره من الأخبار الدالّة على أنّ وقت المغرب إنّما هو ذهاب الحمرة المشرقية، و في معناها أخبار أخر كثيرة ظاهرة الدلالة في ذلك، و لكن أسقطناها للاستغناء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فلنذكر الآن الأخبار الدالّة على أنّ وقت المغرب إنّما هو استتار القرص، و نقتصر أيضا على ما هو ظاهر الدلالة في ذلك، و هي أيضا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وقت المغرب إنّما هو غيبوبة الشمس أو استتار القرص، من غير ذكر شي‌ء آخر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رواية 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المغرب إذا غاب القرص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غابت الشمس فقد حلّ الإفطار و وجبت الصلاة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إذا غاب القرص أفطر الصائم و دخل وقت الصلاة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داود بن أبي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غابت الشمس فقد دخل وقت المغرب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 ذلك ممّا علّق دخول وقت المغرب بمجرّد غيبوبة الشمس و استتار القرص، و 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منع الإمام عليه السّلام أن يمسي بالمغرب، و أنّه كان يصلّي عليه السّلام إذا غربت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رواية عبيد اللّٰه بن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صحبني رجل كان يمسي بالمغرب و يغلس بالفجر، و كنت أنا أصلّي المغرب إذا غربت الشمس، و أصلّي الفجر إذا استبان،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تصنع مثل ما أصنع؟ فإنّ الشمس تطلع على قوم قبلنا و تغرب عنّا و هي طالعة على قوم</w:t>
      </w:r>
    </w:p>
    <w:p>
      <w:pPr>
        <w:pStyle w:val="BookText"/>
        <w:rPr/>
      </w:pPr>
      <w:r>
        <w:rPr>
          <w:rFonts w:ascii="Amiri" w:hAnsi="Amiri" w:eastAsia="Amiri" w:cs="Amiri"/>
          <w:color w:val="111111"/>
          <w:sz w:val="28"/>
          <w:sz w:val="28"/>
          <w:szCs w:val="28"/>
          <w:rtl w:val="true"/>
          <w:lang w:bidi="ar-SA"/>
        </w:rPr>
        <w:t>آخرين بعد،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علينا أن نصلّي إذا غربت الشمس عنّا و إذا طلع الفجر عندنا </w:t>
      </w:r>
      <w:r>
        <w:rPr>
          <w:rStyle w:val="FootnoteAnchor"/>
          <w:rtl w:val="true"/>
        </w:rPr>
        <w:footnoteReference w:id="77"/>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فعل الصادق عليه السّلام صلاة المغرب عند غيبوبة الشمس، مع التصريح فيه بأنّ شعاع الشمس بعد موجود في الأفق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رواية أبان بن تغلب و أبان بن أرقم و غيرهم،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من مكّة حتّى إذا كنّا بوادي الأخضر إذا نحن برجل يصلّي، و نحن ننظر إلى شعاع الشمس، فوجدنا في أنفسنا فجعل يصلّي و نحن ندعو عليه و نقول هو شباب من شباب أهل المدينة، فلمّا أتيناه إذا هو أبو عبد اللّٰه جعفر بن محمّد عليه السّلام، فنزلنا فصلّينا معه و قد فاتتنا ركعة، فلمّا قضينا الصلاة قمنا إليه،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هذه الساعة تصلّي؟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غابت الشمس فقد دخل الوقت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وقت المغرب إنّما هو بغيبوبة القرص، مع زيادة تحديده بأنّه إذا نظرت إليه لم تره، كما في رواية علي بن الحكم عن أحدهما أنّه سئل عن وقت المغرب،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كرسيّها،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كرسيّها؟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قرصها،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يغيب قرصها؟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نظرت إليه فلم تره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امتداد وقت المغرب من حين غيبوبة الشمس إلى أن تشتبك النجوم أو سقوط الشفق</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المغرب من حين تغيب الشمس إلى أن تشتبك النجوم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 عنه أيضا عليه السّلام قال بعد سؤاله عن وقت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 المغرب ما بين غروب الشمس إلى سقوط الشفق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أردنا ذكره أيضا من الأخبار الدالّة على أنّ وقت المغرب إنّما هو غيبوبة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يقتضيه النظر الصحيح في الجمع بينها هو الأخذ بما دلّ على اعتبار ذهاب الحمرة المشرقية، فإنّ ما دلّ على خلافها من كون العبرة بغيبوبة الشمس و القرص لا يقاومه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الطائفة الأولى الدالّة على دخول الوقت بغيبوبة الشمس و استتار القرص بقول مطلق من غير ضميمة فهي محكومة بالطائفة الاولى من تلك الأخبار، التي حدّدت استتار القرص و غيبوبة الشمس بذهاب الحمرة المشرقية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الأمر الثالث أنّه لا يعامل في ما ورد من التحديدات الشرعية للموضوعات العرفية معاملة المعارض، بل تكون حاكمة على الظاهر الأوّلي من الموضوع، و مقيّدة لإطلاقه، و مبيّنة للمراد منه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يعامل معاملة التعارض بين ما دلّ على دخول الوقت بغيبوبة الشمس بقول مطلق، و بين ما دلّ على أنّ غيبوبة الشمس إنّما يتحقّق بذهاب الحمرة المشرقية؟ و هل يتوقّف أحد في كون الثاني مفسّرا للأول و مبيّنا له؟ و لا بعد في إرادة ذهاب الحمرة أيضا من استتار القرص، و لم يكن الكلام خارجا عن المتعارف لأنّ الحمرة من توابع القرص و ملحقاته، و قد عرفت في الأمر الثاني من أنّ إرادة التوابع أيضا من لفظ المتبوع لا يستلزم المجازية، فضلا عن خروج الكلام عمّا هو المتعارف، فالطائفة الاولى من هذه الأخبار محكومة طرّا بالطائفة الأولى</w:t>
      </w:r>
    </w:p>
    <w:p>
      <w:pPr>
        <w:pStyle w:val="BookText"/>
        <w:rPr/>
      </w:pPr>
      <w:r>
        <w:rPr>
          <w:rFonts w:ascii="Amiri" w:hAnsi="Amiri" w:eastAsia="Amiri" w:cs="Amiri"/>
          <w:color w:val="111111"/>
          <w:sz w:val="28"/>
          <w:sz w:val="28"/>
          <w:szCs w:val="28"/>
          <w:rtl w:val="true"/>
          <w:lang w:bidi="ar-SA"/>
        </w:rPr>
        <w:t>من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الطائفة الثانية من هذه الأخبار المشتملة على فعله عليه السّلام صلاة المغرب عند غيبوبة الشمس مع منعه من أن يمسي بالمغرب فبعد ما عرفت من أنّ غيبوبة الشمس قد فسّرت بذهاب الحمرة بمقتضى الطائفة الاولى من تلك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دلالة فيها على كون فعله عليه السّلام إنّما كان عند غياب الشمس مع عدم ذهاب الحمرة، بل مقتضى التفسير أنّ فعله كان بعد ذهاب الحمرة، و لا ينافيه المنع من أن يمسي بالمغرب، إذ لعلّ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فعلها بعد سقوط الشفق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المصاحب كان من أصحاب أبي الخطاب، و احتمال ذلك يكفي في سقوط الاستدلال بها، و لا ينافي أيضا ما ذكرنا من أنّ المراد 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علينا أن نصلّي إذا غربت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غروبها مع ذهاب الحمرة، ما في ذيل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أولئك أن يصلّوا إذا غربت الشمس عنهم</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بداهة أنّه ربّما تذهب الحمرة عن مكان، بل يسقط الشفق أيضا، مع عدم غيبوبة الشمس في مكان آخر، فهذه الطائفة أيضا غير معارضة لما دلّ من اعتبار ذهاب الحمرة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الطائفة الثالثة الدالّة على فعل الصادق عليه السّلام لها مع بقاء شعاع الشمس فلا بدّ من حملها على التقية، لأنّ في نفس الرواية دلالة على أنّ فعل الصلاة في ذلك الوقت كان من شعار العامّة بحيث كانوا يعرفون به، حتّى أنّ القوم قبل معرفة الإمام عليه السّلام كانوا يدعون عليه، و يتخيّلون أنّه شابّ من شباب المدينة، فما هذا شأنه كيف يمكن الاستدلال به؟ فلا بدّ من حمل جميع ما ورد بالتحديد بغيبوبة الشمس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ذلك الطائفة الرابعة حيث عبّر فيها باستتار الكرسي تارة و باستتار القرص أخرى، فإنّه يعلم منه أنّ الإمام عليه السّلام كان بصدد الطفرة عن الجواب حتّى أنّ السائل كرّر سؤاله، فالتجأ الإمام عليه السّلام بتحديد استتار القرص بأنّه إذا نظرت إليه لم تره، مع احتمال أن يكون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القرص بتوابعه من الحمرة، و إن كان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الطائفة الخامسة فلا دلالة فيها أيضا، لأنّ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المغرب ما بين غروب الشمس إلى سقوط الشفق</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اشتباك النجوم</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بعد تحديد غيبوبة الشمس في تلك الأخبار بذهاب الحمرة، لا يكون له ظهور في كون غروب الشمس غروب نفس الجرم، و لو كان له هذا الظهور مع قطع النظر عن ذلك 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بين ذهاب الحمرة و سقوط الشفق أو اشتباك النجوم فصل لما أمكن حمل الغروب على ذهاب الحمرة، إلّا أنّ الأمر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معارضة بين الأخبار حتّى تصل النوبة إلى المرجّحات السندية، لأنّ ما دلّ على التحديد بغروب الشمس أو استتار القرص، إمّا محكومة بما دلّ على أنّ الغيبوبة إنّما تحصل بذهاب الحمرة و هي أكثرها، و امّا محمولة على التقية، لاشتمالها على قرينة تدلّ على ذلك، و قد تقدّم في الأمر الرابع أنّ ملاحظة المرجحات إنّما هو بعد الفراغ عن جريان الأصول الجهتية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أغمضنا عن ذلك كلّه و قلنا بالمعارضة فلا إشكال أيضا في أنّ الترجيح على ما دلّ على اعتبار ذهاب الحمرة، لا من جهة الأكثرية و الأشهرية، بل من جهة</w:t>
      </w:r>
    </w:p>
    <w:p>
      <w:pPr>
        <w:pStyle w:val="BookText"/>
        <w:rPr/>
      </w:pPr>
      <w:r>
        <w:rPr>
          <w:rFonts w:ascii="Amiri" w:hAnsi="Amiri" w:eastAsia="Amiri" w:cs="Amiri"/>
          <w:color w:val="111111"/>
          <w:sz w:val="28"/>
          <w:sz w:val="28"/>
          <w:szCs w:val="28"/>
          <w:rtl w:val="true"/>
          <w:lang w:bidi="ar-SA"/>
        </w:rPr>
        <w:t>مخالفتها للعامّة، بخلاف ما دلّ على أنّ العبرة باستتار القرص، فإنّها موافقة للعامّة و يجب طرحها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ذكرنا من أنّ رتبة الموافقة و المخالفة للعامّة متأخّرة عن المرجّحات السندية صحيح إلّا أنّه ليس في المقام من المرجّحات شي‌ء، لأنّ في كلتا الطائفتين من الصحاح ما لا يخفى، و العدالة و الوثاقة متحقّقة في كليهما، و لا أشهرية في البين لأنّ كلتا الطائفتين مشهورتان عند الرواة و الشهرة العملية ما لم تصل إلى حدّ الإعراض عن الأخرى لا اعتبار بها، مع أنّ الشهرة العملية في تلك الطائفة، لأنّه لم ينسب القول باستتار القرص من الطبقة الأولى التي هي العبرة في كون عملهم جابرة و كاسرة، إلّا عن الكاتب و الصدوق و المرتضى و الشيخ و سلار و القاضي </w:t>
      </w:r>
      <w:r>
        <w:rPr>
          <w:rStyle w:val="FootnoteAnchor"/>
          <w:rtl w:val="true"/>
        </w:rPr>
        <w:footnoteReference w:id="85"/>
      </w:r>
      <w:r>
        <w:rPr>
          <w:rFonts w:ascii="Amiri" w:hAnsi="Amiri" w:eastAsia="Amiri" w:cs="Amiri"/>
          <w:color w:val="111111"/>
          <w:sz w:val="28"/>
          <w:sz w:val="28"/>
          <w:szCs w:val="28"/>
          <w:rtl w:val="true"/>
          <w:lang w:bidi="ar-SA"/>
        </w:rPr>
        <w:t>، مع أنّ عبارات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صريحة في ذلك، بل نقل عن بعضهم خلاف ما نسب إليه، فلا إشكال في أنّ الشهرة أو الأشهرية في تلك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في ما دلّ على اعتبار استتار القرص من المرجّحات لو لم تكن في مقابلها، و لا محالة تصل النوبة إلى موافقة العامّة و مخالفتهم، و لا إشكال في موافقة ذلك للعامّة بحيث كانوا يعرفون به كما سمعت، و لا أظنّ بعد ما ذكرنا التوقّف في الحكم ممّن له أدنى رويّة في الجمع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أنّ أول وقت المغرب إنّما هو ذهاب الحمرة المشرقية عن قمّة الرأس، كما صرّحت به بعض الروايات المتقدّمة، و به يقيّد ما دلّ على اعتبار الحمرة من غير تقييد بتجاوزها عن ذلك الحدّ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آخره فالمشهور أنّه يمتدّ إلى مقدار أربع ركعات من نصف اللّيل مطلقا و لو للمختار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إلى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سقوط الشفق، و ما بعد ذلك إلى انتصاف</w:t>
      </w:r>
    </w:p>
    <w:p>
      <w:pPr>
        <w:pStyle w:val="BookText"/>
        <w:rPr/>
      </w:pPr>
      <w:r>
        <w:rPr>
          <w:rFonts w:ascii="Amiri" w:hAnsi="Amiri" w:eastAsia="Amiri" w:cs="Amiri"/>
          <w:color w:val="111111"/>
          <w:sz w:val="28"/>
          <w:sz w:val="28"/>
          <w:szCs w:val="28"/>
          <w:rtl w:val="true"/>
          <w:lang w:bidi="ar-SA"/>
        </w:rPr>
        <w:t>اللّيل يكون وقتا للمضطرّ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وقت الاضطراري يمتدّ إلى الطلوع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تكون في المسألة أقوال أخر، هذا بالنسبة إلى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العشاء فالمشهور أيضا أنّ أول وقتها إنّما هو بعد فعل المغرب، و آخر وقتها للمختار إلى انتصاف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وقتها إنّما هو غيبوبة الشفق، و آخر وقتها للمختار ثلث اللّيل، و ما بعد ذلك إلى نصف اللّيل وقت للمضطرّ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تكون في المسألة أيضا أقوال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الاختلاف مختصّا بالعشاءين، بل في الظهرين أيضا اختلفت كلمات الأصحاب، فالمشهور على أنّه يمتدّ وقت الظهرين إلى الغروب اختيارا، كما أنّ المشهور هو دخول وقت العصر بمجرّد فعل الظهر، بل مجمع عليه، و إن كان يظهر من بعض العبائر وقوع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وقت الظهر هو القدمان، و آخر وقت العصر هو أربعة أقدام للمختار، و بعد ذلك وقت للمضطرّ إلى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وقت الظهر هو المثل، و آخر وقت العصر هو المثلان للمختار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غير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كلمات الأصحاب بالنسبة إلى آخر وقت الظهر و العصر، بعد اتّفاقهم ظاهرا على أول وقت الظهرين، و كذا اختلفت كلماتهم بالنسبة إلى آخر وقت العشاءين و أول وقت العشاء، بعد اتّفاقهم على أول وقت المغرب و هو الغروب، و إن وقع الخلاف في ما يتحقّق به الغروب، و أنّه هل هو الاستتار أو ذهاب الحمرة على ما تقدّم بيانه، و كذلك اختلفت كلماتهم في آخر وقت صلاة الفجر، بعد اتّفاقهم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أوله و أنّه هو الفجر الصادق</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المشهور بين الأعلام هو امتداد وقت الظهرين إلى الغروب مطلقا و لو للمختار، و امتداد وقت العشاءين إلى نصف اللّيل مطلقا، و دخول وقت العشاء</w:t>
      </w:r>
      <w:bookmarkStart w:id="79" w:name="pg19820_206495"/>
    </w:p>
    <w:p>
      <w:pPr>
        <w:pStyle w:val="BookText"/>
        <w:rPr/>
      </w:pPr>
      <w:bookmarkEnd w:id="79"/>
      <w:r>
        <w:rPr>
          <w:rFonts w:ascii="Amiri" w:hAnsi="Amiri" w:eastAsia="Amiri" w:cs="Amiri"/>
          <w:color w:val="111111"/>
          <w:sz w:val="28"/>
          <w:sz w:val="28"/>
          <w:szCs w:val="28"/>
          <w:rtl w:val="true"/>
          <w:lang w:bidi="ar-SA"/>
        </w:rPr>
        <w:t>بمجرّد فعل المغرب، و امتداد وقت الصبح إلى طلوع الشمس أيضا مطلقا و لو للمختار، هذا هو المشهور، و في مقابله أقوال أخر لا تخفى على المتتبّع، و لعلّها تمرّ عليك في طيّ الاستدلال لما ذهب إليه المشهور</w:t>
      </w:r>
      <w:r>
        <w:rPr>
          <w:rFonts w:eastAsia="Amiri" w:cs="Amiri" w:ascii="Amiri" w:hAnsi="Amiri"/>
          <w:color w:val="111111"/>
          <w:sz w:val="28"/>
          <w:szCs w:val="28"/>
          <w:rtl w:val="true"/>
          <w:lang w:bidi="ar-SA"/>
        </w:rPr>
        <w:t>.</w:t>
      </w:r>
    </w:p>
    <w:p>
      <w:pPr>
        <w:pStyle w:val="Heading6"/>
        <w:numPr>
          <w:ilvl w:val="5"/>
          <w:numId w:val="1"/>
        </w:numPr>
        <w:rPr/>
      </w:pPr>
      <w:bookmarkStart w:id="80" w:name="__RefHeading___Toc3360010_2314609296"/>
      <w:bookmarkStart w:id="81" w:name="_Toc32"/>
      <w:bookmarkEnd w:id="80"/>
      <w:r>
        <w:rPr>
          <w:rtl w:val="true"/>
        </w:rPr>
        <w:t>فينبغي التكلّم في مقامات ثلاث</w:t>
      </w:r>
      <w:r>
        <w:rPr>
          <w:rtl w:val="true"/>
        </w:rPr>
        <w:t>:</w:t>
      </w:r>
      <w:bookmarkEnd w:id="81"/>
    </w:p>
    <w:p>
      <w:pPr>
        <w:pStyle w:val="Heading6"/>
        <w:numPr>
          <w:ilvl w:val="5"/>
          <w:numId w:val="1"/>
        </w:numPr>
        <w:rPr/>
      </w:pPr>
      <w:bookmarkStart w:id="82" w:name="__RefHeading___Toc3360012_2314609296"/>
      <w:bookmarkStart w:id="83" w:name="_Toc33"/>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امتداد وقت الظهرين للمختار إلى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امتداد وقت العشاءين إلى نصف اللّيل حتّى للمختار، و ندرج فيه دخول وقت العشاء بمجرّد فعل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امتداد وقت صلاة الفجر إلى طلوع الشمس للمختار أيضا</w:t>
      </w:r>
      <w:r>
        <w:rPr>
          <w:rFonts w:eastAsia="Amiri" w:cs="Amiri" w:ascii="Amiri" w:hAnsi="Amiri"/>
          <w:color w:val="111111"/>
          <w:sz w:val="28"/>
          <w:szCs w:val="28"/>
          <w:rtl w:val="true"/>
          <w:lang w:bidi="ar-SA"/>
        </w:rPr>
        <w:t>.</w:t>
      </w:r>
    </w:p>
    <w:p>
      <w:pPr>
        <w:pStyle w:val="Heading6"/>
        <w:numPr>
          <w:ilvl w:val="5"/>
          <w:numId w:val="1"/>
        </w:numPr>
        <w:rPr/>
      </w:pPr>
      <w:bookmarkStart w:id="84" w:name="__RefHeading___Toc3360014_2314609296"/>
      <w:bookmarkStart w:id="85" w:name="_Toc34"/>
      <w:bookmarkEnd w:id="84"/>
      <w:r>
        <w:rPr>
          <w:rtl w:val="true"/>
        </w:rPr>
        <w:t>أمّا المقام الأول</w:t>
      </w:r>
      <w:r>
        <w:rPr>
          <w:rtl w:val="true"/>
        </w:rPr>
        <w:t>:</w:t>
      </w:r>
      <w:bookmarkEnd w:id="85"/>
    </w:p>
    <w:p>
      <w:pPr>
        <w:pStyle w:val="Heading6"/>
        <w:numPr>
          <w:ilvl w:val="5"/>
          <w:numId w:val="1"/>
        </w:numPr>
        <w:rPr/>
      </w:pPr>
      <w:bookmarkStart w:id="86" w:name="__RefHeading___Toc3360016_2314609296"/>
      <w:bookmarkStart w:id="87" w:name="_Toc35"/>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فقد علمت أنّه المشهور، و هو الأقوى في النظر، و بيان ذلك يتوقّف على ذكر ما ورد من الأخبار في وقت الظهرين، و هي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المطلقات الدالّة على امتداد وقت الظهرين إلى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أنت في وقت منهما إلى غروب الشمس</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و هي كثيرة جدّا، و قد تقدّم شطر منها في أول بحث المواقيت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امتداد وقت الظهر إلى أربعة 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كخبر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متى يدخل وقت الظهر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يخرج وقتها؟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ما يمضي من زوالها أربعة أقدام، و إنّ وقت الظهر ضيّق ليس كغيره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معناه رواية أخرى وردت في باب طهر الحائض بعد أربعة أقدام من الزوال، حيث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تصلّي العصر فإنّ وقت الظهر قد خرج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أفتى بعض بمضمون هذا الخبر مع زيادة امتداد وقت العصر إلى ثمانية إقدام مع أنّه ليس في الخبر ذلك، بل فيه امتداد وقت العصر إلى غروب الشمس،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يدخل وقت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وقت الظهر هو أول وقت العصر،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يخرج وقت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العصر إلى أن تغرب الشمس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امتداد وقت الظهر إلى المثل و العصر إلى المثلين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خبر 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العبد الصالح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وقت الظهر زوال الشمس و آخر وقتها قامة من الزوال، و أول وقت العصر قامة و آخر وقتها قامتان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معناه روايات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أفتى بمضمونها بعض لكن بعد تقييده بالمختار، لما دلّ من امتداد الوقت لصاحب العذر إلى الغروب</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أنّ وقت الظهر هو القدمان </w:t>
      </w:r>
      <w:r>
        <w:rPr>
          <w:rStyle w:val="FootnoteAnchor"/>
          <w:rtl w:val="true"/>
        </w:rPr>
        <w:footnoteReference w:id="91"/>
      </w:r>
      <w:r>
        <w:rPr>
          <w:rFonts w:ascii="IRNazanin" w:hAnsi="IRNazanin" w:eastAsia="IRNazanin"/>
          <w:color w:val="111111"/>
          <w:sz w:val="28"/>
          <w:sz w:val="28"/>
          <w:szCs w:val="28"/>
          <w:rtl w:val="true"/>
          <w:lang w:bidi="fa-IR"/>
        </w:rPr>
        <w:t xml:space="preserve">أو القدم </w:t>
      </w:r>
      <w:r>
        <w:rPr>
          <w:rStyle w:val="FootnoteAnchor"/>
          <w:rtl w:val="true"/>
        </w:rPr>
        <w:footnoteReference w:id="92"/>
      </w:r>
      <w:r>
        <w:rPr>
          <w:rFonts w:ascii="IRNazanin" w:hAnsi="IRNazanin" w:eastAsia="IRNazanin"/>
          <w:color w:val="111111"/>
          <w:sz w:val="28"/>
          <w:sz w:val="28"/>
          <w:szCs w:val="28"/>
          <w:rtl w:val="true"/>
          <w:lang w:bidi="fa-IR"/>
        </w:rPr>
        <w:t xml:space="preserve">أو الذراع </w:t>
      </w:r>
      <w:r>
        <w:rPr>
          <w:rStyle w:val="FootnoteAnchor"/>
          <w:rtl w:val="true"/>
        </w:rPr>
        <w:footnoteReference w:id="93"/>
      </w:r>
      <w:r>
        <w:rPr>
          <w:rFonts w:ascii="Amiri" w:hAnsi="Amiri" w:eastAsia="Amiri" w:cs="Amiri"/>
          <w:color w:val="111111"/>
          <w:sz w:val="28"/>
          <w:sz w:val="28"/>
          <w:szCs w:val="28"/>
          <w:rtl w:val="true"/>
          <w:lang w:bidi="ar-SA"/>
        </w:rPr>
        <w:t xml:space="preserve">، و وقت العصر أربعة أقدام </w:t>
      </w:r>
      <w:r>
        <w:rPr>
          <w:rStyle w:val="FootnoteAnchor"/>
          <w:rtl w:val="true"/>
        </w:rPr>
        <w:footnoteReference w:id="94"/>
      </w:r>
      <w:r>
        <w:rPr>
          <w:rFonts w:ascii="IRNazanin" w:hAnsi="IRNazanin" w:eastAsia="IRNazanin"/>
          <w:color w:val="111111"/>
          <w:sz w:val="28"/>
          <w:sz w:val="28"/>
          <w:szCs w:val="28"/>
          <w:rtl w:val="true"/>
          <w:lang w:bidi="fa-IR"/>
        </w:rPr>
        <w:t xml:space="preserve">أو ذراعان </w:t>
      </w:r>
      <w:r>
        <w:rPr>
          <w:rStyle w:val="FootnoteAnchor"/>
          <w:rtl w:val="true"/>
        </w:rPr>
        <w:footnoteReference w:id="95"/>
      </w:r>
      <w:r>
        <w:rPr>
          <w:rFonts w:ascii="Amiri" w:hAnsi="Amiri" w:eastAsia="Amiri" w:cs="Amiri"/>
          <w:color w:val="111111"/>
          <w:sz w:val="28"/>
          <w:sz w:val="28"/>
          <w:szCs w:val="28"/>
          <w:rtl w:val="true"/>
          <w:lang w:bidi="ar-SA"/>
        </w:rPr>
        <w:t>من غير تعرّض أنّ ذلك آخر وقت الفرضين، بل في بعضها دلالة على أنّ ذلك أول وقتها، و مع ذلك ذهب بعض إلى أنّ ذلك آخر وقت الفرضين للمختار، و لعلّه توهّم أنّ تلك الأخبار في مقام تحديد</w:t>
      </w:r>
    </w:p>
    <w:p>
      <w:pPr>
        <w:pStyle w:val="BookText"/>
        <w:rPr/>
      </w:pPr>
      <w:r>
        <w:rPr>
          <w:rFonts w:ascii="Amiri" w:hAnsi="Amiri" w:eastAsia="Amiri" w:cs="Amiri"/>
          <w:color w:val="111111"/>
          <w:sz w:val="28"/>
          <w:sz w:val="28"/>
          <w:szCs w:val="28"/>
          <w:rtl w:val="true"/>
          <w:lang w:bidi="ar-SA"/>
        </w:rPr>
        <w:t>آخر الوقت، مع أنّ ظاهر الأخبار يأباه، و أنّ ذلك أول الوقت لخصوص المتنفّل،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امتداد وقت العصر للمختار حتّى يصير الظلّ ستّة 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خبر 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على ذراعين، فمن تركها حتّى تصير على ستّة أقدام فذلك المضيّع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معناه رواية أخرى </w:t>
      </w:r>
      <w:r>
        <w:rPr>
          <w:rStyle w:val="FootnoteAnchor"/>
          <w:rtl w:val="true"/>
        </w:rPr>
        <w:footnoteReference w:id="97"/>
      </w:r>
      <w:r>
        <w:rPr>
          <w:rFonts w:ascii="IRNazanin" w:hAnsi="IRNazanin" w:eastAsia="IRNazanin"/>
          <w:color w:val="111111"/>
          <w:sz w:val="28"/>
          <w:sz w:val="28"/>
          <w:szCs w:val="28"/>
          <w:rtl w:val="true"/>
          <w:lang w:bidi="fa-IR"/>
        </w:rPr>
        <w:t>، و قد أفتى بمضمونه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المسألة أيضا أقوال خالية عن الشاهد، إذ الأخبار الواردة في الباب هي ما ذكرناها، و قد عرفت أنّ هذه الأخبار المفصّلة بين المثل و المثلين و الأقدام و غير ذلك كلّها مقيّدة بصورة الاختيار، لما ورد من أنّ وقت المضطرّ ممتدّ إلى الغروب أو إلى اصفرار الشمس على اختلاف في ذلك أيضا، و الأخبار المقيّدة أيضا كثيرة لا تخفى على المراجع، كما في صحيح ابن سنان عن الصادق عليه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صلاة وقتان، و أول الوقت أفضلهما، و لا ينبغي تأخير ذلك عمدا، و لكنّه وقت من شغل أو نسي أو نام، و ليس لأحد أن يجعل آخر الوقتين وقتا، إلّا من عذر أو علّة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فيقع الكلام حينئذ في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بين هذه الأخبار المفصّلة الدالّة على عدم امتداد الوقت إلى الغروب للمختار بمقتضى الأخبار المقيّدة، و بين المطلقات الدالّة بإطلاقها على امتداد الوقت مطلقا حتّى للمختار إلى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بين نفس هذه الأخبار</w:t>
      </w:r>
      <w:bookmarkStart w:id="88" w:name="pg19820_206498"/>
    </w:p>
    <w:p>
      <w:pPr>
        <w:pStyle w:val="BookText"/>
        <w:rPr/>
      </w:pPr>
      <w:bookmarkEnd w:id="88"/>
      <w:r>
        <w:rPr>
          <w:rFonts w:ascii="Amiri" w:hAnsi="Amiri" w:eastAsia="Amiri" w:cs="Amiri"/>
          <w:color w:val="111111"/>
          <w:sz w:val="28"/>
          <w:sz w:val="28"/>
          <w:szCs w:val="28"/>
          <w:rtl w:val="true"/>
          <w:lang w:bidi="ar-SA"/>
        </w:rPr>
        <w:t>المفصّلة، حيث إنّها بنفسها متعارضة من حيث اعتبار المثل و المثلين و أربعة أقدام و الذارعين و غير ذلك ممّا تقدّم</w:t>
      </w:r>
      <w:r>
        <w:rPr>
          <w:rFonts w:eastAsia="Amiri" w:cs="Amiri" w:ascii="Amiri" w:hAnsi="Amiri"/>
          <w:color w:val="111111"/>
          <w:sz w:val="28"/>
          <w:szCs w:val="28"/>
          <w:rtl w:val="true"/>
          <w:lang w:bidi="ar-SA"/>
        </w:rPr>
        <w:t>.</w:t>
      </w:r>
    </w:p>
    <w:p>
      <w:pPr>
        <w:pStyle w:val="Heading6"/>
        <w:numPr>
          <w:ilvl w:val="5"/>
          <w:numId w:val="1"/>
        </w:numPr>
        <w:rPr/>
      </w:pPr>
      <w:bookmarkStart w:id="89" w:name="__RefHeading___Toc3360018_2314609296"/>
      <w:bookmarkStart w:id="90" w:name="_Toc36"/>
      <w:bookmarkEnd w:id="89"/>
      <w:r>
        <w:rPr>
          <w:rtl w:val="true"/>
        </w:rPr>
        <w:t>أمّا الكلام في الموضع الأول</w:t>
      </w:r>
      <w:bookmarkEnd w:id="90"/>
    </w:p>
    <w:p>
      <w:pPr>
        <w:pStyle w:val="BookText"/>
        <w:rPr/>
      </w:pPr>
      <w:r>
        <w:rPr>
          <w:rFonts w:ascii="Amiri" w:hAnsi="Amiri" w:eastAsia="Amiri" w:cs="Amiri"/>
          <w:color w:val="111111"/>
          <w:sz w:val="28"/>
          <w:sz w:val="28"/>
          <w:szCs w:val="28"/>
          <w:rtl w:val="true"/>
          <w:lang w:bidi="ar-SA"/>
        </w:rPr>
        <w:t>فالمشهور على حمل الأخبار المفصّلة على بيان مراتب وقت الفضيلة، و حمل المطلقات على بيان وقت الإجزاء، من غير فرق بين المضطرّ و المختار، و في مقابله الأقوال الأخر، حيث حملوا المطلقات على الوقت الاضطراري، و الأخبار المفصّلة على الوقت الاختياري،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القواعد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القرائن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حمل المطلقات على الوقت الاضطراري، و تقيدها بما دلّ على عدم امتداد الوقت للمختار إلى الغروب، فإنّ المطلقات بإطلاقها تشمل المختار و المضطرّ في امتداد الوقت إلى الغروب، و أخبار القدم و القدمين و المثل و المثلين الظاهرة في خروج الوقت بذلك بعد تقييدها بالمختار تكون مقيّدة لتلك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الغروب وقتا للمضطرّ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الجمع بحسب القواعد مقدّم من حمل الأخبار المفصّلة على الاستحباب و الفضيلة كما صنعه المشهور، لما تبيّن في باب المطلق و المقيّد من أنّ ما دلّ على التقييد يكون حاكما و مبيّنا للمراد من المطلق، فالأصول اللّفظية الجارية في المقيّد من ظهور أمره في الوجوب تكون حاكمة على الأصول الجارية في المطلق من ظهوره في الإطلاق، و إن كان ظهور الأمر في الوجوب في المقيّد يكون أضعف بمراتب من ظهور المطلق في الإطلاق، لأنّ الشكّ في إطلاق المطلق يكون مسبّبا عن الشكّ في كون الأمر في المقيّد للوجوب، و بعد جريان أصالة ظهور الأمر فيه في الوجوب يرتفع موضوع الشكّ في المطلق، و من المعلوم أنّ الأصل الجاري في السبب يكون مقدّما على الأصل الجاري في المسبّب، و لا يلاحظ أقوائية الظهور كما صنعه بعض الأعلام، فظهور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على ظهور المطلق في الإطلاق و إن</w:t>
      </w:r>
    </w:p>
    <w:p>
      <w:pPr>
        <w:pStyle w:val="BookText"/>
        <w:rPr/>
      </w:pPr>
      <w:r>
        <w:rPr>
          <w:rFonts w:ascii="Amiri" w:hAnsi="Amiri" w:eastAsia="Amiri" w:cs="Amiri"/>
          <w:color w:val="111111"/>
          <w:sz w:val="28"/>
          <w:sz w:val="28"/>
          <w:szCs w:val="28"/>
          <w:rtl w:val="true"/>
          <w:lang w:bidi="ar-SA"/>
        </w:rPr>
        <w:t>كان ذلك من أضعف الظهورات و هذا من أقواها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ذلك ما عرفت من أنّ الشكّ في المطلق مسبّب عن الشكّ في المقيّد، و لا يمكن العكس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كون الأمر في المقيّد للوجوب مسبّب عن الشكّ في إطلاق المطلق، و بعد الأخذ بأصالة الإطلاق في المطلق يرتفع موضوع الشكّ في كون الأمر في المقيّد للوجوب، و لا بدّ حينئذ من حمله على الاستحباب، و ذلك لأنّ دليل المطلق غير متعرّض للمقيّد، غاية الأمر أنّه لو بقي على إطلاقه يكون معارضا للمقيّد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بخلاف دليل المقيّد، فإنّه بمنزلة القرينة للمطلق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ظهور يرمي في رمي النبال يكون قرينة على أنّ المراد من الأسد هو الرجل الشجاع، و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ظهور أسد في الحيوان المفترس يكون قرينة على أنّ المراد من يرمي هو رمي التراب، و هذا واضح لا سترة فيه، و قد ذكرناه في باب المطلق و المقيّد مفصّلا،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حكومة الأصول الجارية في المقيّد على الأصول الجارية في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لزوم حمل المطلقات الواردة في امتداد وقت الظهرين إلى الغروب على المقيّدات الظاهرة في خروج الوقت بالأقدام و المثلين للمختار، و لا تصل النوبة إلى حمل أوامر المقيّدات على الفضيلة و الاستحباب، كما صنعه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إنّما يتمّ لو لم يكن هناك قرينة على إرادة وقت الفضيلة من الأوامر المقيّدة، و أمّا مع ثبوت القرينة في ذلك ينهدم ظهور الأمر في الوجوب في المقيّدات، و تبقى المطلقات على حالها من امتداد الوقت للمختار إلى الغروب</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الإنصاف أنّ ملاحظة مجموع الأخبار الواردة في هذا الباب ممّا يشرف</w:t>
      </w:r>
    </w:p>
    <w:p>
      <w:pPr>
        <w:pStyle w:val="BookText"/>
        <w:rPr/>
      </w:pPr>
      <w:r>
        <w:rPr>
          <w:rFonts w:ascii="Amiri" w:hAnsi="Amiri" w:eastAsia="Amiri" w:cs="Amiri"/>
          <w:color w:val="111111"/>
          <w:sz w:val="28"/>
          <w:sz w:val="28"/>
          <w:szCs w:val="28"/>
          <w:rtl w:val="true"/>
          <w:lang w:bidi="ar-SA"/>
        </w:rPr>
        <w:t>الفقيه القطع بإرادة وقت الفضيلة من الأقدام و المثلين، و لو لم يكن في أخبار الباب إلّا رواية أحمد بن يحيى لكفى شاهدا في أنّ تلك الأخبار محمولة على تحديد وقت الفضل، و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بعض أصحابنا إلى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آبائك القدم و القدمين و الأربع و القامة و القامتين و ظلّ مثلك و الذراع و الذراعين،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القدم و لا القدمين، إذا زالت الشمس فقد دخل وقت الصلاتين، و بين يديها سبحة و هي ثمان ركعات، فإن شئت طوّلت و إن شئت قصّرت، ثمّ صلّ الظهر، فإذا فرغت كان بين يدي الظهر و العصر سبحة و هي ثمان ركعات، إن شئت طوّلت و إن شئت قصّرت، ثمّ صلّ العصر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فيظهر من السؤال و الجواب أنّ الراوي تخيّل أنّ تلك الأوقات أوقات للوجوب فسأل عمّا هو الواجب، فنفى الإمام عليه السّلام الوجوب و أنّه ليس القدم و القدمان و المثل و المثلان و غير ذلك ممّا ورد عن آبائي عليهم السّلام وقتا للوجوب، بل إذا زال الزوال دخل الوقتان، فالإمام عليه السّلام و إن ذكر في الجواب أول الوقت و لم يتعرّض لآخره و أنّ امتداده إلى متى إلّا أنّ جوابه عليه السّلام كالصريح في أنّ التحديد بتلك الأوقات المروية عنهم عليهم السّلام لم يكن تحديدا للوقت الواجب بحيث لا يجوز التقديم و التأخير عنه، فهذه الرواية أقوى شاهد على ما ذهب إليه المشهور من أنّ التحديد بذلك إنّما هو لبيان وقت الفضل لا الإجزاء</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يدلّ على ذلك أيضا قوله عليه السّلام في صحيحة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الوقت إلى اللّٰه عزّ و جلّ أوّله، حين يدخل وقت الصلاة فصلّ الفريضة، فإن لم تفعل فإنّك</w:t>
      </w:r>
    </w:p>
    <w:p>
      <w:pPr>
        <w:pStyle w:val="BookText"/>
        <w:rPr/>
      </w:pPr>
      <w:r>
        <w:rPr>
          <w:rFonts w:ascii="Amiri" w:hAnsi="Amiri" w:eastAsia="Amiri" w:cs="Amiri"/>
          <w:color w:val="111111"/>
          <w:sz w:val="28"/>
          <w:sz w:val="28"/>
          <w:szCs w:val="28"/>
          <w:rtl w:val="true"/>
          <w:lang w:bidi="ar-SA"/>
        </w:rPr>
        <w:t xml:space="preserve">في وقت منهما حتّى تغيب الشمس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أنّه كالصريح في امتداد الوقت إلى الغروب، و إن كان أوله أفضل لأنّه أحبّ إلى اللّٰه، خصوصا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عدم الفعل اختيارا، إذ لا يحسن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معذورا من الفعل، بل حقّ التعبير حينئذ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تتمكّن، أو لم نقدر، أو كنت معذورا، و أمثال ذلك ممّا يدلّ على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في نفس هذه الأخبار ما يدلّ على ذلك، كقوله عليه السّلام في صحيحة ابن سنان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صلاة وقتان و أول الوقت أفضلهما، و لا ينبغي تأخير ذلك عمدا، و لكنّه وقت من شغل أو نسي </w:t>
      </w:r>
      <w:r>
        <w:rPr>
          <w:rStyle w:val="FootnoteAnchor"/>
          <w:rtl w:val="true"/>
        </w:rPr>
        <w:footnoteReference w:id="101"/>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آخر الوقت أيضا وقتا للإجزاء و إن كان التأخير مرجوحا، 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 رضوان اللّٰه و آخره عفو اللّٰه</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و أمثال ذلك من التعبيرات الدالّة بنفسها على جواز التأخير اختيارا، و إن كان أوّله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أنّ بعض الأخبار الدالّة على خروج الوقت إذا صار الظلّ أربعة أقدام لا بدّ من حملها على التقية أو طرحها، فإنّ ما ورد من أنّ الحائض إذا طهرت بعد مضى أربعة أقدام من الزوال تصلّي العصر لخروج وقت الظهر بذلك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يمكن الالتزام به، بل هو مجمع على بطلانه، بداهة أنّ الحيض من أوضح مصاديق العذر و الاضطرار فلا بدّ من طرحها أو حملها على التقية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إطالة الكلام في ذلك، فإنّ ملاحظة الأخبار تكفي في</w:t>
      </w:r>
      <w:bookmarkStart w:id="91" w:name="pg19820_206502"/>
    </w:p>
    <w:p>
      <w:pPr>
        <w:pStyle w:val="BookText"/>
        <w:rPr/>
      </w:pPr>
      <w:bookmarkEnd w:id="91"/>
      <w:r>
        <w:rPr>
          <w:rFonts w:ascii="Amiri" w:hAnsi="Amiri" w:eastAsia="Amiri" w:cs="Amiri"/>
          <w:color w:val="111111"/>
          <w:sz w:val="28"/>
          <w:sz w:val="28"/>
          <w:szCs w:val="28"/>
          <w:rtl w:val="true"/>
          <w:lang w:bidi="ar-SA"/>
        </w:rPr>
        <w:t>حمل الأخبار المفصّلة على الفضيلة، هذا تمام الكلام في الموضع الأول</w:t>
      </w:r>
      <w:r>
        <w:rPr>
          <w:rFonts w:eastAsia="Amiri" w:cs="Amiri" w:ascii="Amiri" w:hAnsi="Amiri"/>
          <w:color w:val="111111"/>
          <w:sz w:val="28"/>
          <w:szCs w:val="28"/>
          <w:rtl w:val="true"/>
          <w:lang w:bidi="ar-SA"/>
        </w:rPr>
        <w:t>.</w:t>
      </w:r>
    </w:p>
    <w:p>
      <w:pPr>
        <w:pStyle w:val="Heading6"/>
        <w:numPr>
          <w:ilvl w:val="5"/>
          <w:numId w:val="1"/>
        </w:numPr>
        <w:rPr/>
      </w:pPr>
      <w:bookmarkStart w:id="92" w:name="__RefHeading___Toc3360020_2314609296"/>
      <w:bookmarkStart w:id="93" w:name="_Toc37"/>
      <w:bookmarkEnd w:id="92"/>
      <w:r>
        <w:rPr>
          <w:rtl w:val="true"/>
        </w:rPr>
        <w:t>بقي الكلام في الموضع الثاني</w:t>
      </w:r>
      <w:r>
        <w:rPr>
          <w:rtl w:val="true"/>
        </w:rPr>
        <w:t>:</w:t>
      </w:r>
      <w:bookmarkEnd w:id="93"/>
    </w:p>
    <w:p>
      <w:pPr>
        <w:pStyle w:val="BookText"/>
        <w:rPr/>
      </w:pPr>
      <w:r>
        <w:rPr>
          <w:rFonts w:ascii="Amiri" w:hAnsi="Amiri" w:eastAsia="Amiri" w:cs="Amiri"/>
          <w:color w:val="111111"/>
          <w:sz w:val="28"/>
          <w:sz w:val="28"/>
          <w:szCs w:val="28"/>
          <w:rtl w:val="true"/>
          <w:lang w:bidi="ar-SA"/>
        </w:rPr>
        <w:t>و هي الجمع بين نفس الأخبار المحدّدة المفصّلة، فإنّه قد عرفت اختلافها في ذلك أيضا، فبعضها تحديد بالمثل للظهر و المثلين للعصر، و هو منتهى ما ورد من التحديد، و بعضها تحديد الظهر بالقدم و العصر بالقدمين، و هو أقلّ التحديدات، و ما بينهما من القدمين و الأربعة و الستّة متوسّطات، و لا يبعد حمل هذا الاختلاف على بيان مراتب الفضل و أنّ أوله بل أول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أنّ أول الظهر زوال الشمس و آخر وقتها قامة </w:t>
      </w:r>
      <w:r>
        <w:rPr>
          <w:rStyle w:val="FootnoteAnchor"/>
          <w:rtl w:val="true"/>
        </w:rPr>
        <w:footnoteReference w:id="104"/>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القدم للظهر و القدمان للعصر، و آخره المثل للظهر و المثلان للعصر و أنّ الأول أفضل، و لا بأس بالتزام عدم دخول وقت فضيلة العصر قبل القدمين و إن فرغ من الظهر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يستشعر من بعض الأخبار أنّ ما شرع أولا إنّما هو التفريق بين الظهرين و ان الجمع رخصة، كما يظهر ذلك ممّا ورد في نزول جبرئيل عليه السّلام في اليوم الأول بوقت كذا و في اليوم الثاني بوقت كذا </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الأخبار في الباب مضطربة غاية الاضطراب، فإنّ في بعضها نفي التحديد رأسا، كقوله عليه السّلام بعد السؤال عن اختلاف الأخبار المروية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القدم و لا القدمين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و في بعضها تحديد الظهر بالقدم و العصر بالقدمين، كما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النصف من ذلك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السؤال عنه عن فعل الظهر بالقدمين و العصر بأربعة أقدام، و بعضها التحديد بالقدمين للظهر و أربعة للعصر، و في بعضها التحديد بالمثل</w:t>
      </w:r>
    </w:p>
    <w:p>
      <w:pPr>
        <w:pStyle w:val="BookText"/>
        <w:rPr/>
      </w:pPr>
      <w:r>
        <w:rPr>
          <w:rFonts w:ascii="Amiri" w:hAnsi="Amiri" w:eastAsia="Amiri" w:cs="Amiri"/>
          <w:color w:val="111111"/>
          <w:sz w:val="28"/>
          <w:sz w:val="28"/>
          <w:szCs w:val="28"/>
          <w:rtl w:val="true"/>
          <w:lang w:bidi="ar-SA"/>
        </w:rPr>
        <w:t>و المثلين على اختلاف بينها في أنّ ذلك منتهى الوقت كما في أكثر روايات المثل و المثلين، أو أول الوقت كما في بعضها الآخر، و في بعضها تحديد العصر بستّة أقدام في طرف الانتهاء، و غير ذلك من الاختلافات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الإنصاف أنّ هذه الاختلافات أقوى شاهد على أنّ التحديد بذلك ليس للوقت الإجزائي، بل إنّما هو لبيان مراتب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المتحصّل من مجموع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عليها من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آخر وقت فضيلة العصر المثلان، و آخر وقت فضيلة الظهر المثل، و ما دلّ على أمر الإمام عليه السّلام لزرارة من فعل الظهر بعد المثل و العصر بعد المثلين </w:t>
      </w:r>
      <w:r>
        <w:rPr>
          <w:rStyle w:val="FootnoteAnchor"/>
          <w:rtl w:val="true"/>
        </w:rPr>
        <w:footnoteReference w:id="107"/>
      </w:r>
      <w:r>
        <w:rPr>
          <w:rFonts w:ascii="Amiri" w:hAnsi="Amiri" w:eastAsia="Amiri" w:cs="Amiri"/>
          <w:color w:val="111111"/>
          <w:sz w:val="28"/>
          <w:sz w:val="28"/>
          <w:szCs w:val="28"/>
          <w:rtl w:val="true"/>
          <w:lang w:bidi="ar-SA"/>
        </w:rPr>
        <w:t>فمحمول على أنّ ذلك كان لمصلحة اقتضت إلى عدم فعل زرارة الظهر و العصر في وقت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لا يمكن القول بأنّ وقت الفضيلة إنّما هو بعد المثل و المثلين، لمخالفته للإجماع و صريح عدّة من الروايات بأنّ ذلك آخر الوقت لا أوّله، فما ورد في بعض الأخبار من أنّ أول الوقت هو بعد ذلك مطروح أو مؤوّل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أول الوقت للمتنفّل هو القدم للظهر و القدمان للعصر، فإنّ ذلك أقلّ ما ورد من التحديد،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وقت الفضل هو ذلك لغير المتنفّل أيضا، و إنّ ما ورد من التعليل بأنّ التحديد إنّما كان من جهة النافلة فمحمول على أنّ ذلك إنّما هو لبيان حكمة التشريع لا علّته، بحيث يكون أول الزوال أول وقت الفضيلة لغير المتنفّل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ينافي ذلك ما ورد من أنّ أول الزوال هو أول الوقت في خصوص يوم</w:t>
      </w:r>
      <w:bookmarkStart w:id="94" w:name="pg19820_206504"/>
    </w:p>
    <w:p>
      <w:pPr>
        <w:pStyle w:val="BookText"/>
        <w:rPr/>
      </w:pPr>
      <w:bookmarkEnd w:id="94"/>
      <w:r>
        <w:rPr>
          <w:rFonts w:ascii="Amiri" w:hAnsi="Amiri" w:eastAsia="Amiri" w:cs="Amiri"/>
          <w:color w:val="111111"/>
          <w:sz w:val="28"/>
          <w:sz w:val="28"/>
          <w:szCs w:val="28"/>
          <w:rtl w:val="true"/>
          <w:lang w:bidi="ar-SA"/>
        </w:rPr>
        <w:t xml:space="preserve">الجمعة و المسافر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يشعر بأنّ الفضل لغير المتنفّل هو فعله في أول الوقت، و الوجه في تخصيص المسافر و يوم الجمعة إنّما هو لمكان سقوط النافلة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المراد من المثل أو المثلين و القدم و القدمين إنّما هو بملاحظة الظلّ الحادث بعد انعدامه أو انتهاء نقصانه، و أنّ المراد ملاحظة مجموع الظلّ من الباقي و الحادث، بداهة عدم إمكان إرادة ذلك، فإنّه ربّما يكون الظلّ الباقي بقدر المثل باعتبار اختلاف الأمكنة و الأزمنة، فيلزم أن لا يكون حينئذ للظهر وقت فضيلة،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بملاحظة الأخبار الواردة في الباب، فإنّ المقام لا يسع أزيد من ذلك</w:t>
      </w:r>
      <w:r>
        <w:rPr>
          <w:rFonts w:eastAsia="Amiri" w:cs="Amiri" w:ascii="Amiri" w:hAnsi="Amiri"/>
          <w:color w:val="111111"/>
          <w:sz w:val="28"/>
          <w:szCs w:val="28"/>
          <w:rtl w:val="true"/>
          <w:lang w:bidi="ar-SA"/>
        </w:rPr>
        <w:t>.</w:t>
      </w:r>
    </w:p>
    <w:p>
      <w:pPr>
        <w:pStyle w:val="Heading6"/>
        <w:numPr>
          <w:ilvl w:val="5"/>
          <w:numId w:val="1"/>
        </w:numPr>
        <w:rPr/>
      </w:pPr>
      <w:bookmarkStart w:id="95" w:name="__RefHeading___Toc3360022_2314609296"/>
      <w:bookmarkStart w:id="96" w:name="_Toc38"/>
      <w:bookmarkEnd w:id="95"/>
      <w:r>
        <w:rPr>
          <w:rtl w:val="true"/>
        </w:rPr>
        <w:t>المقام الثاني</w:t>
      </w:r>
      <w:r>
        <w:rPr>
          <w:rtl w:val="true"/>
        </w:rPr>
        <w:t xml:space="preserve">: </w:t>
      </w:r>
      <w:r>
        <w:rPr>
          <w:rtl w:val="true"/>
        </w:rPr>
        <w:t>في بيان آخر وقت المغرب و العشاء، و أول وقت العشاء</w:t>
      </w:r>
      <w:bookmarkEnd w:id="96"/>
    </w:p>
    <w:p>
      <w:pPr>
        <w:pStyle w:val="Heading6"/>
        <w:numPr>
          <w:ilvl w:val="5"/>
          <w:numId w:val="1"/>
        </w:numPr>
        <w:rPr/>
      </w:pPr>
      <w:bookmarkStart w:id="97" w:name="__RefHeading___Toc3360024_2314609296"/>
      <w:bookmarkStart w:id="98" w:name="_Toc39"/>
      <w:bookmarkEnd w:id="97"/>
      <w:r>
        <w:rPr>
          <w:rtl w:val="true"/>
        </w:rPr>
        <w:t>اشارة</w:t>
      </w:r>
      <w:bookmarkEnd w:id="9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 وقت العشاء فالمشهور أنّه بعد الفراغ من المغرب، و إن كان قبل سقوط الشفق المفسّر في الأخبار بذهاب الحمرة المغربية، لا البياض المعترض بالأفق، فإنّه يبقى تقريبا إلى ثلث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وقت العشاء إنّما هو بعد سقوط الشفق، فلا يجوز تقديمها عليه إلّا لصاحب العذر، للأخبار الدالّة بظاهرها على ذلك، كما في خبر نزول جبرئيل بصلاة المغرب قبل ذهاب الشفق، و بصلاة العشاء بعده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مفهوم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تعجّل العتمة في السفر قبل أن يغيب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ممّا يظهر منه عدم دخول وقت العشاء للمختار قبل ذهاب الشفق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ما عليه المشهور من دخول وقتها قبل ذلك، و ان كان الأفضل تأخيرها عن ذلك، و ذلك لما ورد في عدّة من الروايات من فعله صلّى اللّٰه عليه و آله المغرب و العشاء قبل سقوط الشفق من غير علّة و لا عذر، كما هو صريح الروايات </w:t>
      </w:r>
      <w:r>
        <w:rPr>
          <w:rStyle w:val="FootnoteAnchor"/>
          <w:rtl w:val="true"/>
        </w:rPr>
        <w:footnoteReference w:id="110"/>
      </w:r>
      <w:r>
        <w:rPr>
          <w:rFonts w:ascii="Amiri" w:hAnsi="Amiri" w:eastAsia="Amiri" w:cs="Amiri"/>
          <w:color w:val="111111"/>
          <w:sz w:val="28"/>
          <w:sz w:val="28"/>
          <w:szCs w:val="28"/>
          <w:rtl w:val="true"/>
          <w:lang w:bidi="ar-SA"/>
        </w:rPr>
        <w:t>به، و علّل في بعضها بأنّ فعله ذلك ليتّسع الوقت على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لرواية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و أبا عبد اللّٰه عليه السّلام عن الرجل يصلّي العشاء الآخرة قبل سقوط الشفق،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غير ذلك ممّا دلّ بالخصوص على دخول وقت العشاء قبل سقوط الشفق، مضافا إلى العمومات و الإطلاقات الواردة في صلاة العشاءين، كقوله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غربت الشمس دخل وقت الصلاتين، إلّا أنّ هذه قبل هذا</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لا بدّ من حمل ما ورد على فعل العشاء بعد الشفق على الأفضلية، و أنّ الأفضل هو تأخير العشاء عن ذلك إلى ربع اللّيل أو ثلثه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آخر وقت العشاءين فالمشهور أنّه يمتدّ إلى النصف مطلقا حتّى بالنسبة إلى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وقت المغرب هو سقوط الشفق للمختار، و أمّا المضطرّ فيمتدّ وقته إلى الربع أو الثلث أو النصف أو إلى ما قبل طلوع الفجر بمقدار فعل العشاء على اختلاف الأقوال في ذلك، و كذا الأقوال في طرف العشاء،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وقته للمختار الربع أو الثلث على اختلاف القولين في ذلك، و من الربع إلى الثلث أو النصف أو الطلوع، و كذا من الثلث إلى النصف أو الطلوع وقت للمضطرّ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ما عليه المشهور من امتداد الوقت مطلقا إلى النصف، و لا بدّ من حمل الأخبار الواردة على أنّ آخر وقت المغرب هو سقوط الشفق أو ربع اللّيل أو ثلثه، و كذا ما دلّ على أنّ آخر وقت العشاء هو المثلث أو الربع على بيان وقت الفضيلة و مراتبها لا الإجزائي، لعين ما تقدّم في الظهرين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 إن كان مقتضى القواعد الأصولية هو حمل المطلقات الدالّة على امتداد الوقت إلى النصف على خصوص المضطرّ، من جهة المقيّدات الدالّة على أنّ آخر وقت المغرب لغير صاحب العذر هو سقوط الشفق أو الربع أو الثلث، و على أنّ آخر وقت العشاء هو الربع أو الثلث لغير ذلك أيضا، إلّا أنّ في المقام قرائن تدلّ على أنّ المراد من المقيّدات المحدّدة إنّما هو الوقت الفضيلي لا الإجزائي، و أنّ تلك التحديدات إنّما هي مراتب الفضل، و ذلك لما ورد في عدّة من الروايات على جواز تأخير المغرب عن الشفق بلا عذر، و كذا تأخير العشاء عن الثلث أو 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لنذكر بعض الأخبار الواردة في المقام ليتّضح حقيقة الحال، ففي رواية حريز عن زرارة و الفضيل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صلاة وقتين، غير المغرب فإنّ وقتها واحد، و وقتها وجوبها، و وقت فوتها سقوط الشفق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معناها عدّة روايات ظاهرة الدلالة في أنّ آخر وقت المغرب هو سقوط الشفق لكن مع تقييدها بغير علّة، كقوله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أخّر المغرب حتّى تشتبك النجوم من غير علّة فأنا إلى اللّٰه منه بري‌ء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أفتى بمضمونها بعض الأصحاب، و في رواية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في السفر</w:t>
      </w:r>
    </w:p>
    <w:p>
      <w:pPr>
        <w:pStyle w:val="BookText"/>
        <w:rPr/>
      </w:pPr>
      <w:r>
        <w:rPr>
          <w:rFonts w:ascii="Amiri" w:hAnsi="Amiri" w:eastAsia="Amiri" w:cs="Amiri"/>
          <w:color w:val="111111"/>
          <w:sz w:val="28"/>
          <w:sz w:val="28"/>
          <w:szCs w:val="28"/>
          <w:rtl w:val="true"/>
          <w:lang w:bidi="ar-SA"/>
        </w:rPr>
        <w:t xml:space="preserve">إلى ثلث الليل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روايته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المغرب في السفر إلى ربع الليل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روي أيضا إلى نصف الليل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فيفهم من هذه الروايات أنّ آخر وقت المغرب للمضطرّ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حمل السفر على المثال و أنّ المقصود مطلق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الربع، و به روايات عديدة، و قد أفتى بمضمونها بعض، أو النصف كما عن الكليني </w:t>
      </w:r>
      <w:r>
        <w:rPr>
          <w:rStyle w:val="FootnoteAnchor"/>
          <w:rtl w:val="true"/>
        </w:rPr>
        <w:footnoteReference w:id="118"/>
      </w:r>
      <w:r>
        <w:rPr>
          <w:rFonts w:ascii="Amiri" w:hAnsi="Amiri" w:eastAsia="Amiri" w:cs="Amiri"/>
          <w:color w:val="111111"/>
          <w:sz w:val="28"/>
          <w:sz w:val="28"/>
          <w:szCs w:val="28"/>
          <w:rtl w:val="true"/>
          <w:lang w:bidi="ar-SA"/>
        </w:rPr>
        <w:t>، و قال به أيضا قوم، هذا في طرف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العشاء ففي رواية عن صاحب الأمر عجّل اللّٰه فرجه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ملعون من أخّر العشاء إلى أن تشتبك النجوم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الرواية بظاهرها تدلّ على أنّ آخر وقت العشاء هو اشتباك النجوم الذي هو قريب من سقوط الشفق، و لكنّ الظاهر أنّه لم يعمل بها أحد، و في مضمر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وقت العشاء الآخرة إلى ثلث اللّيل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يقرب منها رواية الحلبي عن الصادق </w:t>
      </w:r>
      <w:r>
        <w:rPr>
          <w:rStyle w:val="FootnoteAnchor"/>
          <w:rtl w:val="true"/>
        </w:rPr>
        <w:footnoteReference w:id="121"/>
      </w:r>
      <w:r>
        <w:rPr>
          <w:rFonts w:ascii="Amiri" w:hAnsi="Amiri" w:eastAsia="Amiri" w:cs="Amiri"/>
          <w:color w:val="111111"/>
          <w:sz w:val="28"/>
          <w:sz w:val="28"/>
          <w:szCs w:val="28"/>
          <w:rtl w:val="true"/>
          <w:lang w:bidi="ar-SA"/>
        </w:rPr>
        <w:t>، و أفتى بمضمونها بعض، و قد ورد في عدّة من الروايات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أنّي أخاف أن أشقّ على أمّتي لأخّرت العشاء إلى ثلث اللّيل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منها أنّه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في رخصة منها إلى نصف اللّيل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أنّه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أشقّ على أمّتي لأخّرت العشاء</w:t>
      </w:r>
    </w:p>
    <w:p>
      <w:pPr>
        <w:pStyle w:val="BookText"/>
        <w:rPr/>
      </w:pPr>
      <w:r>
        <w:rPr>
          <w:rFonts w:ascii="Amiri" w:hAnsi="Amiri" w:eastAsia="Amiri" w:cs="Amiri"/>
          <w:color w:val="111111"/>
          <w:sz w:val="28"/>
          <w:sz w:val="28"/>
          <w:szCs w:val="28"/>
          <w:rtl w:val="true"/>
          <w:lang w:bidi="ar-SA"/>
        </w:rPr>
        <w:t xml:space="preserve">إلى نصف اللّيل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الكليني إلى ربع اللّيل </w:t>
      </w:r>
      <w:r>
        <w:rPr>
          <w:rStyle w:val="FootnoteAnchor"/>
          <w:rtl w:val="true"/>
        </w:rPr>
        <w:footnoteReference w:id="125"/>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جملة الأخبار الواردة في المقام، و أنت إذا نظرت في هذه الأخبار على اختلافها تعرف أنّها ليست بصدد بيان الوقت الإجزائي، بل إنّما هي لبيان وقت الفضل، كما يدلّ عليه قوله صلّى اللّٰه عليه و آله في ذيل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أني أخاف أن أشقّ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في رخصة منها إلى نصف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يشعر بأنّ التأخير إلى الثلث ليس من جهة أنّه أول الوقت، كما يوهمه ظاهر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لأخّرت العشاء إلى ثلث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لمكان أنّ آخر الوقت الفضيلي هو الثلث و أنّه أفضل من أوّله، كما يشعر إليه أنّ تقديمها على ذلك الوقت إنّما هو لمكان خوف المشقّة، و إلّا فالصبر إلى الثلث أفضل، و إن كان الوقت ممتدّ إلى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فيتحصّل من هذه الرواية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الوقت ممتدّ إلى النصف بقرينة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في 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وقتها يدخل قبل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الثلث آخر وقت الفضيلي و أنّه أفضل من غيره، و لا مانع من أن يكون آخر وقت الفضيلي أفضل من أوّله، فتكون هذه الرواية مخصّصة لما دلّ على أنّ أول الوقت أفضل مطلقا في جميع الفرائض</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أنّ هذه الرواية بنفسها تكفي في المطلوب من امتداد وقت العشاء مطلقا إلى النصف، و أنّ ما ورد من الثلث و الربع محمول على الوقت الفضيلي، هذا بالنسبة إلى العشاء، و قد عرفت أنّ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في رخصة منها إلى نصف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أن يكون صريحا في الامتداد إلى ذلك مطلقا حتّى للمختار، ضرورة أنّه لو كان ذلك مخصوصا بالمضطرّ لما كان معنى لقوله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في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مناسبة الرخصة مع كونه مضطرا في التأخير،</w:t>
      </w:r>
    </w:p>
    <w:p>
      <w:pPr>
        <w:pStyle w:val="BookText"/>
        <w:rPr/>
      </w:pPr>
      <w:r>
        <w:rPr>
          <w:rFonts w:ascii="Amiri" w:hAnsi="Amiri" w:eastAsia="Amiri" w:cs="Amiri"/>
          <w:color w:val="111111"/>
          <w:sz w:val="28"/>
          <w:sz w:val="28"/>
          <w:szCs w:val="28"/>
          <w:rtl w:val="true"/>
          <w:lang w:bidi="ar-SA"/>
        </w:rPr>
        <w:t>فإنّ الرخصة إنّما تستعمل في مقام التوسعة و القدرة على الفعل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بتعميم الاضطرار إلى ما لا ينافي ذلك، فتأمّل فإنّ التعميم يلازم القول بالامتداد إلى النصف اختيارا، هذا كلّه مضافا إلى المطلقات التي كادت أن تكون متواترة و الشهرة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المغرب فامتداد وقته إلى النصف من جهة عدم القول بالفصل بينه و بين العشاء، فكلّ من قال بامتداد وقت العشاء إلى النصف اختيارا قال به في المغرب أيضا،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الأدلّة الخاصة من جواز تأخير المغرب عن الشفق اختيارا، كما في رواية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المغرب إذا حضرت هل يجوز أن تؤخّر 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إن كان صائما أفطر ثمّ صلّى، و إن كانت له حاجة قضاها ثمّ صلّى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إطلاق الحاجة و عدم تقييدها يدلّ على جواز التأخير لأيّ حاجة، 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يساوق جواز التأخير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داود الصرمي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الثالث عليه السّلام يوما، فجلس يحدّث حتّى غابت الشمس، ثمّ دعا بشمع و هو جالس يتحدّث، فلمّا خرجت من البيت نظرت فقد غاب الشفق قبل أن يصلّي المغرب </w:t>
      </w:r>
      <w:r>
        <w:rPr>
          <w:rStyle w:val="FootnoteAnchor"/>
          <w:rtl w:val="true"/>
        </w:rPr>
        <w:footnoteReference w:id="127"/>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الرضا و كنّا عنده لم يصلّ المغرب حتّى ظهرت النجوم، ثمّ قام فصلّى بنا على باب دار ابن أبي محمود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جاز التأخير عن الشفق اختيارا فلا محالة يكون ممتدّا إلى النصف، لضعف القائل بالتفصيل، فحينئذ يجب حمل الأخبار المحدّدة في طرف المغرب</w:t>
      </w:r>
    </w:p>
    <w:p>
      <w:pPr>
        <w:pStyle w:val="BookText"/>
        <w:rPr/>
      </w:pPr>
      <w:r>
        <w:rPr>
          <w:rFonts w:ascii="Amiri" w:hAnsi="Amiri" w:eastAsia="Amiri" w:cs="Amiri"/>
          <w:color w:val="111111"/>
          <w:sz w:val="28"/>
          <w:sz w:val="28"/>
          <w:szCs w:val="28"/>
          <w:rtl w:val="true"/>
          <w:lang w:bidi="ar-SA"/>
        </w:rPr>
        <w:t>و العشاء إلى بيان وقت الفضيلة و أنّ أول وقت الفضل للمغرب هو ذهاب الحمرة، كما يدلّ عليه المطلقات من أفضلية أول الوقت، و دونه في الفضل الربع، و دونه الثلث، و كذا أول وقت فضيلة العشاء سقوط الشفق، و آخره الثلث، لكن هنا التأخير إلى الثلث أفضل عكس المغرب و الظهرين فإنّ أول أوقاتها يكون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بالنسبة إلى جواز تأخير العشاءين عن الربع و الثلث إلى النصف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جواز تأخيرها عن النصف إلى الطلوع إمّا اختيارا كما نسب إلى بعض، أو اضطرارا كما عن المعتبر </w:t>
      </w:r>
      <w:r>
        <w:rPr>
          <w:rStyle w:val="FootnoteAnchor"/>
          <w:rtl w:val="true"/>
        </w:rPr>
        <w:footnoteReference w:id="129"/>
      </w:r>
      <w:r>
        <w:rPr>
          <w:rFonts w:ascii="Amiri" w:hAnsi="Amiri" w:eastAsia="Amiri" w:cs="Amiri"/>
          <w:color w:val="111111"/>
          <w:sz w:val="28"/>
          <w:sz w:val="28"/>
          <w:szCs w:val="28"/>
          <w:rtl w:val="true"/>
          <w:lang w:bidi="ar-SA"/>
        </w:rPr>
        <w:t xml:space="preserve">و المدارك </w:t>
      </w:r>
      <w:r>
        <w:rPr>
          <w:rStyle w:val="FootnoteAnchor"/>
          <w:rtl w:val="true"/>
        </w:rPr>
        <w:footnoteReference w:id="130"/>
      </w:r>
      <w:r>
        <w:rPr>
          <w:rFonts w:ascii="Amiri" w:hAnsi="Amiri" w:eastAsia="Amiri" w:cs="Amiri"/>
          <w:color w:val="111111"/>
          <w:sz w:val="28"/>
          <w:sz w:val="28"/>
          <w:szCs w:val="28"/>
          <w:rtl w:val="true"/>
          <w:lang w:bidi="ar-SA"/>
        </w:rPr>
        <w:t>، فمجمل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وردت عدّة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وقت العشاءين ممتدّ إلى الطلوع لكن في خصوص النائم و الناسي و 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نام الرجل و لم يصلّ صلاة المغرب و العشاء أو نسي فإن استيقظ قبل الفجر قدر ما يصلّي كلتيهما فليصلّيهما، و إن خشي أن تفوته أحدهما فليبدأ بالعشاء الآخرة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طهرت المرأة قبل غروب الشمس فلتصلّ الظهر و العصر، و إن طهرت من آخر اللّيل فلتصلّ المغرب و العشاء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طهرت قبل الفجر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عبيد اللّٰه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تفوت صلاة النهار حتّى تغيب الشمس،</w:t>
      </w:r>
    </w:p>
    <w:p>
      <w:pPr>
        <w:pStyle w:val="BookText"/>
        <w:rPr/>
      </w:pPr>
      <w:r>
        <w:rPr>
          <w:rFonts w:ascii="Amiri" w:hAnsi="Amiri" w:eastAsia="Amiri" w:cs="Amiri"/>
          <w:color w:val="111111"/>
          <w:sz w:val="28"/>
          <w:sz w:val="28"/>
          <w:szCs w:val="28"/>
          <w:rtl w:val="true"/>
          <w:lang w:bidi="ar-SA"/>
        </w:rPr>
        <w:t xml:space="preserve">و لا صلاة اللّيل حتّى يطلع الفجر، و لا صلاة الفجر حتّى تطلع الشمس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مقتضى إطلاق الرواية الأخيرة هو امتداد الوقت إلى الفجر مطلقا و لو اختيارا، خصوصا بعد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تفوته صلاة النهار حتّى تغيب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خبر طهر الحائض هو ذلك أيضا، بقرينة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طهرت المرأة قبل غروب الشمس فلتصلّ الظهر 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بداهة جواز تأخير الظهر و العصر إلى الغروب و إن طهرت قبله بكثير، فينبغي أن يكون العشاءين كذلك، لأنهما جعلا في الرواية على نسق واحد،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هذا أوجب القول بامتداد وقت العشاءين مطلقا إلى الغروب، و إن قال في الجواهر من أنّه لم يعرف قائله </w:t>
      </w:r>
      <w:r>
        <w:rPr>
          <w:rStyle w:val="FootnoteAnchor"/>
          <w:rtl w:val="true"/>
        </w:rPr>
        <w:footnoteReference w:id="135"/>
      </w:r>
      <w:r>
        <w:rPr>
          <w:rFonts w:ascii="Amiri" w:hAnsi="Amiri" w:eastAsia="Amiri" w:cs="Amiri"/>
          <w:color w:val="111111"/>
          <w:sz w:val="28"/>
          <w:sz w:val="28"/>
          <w:szCs w:val="28"/>
          <w:rtl w:val="true"/>
          <w:lang w:bidi="ar-SA"/>
        </w:rPr>
        <w:t>، و الإنصاف أنّه ينبغي أن لا يعرف قائله، فإنّ القول بذلك في غاية السقوط، لتصريح جملة من الأخبار في أنّ منتهى وقت العشاءين هو النصف، فلو أخذنا بإطلاق هذه الرواية من امتداد الوقت إلى الطلوع اختيارا تكون معارضة لتلك الأخبار بالتباين، و لا يريب أحد في ترجيح تلك الأخبار لكثرتها، بل ربّما يدّعى تواترها، و شهرتها بين الرواة، و عمل الأصحاب عليها، مع أنّه قد عرفت أنّه لم يعلم القائل بامتداد الوقت إلى الطلوع اختيارا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إشكال في سقوط هذا القول، و سقوط ما يمكن التمسّك به له، أمّا رواية عبيد اللّٰه بن زرارة فلضعف سندها، على ما في الجواهر </w:t>
      </w:r>
      <w:r>
        <w:rPr>
          <w:rStyle w:val="FootnoteAnchor"/>
          <w:rtl w:val="true"/>
        </w:rPr>
        <w:footnoteReference w:id="136"/>
      </w:r>
      <w:r>
        <w:rPr>
          <w:rFonts w:ascii="Amiri" w:hAnsi="Amiri" w:eastAsia="Amiri" w:cs="Amiri"/>
          <w:color w:val="111111"/>
          <w:sz w:val="28"/>
          <w:sz w:val="28"/>
          <w:szCs w:val="28"/>
          <w:rtl w:val="true"/>
          <w:lang w:bidi="ar-SA"/>
        </w:rPr>
        <w:t>، و أمّا رواية الحائض فلأنّ موردها هو الاضطرار، فليس فيها إطلاق بالنسبة إلى غير الاضطرار، و مجرّد ذكر الظهرين قبله لا يكون قرينة على ذلك، مع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صحّة السند في</w:t>
      </w:r>
    </w:p>
    <w:p>
      <w:pPr>
        <w:pStyle w:val="BookText"/>
        <w:rPr/>
      </w:pPr>
      <w:r>
        <w:rPr>
          <w:rFonts w:ascii="Amiri" w:hAnsi="Amiri" w:eastAsia="Amiri" w:cs="Amiri"/>
          <w:color w:val="111111"/>
          <w:sz w:val="28"/>
          <w:sz w:val="28"/>
          <w:szCs w:val="28"/>
          <w:rtl w:val="true"/>
          <w:lang w:bidi="ar-SA"/>
        </w:rPr>
        <w:t>الأولى و صحّة الدلالة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طرحها لموافقتها للعامّة لكن في خصوص العشاء، لأنّ المغرب لا يمتدّ عندهم إلى الطلوع بل وقته عندهم ضيّق و أنّ آخره سقوط الشفق،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ما ينقل عن المعتبر </w:t>
      </w:r>
      <w:r>
        <w:rPr>
          <w:rStyle w:val="FootnoteAnchor"/>
          <w:rtl w:val="true"/>
        </w:rPr>
        <w:footnoteReference w:id="137"/>
      </w:r>
      <w:r>
        <w:rPr>
          <w:rFonts w:ascii="Amiri" w:hAnsi="Amiri" w:eastAsia="Amiri" w:cs="Amiri"/>
          <w:color w:val="111111"/>
          <w:sz w:val="28"/>
          <w:sz w:val="28"/>
          <w:szCs w:val="28"/>
          <w:rtl w:val="true"/>
          <w:lang w:bidi="ar-SA"/>
        </w:rPr>
        <w:t xml:space="preserve">و المدارك </w:t>
      </w:r>
      <w:r>
        <w:rPr>
          <w:rStyle w:val="FootnoteAnchor"/>
          <w:rtl w:val="true"/>
        </w:rPr>
        <w:footnoteReference w:id="138"/>
      </w:r>
      <w:r>
        <w:rPr>
          <w:rFonts w:ascii="Amiri" w:hAnsi="Amiri" w:eastAsia="Amiri" w:cs="Amiri"/>
          <w:color w:val="111111"/>
          <w:sz w:val="28"/>
          <w:sz w:val="28"/>
          <w:szCs w:val="28"/>
          <w:rtl w:val="true"/>
          <w:lang w:bidi="ar-SA"/>
        </w:rPr>
        <w:t xml:space="preserve">بل الشيخ في الخلاف </w:t>
      </w:r>
      <w:r>
        <w:rPr>
          <w:rStyle w:val="FootnoteAnchor"/>
          <w:rtl w:val="true"/>
        </w:rPr>
        <w:footnoteReference w:id="139"/>
      </w:r>
      <w:r>
        <w:rPr>
          <w:rFonts w:ascii="Amiri" w:hAnsi="Amiri" w:eastAsia="Amiri" w:cs="Amiri"/>
          <w:color w:val="111111"/>
          <w:sz w:val="28"/>
          <w:sz w:val="28"/>
          <w:szCs w:val="28"/>
          <w:rtl w:val="true"/>
          <w:lang w:bidi="ar-SA"/>
        </w:rPr>
        <w:t xml:space="preserve">من امتداد الوقت إلى الطلوع بالنسبة إلى المضطرّ، و مستندهم ما تقدّم من قول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نام الرجل و لم يصلّ صلاة العشاء و المغرب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إن كان مخصوصا بالنوم و النسيان، إلّا أنّه بعد إلقاء الخصوصية يكون الحكم عامّا لمطلق المضطرّ، و به يقيّد ما دلّ على النصف من المطلقات الشاملة بإطلاقها المضطرّ و المختار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يمكن أن يقال بأنّ غاية ما يدلّ عليه الصحيح هو فعل العشاءين قبل الفجر لو استيقظ أو تذكّر بعد الانتصاف و هو أعمّ من الأداء و القضاء، فلعلّ أن تكون العشاءين بعد الانتصاف قضاء و لكن يجب قضاؤهما قبل الفجر، غاية الأمر أنّه يكون من الأدلّة الدالّة على تعجيل القضاء بالنسبة إلى خصوص النائم و الناسي، فتكون المطلقات حينئذ أخصّ من هذا الصحيح، لأنّ المطلقات تدلّ على خروج الوقت بعد الانتصاف و تكون الصلاة قضاء، و هذه الصحيحة تدلّ على وجوب فعل العشاءين قبل الفجر و لا تعرّض لها للأدائية و القضائية، فلا بدّ من حملها على صورة القضاء كما هو الشأن في صناعة الإطلاق و التقييد، و ذلك لأنّ قوله عليه السّلام في آخر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خشي أن تفوته أحدهما فليبدأ</w:t>
      </w:r>
    </w:p>
    <w:p>
      <w:pPr>
        <w:pStyle w:val="BookText"/>
        <w:rPr/>
      </w:pPr>
      <w:r>
        <w:rPr>
          <w:rFonts w:ascii="Amiri" w:hAnsi="Amiri" w:eastAsia="Amiri" w:cs="Amiri"/>
          <w:color w:val="111111"/>
          <w:sz w:val="28"/>
          <w:sz w:val="28"/>
          <w:szCs w:val="28"/>
          <w:rtl w:val="true"/>
          <w:lang w:bidi="ar-SA"/>
        </w:rPr>
        <w:t>بالعشاء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 هذا المعنى، بداهة أنّه لو كانت قضاء لم يكن وجه لسقوط الترتيب و فعل العشاء قبل المغرب، و دعوى سقوط الترتيب في القضاء في هذا المورد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فالإنصاف أنّ الصحيحة في حدّ نفسها ظاهرة الدلالة في امتداد الوقت للناسي و النائم إلى الطلوع، و لا يمكن الحمل على التقية لأنّ الحمل على التقية فرع التعارض و عدم الجمع الدلالي، و في المقام ليس كذلك لأنّ الجمع الدلالي ممكن، لما عرفت من أخصية هذه الصحيحة بالنسبة إلى المطلقات، و في كلّ مورد كان أحد الدليلين أخصّ مطلقا من الآخر يجمع بينهما بحمل المطلق على الخاصّ و لا تصل النوبة إلى ملاحظة التقية، اللّٰهم إلّا أن يكون الخاصّ بنفسه مشتملا على قرائن التقية، و هذا في المقام مفقود أيضا، فلا يمكن الخدشة في دلالة الرواية على ما ذهب إليه في المعتبر </w:t>
      </w:r>
      <w:r>
        <w:rPr>
          <w:rStyle w:val="FootnoteAnchor"/>
          <w:rtl w:val="true"/>
        </w:rPr>
        <w:footnoteReference w:id="141"/>
      </w:r>
      <w:r>
        <w:rPr>
          <w:rFonts w:ascii="Amiri" w:hAnsi="Amiri" w:eastAsia="Amiri" w:cs="Amiri"/>
          <w:color w:val="111111"/>
          <w:sz w:val="28"/>
          <w:sz w:val="28"/>
          <w:szCs w:val="28"/>
          <w:rtl w:val="true"/>
          <w:lang w:bidi="ar-SA"/>
        </w:rPr>
        <w:t xml:space="preserve">و المدارك </w:t>
      </w:r>
      <w:r>
        <w:rPr>
          <w:rStyle w:val="FootnoteAnchor"/>
          <w:rtl w:val="true"/>
        </w:rPr>
        <w:footnoteReference w:id="142"/>
      </w:r>
      <w:r>
        <w:rPr>
          <w:rFonts w:ascii="Amiri" w:hAnsi="Amiri" w:eastAsia="Amiri" w:cs="Amiri"/>
          <w:color w:val="111111"/>
          <w:sz w:val="28"/>
          <w:sz w:val="28"/>
          <w:szCs w:val="28"/>
          <w:rtl w:val="true"/>
          <w:lang w:bidi="ar-SA"/>
        </w:rPr>
        <w:t xml:space="preserve">و الشيخ </w:t>
      </w:r>
      <w:r>
        <w:rPr>
          <w:rStyle w:val="FootnoteAnchor"/>
          <w:rtl w:val="true"/>
        </w:rPr>
        <w:footnoteReference w:id="143"/>
      </w:r>
      <w:r>
        <w:rPr>
          <w:rFonts w:ascii="Amiri" w:hAnsi="Amiri" w:eastAsia="Amiri" w:cs="Amiri"/>
          <w:color w:val="111111"/>
          <w:sz w:val="28"/>
          <w:sz w:val="28"/>
          <w:szCs w:val="28"/>
          <w:rtl w:val="true"/>
          <w:lang w:bidi="ar-SA"/>
        </w:rPr>
        <w:t>على احتمال إلّا من حيث تعميم الاضطرار، مع أنّ في الرواية لم يذكر إلّا خصوص النوم و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الإنصاف أنّ إلقاء الخصوصية ليس بذلك البعد، بل في رواية زرارة التصريح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تفوت الصلاة من أراد الصلاة، لا تفوت صلاة النهار حتّى تغرب الشمس، و لا صلاة اللّيل حتّى يطلع الفجر و ذلك للمضطرّ و العليل و الناسي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هذه الصحيحة لها معارض في خصوص النوم، و هو مرفوعة ابن مسكان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نام قبل أن يصلّي العتمة فلم يستيقظ حتّى</w:t>
      </w:r>
    </w:p>
    <w:p>
      <w:pPr>
        <w:pStyle w:val="BookText"/>
        <w:rPr/>
      </w:pPr>
      <w:r>
        <w:rPr>
          <w:rFonts w:ascii="Amiri" w:hAnsi="Amiri" w:eastAsia="Amiri" w:cs="Amiri"/>
          <w:color w:val="111111"/>
          <w:sz w:val="28"/>
          <w:sz w:val="28"/>
          <w:szCs w:val="28"/>
          <w:rtl w:val="true"/>
          <w:lang w:bidi="ar-SA"/>
        </w:rPr>
        <w:t xml:space="preserve">يمضي نصف اللّيل فليقض صلاته و ليستغفر اللّٰه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دعوى أعمّية القضاء من فعل الشي‌ء في خارج الوقت ممّا لا شاهد عليها بعد ما كان الظاهر منه هو ذلك، خصوصا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يستيقظ حتّى يمضي نصف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القضاء بمعنى فعل الشي‌ء و لو في وقته لم يكن وجه لهذا التقييد كما لا يخفى، فدلالة هذه الرواية على خروج الوقت بعد النصف بالنسبة إلى النائم في غاية الوضوح، فتكون معارضة مع أحد جزئي تلك الصحيحة، و لا إشكال في ترجيحها على الصحيحة، لموافقتها للمطلقات و مخالفتها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ينهدم ما ذكرناه من استفادة التعميم لمطلق العذر من جهة إلغاء الخصوصية مع قطع النظر عن رواية زرارة </w:t>
      </w:r>
      <w:r>
        <w:rPr>
          <w:rStyle w:val="FootnoteAnchor"/>
          <w:rtl w:val="true"/>
        </w:rPr>
        <w:footnoteReference w:id="146"/>
      </w:r>
      <w:r>
        <w:rPr>
          <w:rFonts w:ascii="Amiri" w:hAnsi="Amiri" w:eastAsia="Amiri" w:cs="Amiri"/>
          <w:color w:val="111111"/>
          <w:sz w:val="28"/>
          <w:sz w:val="28"/>
          <w:szCs w:val="28"/>
          <w:rtl w:val="true"/>
          <w:lang w:bidi="ar-SA"/>
        </w:rPr>
        <w:t>، إذ لم يبق في الصحيحة إلّا مورد واحد و هو النسيان، و مجرّد ورود دليل على امتداد الوقت للناسي إلى الطلوع أو هو و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الإشكال الوارد فيما يدلّ عليه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استفادة العموم و تسرية الحكم لكلّ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بامتداد الوقت إلى ذلك بالنسبة إلى كلّ مضطرّ خال عن الدليل، و ما في رواية زرارة يحتمل إرادة النافلة منه، فتأمّل فإنّه بعيد، هذا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ما قيل من إعراض المشهور عن هذه الأخبار و عدم العمل بها، و موافقتها للتقية، و لكن مع ذلك لا ينبغي ترك الاحتياط بعدم التعرّض لنية الأداء و القضاء، و إن أخّر العشاءين إلى ذلك عمدا، فضلا عن صورة العذر و خصوصا الناسي، فتأمّل جيّدا</w:t>
      </w:r>
      <w:r>
        <w:rPr>
          <w:rFonts w:eastAsia="Amiri" w:cs="Amiri" w:ascii="Amiri" w:hAnsi="Amiri"/>
          <w:color w:val="111111"/>
          <w:sz w:val="28"/>
          <w:szCs w:val="28"/>
          <w:rtl w:val="true"/>
          <w:lang w:bidi="ar-SA"/>
        </w:rPr>
        <w:t>.</w:t>
      </w:r>
      <w:bookmarkStart w:id="99" w:name="pg19820_206515"/>
    </w:p>
    <w:p>
      <w:pPr>
        <w:pStyle w:val="Heading6"/>
        <w:numPr>
          <w:ilvl w:val="5"/>
          <w:numId w:val="1"/>
        </w:numPr>
        <w:rPr/>
      </w:pPr>
      <w:bookmarkStart w:id="100" w:name="__RefHeading___Toc3360026_2314609296"/>
      <w:bookmarkStart w:id="101" w:name="_Toc40"/>
      <w:bookmarkEnd w:id="99"/>
      <w:bookmarkEnd w:id="100"/>
      <w:r>
        <w:rPr>
          <w:rtl w:val="true"/>
        </w:rPr>
        <w:t>تنبيه</w:t>
      </w:r>
      <w:r>
        <w:rPr>
          <w:rtl w:val="true"/>
        </w:rPr>
        <w:t>:</w:t>
      </w:r>
      <w:bookmarkEnd w:id="101"/>
    </w:p>
    <w:p>
      <w:pPr>
        <w:pStyle w:val="BookText"/>
        <w:rPr/>
      </w:pPr>
      <w:r>
        <w:rPr>
          <w:rFonts w:ascii="Amiri" w:hAnsi="Amiri" w:eastAsia="Amiri" w:cs="Amiri"/>
          <w:color w:val="111111"/>
          <w:sz w:val="28"/>
          <w:sz w:val="28"/>
          <w:szCs w:val="28"/>
          <w:rtl w:val="true"/>
          <w:lang w:bidi="ar-SA"/>
        </w:rPr>
        <w:t>لا يخفى أنّ ما ذكرنا من امتداد الوقت إلى النصف يراد النصف من الغروب إلى طلوع الفجر لا النصف باعتبار طلوع الشمس، فإنّ ما بين الطلوعين لا يعدّ من اللّيل لا في اللّغة و لا في الشرع، و لم ينقل القول به أيضا من أحد إلّا من الأعمش، و مخالفته لا تضرّ بتحقّق الإجماع المحكي و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 في غير مورد من الكتاب و السنّة إطلاق النهار و اليوم على ما بعد طلوع الفجر، كإطلاق اللّيل على ما قبل ذلك، بل نقل عن البحار </w:t>
      </w:r>
      <w:r>
        <w:rPr>
          <w:rStyle w:val="FootnoteAnchor"/>
          <w:rtl w:val="true"/>
        </w:rPr>
        <w:footnoteReference w:id="147"/>
      </w:r>
      <w:r>
        <w:rPr>
          <w:rFonts w:ascii="Amiri" w:hAnsi="Amiri" w:eastAsia="Amiri" w:cs="Amiri"/>
          <w:color w:val="111111"/>
          <w:sz w:val="28"/>
          <w:sz w:val="28"/>
          <w:szCs w:val="28"/>
          <w:rtl w:val="true"/>
          <w:lang w:bidi="ar-SA"/>
        </w:rPr>
        <w:t xml:space="preserve">وجود مائة خبر يدلّ على أنّ ما بين الطلوعين ليس من ساعات اللّيل، فلا يحتاج إلى ذكر الأدلّة و تفصيلها، فإن المسألة أوضح من ذلك، و إن أردت أن تستحضر عن تفصيلها فعليك بمراجعة الجواهر في باب المواقيت </w:t>
      </w:r>
      <w:r>
        <w:rPr>
          <w:rStyle w:val="FootnoteAnchor"/>
          <w:rtl w:val="true"/>
        </w:rPr>
        <w:footnoteReference w:id="148"/>
      </w:r>
      <w:r>
        <w:rPr>
          <w:rFonts w:ascii="Amiri" w:hAnsi="Amiri" w:eastAsia="Amiri" w:cs="Amiri"/>
          <w:color w:val="111111"/>
          <w:sz w:val="28"/>
          <w:sz w:val="28"/>
          <w:szCs w:val="28"/>
          <w:rtl w:val="true"/>
          <w:lang w:bidi="ar-SA"/>
        </w:rPr>
        <w:t>، فإنّه قد أطال الكلام في ذلك، و أتى بما يغني عن غيره</w:t>
      </w:r>
      <w:r>
        <w:rPr>
          <w:rFonts w:eastAsia="Amiri" w:cs="Amiri" w:ascii="Amiri" w:hAnsi="Amiri"/>
          <w:color w:val="111111"/>
          <w:sz w:val="28"/>
          <w:szCs w:val="28"/>
          <w:rtl w:val="true"/>
          <w:lang w:bidi="ar-SA"/>
        </w:rPr>
        <w:t>.</w:t>
      </w:r>
    </w:p>
    <w:p>
      <w:pPr>
        <w:pStyle w:val="Heading6"/>
        <w:numPr>
          <w:ilvl w:val="5"/>
          <w:numId w:val="1"/>
        </w:numPr>
        <w:rPr/>
      </w:pPr>
      <w:bookmarkStart w:id="102" w:name="__RefHeading___Toc3360028_2314609296"/>
      <w:bookmarkStart w:id="103" w:name="_Toc41"/>
      <w:bookmarkEnd w:id="102"/>
      <w:r>
        <w:rPr>
          <w:rtl w:val="true"/>
        </w:rPr>
        <w:t>المقام الثالث</w:t>
      </w:r>
      <w:r>
        <w:rPr>
          <w:rtl w:val="true"/>
        </w:rPr>
        <w:t>:</w:t>
      </w:r>
      <w:bookmarkEnd w:id="10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بيان أول وقت صلاة الصبح و آخره أمّا أوّله فالظاهر قيام الإجماع من الخاصّة على أنّه هو طلوع الفجر الثاني المعترض على الأفق كالقبطية البيضاء، و هو المعبّر عنه بالفجر الصادق، في مقابل الفجر الكاذب الذي يظهر قبل ذلك و هو كذنب السرحان، مضافا إلى تواتر الأخبار بذلك من غير أن يوجد لها معارض، سوى ما ربّما يتوهّم من خبر ابن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الحسن الحصين</w:t>
      </w:r>
    </w:p>
    <w:p>
      <w:pPr>
        <w:pStyle w:val="BookText"/>
        <w:rPr/>
      </w:pPr>
      <w:r>
        <w:rPr>
          <w:rFonts w:ascii="Amiri" w:hAnsi="Amiri" w:eastAsia="Amiri" w:cs="Amiri"/>
          <w:color w:val="111111"/>
          <w:sz w:val="28"/>
          <w:sz w:val="28"/>
          <w:szCs w:val="28"/>
          <w:rtl w:val="true"/>
          <w:lang w:bidi="ar-SA"/>
        </w:rPr>
        <w:t>إلى أبي جعفر الثاني عليه السّلام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اختلف مواليك في صلاة الفجر، فمنهم من يصلّي إذا طلع الفجر الأول المستطيل في السماء، و منهم من يصلّي إذا اعترض في أسفل الأفق و استبان، و لست أعرف أفضل الوقتين فأصلّي فيه، فإن رأيت أن تعلمني أفضل الوقتين و تحدّه لي، و كيف أصنع مع القمر و الفجر لا يتبيّن معه حتّى يجهر و يصبح، و كيف أصنع مع الغيم، و ما حدّ ذلك في السفر و الحضر، فعلت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بخطّه و قرأته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يرحمك اللّٰه هو الخيط الأبيض المعترض، و ليس هو الأبيض صعدا، فلا تصلّ في سفر و لا حضر حتّى تبيّنه </w:t>
      </w:r>
      <w:r>
        <w:rPr>
          <w:rStyle w:val="FootnoteAnchor"/>
          <w:rtl w:val="true"/>
        </w:rPr>
        <w:footnoteReference w:id="149"/>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ظاهر السؤال المفروغية عن أنّ الفجر الأول كان وقتا لصلاة الصبح و كانت بعض الموالي تصلّيها فيه، و إنّما سأل عن أفضل الوقتين، و لكنّ هذا لا يصلح للمعارضة بعد جوابه عليه السّلام و تعيينه الفجر بالفجر الصادق، فلعلّ صلاة بعض الموالي في الفجر الكاذب كان من أجل التقية، إمّا من عند أنفسهم، و إمّا من حيث أمرهم بذلك، و إن لم يوجد فيما بأيدينا من الأخبار أمر الموالي بالصلاة في الفجر الكاذب و على أيّ لا إشكال و لا خلاف في أنّ الميزان هو الفجر الصادق، بل هو من ضروريات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الإشكال في آخره، فالمشهور على أنّه يمتدّ إلى طلوع الشمس اختيارا، و إن كان الفضل عدم تأخيرها من طلوع الحمرة المشرقية و أنّ ذلك آخر وقت فضيلتها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الامتداد إلى ذلك إنّما هو للمضطرّ، و أمّا المختار فآخر وقتها هو طلوع الحمرة المشرقية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فممّا يدلّ على المشهور قول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صلاة الغداة ما بين طلوع</w:t>
      </w:r>
    </w:p>
    <w:p>
      <w:pPr>
        <w:pStyle w:val="BookText"/>
        <w:rPr/>
      </w:pPr>
      <w:r>
        <w:rPr>
          <w:rFonts w:ascii="IRNazanin" w:hAnsi="IRNazanin" w:eastAsia="IRNazanin"/>
          <w:color w:val="111111"/>
          <w:sz w:val="28"/>
          <w:sz w:val="28"/>
          <w:szCs w:val="28"/>
          <w:rtl w:val="true"/>
          <w:lang w:bidi="fa-IR"/>
        </w:rPr>
        <w:t xml:space="preserve">الفجر إلى طلوع الشمس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عبيد بن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تفوت صلاة الفجر حتّى تطلع الشمس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و إن كان مطلقا بالنسبة إلى المختار و المضطرّ إلّا أنّه ليس في المقام ما يصلح للتقييد، فإنّ ما ورد من التحديد بطلوع الحمرة المشرقية لغير صاحب العذر الذي تمسّك به القول الآخر المقابل للمشهور ظاهر في إرادة الوقت الفضيلي لا الإجزائي، و لا بأس بذكر بعضها ليعلم 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رواية أبي بصير المكفوف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الصائم متى يحرم عليه الطعام؟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الفجر كالقبطية البيضاء،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تحلّ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في وقت من تلك الساعة إلى أن تطلع الشمس؟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نعدّها صلاة الصبيان،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يحمد الرجل أن يصلّي في المسجد ثمّ يرجع فينبّه أهله و صبيانه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صحيحي ابن سنان </w:t>
      </w:r>
      <w:r>
        <w:rPr>
          <w:rStyle w:val="FootnoteAnchor"/>
          <w:rtl w:val="true"/>
        </w:rPr>
        <w:footnoteReference w:id="153"/>
      </w:r>
      <w:r>
        <w:rPr>
          <w:rFonts w:ascii="Amiri" w:hAnsi="Amiri" w:eastAsia="Amiri" w:cs="Amiri"/>
          <w:color w:val="111111"/>
          <w:sz w:val="28"/>
          <w:sz w:val="28"/>
          <w:szCs w:val="28"/>
          <w:rtl w:val="true"/>
          <w:lang w:bidi="ar-SA"/>
        </w:rPr>
        <w:t xml:space="preserve">و الحلبيّ </w:t>
      </w:r>
      <w:r>
        <w:rPr>
          <w:rStyle w:val="FootnoteAnchor"/>
          <w:rtl w:val="true"/>
        </w:rPr>
        <w:footnoteReference w:id="154"/>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صلاة وقتان و أول الوقت أفضلهما، و وقت صلاة الفجر حين ينشقّ الفجر إلى أن يتجلل الصبح السماء، و لا ينبغي تأخير ذلك عمدا، و لكنّه وقت من شغل أو نسي أو سها أو نام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الموثّق في الرجل إذا غلبته عينه أو عاقه أمر أن يصلّي المكتوبة من الفجر إلى أن تطلع الشمس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سلك أحد مسلك الإنصاف يقطع بأنّ هذه الأخبار ليست بصدد بيان الوقت الاضطراري و أنّ الوقت الاختياري لا يمتدّ إلى الطلوع، كما يشعر إليه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ينبغي تأخير ذلك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نعدّه صلاة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عليه السّلام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لم يكن يحمد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من هذه التعبيرات هو مرجوحية التأخير إلى طلوع الشمس و أنّ الفضل تقديمها على ذلك، مضافا إلى التصريح بالأفضلية في الصحيحين المتقدّمين، نعم ليس في الأخبار ما يدلّ على امتداد وقت الفضيلة إلى طلوع الحمرة المشرقية، بل الموجود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يتجلّل الصبح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كأنّهم فهموا منه ذلك و أنّ تجلّل الصبح و اسفراره يكون مقارنا لظهور الحمرة </w:t>
      </w:r>
      <w:r>
        <w:rPr>
          <w:rStyle w:val="FootnoteAnchor"/>
          <w:rtl w:val="true"/>
        </w:rPr>
        <w:footnoteReference w:id="156"/>
      </w:r>
      <w:r>
        <w:rPr>
          <w:rFonts w:ascii="Amiri" w:hAnsi="Amiri" w:eastAsia="Amiri" w:cs="Amiri"/>
          <w:color w:val="111111"/>
          <w:sz w:val="28"/>
          <w:sz w:val="28"/>
          <w:szCs w:val="28"/>
          <w:rtl w:val="true"/>
          <w:lang w:bidi="ar-SA"/>
        </w:rPr>
        <w:t>في طرف المشرق</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أنّ الأقوى امتداد وقت صلاة الصبح إلى طلوع الشمس مطلقا حتّى للمختار، و أنّ الأخبار المحدّدة كلّها لبيان وقت الفضل، بل الإنصاف أنّ ظهور الأخبار المحدّدة في صلاة الصبح في بيان وقت الفضيلة أقوى بمراتب من ظهور الأخبار المحدّدة في الظهرين و العشاءين و ظهر أيضا أنّ آخر وقت فضيلة الصبح هو طلوع الحمرة المشرقية، و إن كان أول الفجر أفضل كما صرّحت به الصحيحتان، و لا عبرة بالحمرة المغربية على تقدير عدم مقارنتها لطلوع الشمس، كما يدلّ عليه رواية دعائم الإسلام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وقت صلاة الفجر اعتراض الفجر في أفق المشرق، و آخر وقتها أن يحمرّ أفق المغرب، و ذلك قبل أن</w:t>
      </w:r>
      <w:bookmarkStart w:id="104" w:name="pg19820_206519"/>
    </w:p>
    <w:p>
      <w:pPr>
        <w:pStyle w:val="BookText"/>
        <w:rPr/>
      </w:pPr>
      <w:bookmarkEnd w:id="104"/>
      <w:r>
        <w:rPr>
          <w:rFonts w:ascii="Amiri" w:hAnsi="Amiri" w:eastAsia="Amiri" w:cs="Amiri"/>
          <w:color w:val="111111"/>
          <w:sz w:val="28"/>
          <w:sz w:val="28"/>
          <w:szCs w:val="28"/>
          <w:rtl w:val="true"/>
          <w:lang w:bidi="ar-SA"/>
        </w:rPr>
        <w:t xml:space="preserve">يبدو قرن الشمس من أفق المشرق بشي‌ء لا ينبغي تأخيرها إلى هذا الوقت لغير عذر، و أول الوقت أفضل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المحكي عن فقه الرضا </w:t>
      </w:r>
      <w:r>
        <w:rPr>
          <w:rStyle w:val="FootnoteAnchor"/>
          <w:rtl w:val="true"/>
        </w:rPr>
        <w:footnoteReference w:id="158"/>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كما ترى يدلّ على أنّ آخر وقت الفضل أو آخر وقت الإجزاء هو احمرار أفق المغرب لغير المضطرّ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أنّه لم يعمل به أحد من الأصحاب، لانعقاد الإجماع على أنّ آخر وقت الفضل أو الإجزاء هو احمرار أفق المشرق، هذا مضافا ما عن البحار من أنّ اعتبار احمرار المغرب غريب، و قد جرّبت أنّه إذا وصلت الحمرة إلى أفق المغرب يطلع قرن الشمس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الرواية صريحة بخلافه، و على أيّ حال لا إشكال في سقوط هذا الجزء من الرواية لعدم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أوقات الفرائض اليومية</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3360030_2314609296"/>
      <w:bookmarkStart w:id="106" w:name="_Toc42"/>
      <w:bookmarkEnd w:id="105"/>
      <w:r>
        <w:rPr>
          <w:rtl w:val="true"/>
        </w:rPr>
        <w:t>المقام الثالث في أوقات النوافل اليومية</w:t>
      </w:r>
      <w:bookmarkEnd w:id="106"/>
    </w:p>
    <w:p>
      <w:pPr>
        <w:pStyle w:val="BookText"/>
        <w:rPr/>
      </w:pPr>
      <w:r>
        <w:rPr>
          <w:rFonts w:ascii="Amiri" w:hAnsi="Amiri" w:eastAsia="Amiri" w:cs="Amiri"/>
          <w:color w:val="111111"/>
          <w:sz w:val="28"/>
          <w:sz w:val="28"/>
          <w:szCs w:val="28"/>
          <w:rtl w:val="true"/>
          <w:lang w:bidi="ar-SA"/>
        </w:rPr>
        <w:t>فالمشهور أنّ وقت نافلة الظهر من الزوال إلى القدمين، و وقت نافلة العصر إلى أربعة 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الظهر إلى المثل، 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المثلين الذي هو آخر وقت فضيلة الفريضتين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يمتدّ وقت النافلة بامتداد وقت الفريضة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الأقوى ما ذهب إليه المشهور، و يدلّ عليه عدّة روايات، ففي رواية ابن مسكان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لم جعل الذراع</w:t>
      </w:r>
    </w:p>
    <w:p>
      <w:pPr>
        <w:pStyle w:val="BookText"/>
        <w:rPr/>
      </w:pPr>
      <w:r>
        <w:rPr>
          <w:rFonts w:ascii="Amiri" w:hAnsi="Amiri" w:eastAsia="Amiri" w:cs="Amiri"/>
          <w:color w:val="111111"/>
          <w:sz w:val="28"/>
          <w:sz w:val="28"/>
          <w:szCs w:val="28"/>
          <w:rtl w:val="true"/>
          <w:lang w:bidi="ar-SA"/>
        </w:rPr>
        <w:t>و الذراعان؟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الفريضة، لك أن تتنفّل من زوال الشمس إلى أن يبلغ ذراعا، فإذا بلغ ذراعا بدأت بالفريضة و تركت النافلة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معناها عدّة روايات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امتداد وقت النافلة إلى المثل و المثلين فلم يدلّ عليه دليل، سوى ما يتوهّم من دلالة الأخبار المفسّرة للذراع بالقامة عليه، و هي عدّة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رواية زرارة </w:t>
      </w:r>
      <w:r>
        <w:rPr>
          <w:rStyle w:val="FootnoteAnchor"/>
          <w:rtl w:val="true"/>
        </w:rPr>
        <w:footnoteReference w:id="161"/>
      </w:r>
      <w:r>
        <w:rPr>
          <w:rFonts w:ascii="Amiri" w:hAnsi="Amiri" w:eastAsia="Amiri" w:cs="Amiri"/>
          <w:color w:val="111111"/>
          <w:sz w:val="28"/>
          <w:sz w:val="28"/>
          <w:szCs w:val="28"/>
          <w:rtl w:val="true"/>
          <w:lang w:bidi="ar-SA"/>
        </w:rPr>
        <w:t xml:space="preserve">و عبد اللّٰه بن سنان </w:t>
      </w:r>
      <w:r>
        <w:rPr>
          <w:rStyle w:val="FootnoteAnchor"/>
          <w:rtl w:val="true"/>
        </w:rPr>
        <w:footnoteReference w:id="162"/>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حائط مسجد رسول اللّٰه صلّى اللّٰه عليه و آله قامة، فإذا مضى من فيئه ذراع صلّى الظهر، و إذا مضى من فيئه ذراعان صلّى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بظاهره يدلّ على أنّ القامة غير الذراع،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التبعيض، و لكن بعد البناء على أنّ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ما ورد من تفسير القامة بالذراع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ذراعا يتمّ المطلوب، فإنّه يصير المعنى حينئذ أنّ الحائط كان قدر ذراع، فإذا صار الفي‌ء بذاك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ساوى الظلّ مقدار ذي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صلّى اللّٰه عليه و آله يصلّي الظهر، و إذا صار الظلّ مقداري ذي الظلّ صلّى العصر، فيكون العبرة بالمثل و المثلين و لا بدّ حينئذ من رفع اليد عن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التبعيض</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يجري بهذا المجرى جميع الأخبار الواردة في القامة و القامتين، مع ما ورد عن تفسيرها بالذراع و الذراعين، و يكون الذراع حينئذ كناية عن قامة الشاخص بقرينة التفسير، فيكون العبرة بصيرورة الظلّ بمقدار ذي الظلّ، و هو المراد من المثل و المثلين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مبنى الاستدلال إنّما هو على حائط المسجد كان ذراعا، حتّى يكون المراد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مضى من فيئه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صيرورة الظلّ بقدر ذي الظلّ، و هذا المعنى لم يثبت بل الثابت خلافه، و أنّ الحائط كان قدر قامة الإنسان كما هو المحكي عن فقه الرضا </w:t>
      </w:r>
      <w:r>
        <w:rPr>
          <w:rStyle w:val="FootnoteAnchor"/>
          <w:rtl w:val="true"/>
        </w:rPr>
        <w:footnoteReference w:id="163"/>
      </w:r>
      <w:r>
        <w:rPr>
          <w:rFonts w:ascii="Amiri" w:hAnsi="Amiri" w:eastAsia="Amiri" w:cs="Amiri"/>
          <w:color w:val="111111"/>
          <w:sz w:val="28"/>
          <w:sz w:val="28"/>
          <w:szCs w:val="28"/>
          <w:rtl w:val="true"/>
          <w:lang w:bidi="ar-SA"/>
        </w:rPr>
        <w:t xml:space="preserve">عليه السّلام، و يدلّ عليه أيضا نفس ما في رواية زرارة و عبد اللّٰه بن سنان المتقدّمتين، فإنّ الظاهر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التبعيض، و هو لا يستقيم إلّا إذا كان مقدار الحائط أكثر من ذراع، و كذا يظهر من صدر الروايتين أيضا، فإنّ الظاهر من لفظ القامة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حائط مسجد رسول اللّٰه 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قامة الإنسان، فإنّ هذا هو المنساق من 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تمامية الاستدلال موقوف على أن يكون حائط مسجد رسول اللّٰه صلّى اللّٰه عليه و آله قدر ذراع، و هذا مع أنّه لم يثبت في نفسه، ينفيه صدر الرواية و ذيلها، فإنّ المنساق من إطلاق القامة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 صدر 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قامة الإنسان، و ظهور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 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التبعيض، فرواية زرارة و عبد اللّٰه ابن سنان أدلّ على اعتبار القدمين و الأربعة من اعتبار المثل و المثلين و ما ورد من تفسير القامة بالذراع لا شهادة فيها على أنّ الحائط كان قدر ذراع، إذ المستفاد من مجموع الأخبار انّه كان في ذلك الزمان اصطلاح خاصّ و هو التعبير عن الذراع بالقامة، كما يظهر من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القامة و القامتان الذراع و الذراعان في كتاب علي عليه السّلام </w:t>
      </w:r>
      <w:r>
        <w:rPr>
          <w:rStyle w:val="FootnoteAnchor"/>
          <w:rtl w:val="true"/>
        </w:rPr>
        <w:footnoteReference w:id="164"/>
      </w:r>
      <w:r>
        <w:rPr>
          <w:rFonts w:ascii="Amiri" w:hAnsi="Amiri" w:eastAsia="Amiri" w:cs="Amiri"/>
          <w:color w:val="111111"/>
          <w:sz w:val="28"/>
          <w:sz w:val="28"/>
          <w:szCs w:val="28"/>
          <w:rtl w:val="true"/>
          <w:lang w:bidi="ar-SA"/>
        </w:rPr>
        <w:t>، و قوله عليه السّلام عند سؤال أبي بصير كم القامة؟</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هذا لا يدلّ على أن كلّما استعملت القامة في أي مورد يراد منها الذراع حتّى إذا كانت هناك قرينة على الخلاف، فلفظ القامة في رواية زرارة و عبد اللّٰه ابن سنان الواردتين في حائط مسجد رسول اللّٰه صلّى اللّٰه عليه و آله يراد منها قامة الإنسان بقرينة الذيل و ما ورد من استحباب أن يكون حائط </w:t>
      </w:r>
      <w:r>
        <w:rPr>
          <w:rStyle w:val="FootnoteAnchor"/>
          <w:rtl w:val="true"/>
        </w:rPr>
        <w:footnoteReference w:id="166"/>
      </w:r>
      <w:r>
        <w:rPr>
          <w:rFonts w:ascii="Amiri" w:hAnsi="Amiri" w:eastAsia="Amiri" w:cs="Amiri"/>
          <w:color w:val="111111"/>
          <w:sz w:val="28"/>
          <w:sz w:val="28"/>
          <w:szCs w:val="28"/>
          <w:rtl w:val="true"/>
          <w:lang w:bidi="ar-SA"/>
        </w:rPr>
        <w:t>قامة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بقرينة المحكي عن فقه الرضا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مجموع هذا يستفاد أنّ الحائط كان قدر قامة الإنسان، و هذا لا ينافي أن يكون المراد من القامة عند إطلاقها هو الذراع، كما ورد التفسير بذلك في عدّة من الروايات، و يكون حينئذ جميع ما ورد من تحديد وقت الظهر و العصر بالقامة و القامتين محمول على القدمين و أربعة أقدام المتساويان للذراع و الذراعين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حملتم لفظ القامة الواردة في الروايات بالذراع، فبم تستدلّون على امتداد وقت فضيلة فريضة الظهر و العصر بالمثل و المثلين؟ و يكون حينئذ القول بالامتداد إلى ذلك خال عن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يستدلّ على ذلك بما ورد من التحديد بالمثل و المثلين، كما في قول الصادق عليه السّلام لسعيد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لزرارة إذا كان ظلّك مثلك فصلّ الظهر، و إذا كان ظلّك مثليك فصلّ العصر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معناها رواية أخرى </w:t>
      </w:r>
      <w:r>
        <w:rPr>
          <w:rStyle w:val="FootnoteAnchor"/>
          <w:rtl w:val="true"/>
        </w:rPr>
        <w:footnoteReference w:id="169"/>
      </w:r>
      <w:r>
        <w:rPr>
          <w:rFonts w:ascii="Amiri" w:hAnsi="Amiri" w:eastAsia="Amiri" w:cs="Amiri"/>
          <w:color w:val="111111"/>
          <w:sz w:val="28"/>
          <w:sz w:val="28"/>
          <w:szCs w:val="28"/>
          <w:rtl w:val="true"/>
          <w:lang w:bidi="ar-SA"/>
        </w:rPr>
        <w:t xml:space="preserve">، و لا ملازمة بين أن يكون المراد من القامة هو الذراع و بين أن يكون المراد من المثل ذلك أيضا، بل المراد من المثل هو مثل الشاخص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مضافا إلى أنّ الظاهر من الرواية هو كون المثل و المثلين أول وقت الفريضة لا آخر، مع أنّه ما تضمّنته رواية زرارة قضية شخصية لا يمكن التمسّك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فالإنصاف أنّه بناء على كون المراد من القامة الذراع يكون القول بامتداد وقت فضيلة الفريضة إلى المثل و المثلين خال عن الدليل، 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الاستدلال على امتداد وقت نافلة الظهرين إلى المثل و المثلين بما ورد من أنّ حائط المسجد كان قامة، و كان صلّى اللّٰه عليه و آله إذا مضى من فيئه ذراع يصلّي الظهر </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الاستدلال بذلك إنّما يتمّ بعد حمل القامة على الذراع، و قد عرفت عدم إمكان ذلك، و قد استدلّوا عليه أيضا بأمور أخر غير خالية عن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ما عليه المشهور من امتداد وقت النافلة إلى القدمين و أربعة 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بامتداد وقت النافلة إلى آخر وقت الفريضة فلم يظهر القائل به، و ربّما نسب إلى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صدق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قولا آخر في المسألة، لأنّ بناء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آخر وقت الفريضة عنده هو المثل و المثلان للمختار، و لم ينقل تصريح منه على امتداد وقت النافلة إلى آخر وقت الاضطراري للفريضة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لا شاهد على هذا القول من الأخبار أصلا، سوى ما يتوهّم من دلالة الأخبار على عدم وقت للنافلة، و أنّها بمنزلة الهدية كلّ وقت صالح لها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هذه الأخبار أعمّ من المدّعى، سيأتي التكلّم فيها إن شاء اللّٰه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بناء على المشهور لو لم يصلّ من نافلة الزوال شي‌ء إلى أن صار الظلّ قدمين و كذا لم يصلّ من نافلة العصر شي‌ء إلى أن صار الظلّ أربعة أقدام،</w:t>
      </w:r>
    </w:p>
    <w:p>
      <w:pPr>
        <w:pStyle w:val="BookText"/>
        <w:rPr/>
      </w:pPr>
      <w:r>
        <w:rPr>
          <w:rFonts w:ascii="Amiri" w:hAnsi="Amiri" w:eastAsia="Amiri" w:cs="Amiri"/>
          <w:color w:val="111111"/>
          <w:sz w:val="28"/>
          <w:sz w:val="28"/>
          <w:szCs w:val="28"/>
          <w:rtl w:val="true"/>
          <w:lang w:bidi="ar-SA"/>
        </w:rPr>
        <w:t>فلا إشكال في خروج وقت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تلبّس منها و لو بركعة زاحم بها الفريضة،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ركعة من الصلاة فقد أدرك الصلاة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النبوي </w:t>
      </w:r>
      <w:r>
        <w:rPr>
          <w:rStyle w:val="FootnoteAnchor"/>
          <w:rtl w:val="true"/>
        </w:rPr>
        <w:footnoteReference w:id="172"/>
      </w:r>
      <w:r>
        <w:rPr>
          <w:rFonts w:ascii="Amiri" w:hAnsi="Amiri" w:eastAsia="Amiri" w:cs="Amiri"/>
          <w:color w:val="111111"/>
          <w:sz w:val="28"/>
          <w:sz w:val="28"/>
          <w:szCs w:val="28"/>
          <w:rtl w:val="true"/>
          <w:lang w:bidi="ar-SA"/>
        </w:rPr>
        <w:t>الشاملة للفريضة و النافلة بتنزيل صلاة النافلة منزلة صلاة واحدة فتأمّل و لرواية عمّار عن أبي عبد اللّٰه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صلاة الجمعة شراك أو نصف،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للرجل أن يصلّى الزوال ما بين زوال الشمس إلى أن يمضي قدمان، و إن كان قد بقي من الزوال ركعة واحدة أو قبل أن يمضي قدمان أتمّ الصلاة حتّى يصلّي تمام الركعات، فإن مضى قدمان قبل أن يصلّي ركعة إذا زالت الشمس بدأ بالأولى، و لم يصلّ الزوال إلّا بعد ذلك </w:t>
      </w:r>
      <w:r>
        <w:rPr>
          <w:rStyle w:val="FootnoteAnchor"/>
          <w:rtl w:val="true"/>
        </w:rPr>
        <w:footnoteReference w:id="173"/>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الرواية و إن كانت لا تخلو عن إغلاق و إشكال إلّا أنّ دلالتها على المقصود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فيما ذكرنا بين أن يعلم قبل الشروع في النافلة أنّه لم يبق من وقتها إلّا ركعة، أو لا يعلم ذلك بأن دخل في النافلة بظنّ بقاء وقتها، أو كان غافلا و بعد ما صلّى ركعة ظهر خروج وقتها، لإطلاق القاعدة، لكن على أيّ حال يعتبر أن تقع ركعة منها قبل القدمين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ما قلنا من امتداد وقت النافلة إلى القدمين هو امتدادها إلى رأس القدمين لا إلى أن يبقى من القدمين مقدار أداء الفريضة، لأنّ الظاهر من الأدلّة هو امتداد الوقت إلى نفس القدمين كما هو واضح</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في المقام شي‌ء يجب التنبيه عليه و هو أنّه ربّما قيل بعدم وقت للنافلة بل جميع النهار صالح لها، و إن كان إيقاعها من الزوال إلى القدمين للظهر و الأربعة</w:t>
      </w:r>
    </w:p>
    <w:p>
      <w:pPr>
        <w:pStyle w:val="BookText"/>
        <w:rPr/>
      </w:pPr>
      <w:r>
        <w:rPr>
          <w:rFonts w:ascii="Amiri" w:hAnsi="Amiri" w:eastAsia="Amiri" w:cs="Amiri"/>
          <w:color w:val="111111"/>
          <w:sz w:val="28"/>
          <w:sz w:val="28"/>
          <w:szCs w:val="28"/>
          <w:rtl w:val="true"/>
          <w:lang w:bidi="ar-SA"/>
        </w:rPr>
        <w:t>للعصر أفضل، و قد استدلّ على ذلك بعدّة من الروايات، بعضها ظاهرة الدلالة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قيل أيضا بجواز فعل النافلة قبل الزوال لكن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لمن علم أنّه شغله شاغل من فعلها في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أيضا عدّة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يدلّ على الأول ما رواه علي بن الحكم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النهار ستّ عشرة ركعة صلّها أيّ النهار شئت، إن شئت في أوله، و إن شئت في وسطه، و إن شئت في آخره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القاسم بن وليد الغسّاني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صلاة النهار النوافل في كم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عشرة ركعة، في أي ساعات النهار شئت أن تصلّيها صليتها، إلّا أنّك إذا صلّيتها في مواقيتها أفضل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عبد اللّٰه عليه السّلام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التطوّع بمنزلة الهدية متى ما أتي بها قبلت، فقدّم منها ما شئت و أخّر منها ما شئت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استدلّ على ذلك أيضا بروايات أخر لا تخلو عن المناقشة، كما أنّ الرواية الأخيرة التي ذكرناها لا تخلو عنها أيضا، لأنّ صلاة التطوّع أعمّ من النوافل اليومية المرتّبة، بل ربّما قيل بظهور التطوّع في التطوّع الابتدائي فلا يشمل النافلة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فالعمدة هو ما ذكرناه من الروايتين الأولتين، فإنّ الإنصاف كونهما ظاهرتي الدلالة في ذلك، و آبية عن حملهما على القضاء أو غيره جدّا، فلو خلّينا و أنفسنا لكان يلزمنا القول بذلك، و يحمل ما ورد من تحديد النافلة بالقدمين و الأربعة على بيان وقت الفضيلة، و أنّ فعلها عند ذلك يكون أفضل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الظاهر أنّه لم يعمل بهما على الإطلاق، بل ربّما ادّعي الإجماع على خلاف ذلك،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يدلّ على الثاني ما رواه في الكافي </w:t>
      </w:r>
      <w:r>
        <w:rPr>
          <w:rStyle w:val="FootnoteAnchor"/>
          <w:rtl w:val="true"/>
        </w:rPr>
        <w:footnoteReference w:id="177"/>
      </w:r>
      <w:r>
        <w:rPr>
          <w:rFonts w:ascii="Amiri" w:hAnsi="Amiri" w:eastAsia="Amiri" w:cs="Amiri"/>
          <w:color w:val="111111"/>
          <w:sz w:val="28"/>
          <w:sz w:val="28"/>
          <w:szCs w:val="28"/>
          <w:rtl w:val="true"/>
          <w:lang w:bidi="ar-SA"/>
        </w:rPr>
        <w:t xml:space="preserve">و التهذيب </w:t>
      </w:r>
      <w:r>
        <w:rPr>
          <w:rStyle w:val="FootnoteAnchor"/>
          <w:rtl w:val="true"/>
        </w:rPr>
        <w:footnoteReference w:id="178"/>
      </w:r>
      <w:r>
        <w:rPr>
          <w:rFonts w:ascii="Amiri" w:hAnsi="Amiri" w:eastAsia="Amiri" w:cs="Amiri"/>
          <w:color w:val="111111"/>
          <w:sz w:val="28"/>
          <w:sz w:val="28"/>
          <w:szCs w:val="28"/>
          <w:rtl w:val="true"/>
          <w:lang w:bidi="ar-SA"/>
        </w:rPr>
        <w:t>عن الباقر عليه السّلام من جواز تعجيل نافلة الزوال إذا علم أنّه يشتغل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إسماعيل بن جابر قال 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اشتغل،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فاصنع كما نصنع، صلّ ستّ ركعات إذا كانت الشمس في مثل موضعها من صلاة العصر يعني ارتفاع الضحى الأكبر، و اعتدّ بها من الزوال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 على ذلك أيضا بروايات أخر لا تخلو عن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ذكرناه ظاهر الدلالة في ذلك، فلو خلّينا و أنفسنا أيضا لكان ينبغي العمل بهذه الروايات مع عدم العمل بالطائفة الأولى، لأنّ بين هذه الروايات و بين ما دلّ على تحديد الوقت بالقدمين و أربعة أقدام أعمّ أخص مطلقا، لأنّ هذه الروايات مخصوصة بمن يشتغل عنها في وقتها، فمقتضى صناعة الإطلاق و التقييد هو حمل الأخبار المحدّدة على من لم يشغله عن النافلة في وقتها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أيضا قيل بعدم العمل بها، إلّا أنّ الظاهر خلافه، لما نقل عن التهذيب و جمع آخر من الأساطين العمل بمضمونها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فالإنصاف أنّ القول به لا يخلو عن قوّة، هذا تمام الكلام في وقت نافلة الظهرين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وقت نافلة العشاءين فأول الوقت لنافلة المغرب هو بعد فعل الفريضة، و يمتدّ إلى ذهاب الحمرة المغربية بمقدار أداء الفريضة، هذا هو المشهور، و قد نقل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مال بعض إلى امتداد وقت نافلة المغرب بامتداد وقت</w:t>
      </w:r>
    </w:p>
    <w:p>
      <w:pPr>
        <w:pStyle w:val="BookText"/>
        <w:rPr/>
      </w:pPr>
      <w:r>
        <w:rPr>
          <w:rFonts w:ascii="Amiri" w:hAnsi="Amiri" w:eastAsia="Amiri" w:cs="Amiri"/>
          <w:color w:val="111111"/>
          <w:sz w:val="28"/>
          <w:sz w:val="28"/>
          <w:szCs w:val="28"/>
          <w:rtl w:val="true"/>
          <w:lang w:bidi="ar-SA"/>
        </w:rPr>
        <w:t>الفريضة إلى ما قبل انتصاف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استدلّ للمشهور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المعهود من فعل النبي صلّى اللّٰه عليه و آله هو ذلك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الناطقة بأنّ المفيض إلى عرفات إذا صلّى المغرب في المزدلفة يؤخّر النافلة إلى ما بعد العشاء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التطوّع في وقت الفريضة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الكلّ لا يخلو عن مناقشة، أمّا فعل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تقدير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له على خروج وقتها بعد الحمرة، إذ لعلّ فعله في ذلك الوقت كان من باب أنّه كان أفضل أوقاتها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أخبار المفيض من عرفات فهو إنّما لمكان استحباب الجمع بين العشاءين في ذلك المكان كما ذكره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النهي عن التطوّع في وقت الفريضة فإنّما هو عند تضيّق وقت الفريضة، لا أنّ التطوّع في وقت فضيلة يكون منهيّا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يقم دليل على ما ذهب إليه المشهور إلّا بالتشبّث بعدم ثبوت وقت للنافلة زائدا عن ذهاب الحمرة، و لا بدّ في العبادة من الاقتصار على القدر المتيقّن من التوظيف الواصل، فتأمّل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الاستيناس للمشهور بامتداد وقت نافلة الظهرين إلى آخر وقت فضيلتهما بمقدار أدائهما، و بامتداد وقت نافلة الصبح إلى آخر وقت فضلها بمقدار أدائها، فيستأنس من ذلك أنّ آخر نافلة المغرب هو آخر وقت فضيلتها الذي هو</w:t>
      </w:r>
    </w:p>
    <w:p>
      <w:pPr>
        <w:pStyle w:val="BookText"/>
        <w:rPr/>
      </w:pPr>
      <w:r>
        <w:rPr>
          <w:rFonts w:ascii="Amiri" w:hAnsi="Amiri" w:eastAsia="Amiri" w:cs="Amiri"/>
          <w:color w:val="111111"/>
          <w:sz w:val="28"/>
          <w:sz w:val="28"/>
          <w:szCs w:val="28"/>
          <w:rtl w:val="true"/>
          <w:lang w:bidi="ar-SA"/>
        </w:rPr>
        <w:t>ذهاب الحمرة المغربية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الكلام في مزاحمة نافلة المغرب لفريضة العشاء هو الكلام في مزاحمة نافلة الظهر لفرضها و نافلة العصر لفرضها، و إن كان بينهما فرق من جهة أنّ المزاحمة في الظهرين إنّما كان بين النافلة و ذيها، و المزاحمة في المغرب إنّما يكون بين نافلة المغرب و فريضة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الأقوال في مسألة مزاحمة نافلة المغرب للعشاء ثلاثة، قيل بعدم المزاحمة و لو فرض أنّه صلّى منها ثلاث ركعات، فلو دخل وقت صلاة العشاء و هو في الركعة الرابعة من النافلة يهدمها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بالمزاحمة لو صلّى منها ركعة بل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بالمزاحمة في خصوص الصلاة التي بيده بمعنى أنّه لو دخل عليه الوقت و هو في الركعتين الأولتين أتمّها خاصّة و ليس له بعد ذلك الشروع في الركعتين الأخيرتين، و إن كان في الأخيرتين أتمّها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منشأ الاختلاف إنّما هو من حيث عدم النصّ في المسألة، و مقتضى القاعدة الأولية هو عدم المزاحمة مطلقا، و لكن لا بأس بالتمسّك لها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بناء على شمولها للنافلة و كون الأربعة ركعات بمنزلة صلاة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وقت نافلة العشاء فهو ممتدّ بامتداد وقت الفريضة إلى الثلث أو النصف أو الطلوع على الأقوال فيها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وقت صلاة اللّيل فهو بعد انتصافه، و إن كان تأخيرها إلى السحر و هو الثلث الأخير أو السدس على الاحتمالين فيه أفضل، للأخبار المستفيضة </w:t>
      </w:r>
      <w:r>
        <w:rPr>
          <w:rStyle w:val="FootnoteAnchor"/>
          <w:rtl w:val="true"/>
        </w:rPr>
        <w:footnoteReference w:id="184"/>
      </w:r>
      <w:r>
        <w:rPr>
          <w:rFonts w:ascii="Amiri" w:hAnsi="Amiri" w:eastAsia="Amiri" w:cs="Amiri"/>
          <w:color w:val="111111"/>
          <w:sz w:val="28"/>
          <w:sz w:val="28"/>
          <w:szCs w:val="28"/>
          <w:rtl w:val="true"/>
          <w:lang w:bidi="ar-SA"/>
        </w:rPr>
        <w:t>على أنّ أول وقتها هو النصف و آخر وقتها هو طلوع الفجر الثاني، و لا يجوز تقديمها على</w:t>
      </w:r>
      <w:bookmarkStart w:id="107" w:name="pg19820_206529"/>
    </w:p>
    <w:p>
      <w:pPr>
        <w:pStyle w:val="BookText"/>
        <w:rPr/>
      </w:pPr>
      <w:bookmarkEnd w:id="107"/>
      <w:r>
        <w:rPr>
          <w:rFonts w:ascii="Amiri" w:hAnsi="Amiri" w:eastAsia="Amiri" w:cs="Amiri"/>
          <w:color w:val="111111"/>
          <w:sz w:val="28"/>
          <w:sz w:val="28"/>
          <w:szCs w:val="28"/>
          <w:rtl w:val="true"/>
          <w:lang w:bidi="ar-SA"/>
        </w:rPr>
        <w:t>الانتصاف إلّا لعذر، و لو تلبّس منها بأربع زاحم بها فريضة الصبح، كلّ ذلك للأخبار و عليه المشهور، فلا حاجة إلى إطالة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 نافلة الصبح هو طلوع الفجر الأول إلى طلوع الحمرة المشرقية بمقدار أداء الفريضة على المشهور، و قد دلّ عليه الأخبار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 w:name="__RefHeading___Toc3360032_2314609296"/>
      <w:bookmarkStart w:id="109" w:name="_Toc43"/>
      <w:bookmarkEnd w:id="108"/>
      <w:r>
        <w:rPr>
          <w:rtl w:val="true"/>
        </w:rPr>
        <w:t>المقام الرابع في الأحكام المتعلّقة بالمواقيت</w:t>
      </w:r>
      <w:bookmarkEnd w:id="109"/>
    </w:p>
    <w:p>
      <w:pPr>
        <w:pStyle w:val="Heading6"/>
        <w:numPr>
          <w:ilvl w:val="5"/>
          <w:numId w:val="1"/>
        </w:numPr>
        <w:rPr/>
      </w:pPr>
      <w:bookmarkStart w:id="110" w:name="__RefHeading___Toc3360034_2314609296"/>
      <w:bookmarkStart w:id="111" w:name="_Toc44"/>
      <w:bookmarkEnd w:id="110"/>
      <w:r>
        <w:rPr>
          <w:rtl w:val="true"/>
        </w:rPr>
        <w:t>اشارة</w:t>
      </w:r>
      <w:bookmarkEnd w:id="111"/>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3360036_2314609296"/>
      <w:bookmarkStart w:id="113" w:name="_Toc45"/>
      <w:bookmarkEnd w:id="112"/>
      <w:r>
        <w:rPr>
          <w:rtl w:val="true"/>
        </w:rPr>
        <w:t>الاولى</w:t>
      </w:r>
      <w:r>
        <w:rPr>
          <w:rtl w:val="true"/>
        </w:rPr>
        <w:t xml:space="preserve">: </w:t>
      </w:r>
      <w:r>
        <w:rPr>
          <w:rtl w:val="true"/>
        </w:rPr>
        <w:t>في جواز التطوّع في وقت الفريضة</w:t>
      </w:r>
      <w:r>
        <w:rPr>
          <w:rtl w:val="true"/>
        </w:rPr>
        <w:t>.</w:t>
      </w:r>
      <w:bookmarkEnd w:id="113"/>
    </w:p>
    <w:p>
      <w:pPr>
        <w:pStyle w:val="Heading6"/>
        <w:numPr>
          <w:ilvl w:val="5"/>
          <w:numId w:val="1"/>
        </w:numPr>
        <w:rPr/>
      </w:pPr>
      <w:bookmarkStart w:id="114" w:name="__RefHeading___Toc3360038_2314609296"/>
      <w:bookmarkStart w:id="115" w:name="_Toc46"/>
      <w:bookmarkEnd w:id="114"/>
      <w:r>
        <w:rPr>
          <w:rtl w:val="true"/>
        </w:rPr>
        <w:t>اشارة</w:t>
      </w:r>
      <w:bookmarkEnd w:id="115"/>
    </w:p>
    <w:p>
      <w:pPr>
        <w:pStyle w:val="BookText"/>
        <w:rPr/>
      </w:pPr>
      <w:r>
        <w:rPr>
          <w:rFonts w:ascii="Amiri" w:hAnsi="Amiri" w:eastAsia="Amiri" w:cs="Amiri"/>
          <w:color w:val="111111"/>
          <w:sz w:val="28"/>
          <w:sz w:val="28"/>
          <w:szCs w:val="28"/>
          <w:rtl w:val="true"/>
          <w:lang w:bidi="ar-SA"/>
        </w:rPr>
        <w:t>فاعلم أنّ هنا مقامين للتكلّم الأول في التطوّع في وقت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التطوّع لمن عليه فريضة، و إن خلط بعض الأعلام بين المقامين و جعلهما من واد واحد، إلّا أنّ الحقّ أنّه لا ربط لأحدهما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التكلّم في المقام الأول فمجمله أنّه قد وردت عدّة من الروايات ظاهرها المنع عن التطوّع في وقت الفريضة، و قد أفتى بمضمونها جمع من الأعلام، و وردت أيضا عدّة اخرى ممّا ظاهرها الجواز ما لم يتضيّق وقت الفريضة، فلا بدّ أولا من ذكر الأخبار الواردة من الطرفين، ثمّ نجمع بينهما على ما يقتضيه النظر الصحيح فنقول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دلّ على المنع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تحديد الذراع و الذراعين لنافلة</w:t>
      </w:r>
    </w:p>
    <w:p>
      <w:pPr>
        <w:pStyle w:val="BookText"/>
        <w:rPr/>
      </w:pPr>
      <w:r>
        <w:rPr>
          <w:rFonts w:ascii="Amiri" w:hAnsi="Amiri" w:eastAsia="Amiri" w:cs="Amiri"/>
          <w:color w:val="111111"/>
          <w:sz w:val="28"/>
          <w:sz w:val="28"/>
          <w:szCs w:val="28"/>
          <w:rtl w:val="true"/>
          <w:lang w:bidi="ar-SA"/>
        </w:rPr>
        <w:t>الظهرين، معلّلا في بعضها أنّ التحديد بذلك لأجل عدم وقوع التطوّع في وقت الفريضة، كقول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لم جعل الذراع و الذراعان؟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الفريضة لئلا يؤخذ من وقت هذه و يدخل في وقت هذه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معناه روايات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ركعتي الفجر من صحيح زرارة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ركعتي الفجر قبل الفجر أو بعد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الفجر، إنهما من صلاة اللّيل ثلاث عشرة ركعة صلاة اللّيل، أ تريد أن تقايس لو كان عليك من شهر رمضان أ كنت تتطوّع إذا دخل عليك وقت الفريضة فابدأ بالفريضة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النهي عن ركعتي الفجر بعد الفجر أو بعد قول المؤذّن قد قامت الصلاة في روايات أخر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زرارة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من 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نافلة و عليّ فريضة أو في وقت 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إنّه لا يصلّي نافلة في وقت فريضة، أ رأيت لو كان عليك من شهر رمضان كان لك أن تتطوّع حتّى تقضيه؟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فقايسني و ما كان يقايسني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احتمل أنّ هذه الرواية هي التي وردت في ركعتي الفجر التي ذكرناها قبيل هذه و إنّما نقلها حبل المتين أو غيره بالمعنى، و يؤيّده أنّه لم تكن في الكتب الأربعة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ابن مسلم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رجل 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جعفر ما لي لا أراك تطوّع بين الأذان و الإقامة كما يصنع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إذا أردنا أن نتطوّع كان تطوّعنا في غير وقت فريضة، فإذا دخل الفريضة فلا تطوّع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بكير عن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وقت الصلاة مفروضة فلا تطوّع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أديم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يتنفّل الرجل إذا دخل وقت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وقت فريضة فابدأ بها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 ذلك من الأخبار الناهية أو النافية عن الدخول في النافلة قبل المكتوبة، أو الآمرة بالبدأة بالفريضة قبل النافلة ممّا ظاهره الوجوب</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دلّ على الجواز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الموثّقة المروية في الكتب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يأتي المسجد و قد صلّى أهله، أ يبتدأ بالمكتوبة أو يتطوّع؟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وقت حسن فلا بأس بالتطوّع قبل الفريضة، و إن كان خاف الفوت من أجل ما مضى من الوقت فليبدأ بالفريضة و هو حقّ اللّٰه، ثمّ ليتطوّع بما شاء، الأمر موسّع أن يصلّي الإنسان في أول وقت دخول وقت الفريضة النوافل، إلّا أن يخاف فوت الفريضة و الفضل إذا صلّى الإنسان وحده أن يبدأ بالفريضة إذا دخل وقتها ليكون فضل أول الوقت للفريضة، و ليس بمحظور عليه أن يصلّي النوافل من أول الوقت إلى قريب من آخر الوقت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مسلم قال قلت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وقت الفريضة أتنفّل أو أبدأ بالفريضة؟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الفضل أن تبدأ بالفريضة </w:t>
      </w:r>
      <w:r>
        <w:rPr>
          <w:rStyle w:val="FootnoteAnchor"/>
          <w:rtl w:val="true"/>
        </w:rPr>
        <w:footnoteReference w:id="193"/>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تقضي شيئا من الصلاة مكتوبة أو غيرها فلا تصلّ شيئا حتى تبدأ فتصلّي قبل الفريضة التي حضرت ركعتين نافلة، ثمّ اقض ما شئت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يزيد سأل الصادق عن الرواية التي يروون أنّه لا ينبغي أن يتطوّع في وقت فريضة، ما حدّ هذا الوقت؟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المقيم في الإقامة،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يختلفون في الإقامة،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المقيم الذي تصلّي معه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نسخة الوسائل التي عندي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و قد أثبتها في الجواهر، و لعلّ نسخة الوسائل التي عندي غلط، أو كانت الرواية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إسحاق بن عمّار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في وقت فريضة نافلة؟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أول الوقت إذا كنت مع إمام يقتدى به، فإذا كنت وحدك فابدأ بالمكتوبة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بصير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فاتك شي‌ء من تطوّع النهار و اللّيل فاقضه عند زوال الشمس، و بعد الظهر عند العصر، و بعد المغرب، و بعد العتمة، و من آخر السحر </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ممّا يظهر منه الجواز</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يصغى إلى المناقشة في أسانيد كلتا الطائفتين، فإنّ في كلّ منهما صحاح و موثّقات و معمول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لا يصغى إلى ما عن الرياض </w:t>
      </w:r>
      <w:r>
        <w:rPr>
          <w:rStyle w:val="FootnoteAnchor"/>
          <w:rtl w:val="true"/>
        </w:rPr>
        <w:footnoteReference w:id="198"/>
      </w:r>
      <w:r>
        <w:rPr>
          <w:rFonts w:ascii="Amiri" w:hAnsi="Amiri" w:eastAsia="Amiri" w:cs="Amiri"/>
          <w:color w:val="111111"/>
          <w:sz w:val="28"/>
          <w:sz w:val="28"/>
          <w:szCs w:val="28"/>
          <w:rtl w:val="true"/>
          <w:lang w:bidi="ar-SA"/>
        </w:rPr>
        <w:t>من حمل الأخبار المجوّزة على التقية، فإنّ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ذلك فرع عدم إمكان الجمع الدلالي بين الأخبار و سيأتي إمكان ذلك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بعض الأخبار المانعة ما يشعر منه عدم كون الأئمة عليهم السّلام استعملوا التقية في هذه المسألة، كما يظهر بالتأمّل في رواية زرارة </w:t>
      </w:r>
      <w:r>
        <w:rPr>
          <w:rStyle w:val="FootnoteAnchor"/>
          <w:rtl w:val="true"/>
        </w:rPr>
        <w:footnoteReference w:id="199"/>
      </w:r>
      <w:r>
        <w:rPr>
          <w:rFonts w:ascii="Amiri" w:hAnsi="Amiri" w:eastAsia="Amiri" w:cs="Amiri"/>
          <w:color w:val="111111"/>
          <w:sz w:val="28"/>
          <w:sz w:val="28"/>
          <w:szCs w:val="28"/>
          <w:rtl w:val="true"/>
          <w:lang w:bidi="ar-SA"/>
        </w:rPr>
        <w:t xml:space="preserve">الواردة في ركعتي الفجر المشتملة على المقايسة و رواية ابن مسلم </w:t>
      </w:r>
      <w:r>
        <w:rPr>
          <w:rStyle w:val="FootnoteAnchor"/>
          <w:rtl w:val="true"/>
        </w:rPr>
        <w:footnoteReference w:id="200"/>
      </w:r>
      <w:r>
        <w:rPr>
          <w:rFonts w:ascii="Amiri" w:hAnsi="Amiri" w:eastAsia="Amiri" w:cs="Amiri"/>
          <w:color w:val="111111"/>
          <w:sz w:val="28"/>
          <w:sz w:val="28"/>
          <w:szCs w:val="28"/>
          <w:rtl w:val="true"/>
          <w:lang w:bidi="ar-SA"/>
        </w:rPr>
        <w:t xml:space="preserve">المتقدمتين، فإنّ الظاهر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تريد أن تقايس لو كان عليك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تعليم زرارة طريق المحاجّة و المخاصمة مع من يرى جواز التطوّع في وقت الفريضة، و ليس المراد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تريد أن تقايس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القياس في حكم الإمام عليه السّلام بعدم جواز ركعتي الفجر بعد الفجر، و أنّ الإمام عليه السّلام هو بنفسه قاس عدم جواز ذلك على عدم جواز التطوّع بالصوم لمن عليه قضاء رمضان، حتّى يصير المعنى أنّه يا زرارة كما لا يجوز التطوّع بالصوم كذلك لا يجوز التطوّع بالنافلة في وقت الفريضة، فإنّ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معلومية عدم جواز القياس في الشريعة و استبعاد حكم الإمام عليه السّلام بالقياس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الظاهر، بل الظاهر من الرواية </w:t>
      </w:r>
      <w:r>
        <w:rPr>
          <w:rStyle w:val="FootnoteAnchor"/>
          <w:rtl w:val="true"/>
        </w:rPr>
        <w:footnoteReference w:id="201"/>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المواقيت،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من دون الإسناد إلى حبل المتين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تعليم زرارة طريق إلزام الخصم القائل بالقياس، فكأنّه عليه السّلام قال لزرارة قل لهم كيف جوّزتم أنتم النافلة في وقت الفريضة مع عدم تجويزكم التطوّع بالصوم لمن عليه قضاء رمضان مع أنّ مذهبكم القياس، 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 أنّ الإمام حكم في هذه المسألة بمرّ الحقّ و كان بصدد عدم استعمال التقية، و مع هذا كيف يمكن حمل أخبار الجواز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يظهر ذلك من رواية ابن مسلم </w:t>
      </w:r>
      <w:r>
        <w:rPr>
          <w:rStyle w:val="FootnoteAnchor"/>
          <w:rtl w:val="true"/>
        </w:rPr>
        <w:footnoteReference w:id="203"/>
      </w:r>
      <w:r>
        <w:rPr>
          <w:rFonts w:ascii="Amiri" w:hAnsi="Amiri" w:eastAsia="Amiri" w:cs="Amiri"/>
          <w:color w:val="111111"/>
          <w:sz w:val="28"/>
          <w:sz w:val="28"/>
          <w:szCs w:val="28"/>
          <w:rtl w:val="true"/>
          <w:lang w:bidi="ar-SA"/>
        </w:rPr>
        <w:t xml:space="preserve">، فإنّ الظاهر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إذا أردنا أن نتطوّع كان تطوّعنا في غير وقت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مداومة الأئمة عليهم السّلام على عدم فعل التطوّع في وقت الفريضة، فيظهر منه أنّه لم يكن بناء الأئمّة عليهم السّلام في هذه المسألة على التقية، هذا كلّه مع أن الحمل على التقية إنّما يكون عند الضرورة، كما اعترف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 لا ضرورة في المقام، لإمكان حمل أخبار المنع على الكراهة و الأقلّية في الثواب بعد تخصيصها بغير الموارد الخاصّة التي ورد فيها استحباب بعض النوافل في أوقات الفرائض، كالغفيلة و الوصية الواردتان بين المغرب و العشاء، و كالنافلة في ليلة الجمعة و ليال شهر رمضان، و غير ذلك ممّا لا يحصى كثرة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يدلّ على أنّ المراد من النهي أو النفي هو أقلية الثواب و المرجوحية في رواية سماعة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الفضل إذا صلّى الإنسان وحده أن يبدأ بالفريضة و هو حقّ اللّٰه</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و قوله عليه السّلام في رواية ابن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الفضل أن تبدأ بالفريضة</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فإنّ ذلك كالصريح في مفضولية التطوّع في وقت الفريضة و أنّ الأرجح تركها، بل يظهر من رواية سماعة أنّ المرجوحية مختصّة بما إذا صلّى</w:t>
      </w:r>
    </w:p>
    <w:p>
      <w:pPr>
        <w:pStyle w:val="BookText"/>
        <w:rPr/>
      </w:pPr>
      <w:r>
        <w:rPr>
          <w:rFonts w:ascii="Amiri" w:hAnsi="Amiri" w:eastAsia="Amiri" w:cs="Amiri"/>
          <w:color w:val="111111"/>
          <w:sz w:val="28"/>
          <w:sz w:val="28"/>
          <w:szCs w:val="28"/>
          <w:rtl w:val="true"/>
          <w:lang w:bidi="ar-SA"/>
        </w:rPr>
        <w:t>الإنسان وحده، و أمّا لو صلّى جماعة فلا مرجوحية أيضا في أن يتطوّع إلى أن تنعقد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احتمال 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قول الإمام عليه السّلام بل من الكليني بعيد غايته و إن لم يذكره 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هذا المعنى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 المرجوحية مختصّة بالمنفرد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روايات أخر، مثل صحيحة ابن يزيد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الصادق عليه السّلام عن الرواية التي يروون أنّه لا ينبغي أن يتطوّع في وقت فريضة </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الإمام عليه السّلام خصّص الرواية التي يروونها بما إذا أخذ المقيم في الإقامة في الجماعة، فإنّه يدلّ على عدم البأس في التطوّع قبل انعقاد الجماعة و لو فرض أنّ الجماعة انعقدت بعد دخول وقت الفريضة بمدّة، فيظهر منه عدم مرجوحية التطوّع في وقت الفريضة لمن كان منتظرا فضل الجماعة، و يكون الحكم بالمرجوحية مختصّ بالمنفرد أو بعد انعقاد الجماعة،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الظاهر أنّ الرواية غير متعرّضة لحكم المنفرد و أنّه بالنسبة إليه مرجوح أو غير مرجوح، بل الرواية تكون مختصّة بمسألة الجماعة، و أنّ ما روي من أنّه لا ينبغي التطوّع في وقت الفريضة إنّما هو مخصوص بما إذا أخذ المقيم الذي تريد أن تصلّي معه في الإقامة، و أمّا التطوّع قبل ذلك لمثل هذا الشخص فلا مرجوحية فيه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التأمّل في الروايات يعطي عدم كون النهي فيها للحرمة، بل يستفاد من مجموعها أنّ الإنسان لو لم ينتظر ما يوجب الفضل في التأخير كالجماعة كان الأرجح أن لا يتطوّع بل يبدأ بالمكتوبة، بخلاف ما إذا كان منتظرا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يشعر إلى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قربة في النوافل إذا أضرّت بالفرائض</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بناء على أن يكون المراد من الإضرار بالفريضة هو الإضرار بوقت فضيلتها لا الإضرار بوقتها الإجزائي، فيصير حاصل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النافلة إذا أضرّت بفضيلة الوقت فلا قربة فيها، و يستفاد منها أنّه لو زاحم بفضيلة الوقت ما هو أقوى منها كانتظار الجماعة و أمثال ذلك فلا مانع من النافلة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التطوّع في وقت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التطوّع لمن عليه فريضة فمجمل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 إن ذهب إلى التلازم بينهما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إلى الرياض </w:t>
      </w:r>
      <w:r>
        <w:rPr>
          <w:rStyle w:val="FootnoteAnchor"/>
          <w:rtl w:val="true"/>
        </w:rPr>
        <w:footnoteReference w:id="208"/>
      </w:r>
      <w:r>
        <w:rPr>
          <w:rFonts w:ascii="Amiri" w:hAnsi="Amiri" w:eastAsia="Amiri" w:cs="Amiri"/>
          <w:color w:val="111111"/>
          <w:sz w:val="28"/>
          <w:sz w:val="28"/>
          <w:szCs w:val="28"/>
          <w:rtl w:val="true"/>
          <w:lang w:bidi="ar-SA"/>
        </w:rPr>
        <w:t>حيث حكي عنه عدم الفرق بين 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الظاهر أنّه لا ربط لأحد المسألتين بالأخرى دليلا و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قولا فلاعترافه بأنّ بعض من قال بعدم الجواز في 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التطوّع في وقت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بالجواز في هذه المسألة، نعم من قال بالمضايقة في القضاء يلزمه أن لا يفرّق بين المسألتين، فتأمّل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دليلا فلأنّ ما استدلّ به على عدم جواز التطوّع لمن عليه فريضة في غاية الضعف، إذ ليس هو إلّا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لمن عليه صلاة </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رواية زرارة عن أبي جعفر عليه السّلام أنّه سئل عن رجل صلّى بغير طهور أو نسي صلوات لم يصلّها أو نام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يقضيها إذا ذكرها في أيّ ساعة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يتطوّع بركعة حتّى يقضي الفريضة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خبر يعقوب بن شعيب </w:t>
      </w:r>
      <w:r>
        <w:rPr>
          <w:rStyle w:val="FootnoteAnchor"/>
          <w:rtl w:val="true"/>
        </w:rPr>
        <w:footnoteReference w:id="21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المتضمّن للأمر بالبدء بالفريضة المقضية قبل قضاء 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الاستدلال بمثل هذا لما نحن فيه في غاية الضعف، أمّا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فمضافا إلى كونه مرسلا، و لم يثبته الأصحاب في الكتب المعتبرة، و إنّما ذكره الشيخ رحمه اللّٰه في كتابي المبسوط </w:t>
      </w:r>
      <w:r>
        <w:rPr>
          <w:rStyle w:val="FootnoteAnchor"/>
          <w:rtl w:val="true"/>
        </w:rPr>
        <w:footnoteReference w:id="212"/>
      </w:r>
      <w:r>
        <w:rPr>
          <w:rFonts w:ascii="IRNazanin" w:hAnsi="IRNazanin" w:eastAsia="IRNazanin"/>
          <w:color w:val="111111"/>
          <w:sz w:val="28"/>
          <w:sz w:val="28"/>
          <w:szCs w:val="28"/>
          <w:rtl w:val="true"/>
          <w:lang w:bidi="fa-IR"/>
        </w:rPr>
        <w:t xml:space="preserve">و الخلاف </w:t>
      </w:r>
      <w:r>
        <w:rPr>
          <w:rStyle w:val="FootnoteAnchor"/>
          <w:rtl w:val="true"/>
        </w:rPr>
        <w:footnoteReference w:id="213"/>
      </w:r>
      <w:r>
        <w:rPr>
          <w:rFonts w:ascii="Amiri" w:hAnsi="Amiri" w:eastAsia="Amiri" w:cs="Amiri"/>
          <w:color w:val="111111"/>
          <w:sz w:val="28"/>
          <w:sz w:val="28"/>
          <w:szCs w:val="28"/>
          <w:rtl w:val="true"/>
          <w:lang w:bidi="ar-SA"/>
        </w:rPr>
        <w:t>و لم يذكره في التهذيب و الاستبصار الذي عليهما المعوّل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يوجد أحد أفتى بعمومه، فإنّ لازمة عدم جواز التطوّع لمن نذر أن يصلّي ركعتين في مدّة سنة، أو آجر نفسه لذلك، 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به أحد و لا يمكن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رواية زرارة </w:t>
      </w:r>
      <w:r>
        <w:rPr>
          <w:rStyle w:val="FootnoteAnchor"/>
          <w:rtl w:val="true"/>
        </w:rPr>
        <w:footnoteReference w:id="214"/>
      </w:r>
      <w:r>
        <w:rPr>
          <w:rFonts w:ascii="Amiri" w:hAnsi="Amiri" w:eastAsia="Amiri" w:cs="Amiri"/>
          <w:color w:val="111111"/>
          <w:sz w:val="28"/>
          <w:sz w:val="28"/>
          <w:szCs w:val="28"/>
          <w:rtl w:val="true"/>
          <w:lang w:bidi="ar-SA"/>
        </w:rPr>
        <w:t>فمع معارضتها بعدّة من الروايات الدالّة على استحباب التطوّع بركعتين قبل قضاء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حمل النهي فيها على المرجوحية أو نفي الكمال، كما يمكن حمل الأمر الوارد في خبر يعقوب بن شعيب </w:t>
      </w:r>
      <w:r>
        <w:rPr>
          <w:rStyle w:val="FootnoteAnchor"/>
          <w:rtl w:val="true"/>
        </w:rPr>
        <w:footnoteReference w:id="215"/>
      </w:r>
      <w:r>
        <w:rPr>
          <w:rFonts w:ascii="Amiri" w:hAnsi="Amiri" w:eastAsia="Amiri" w:cs="Amiri"/>
          <w:color w:val="111111"/>
          <w:sz w:val="28"/>
          <w:sz w:val="28"/>
          <w:szCs w:val="28"/>
          <w:rtl w:val="true"/>
          <w:lang w:bidi="ar-SA"/>
        </w:rPr>
        <w:t>بالبدأة بالفريضة على الأفضلية، لما دلّ من الروايات الصحيحة الصريحة في جواز التطوّع لمن عليه فريضة خصوصا و عموما، كما ورد في تقديم قضاء ركعتي الفجر على قضاء صلاة الصبح، و تقديم صلاة اللّيل لمن كان عليه دين من صلاة، و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مرجوحية في فعل النافلة لمن عليه فريضة، و إن قلنا بالمرجوحية في وقت الفريضة، فتأمّل فإنّه ليس بعيدا، لقوّة أدلّة الجواز</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يظهر من بعضها أنّ ما ورد في حكم التطوّع كراهة مقصور بما إذا كان في وقت الفريضة، و أمّا مسألة التطوّع لمن كان عليه فريضة فهو خارج عن ذلك، ففي</w:t>
      </w:r>
      <w:bookmarkStart w:id="116" w:name="pg19820_206538"/>
    </w:p>
    <w:p>
      <w:pPr>
        <w:pStyle w:val="BookText"/>
        <w:rPr/>
      </w:pPr>
      <w:bookmarkEnd w:id="116"/>
      <w:r>
        <w:rPr>
          <w:rFonts w:ascii="Amiri" w:hAnsi="Amiri" w:eastAsia="Amiri" w:cs="Amiri"/>
          <w:color w:val="111111"/>
          <w:sz w:val="28"/>
          <w:sz w:val="28"/>
          <w:szCs w:val="28"/>
          <w:rtl w:val="true"/>
          <w:lang w:bidi="ar-SA"/>
        </w:rPr>
        <w:t>الرواية المشتملة على قصّته مع الحكم بن عتيبة و أصحابه، حيث أخبره في العام السابق عن قول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وقت صلاة مكتوبة فلا صلاة نافلة حتّى تبدأ بالمكتوبة، و أخبره في العام الآخر قضية نوم النبي صلّى اللّٰه عليه و آله عن صلاة الصبح فقضاها حين استيقظ بعد قضاء نافلتها، فقال له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نقضت حديثك عام أول، فحكى زرارة ذلك لأبي جعفر عليه السّلام، 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أخبرتهم أنّه قد فاته الوقتان جميعا، و أنّ ذلك كان قضاء عن رسول اللّٰه صلّى اللّٰه عليه و آله </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أنّه بعد حمل النهي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وقت صلاة مكتوبة فلا صلاة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الشواهد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الظاهر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أخبرتهم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قلت لك في العام السابق من كراهة التطوّع، فإنّما هو في وقت الفريضة، لا ما إذا كان عليه فريضة، و مسألة قضاء النبي صلّى اللّٰه عليه و آله إنّما تكون من قبيل الثاني لا الأول، فتأمّل في الأخبار، فإنّ الأخبار المجوّزة في غاية الصراحة، فلا يمكن رفع اليد عنها بما تقدّم من أخبار المنع، فالأقوى أنّه لا مانع من التطوّع في وقت الفريضة و لمن عليه فريضة، و إن كان الأرجح تأخير التطوّع عن أداء الفريضة</w:t>
      </w:r>
      <w:r>
        <w:rPr>
          <w:rFonts w:eastAsia="Amiri" w:cs="Amiri" w:ascii="Amiri" w:hAnsi="Amiri"/>
          <w:color w:val="111111"/>
          <w:sz w:val="28"/>
          <w:szCs w:val="28"/>
          <w:rtl w:val="true"/>
          <w:lang w:bidi="ar-SA"/>
        </w:rPr>
        <w:t>.</w:t>
      </w:r>
    </w:p>
    <w:p>
      <w:pPr>
        <w:pStyle w:val="Heading6"/>
        <w:numPr>
          <w:ilvl w:val="5"/>
          <w:numId w:val="1"/>
        </w:numPr>
        <w:rPr/>
      </w:pPr>
      <w:bookmarkStart w:id="117" w:name="__RefHeading___Toc3360040_2314609296"/>
      <w:bookmarkStart w:id="118" w:name="_Toc47"/>
      <w:bookmarkEnd w:id="117"/>
      <w:r>
        <w:rPr>
          <w:rtl w:val="true"/>
        </w:rPr>
        <w:t>فرع</w:t>
      </w:r>
      <w:r>
        <w:rPr>
          <w:rtl w:val="true"/>
        </w:rPr>
        <w:t>:</w:t>
      </w:r>
      <w:bookmarkEnd w:id="11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نذر التطوّع فهل يصحّ إيقاعه في وقت الفريضة بناء على خروجه بالنذر عن موضوع التطوّع، أو لا يصحّ لأنّه يعتبر في متعلّق النذر أن يكون راجحا مع قطع النظر عن تعلّق النذر به، و المفروض أنّ التطوّع في وقت الفريضة لا رجحان فيها، بناء على الحرمة فلا بدّ من خروج هذا الفرد من التطوّع عن متعلّق النذر لو كان</w:t>
      </w:r>
    </w:p>
    <w:p>
      <w:pPr>
        <w:pStyle w:val="BookText"/>
        <w:rPr/>
      </w:pPr>
      <w:r>
        <w:rPr>
          <w:rFonts w:ascii="Amiri" w:hAnsi="Amiri" w:eastAsia="Amiri" w:cs="Amiri"/>
          <w:color w:val="111111"/>
          <w:sz w:val="28"/>
          <w:sz w:val="28"/>
          <w:szCs w:val="28"/>
          <w:rtl w:val="true"/>
          <w:lang w:bidi="ar-SA"/>
        </w:rPr>
        <w:t>نذره مطلقا، أو بطلانه من أصله لو قيّده بذلك الوقت؟</w:t>
      </w:r>
    </w:p>
    <w:p>
      <w:pPr>
        <w:pStyle w:val="BookText"/>
        <w:rPr/>
      </w:pPr>
      <w:r>
        <w:rPr>
          <w:rFonts w:ascii="Amiri" w:hAnsi="Amiri" w:eastAsia="Amiri" w:cs="Amiri"/>
          <w:color w:val="111111"/>
          <w:sz w:val="28"/>
          <w:sz w:val="28"/>
          <w:szCs w:val="28"/>
          <w:rtl w:val="true"/>
          <w:lang w:bidi="ar-SA"/>
        </w:rPr>
        <w:t>الأقوى هو الأول، و بيان وجهه يستدعي بسطا من الكلام،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 أنّه يعتبر في متعلّق النذر من الرجحان، كما أنّه يعتبر في متعلّق العهد و اليمين عدم المرجوحية، فيكون الرجحان من قبيل القيود المعتبرة في المتعلّق، و لا إشكال أيضا في اعتبار تقدّم المتعلّق بجميع ماله من القيود على الحكم، بحيث يؤخذ المتعلّق بماله من الشرائط مفروض التحقّق حتّى يرد الحكم عليه، فكلّ قيد لا يتأتّى إلّا من قبل الحكم لا يعقل أخذه في متعلّقه، كمسألة القربة و العلم و الجهل و أمثال ذلك ممّا هو مسطور في الأصول، و حيث كان الرجحان مأخوذا في متعلّق النذر فلا بدّ و أن يكون سابقا على النذر، حتّى يرد النذر على المتعلّق الراجح، و لا يكفي الرجحان الجائي من قبل النذر كما يوهمه بعض العبائر، لتوقّف صحّة النذر على كونه راجحا، فلو توقّف الرجحان على النذر يلزم الدور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ورد </w:t>
      </w:r>
      <w:r>
        <w:rPr>
          <w:rStyle w:val="FootnoteAnchor"/>
          <w:rtl w:val="true"/>
        </w:rPr>
        <w:footnoteReference w:id="217"/>
      </w:r>
      <w:r>
        <w:rPr>
          <w:rFonts w:ascii="Amiri" w:hAnsi="Amiri" w:eastAsia="Amiri" w:cs="Amiri"/>
          <w:color w:val="111111"/>
          <w:sz w:val="28"/>
          <w:sz w:val="28"/>
          <w:szCs w:val="28"/>
          <w:rtl w:val="true"/>
          <w:lang w:bidi="ar-SA"/>
        </w:rPr>
        <w:t>من صحّة نذر بعض المحرّمات، كالإحرام قبل الميقات، و كالصوم في السفر، فليس ذلك من باب الاكتفاء بالرجحان الجائي من قبل النذر، و لا من باب تخصيص ما دلّ على اعتبار الرجحان في متعلّق النذر بغير هذا المورد، بل ورود الدليل بصحّة مثل هذا النذر يكشف عن تقييد الحرام الواقعي من الصوم في السفر و الإحرام قبل الميقات بما إذا لم يتعلّق النذر به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النذر من العناوين الطارئة القابلة لتغيّر الواقع عمّا هو عليه من المصلحة و المفسدة، كالضرر و الاضطرار و أمثال ذلك، فإذا ورد دليل بالخصوص على صحّة نذر الحرام فلا محالة يكشف عن تقييد الحرام واقعا بما إذا لم يقع نذر على خلافه، 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ربط له بما نحن فيه من عدم إمكان</w:t>
      </w:r>
    </w:p>
    <w:p>
      <w:pPr>
        <w:pStyle w:val="BookText"/>
        <w:rPr/>
      </w:pPr>
      <w:r>
        <w:rPr>
          <w:rFonts w:ascii="Amiri" w:hAnsi="Amiri" w:eastAsia="Amiri" w:cs="Amiri"/>
          <w:color w:val="111111"/>
          <w:sz w:val="28"/>
          <w:sz w:val="28"/>
          <w:szCs w:val="28"/>
          <w:rtl w:val="true"/>
          <w:lang w:bidi="ar-SA"/>
        </w:rPr>
        <w:t>الاكتفاء بالرجحان الجائي من قبل النذر، و مجرّد ورود دليل بالخصوص في بعض الموارد لا يمكن تسريته إلى جميع الموارد، إذ يلزمه القول بصحّة نذر جميع المحرّمات، 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بديهي البطلان، فالنذر كالشرط فكما أنّه لا يمكن القول بصحّة الشرط المخالف للكتاب بأدلّة وجوب الوفاء بالشرط فكذلك لا يمكن القول بصحّة نذر المرجوح بأدلّة وجوب الوفاء بالنذر، فلا بدّ من ورود النذر على الموضوع الراجح، و لا أظنّ أحدا خالف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أمر آخر وقع التكلّم فيه من بعض الأعلام، و هو أنّه هل يكفي في صحّة النذر الرجحان حال النذر و إن صار مرجوحا حال الفعل، أو لا يكفي بل يعتبر بقاء الرجحان إلى حال صدور الفعل؟</w:t>
      </w:r>
    </w:p>
    <w:p>
      <w:pPr>
        <w:pStyle w:val="BookText"/>
        <w:rPr/>
      </w:pPr>
      <w:r>
        <w:rPr>
          <w:rFonts w:ascii="Amiri" w:hAnsi="Amiri" w:eastAsia="Amiri" w:cs="Amiri"/>
          <w:color w:val="111111"/>
          <w:sz w:val="28"/>
          <w:sz w:val="28"/>
          <w:szCs w:val="28"/>
          <w:rtl w:val="true"/>
          <w:lang w:bidi="ar-SA"/>
        </w:rPr>
        <w:t>و معنى الرجحان حال النذر هو أن يكون الفعل حال تعلّق النذر به راجحا، كما إذا نذر زيارة الحسين عليه السّلام في كلّ ليلة جمعة، ثمّ طرأ في بعض ليالي الجمع ما يقتضي المرجوحية، كما إذا حصلت له الاستطاعة للحج، فربّما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الفعل حيث كان في زمان صدور النذر راجحا فالنذر انعقد صحيحا لوجود ما اعتبر فيه من رجحان المتعلّق، و بعد انعقاد النذر المرجوحية الطارئة غير موجبة لانحلاله، ففي المثال المتقدّم الاستطاعة العارضة لا تكون موجبة لانحلال النذر، لأنّه لم تكن الاستطاعة حين انعقاده، فإذا لم تكن موجبة لانحلاله فلا يكون الشخص مستطيعا للحج، و لم يكن واجبا عليه، لاشتغال ذمّته بواجب آخر مقدّم عليه سببا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نقل عن الشيخ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عند اشتغاله بكتابة الجواهر، ينذر زيارة الحسين عليه السّلام ليلة العرفة حتّى لا يجب عليه الحجّ لو حصلت له الاستطاعة في الأثناء، و ربّما أفتى بذلك بعض المتأخّرين، هذا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الظاهر أنّه يعتبر في صحّة النذر و بقائه من ثبوت الرجحان حال صدور</w:t>
      </w:r>
    </w:p>
    <w:p>
      <w:pPr>
        <w:pStyle w:val="BookText"/>
        <w:rPr/>
      </w:pPr>
      <w:r>
        <w:rPr>
          <w:rFonts w:ascii="Amiri" w:hAnsi="Amiri" w:eastAsia="Amiri" w:cs="Amiri"/>
          <w:color w:val="111111"/>
          <w:sz w:val="28"/>
          <w:sz w:val="28"/>
          <w:szCs w:val="28"/>
          <w:rtl w:val="true"/>
          <w:lang w:bidi="ar-SA"/>
        </w:rPr>
        <w:t>الفعل، و لا يكفي الرجحان حال النذر كما لا تكفي القدرة على المتعلّق حال التكليف بل يعتبر القدرة حال العمل، فكما أنّ كلّ تكليف مشروط ببقاء القدرة إلى زمان صدور الفعل فكذلك الرجحان في متعلّق النذر لا بدّ و أن يكون باقيا حال العمل، و إن كان بينهما فرق من حيث إنّ اعتبار القدرة عقلي و اعتبار الرجحان شرعي، لكنّ الغرض مجرّد التنظير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الرجحان حال النذر لا أثر له في بقائه، بل لو فرض أنّه كان حال النذر مرجوحا و لكن حال العمل كان راجحا لكان نذره صحيحا بلا إشكال، ففي المثال المتقدّم لا محيص عن القول بانحلال نذره بمجرّد طروء الاستطاعة، و يجب عليه الحجّ لصيرورة زيارة الحسين عليه السّلام حينئذ مرجوحة، و لا يمكن العكس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يصير مرجوحا بعد تعلّق النذر بالزيارة، فتصير الزيارة واجبة لسبق سببه و يرتفع حينئذ موضوع الاستطاعة، و ذلك لأنّ الكلام بعد في انعقاد النذر بالنسبة إلى الزيارة التي حصلت الاستطاعة قبل مجي‌ء زمانها، و مجرّد سبق النذر لا يكفي في ذلك بعد ما كان بقاؤه مشروطا ببقاء الرجحان، فالرجحان حال النذر ممّا لا أثر له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الرجحان حال النذر كلمة لا معنى لها، و لا يعقل في مثل المثال أن يقال بالرجحان حال النذر، فإنّه لا إشكال في أنّ زيارة عرفة إنّما تكون راجحة عند مجي‌ء وقتها، و لا يعقل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زيارة عرفة راجحة قبل مجي‌ء وقتها الذي هو وقت النذر، فزيارة عرفة كصلاة الظهر، فكما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صلاة الظهر قبل الزوال راجحة فكذلك لا معنى للقول برجحان زيارة عرفة حين النذر الذي يكون قبل مجي‌ء وقتها، بناء على ما هو الحقّ من عدم معقولية الواجب المعلّق و الشرط المتأخّر، فلو نذر أحد قبل أشهر الحرم زيارة الحسين عليه السّلام في يوم عرفة، فانعقاد هذا النذر يكون موقوفا ثبوتا بثبوت</w:t>
      </w:r>
    </w:p>
    <w:p>
      <w:pPr>
        <w:pStyle w:val="BookText"/>
        <w:rPr/>
      </w:pPr>
      <w:r>
        <w:rPr>
          <w:rFonts w:ascii="Amiri" w:hAnsi="Amiri" w:eastAsia="Amiri" w:cs="Amiri"/>
          <w:color w:val="111111"/>
          <w:sz w:val="28"/>
          <w:sz w:val="28"/>
          <w:szCs w:val="28"/>
          <w:rtl w:val="true"/>
          <w:lang w:bidi="ar-SA"/>
        </w:rPr>
        <w:t>رجحان الزيارة في ظرف وقوعها، فإذا استطاع الشخص قبل ذلك فتكون الزيارة في وقتها مرجوحة لسبق الاستطاعة، فلا يبقى موضوع للنذر، و لا محيص عن انحلاله، فتأمّل 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النذر كالشرط، فكما لو شرط على المشتري ضيافة زيد في كلّ شهر مثلا أو في شهر خاصّ، و اتّفق ارتداد زيد و كفره في بعض الشهور أو في ذلك الشهر الخاص، بحيث حرم ضيافته إمّا لوجوب قتله و إما لحرمة موادّته كان الشرط ملغى، و لا يجب الوفاء به بعموم المؤمنون عند شروطهم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السرّ في ذلك أنّه يعتبر في الشرط حدوثا و بقاء عدم مخالفته للكتاب، فكذلك لو نذر زيارة الحسين عليه السّلام في كلّ شهر أو في شهر خاصّ، و اتّفق حصول الاستطاعة في بعض الشهور أو في ذلك الشهر الخاصّ، بحيث وجب عليه المسير للحج، كان النذر ملغى و ينحل قهرا، لاعتبار الرجحان في متعلّق النذر حدوثا و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ضعف تعليل بعض الأعلام صحّة نذر التطوّع في وقت الفريضة بارتفاع مرجوحيّتها بنفس النذر،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يرد أنّ متعلّق النذر لا بدّ أن يكون راجحا، و على القول بالمنع لا رجحان فيه فلا ينعقد نذره، و ذلك لأنّ الصلاة من حيث هي راجحة، و مرجوحيّتها مقيّدة بقيد يرتفع بنفس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النذر</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و لا يعتبر في متعلّق النذر الرجحان قبله و مع قطع النذر عنه، حتّى يقال بعدم تحقّقه في المقام، انتهى</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هذه العبارة لا تستقيم من أنّه لا عبرة بالرجحان الجائي من قبل النذر، بل لا بدّ و أن يكون الرجحان متحقّقا قبله، بل لا يعقل ذلك كما عرفت، فتعليل صحّة نذر التطوّع في وقت الفريضة بهذا غير سديد، بل الأقوى في التعليل هو أن</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هو المحرّم التطوّع في وقت الفريضة بوصف التطوع، و ليست ذات صلاة جعفر مثلا محرّمة، بل المحرّم إنّما هو التطوّع بصلاة جعفر و فعلها بداعي الاستحباب و التنفّل، و صلاة جعفر بهذا الوصف لم يتعلّق النذر بها، بل لا يمكن أن يتعلّق بها مقيّدة بهذا الوصف، لأنّه يعتبر في متعلّق النذر القدرة عليه، و صلاة جعفر بوصف كونها مستحبّة غير مقدورة بعد تعلّق النذر بها لصيرورتها واجبة، فلو فرض أنّ أحدا نذر فعل صلاة جعفر بوصف كونها مستحبّة، كان نذره باطلا و لا ينعقد أصلا، فالنذر دائما يكون متعلّقا بذات العمل، و ذات صلاة جعفر مع قطع النظر عن استحبابها لم تكن محرّمة في وقت الفريضة، بل المحرّم إنّما هو التطوّع بها، فإذا لم تكن ذات العمل منهيّا عنه فلا مانع من تعلّق النذر به، و يصير بذلك واجبا و يخرج موضوعا عن كونه تطوّعا في وقت الفريضة، بل يكون فريضة في وقت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 ذات العمل لم يكن منهيا عنه، إلّا أنّ مجرّد ذلك لا يكفي في صحّة النذر، لما تقدّم من اعتبار الرجحان في متعلّقه، و لا يكفي مجرّد عدم المرجوحية، و ذات العمل في وقت الفريضة حيث لم يتعلّق به أمر استحبابي و لا وجوبي لا يمكن الحكم برجحانه، فإنّ ذلك يكون رجما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رجحان الشي‌ء لا بدّ و أن يستكشف من تعلّق الأمر، إذ لا طريق لنا إلى معرفته سوى ذلك، و صلاة جعفر في وقت الفريضة بعد ما لم يتعلّق بها أمر استحبابي و لا وجوبي حسب الفرض فمن أين يحكم برجحانها حتّى يصح نذرها، فتكون واجبة و تخرج موضوعا عن كونها تطوّعا في وقت الفريضة، فلا محيص إمّا عن القول ببطلان النذر و إمّا عن القول بالاكتفاء بالرجحان الآتي من قبل النذر، و قد تقدّم عدم معقولية الثاني، فلا بدّ من الأول و هو بطلان النذر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إثبات الرجحانية نفس العمومات الدالّة على مشروعية صلاة</w:t>
      </w:r>
    </w:p>
    <w:p>
      <w:pPr>
        <w:pStyle w:val="BookText"/>
        <w:rPr/>
      </w:pPr>
      <w:r>
        <w:rPr>
          <w:rFonts w:ascii="Amiri" w:hAnsi="Amiri" w:eastAsia="Amiri" w:cs="Amiri"/>
          <w:color w:val="111111"/>
          <w:sz w:val="28"/>
          <w:sz w:val="28"/>
          <w:szCs w:val="28"/>
          <w:rtl w:val="true"/>
          <w:lang w:bidi="ar-SA"/>
        </w:rPr>
        <w:t xml:space="preserve">جعفر في نوعها، و كذا العمومات الدالّة على أنّ الصلاة قربان كلّ تقي </w:t>
      </w:r>
      <w:r>
        <w:rPr>
          <w:rStyle w:val="FootnoteAnchor"/>
          <w:rtl w:val="true"/>
        </w:rPr>
        <w:footnoteReference w:id="220"/>
      </w:r>
      <w:r>
        <w:rPr>
          <w:rFonts w:ascii="IRNazanin" w:hAnsi="IRNazanin" w:eastAsia="IRNazanin"/>
          <w:color w:val="111111"/>
          <w:sz w:val="28"/>
          <w:sz w:val="28"/>
          <w:szCs w:val="28"/>
          <w:rtl w:val="true"/>
          <w:lang w:bidi="fa-IR"/>
        </w:rPr>
        <w:t xml:space="preserve">، و معراج المؤمن </w:t>
      </w:r>
      <w:r>
        <w:rPr>
          <w:rStyle w:val="FootnoteAnchor"/>
          <w:rtl w:val="true"/>
        </w:rPr>
        <w:footnoteReference w:id="221"/>
      </w:r>
      <w:r>
        <w:rPr>
          <w:rFonts w:ascii="Amiri" w:hAnsi="Amiri" w:eastAsia="Amiri" w:cs="Amiri"/>
          <w:color w:val="111111"/>
          <w:sz w:val="28"/>
          <w:sz w:val="28"/>
          <w:szCs w:val="28"/>
          <w:rtl w:val="true"/>
          <w:lang w:bidi="ar-SA"/>
        </w:rPr>
        <w:t>، و سقوط الأمر بها في وقت الفريضة لا يلازم سقوط الرجحانية المستكشفة من تلك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 الثابت إنّما هو سقوط الأمر بالنوافل في وقت الفريضة، و أمّا سقوط الرجحان فلم يقم عليه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معلومية أنّ الصلاة المشتملة على الذكر و الدعاء لم تكن مرجوحة في حدّ نفسها بل تكون راجحة، فحينئذ يصحّ تعلّق النذر بها، و بسببه تخرج عن كونها تطوّعا في وقت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يقاس ذلك بما إذا نذر أن يصلّي خمس ركعات متّصلة، حيث يكون نذره باطلا بالإجماع مع اشتمالها على الدعاء و الذكر، و ذلك لأنّ الصلاة المشتملة على خمس ركعات لم تكن مشروعة في نوعها، و هذا بخلاف صلاة جعفر و غيرها من النوافل لمشروعيّتها في نوعها، و إن سقط أمرها من جهة مزاحمتها لوقت الفريضة 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الرجحان المعتبر في متعلّق النذر حاصل في المقام سابقا على النذر و مع قطع النظر عن تعلّق النذر به، فلا حاجة إلى الالتزام بتلك المقالة الفاسدة من كفاية الرجحان الجائي من قبل النذر، فتأمّل فيما ذكرناه فإنّه بعد للنظر فيه مجال، إذ لمانع أن يمنع ثبوت الرجحان بعد تخصيص تلك العمومات الدالّة على مشروعية الصلاة بغير وقت الفريضة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سقوط الأمر بالنوافل في وقت الفريضة من باب المزاحمة لا التخصيص لكان القول بثبوت الرجحان في محلّه، إلّا أنّ إثبات ذلك مشكل،</w:t>
      </w:r>
    </w:p>
    <w:p>
      <w:pPr>
        <w:pStyle w:val="BookText"/>
        <w:rPr/>
      </w:pPr>
      <w:r>
        <w:rPr>
          <w:rFonts w:ascii="Amiri" w:hAnsi="Amiri" w:eastAsia="Amiri" w:cs="Amiri"/>
          <w:color w:val="111111"/>
          <w:sz w:val="28"/>
          <w:sz w:val="28"/>
          <w:szCs w:val="28"/>
          <w:rtl w:val="true"/>
          <w:lang w:bidi="ar-SA"/>
        </w:rPr>
        <w:t>و لا يسعنا التكلّم في ذلك بأزيد ممّا ذكرناه، فعليك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جميع ما ذكرته من تعلّق النذر بذات الصلاة لا بوصف التطوّع، و من ثبوت الرجحان لها مع قطع النظر عن تعلّق النذر بها، إلّا أنّه لا إشكال في أنّ الأمر بالوفاء بالنذر توصلي لا يعتبر في سقوطه قصد التقرّب و امتثال الأمر، و المفروض أنّ ذات الصلاة في وقت الفريضة لم تكن مأمورا بها بأمر عبادي، فمن أين تقولون يعتبر في صحّة مثل هذه الصلاة المنذورة من قصد التقرّب و الأمر، بحيث لو لم يأت بها بهذا القصد كانت الصلاة باطلة، و لم يبرأ من نذره، مع أنّه لم يكن في البين أمر عبادي يقصد؟</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النذري لو اتّحد مع الأمر العبادي في المتعلّق، بأن تعلّق الأمر النذري بعين ما تعلّق به الأمر العبادي، لاكتسب الأمر النذري التعبّدية من الأمر التعبّدي لاتّحادهما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كما لو نذر صلاة اللّيل، فحيث إنّ النذر إنّما يتعلّق بذات صلاة اللّيل لا بوصف كونها مستحبّة، و إلّا لكان النذر باطلا لعدم القدرة عليه من حيث صيرورة صلاة اللّيل بعد النذر واجبة، فلا يمكن إتيانها بوصف كونها مستحبّة، فالنذر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بذات صلاة اللّيل، و المفروض أنّه قد تعلّق بذات الصلاة أمر استحبابي عبادي، فيتّحد متعلّق النذر مع متعلّق الأمر الاستحبابي، و حيث لا يمكن اجتماع الوجوب و الاستحباب في متعلّق الواحد فلا محالة يكتسب الأمر النذري التعبّدية من الأمر الاستحبابي و ينخلع عمّا كان عليه من التوصّلية، كما أنّ الأمر الاستحبابي يكتسب من الأمر النذري الوجوب و ينخلع عمّا كان عليه من الاستحباب، فيتّحد الأمران و يحصل من ذلك أمر وجوبي عبادي، لكنّ هذا إنّما يكون بعد تعلّق الأمر العبادي بصلاة اللّيل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فيما نحن فيه فالمفروض أنّه لم يتعلّق بذات صلاة جعفر في وقت الفريضة</w:t>
      </w:r>
    </w:p>
    <w:p>
      <w:pPr>
        <w:pStyle w:val="BookText"/>
        <w:rPr/>
      </w:pPr>
      <w:r>
        <w:rPr>
          <w:rFonts w:ascii="Amiri" w:hAnsi="Amiri" w:eastAsia="Amiri" w:cs="Amiri"/>
          <w:color w:val="111111"/>
          <w:sz w:val="28"/>
          <w:sz w:val="28"/>
          <w:szCs w:val="28"/>
          <w:rtl w:val="true"/>
          <w:lang w:bidi="ar-SA"/>
        </w:rPr>
        <w:t>أمر عبادي، و الأمر النذري لا يكون إلّا توصّليا، فمن أين يكتسب التعبّدية حتّى يكفي قصده في وقوع الصلاة عبادة مقرّبة؟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من مذاق الشارع أنّ الصلاة وظيفة شرّعت لأن يتعبّد بها، فلو تعلّق بها أمر لكان الأمر لا محالة عبادي يعتبر في سقوطه من قصد الامتثال، و حيث إنّ النذر تعلّق بصلاة النافلة بذاتها، و المفروض اجتماع هذا النذر لشرائط الصحّة من الرجحان و غيره، فلا محالة يتعلّق الأمر النذري بذات الصلاة، و إذا تعلّق بها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 قبل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و أن يكون عباديا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النذري يختلف باختلاف ما تعلّق به، فلو تعلّق بأمر عبادي بمعنى أنّه لو تعلّق به أمر لكان أمره عباديا، لكان الأمر النذري عباديا لا يسقط إلّا بقصد الامتثال، و لو تعلّق بأمر غير عبادي يكون توصّليا لا يعتبر في سقوطه ذلك، فتأمّل فإنّ للنظر في ذلك أيضا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حرمة التطوّع في وقت الفريضة، و قد عرفت أنّ الأقوى صحّة النذر مطلقا، و جواز فعل المنذور في وقت الفريضة، لصيرورته واجبا سواء كان نذره مطلقا أو قيّده بخصوص وقت الفريضة، و إن كان الصحة في المطلق أوضح كما لا يخفى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قلنا بالكراهة من باب أقلّ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الشأن في كراهة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الإشكال في صحّة النذر، لأنّ الكراهة في العبادات تجتمع مع الرجحان و الأمر كليهما، و يكون جميع أركان النذر متحقّقا بلا أن يدخله ريب، فتأمّل جيّدا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آجر نفسه لصلاة الزيارة مثلا في وقت الفريضة فالأقوى أيضا هو الصحّة، لصيرورتها بالإجارة واجبة و تخرج عن موضوع التطوع، بل الصحّة في الإجارة أوضح منها في النذر، لإمكان الإشكال في النذر من حيث الرجحان المعتبر في</w:t>
      </w:r>
    </w:p>
    <w:p>
      <w:pPr>
        <w:pStyle w:val="BookText"/>
        <w:rPr/>
      </w:pPr>
      <w:r>
        <w:rPr>
          <w:rFonts w:ascii="Amiri" w:hAnsi="Amiri" w:eastAsia="Amiri" w:cs="Amiri"/>
          <w:color w:val="111111"/>
          <w:sz w:val="28"/>
          <w:sz w:val="28"/>
          <w:szCs w:val="28"/>
          <w:rtl w:val="true"/>
          <w:lang w:bidi="ar-SA"/>
        </w:rPr>
        <w:t>متعلّقه، و يتوهّم أنّ ذات الصلاة التي هي متعلّقة للنذر مع كونها غير مأمور بها لا رجحان فيها، و هذا بخلاف الإجارة فإنّ متعلّقها هي الصلاة المأمور بها بالأمر المتوجّه على المنوب عنه، فهذا الوصف داخل في متعلّق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صورة إشكال، و هو أنّه يعتبر في متعلّق الإجارة أن يكون العمل المستأجر عليه ممّا يباح على الأجير فعله بحيث لا يكون العمل محرّما عليه، و وجه اعتبار ذلك واضح، و في المقام لو كان متعلّق الإجارة هو الصلاة بوصف كونها مأمورا بها بالأمر الاستحبابي فالأجير لا يمكنه فعلها بهذا الوصف، لأنّ المفروض حرمة التطوّع في وقت الفريضة، فإذا لم يمكن للأجير فعلها فكيف يصير أجيرا على فعلها؟</w:t>
      </w:r>
    </w:p>
    <w:p>
      <w:pPr>
        <w:pStyle w:val="BookText"/>
        <w:rPr/>
      </w:pPr>
      <w:r>
        <w:rPr>
          <w:rFonts w:ascii="Amiri" w:hAnsi="Amiri" w:eastAsia="Amiri" w:cs="Amiri"/>
          <w:color w:val="111111"/>
          <w:sz w:val="28"/>
          <w:sz w:val="28"/>
          <w:szCs w:val="28"/>
          <w:rtl w:val="true"/>
          <w:lang w:bidi="ar-SA"/>
        </w:rPr>
        <w:t>هذا مضافا إلى أنّه يعتبر في متعلّق الإجارة أيضا أن يكون المستأجر قادرا على العمل، بحيث يكون المستأجر ممّا يمكنه الفعل إذا أراد المباشرة به، فإذا كان الفعل محرّما عليه شرعا لما جاز الإجارة عليه، لأنّ فعل الأجير فعل المستأجر و يكون في الحقيقة هو العامل ببدنه التنزيلي، و في المقام لو وقعت الإجارة في وقت فريضة المستأجر لكان مقتضى القاعدة بطلان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وقعت الإجارة في وقت فريضة الأجير لزم الإشكال الأول، و لو وقعت في وقت فريضة المستأجر لزم الإشكال الثاني، و لو وقعت في وقت فريضة كلّ منهما لزم الإشكالان جميعا، هذا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يدفع الأول بأنّ ما يحرم على الأجير إنّما هو فعل التطوّع لنفسه في وقت فريضة، لا فعل ما هو مستحبّ على الغير في وقت فريضة نفسه بالإجارة، فإنّ ذلك لا مانع عنه في حدّ نفسه و لا دليل على حرمته، نعم التبرّع عن الغير فيما يستحبّ عليه لا يخلو عن إشكال، لصدق التطوّع في وقت الفريضة على مثل هذا، مع أنّ ذلك أيضا لا يخلو عن نظر، فإنّ التبرّع إنّما هو في جهة النيابة لا في نفس الفعل، فالمتبرّع</w:t>
      </w:r>
      <w:bookmarkStart w:id="119" w:name="pg19820_206548"/>
    </w:p>
    <w:p>
      <w:pPr>
        <w:pStyle w:val="BookText"/>
        <w:rPr/>
      </w:pPr>
      <w:bookmarkEnd w:id="119"/>
      <w:r>
        <w:rPr>
          <w:rFonts w:ascii="Amiri" w:hAnsi="Amiri" w:eastAsia="Amiri" w:cs="Amiri"/>
          <w:color w:val="111111"/>
          <w:sz w:val="28"/>
          <w:sz w:val="28"/>
          <w:szCs w:val="28"/>
          <w:rtl w:val="true"/>
          <w:lang w:bidi="ar-SA"/>
        </w:rPr>
        <w:t>إنّما يفعل ما هو مستحبّ على الغير نيابة عنه بقصد المجّانيّة و القربة، فيثاب على هذا المعنى أي على فعله نيابة لا على أصل الفعل، ففعل الصلاة نيابة عن الغير لا يدخل في عنوان حرمة التطوّع في وقت الفريضة، سواء كان بالتبرّع أو بالإجارة، و إن كان بالإجارة أوضح و أبعد عن الإشكال، و أمّا التبرّع فبعد يحتاج إلى مزيد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 الثاني بأنّ ما هو حرام على المستأجر إنّما هو المباشرة بالتطوّع، و أمّا لو كان ذلك بالنيابة فلا، و لا ملازمة بين حرمة المباشرة و حرمة النيابة، كما يظهر ذلك من جواز إجارة الحائض الغير للطواف مع حرمة الطواف عليها مباشرة، و كذا اجارة الجنب الغير لدخول المسجد، و غير ذلك من الموارد كما يظهر للمتتبّع، فلا إشكال من هذه الجهة أيضا، و لكن مع ذلك بعد في النفس من صحّة الإجارة شي‌ء، فتأمّل</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3360042_2314609296"/>
      <w:bookmarkStart w:id="121" w:name="_Toc48"/>
      <w:bookmarkEnd w:id="120"/>
      <w:r>
        <w:rPr>
          <w:rtl w:val="true"/>
        </w:rPr>
        <w:t>المسألة الثانية</w:t>
      </w:r>
      <w:r>
        <w:rPr>
          <w:rtl w:val="true"/>
        </w:rPr>
        <w:t xml:space="preserve">: </w:t>
      </w:r>
      <w:r>
        <w:rPr>
          <w:rtl w:val="true"/>
        </w:rPr>
        <w:t>لو حصل للمكلّف أحد الأعذار المانعة عن التكليف،</w:t>
      </w:r>
      <w:bookmarkEnd w:id="12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كالحيض و الجنون و أمثال ذلك، فإن مضى من الوقت مقدار فعل الصلاة التامّة الأجزاء و الشرائط، من الطهارة المائية و تحصيل الساتر و غير ذلك من الشرائط التي كان فاقدا لها قبل الوقت ثمّ طرأ عليه العذر، فلا إشكال و لا خلاف في وجوب القضاء عليه، كما لا إشكال و لا خلاف فيما إذا طرأ عليه العذر في أول الوقت في سقوط القضاء، إنّما الإشكال و الخلاف فيما إذا مضى من الوقت أقلّ من ذلك المقدار، فهل يجب عليه القضاء أو لا؟ و كذا الكلام بالنسبة إلى آخر الوقت لو زال العذر قبل آخره بمقدار لا يتمكّن من فعل الفريضة مجتمعة للشرائط و الأجزاء، مع تمكّنه منها فاقدة للشرائط مع الطهارة المائية، أو بدونها أيضا بحيث لم يكن متمكّنا إلّا من الصلاة مع الطهارة الترابية فقط دون سائر الشرائط و دون الطهارة المائية، فهل يجب عليه فعلها و لو خالف كان عليه القضاء، أو لا يجب إلّا إذا زال العذر</w:t>
      </w:r>
    </w:p>
    <w:p>
      <w:pPr>
        <w:pStyle w:val="BookText"/>
        <w:rPr/>
      </w:pPr>
      <w:r>
        <w:rPr>
          <w:rFonts w:ascii="Amiri" w:hAnsi="Amiri" w:eastAsia="Amiri" w:cs="Amiri"/>
          <w:color w:val="111111"/>
          <w:sz w:val="28"/>
          <w:sz w:val="28"/>
          <w:szCs w:val="28"/>
          <w:rtl w:val="true"/>
          <w:lang w:bidi="ar-SA"/>
        </w:rPr>
        <w:t>قبل آخره بمقدار فعل الفريضة مجتمعة لجميع الشرائط؟</w:t>
      </w:r>
    </w:p>
    <w:p>
      <w:pPr>
        <w:pStyle w:val="BookText"/>
        <w:rPr/>
      </w:pPr>
      <w:r>
        <w:rPr>
          <w:rFonts w:ascii="Amiri" w:hAnsi="Amiri" w:eastAsia="Amiri" w:cs="Amiri"/>
          <w:color w:val="111111"/>
          <w:sz w:val="28"/>
          <w:sz w:val="28"/>
          <w:szCs w:val="28"/>
          <w:rtl w:val="true"/>
          <w:lang w:bidi="ar-SA"/>
        </w:rPr>
        <w:t>و لنقدّم الكلام في أول الوقت ثمّ نعقّبه بآخره إذ ربّما يكون بينهما تفاوتا بحسب الدليل،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القاعدة أنّه لو طرأ عليه أحد الأعذار المسقطة للتكليف قبل مضي مقدار من الوقت يمكنه فعل الفريضة تامّة للأجزاء و الشرائط هو عدم وجوب القضاء عليه و لا الأداء، إذا علم في أول الوقت بطروّ العذر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وجوب الأداء فلأنّ المفروض عدم تمكّنه من فعل الصلاة التامّة، و لا دليل على سقوط الشرائط بالنسبة إلى مثل هذا الشخص، فإنّ ما دلّ على سقوط الشرائط في حال الاضطرار إنّما هو مختصّ بما إذا كان الشخص غير متمكّن في حدّ نفسه من فعل الشرط، لا ما إذا كان في حدّ نفسه متمكّنا من فعل الشرط و لكن طرأ عليه ما يوجب سقوط التكليف، كما فيما نحن فيه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العذر عن فعل الشرط في زمان لا يكفي في سقوط التكليف عنه ما لم يتعذّر في جميع الوقت كما هو التحقيق في ذوي الأعذار، بل يحتاج في سقوط التكليف عن الشرط هو ثبوت العذر في تمام الوقت، و لذا لا يجوز لذوي الأعذار البدار إلى فعل الصلاة الفاقدة للشرائط ما لم يعلم بعدم زوال العذر، إلّا أن يقوم دليل شرعي على تنزيل العذر في زمان منزلة العذر في تمام الوقت، كما لا يبعد ثبوت ذلك بالنسبة إلى خصوص الطهارة المائية، حيث يجوز عليه البدار مع الطهارة الترابية و إن لم يعلم باستيعاب العذر لتمام الوقت، على ما يأتي بيانه إن شاء اللّٰه، و أمّا ما عدا الطهارة من سائر الشرائط فيحتاج في سقوط التكليف عنها بحسب القاعدة إلى استيعاب العذر لتمام الوقت، و لا يكفي العذر في بعض الوقت لسقوط التكليف بالشرط، و ما نحن فيه لم يستوعب العذر تمام الوقت بل إنّما طرأ عليه ما يوجب سقوط التكليف من الحيض و الجنون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قلتم إنّ العذر إذا استوعب تمام الوقت كان التكليف بالنسبة إلى الشرط المعذور فيه ساقطا و كان يجب عليه الصلاة فاقدة لذاك الشرط، فما الفرق بين ما نحن فيه و بين ذلك، فإنّ الوقت بالنسبة إلى من تحيض عقيب نصف من الزوال هو هذا المقدار من الزمان، و المفروض أنّ في هذا المقدار من الزمان غير متمكّن من الشرائط، فهو كما إذا استوعب عذره تمام الوقت؟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كذلك، فإنّ طروء الحيض لا يوجب تضييق في الوقت المضروب للصلاة، بل الوقت المضروب إنّما هو باق على حاله، غاية الأمر أنّ الشخص غير متمكّن من فعل الصلاة في وقتها من جهة عروض المسقط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فرق بين أن يستوعب العذر تمام الوقت المضروب للصلاة من الزوال إلى الغروب و بين أن يعرض المسقط في أثناء الوقت، فإنّ عروض المسقط لا يجعله آخر الوقت، فلا بدّ في القول بوجوب الأداء على مثل هذا الشخص من قيام دليل بالخصوص على تنزيل العذر في بعض الوقت بمنزلة العذر في تمام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بأنّ وقت هذا الشخص هذا المقدار من الزمان حتّى يدخل في موضوع من استوعب عذره تمام الوقت خال عن الدليل، بل هو قياس محض، فتأمّل فإنّه بعد للتأمّل فيه مجال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أقلّ من الشكّ في كون هذا المقدار من العذر المتعقّب بالمسقط موجبا لسقوط التكليف عن الشرط فقط حتّى يجب عليه الصلاة الفاقدة، كما إذا استوعب العذر إلى تمام الوقت، فأصالة البراءة محكّمة، لأنّ انعدام المشروط عند انعدام شرطه ممّا لا يدخله ريب، و المفروض الشكّ في شمول تلك الأدلّة الدالّة على سقوط خصوص الشرائط بالنسبة إلى مثل من يعرضه المسقط، إذ لا أقلّ من كون المتيقّن منها هو ما إذا لم يكن الشخص في حدّ نفسه قادرا على الشرط في مجموع</w:t>
      </w:r>
    </w:p>
    <w:p>
      <w:pPr>
        <w:pStyle w:val="BookText"/>
        <w:rPr/>
      </w:pPr>
      <w:r>
        <w:rPr>
          <w:rFonts w:ascii="Amiri" w:hAnsi="Amiri" w:eastAsia="Amiri" w:cs="Amiri"/>
          <w:color w:val="111111"/>
          <w:sz w:val="28"/>
          <w:sz w:val="28"/>
          <w:szCs w:val="28"/>
          <w:rtl w:val="true"/>
          <w:lang w:bidi="ar-SA"/>
        </w:rPr>
        <w:t>الوقت، فبالنسبة إلى مثل هذا شاكّ في توجّه التكليف إليه و الأصل البراءة، فالأقوى هو عدم وجوب الأداء على من علم بطروّ المسقط قبل تمكّنه من فعل الصلاة تامّة الأجزاء و الشرائط،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وجوب الأداء عليه لا وجه لوجوب القضاء عليه لو عصى و خالف، و ذلك لأنّ تبعيّة وجوب القضاء على الأداء إنّما هو فيما إذا لم يقم دليل على سقوط القضاء، و فيما نحن فيه قام الدليل على سقوط القضاء، فإنّ ما دلّ على أنّ ما فوّته الحيض و الجنون لا قضاء عليه شامل لما نحن فيه، فإنّ الصلاة التامّة الأجزاء و الشرائط قد فوّته الحيض فلا قضاء لها، و القول بقضاء الصلاة الفاقدة بديهي الفساد بعد تمكّن المكلّف من الصلاة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التامّة للشرائط لا قضاء لها من جهة أنّها فاتت بسبب الحيض، و الأدلّة ناطقة بعدم وجوب قضاء ما فات بالحيض، و قضاء الصلاة الناقصة ضروري الفساد و لم يدّعه أحد، و لا يقاس ما نحن فيه بما إذا كان مكلّفا بالصلاة الناقصة ففوّتها عصيانا حيث يجب عليه قضاء الصلاة التامّة بلا إشكال، لأنّ التمامية و الناقصية إنّما هي من حالات المكلّف كالجهر و الإخفات تدور مدار حال المكلّف من التمكّن و عدمه، ففي الوقت حيث لم يكن متمكّنا إلّا من الناقصة كانت هي الواجبة ليس إلّا، و أمّا في خارج الوقت فحيث إنّه متمكّن من التامّة كانت هي الواجبة أيضا ليس إلّا، و ذلك لأنّ كون التمامية و الناقصية من حالات المكلّف مسلّم، إلّا أنّ العصيان لم يكن مسقطا للقضاء كما كان الحيض مسقطا له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 العصيان و الحيض هو قيام الدليل على عدم قضاء ما فات بالحيض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أنّه و إن قلنا بوجوب الأداء على من علم بطروّ المسقط لا يجب عليه القضاء،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بالنسبة إلى أول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آخر الوقت فيمتاز عن أوله أنّه إذا أدرك مقدار خمس ركعات مع سائر الشرائط كان يجب عليه الأداء قطعا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خالف كان عليه القضاء أيضا قطعا، و هذا بخلاف أول الوقت، فإنّه لا بدّ في وجوب الأداء و القضاء من إدراك ثمان ركعات من سائر الشرائط، لعدم جريان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أول الوقت، لاختصاص أدلّتها بآخره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أدرك من آخر الوقت دون ذلك فالكلام فيه الكلام في أوله أداء و قضاء، أمّا عدم وجوب القضاء عليه لو خالف فلجريان عين ما ذكرناه في أول الوقت فيه أيضا بلا تفاوت، و أمّا عدم وجوب الأداء عليه، فلأنّه و إن لم تجر العلّة التي ذكرناها في أول الوقت فيه، لأنّ من أفاق في آخر الوقت بمقدار لا يمكنه فعل الصلاة مجتمعة للشرائط أو طهرت الحائض كذلك فقد استوعب عذره تمام الوقت، فيكون مشمولا لتلك الأدلّة الدالّة على سقوط الشرائط عند عدم التمكّن منها في مجموع الوقت، و إن كان يمكن أن يدّعى أنّ تلك الأدلّة مقصورة بما إذا كان الشخص غير متمكّن من فعل الشرط في حدّ نفسه في مجموع، لا ما إذا كان متمكّنا منه و كان جهة عذره من جهة انتفاء ما هو شرط التكليف من العقل و الخلوّ عن الحيض، إلّا أنّ الإنصاف أنّ قصر تلك الأدلّة بذلك مشكل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الشرائط المأخوذة في لسان الأدلّة شرط للتكليف، كالعقل و البلوغ و الخلوّ عن الحيض، لها دخل في الملاك و ما هو جهة التكليف من المصالح و المفاسد، فحينئذ الصلاة التامّة للشرائط لا ملاك لها مع استيعاب الحيض و الجنون إلى قريب من آخر الوقت، و لا دليل على ثبوت الملاك في الصلاة الناقصة، فلا طريق إلى إثبات وجوب الأداء على مثل هذا، فتأمّل فإن هذا أيضا لا يتمّ إلّا بعد القول بعدم شمول تلك الأدلّة الدالّة على ثبوت التكليف بالناقص</w:t>
      </w:r>
    </w:p>
    <w:p>
      <w:pPr>
        <w:pStyle w:val="BookText"/>
        <w:rPr/>
      </w:pPr>
      <w:r>
        <w:rPr>
          <w:rFonts w:ascii="Amiri" w:hAnsi="Amiri" w:eastAsia="Amiri" w:cs="Amiri"/>
          <w:color w:val="111111"/>
          <w:sz w:val="28"/>
          <w:sz w:val="28"/>
          <w:szCs w:val="28"/>
          <w:rtl w:val="true"/>
          <w:lang w:bidi="ar-SA"/>
        </w:rPr>
        <w:t xml:space="preserve">مع عدم التمكّن من التام، كقوله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لا تترك بحال</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xml:space="preserve">و أمثال ذلك لما نحن فيه، و عليه لا حاجة إلى هذا البيان، و أمّا بعد الاعتراف بشمول تلك الأدلّة له فنفس تلك الأدلّة تكفي في ثبوت الملاك و التكليف بالناقص، فتأمّل فتأمّل </w:t>
      </w:r>
      <w:r>
        <w:rPr>
          <w:rStyle w:val="FootnoteAnchor"/>
          <w:rtl w:val="true"/>
        </w:rPr>
        <w:footnoteReference w:id="223"/>
      </w:r>
      <w:r>
        <w:rPr>
          <w:rFonts w:ascii="Amiri" w:hAnsi="Amiri" w:eastAsia="Amiri" w:cs="Amiri"/>
          <w:color w:val="111111"/>
          <w:sz w:val="28"/>
          <w:sz w:val="28"/>
          <w:szCs w:val="28"/>
          <w:rtl w:val="true"/>
          <w:lang w:bidi="ar-SA"/>
        </w:rPr>
        <w:t>فإنّ المسألة مشكلة، و على أيّ حال على تقدير القول بوجوب الأداء على مثل هذا الشخص لا دليل على ثبوت القضاء عليه بالبيان المتقدّم في أول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فيما ذكرنا بين الطهارة المائية و سائر الشرائط، فكما أنّه يعتبر في آخر الوقت القدرة على الطهارة المائية، كما ورد به النصّ في باب الحيض و اعترف به الخصم، كذلك يعتبر القدرة على سائر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يستدلّ على اعتبار القدرة على جميع الشرائط في آخر الوقت بمصححة عبيد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امرأة رأت الطهر و هي قادرة على أن تغتسل في وقت صلاة معيّنة ففرّطت فيها حتّى تدخل وقت صلاة اخرى كان عليها قضاء تلك الصلاة التي فرّطت فيها، و إن رأت الطهر في وقت صلاة فقامت في تهيئة ذلك فجاز وقت الصلاة و دخل وقت صلاة أخرى فليس عليها قضاء </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يكون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قامت في تهيئة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القيام في تهيئة مقدّمات الصلاة لا خصوص الغسل، و إن كان ربّما يأباه صدره،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 بدلالة رواية محمّد بن مسلم على اعتبار التمكّن من جميع الشرائط في أول الوقت أيضا، فإنّ فيها عن أحدهما عليهما السّلام قال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 ترى الطهر عند الظهر، فتشتغل في شأنها حتّى يدخل وقت العصر، قال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تصلّي العصر وحدها، فإن ضيّعت فعليها صلاتان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دخول وقت العصر هو دخول الوقت الاختصاصي لها، فيصير المعنى حينئذ أنّ المرأة إذا طهرت من حيضها في أول الزوال فقامت تشتغل في شأنها من الغسل و تهيئة سائر الشرائط، فلم يسع وقت صلاة الظهر لجميع ذلك حتّى دخل وقت صلاة العصر،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عليها إلّا صلاة العصر وحدها، فيستفاد منه أنّه يعتبر في تكليفها بصلاة الظهر أن يسع الوقت لتهيئة جميع الشرائط التي كانت فاقدة لها، فلو لم يسع الوقت لذلك لم تكن مكلّفة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الاستدلال بهذا أيضا مبنيّ على أن يكون المراد من الاشتغال بشأنها هو الاشتغال بالغسل و سائر الشرائط، لا خصوص الغسل أو هو مع طهارة بدنها من لوث الحيض، و أن يكون المراد من دخول وقت صلاة العصر هو الوقت الاختصاصي لها لا الوقت الفضلي كما هو الظاهر منه، إذ يبعد أن يطول زمان الاشتغال بشأنها إلى الوقت الاختصاصى للعصر مع أنّها رأت الطهر في أول الوقت، كما هو الظاهر من قول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رأت الطهر عند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يسقط الاستدلال بالرواية بالكليّة لعدم العمل بها، بداهة أنّه مجرّد دخول وقت الفضلي للعصر لا يوجب عدم تكليفها بالظهر إلّا بناء على القول بأنّ آخر وقت الإجزائي للظهر هو المثل، فالرواية تنطبق على هذا المذهب، فتأمّل فإنّ الاستدلال بالرواية لما نحن فيه لا يخلو عن شي‌ء</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لا حاجة إلى هذه الروايات، فإنّا في غنى عنها بعد ما ذكرنا من أنّ عدم وجوب الأداء و القضاء عليها إنّما هو مقتضى القاعدة، فللخصم من إقامة الدليل على الوجوب و هو مفقود، و إن كان ربّما يستدلّ له بإطلاق بعض الأخبار، كخبر ابن الحجّاج عن امرأة طمثت بعد ما تزول الشمس و لم تصلّ الظهر، هل</w:t>
      </w:r>
    </w:p>
    <w:p>
      <w:pPr>
        <w:pStyle w:val="BookText"/>
        <w:rPr/>
      </w:pPr>
      <w:r>
        <w:rPr>
          <w:rFonts w:ascii="Amiri" w:hAnsi="Amiri" w:eastAsia="Amiri" w:cs="Amiri"/>
          <w:color w:val="111111"/>
          <w:sz w:val="28"/>
          <w:sz w:val="28"/>
          <w:szCs w:val="28"/>
          <w:rtl w:val="true"/>
          <w:lang w:bidi="ar-SA"/>
        </w:rPr>
        <w:t>عليها قضاء تلك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إطلاق السؤال يعمّ ما إذا لم يمض من الوقت بمقدار فعل الصلاة التامّة، و لكنّ الإنصاف انصرافه إلى مضي ذلك المقدار،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فيما ذكرنا بين الحيض و البلوغ و الجنون و غير ذلك من شرائط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كلام آخر في خصوص البلوغ ينبغي التنبيه عليه، و هو أنّه لو بلغ في أثناء الصلاة أو بعدها في سعة الوقت و قلنا بشرعية عبادة الصبي، فهل يجب عليه الإتمام في الأولى بلا إعادة و الاجتزاء في الثانية، أو لا يجزي بل يجب عليه إعادة الصلاة فيما إذا بلغ بعد الصلاة و استئنافها فيما إذا بلغ في أثنائها؟ و هنا احتمال آخر و هو إتمام الصلاة التي بيده وجوبا أو ندبا ثمّ إعادتها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تنقيح البحث هو أنّ الكلام في المقام إنّما هو بعد الفراغ عن شرعية عبادة الصبي و استحبابه، إذ لا موضوع لهذا البحث بناء على التمرينية، فإنّه لا إشكال في عدم الاجتزاء بها، سواء بلغ في الأثناء أو بعد الفراغ، و ليس له إتمامها إذا بلغ في الأثناء و إن احتمله بعض لفوات موضوع التمرين بالبلوغ، و ينقلب موضوع التمرين إلى الوجوب و تصير الصلاة واجبة عليه، فلا سبيل إلى القول بإتمامها تمرينا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اختلفت كلمات الأصحاب في الحجّ و في باب الصلاة و الصيام، ففي باب الحجّ ذهب المشهور إلى أنّه لو بلغ الصبي بعد تلبّسه بالحج قبل الوقوف بالمشعر أجزأه عن حجة الإسلام، و لا يحتاج إلى إعادة الأفعال السابقة، و أمّا في باب الصلاة فقد ذهب المشهور إلى خلاف ذلك،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بلغ الصبي في</w:t>
      </w:r>
    </w:p>
    <w:p>
      <w:pPr>
        <w:pStyle w:val="BookText"/>
        <w:rPr/>
      </w:pPr>
      <w:r>
        <w:rPr>
          <w:rFonts w:ascii="Amiri" w:hAnsi="Amiri" w:eastAsia="Amiri" w:cs="Amiri"/>
          <w:color w:val="111111"/>
          <w:sz w:val="28"/>
          <w:sz w:val="28"/>
          <w:szCs w:val="28"/>
          <w:rtl w:val="true"/>
          <w:lang w:bidi="ar-SA"/>
        </w:rPr>
        <w:t>الأثناء فلا يعتدّ بالأفعال السابقة و يجب عليه استئنافها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يتخيّل أنّه لا وجه لهذا التفصيل مع كون البابين من واد واحد، إلّا أنّ الإنصاف أنّه ليس كذلك، و يختلف باب الحجّ عن باب الصلاة، فإنّ في باب الحجّ بعد ما لوحظ كلّ فعل فيه على جهة الاستقلالية، و لذا يحتاج إلى تجديد النية عند كل فعل، و بعد كون حجة الإسلام ليست من الأمور القصدية كالظهرية و العصرية، بل هي تدور مدار اجتماع شرائط حجّة الإسلام على المكلّف، فلو كان واجدا لها يكون حجة حجة الإسلام، و إن كان فاقدا لها لا تكون حجّة الإسلام، و بعد ورود النصّ في أنّ العبد إذا أعتق قبل الوقوف بالمشعر أجزأه عن حجة الإسلام </w:t>
      </w:r>
      <w:r>
        <w:rPr>
          <w:rStyle w:val="FootnoteAnchor"/>
          <w:rtl w:val="true"/>
        </w:rPr>
        <w:footnoteReference w:id="227"/>
      </w:r>
      <w:r>
        <w:rPr>
          <w:rFonts w:ascii="Amiri" w:hAnsi="Amiri" w:eastAsia="Amiri" w:cs="Amiri"/>
          <w:color w:val="111111"/>
          <w:sz w:val="28"/>
          <w:sz w:val="28"/>
          <w:szCs w:val="28"/>
          <w:rtl w:val="true"/>
          <w:lang w:bidi="ar-SA"/>
        </w:rPr>
        <w:t>، و فهم وحدة المناط بين اشتراط الحرّية و اشتراط البلوغ و ليس ذلك من باب القياس، يكون الاجتزاء بالحجّ الذي بلغ في أثنائه عن حجّة الإسلام على القاعدة، بخلاف باب الصلاة فإنّ تطبيقه على القاعدة يحتاج إلى مئونة اخرى سيأتي التعرّض لها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فرق بين باب الحجّ و بين باب الصلاة، فإنّ في باب الحجّ بعد ورود النصّ الصحيح بأنّ العبد إذا أعتق قبل الوقوف أجزأ حجّه عن حجّة الإسلام، و بعد اتحاد المناط في العبد و الصبي كما فهمه الأصحاب يكون الحكم كما ذكره المشهور، فإنّ ما أوقعه الصبي قبل بلوغه و لو كان على جهة الندبية إلّا أنّه ندبية البعض لا ينافي وجوب الآخر و هو سائر أفعال الحجّ التي تقع منه بعد البلوغ، لعدم ارتباطية الأفعال بعضها مع بعض من هذه الجهة، فمجرّد وقوع الإحرام مثلا ندبا لا ينافي وقوع الوقوف مثلا وجوبا، و كذا وقوع الإحرام لا عن حجّة الإسلام لا ينافي وقوع الإحرام عنه بعد ما لم تكن حجة الإسلام من</w:t>
      </w:r>
    </w:p>
    <w:p>
      <w:pPr>
        <w:pStyle w:val="BookText"/>
        <w:rPr/>
      </w:pPr>
      <w:r>
        <w:rPr>
          <w:rFonts w:ascii="Amiri" w:hAnsi="Amiri" w:eastAsia="Amiri" w:cs="Amiri"/>
          <w:color w:val="111111"/>
          <w:sz w:val="28"/>
          <w:sz w:val="28"/>
          <w:szCs w:val="28"/>
          <w:rtl w:val="true"/>
          <w:lang w:bidi="ar-SA"/>
        </w:rPr>
        <w:t>العناوين القصدية، و حينئذ لو قام الدليل على عدم لزوم اجتماع شرائط الوجوب عند أول فعل من أفعال الحجّ بل يكفي اجتماعها عند الوقوف، كان اللّازم هو القول بالصحّة و الاكتفاء به عن حجّة الإسلام كما قاله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باب الصلاة، لأنّ المفروض ارتباطية أفعالها بعضها مع بعض، و فقدان النصّ على كفاية تحقّق شرائط الوجوب في بعضها، كان مقتضى القاعدة هو البطلان و عدم الاجتزاء بها إلّا بعناية أخرى، و هي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هو الملاك في تكليف البالغ بالصلاة و إلزامه بها هو الموجب لتكليف الغير البالغ بالصلاة استحبابا من دون أن يكون تفاوت بينهما في ذلك، فالمصلحة القائمة بصلاة الظهر لا تختلف بحسب الكمّية، سوى أنّها في غير البالغ تقتضي الاستحباب و في البالغ تقتضي الوجوب و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يمكن أن يقال بأنّه لو بلغ الصبي في أثناء الصلاة بما لا يوجب نقض الطهارة لكان اللّازم عليه تتميم الصلاة بلا حاجة إلى الاستئناف و الإعادة، و كذا لو بلغ بعد الصلاة، أمّا إذا كان بلوغه بعد الصلاة فواضح، فإنّ تمام ما هو المصلحة القائمة في صلاة الظهر قد استوفاها، فلا يبقى حينئذ موضوع للأمر الوجوبي بالصلاة ثانيا، فلو قيل مع ذلك بوجوب الصلاة عليه ثانيا لكان مساوقا للقول بالتكليف بشي‌ء بلا أن يكون هناك ما يوجب التكليف به، و أمّا إذا بلغ في الأثناء فكذلك أيضا، لأنّ المفروض أنّه لم يتبدّل حقيقة المأمور به بالبلوغ و لا حقيقة الأمر، بل إنّما تبدّل صفة الأمر، لا سقوط أمر عن ملاك و ثبوت أمر آخر عن ملاك آخر، فحينئذ الركعتان اللّتان أتى بهما إلى الآن بوصف الاستحباب تكون تامّة في المصلحة كما إذا كانت واجبة من أول الأمر، و عند انضمام الركعتين الأخيرتين إليهما يسقط الأمر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مبنى القولين في المسألة من إتمام الصلاة التي بيده إذا بلغ في</w:t>
      </w:r>
    </w:p>
    <w:p>
      <w:pPr>
        <w:pStyle w:val="BookText"/>
        <w:rPr/>
      </w:pPr>
      <w:r>
        <w:rPr>
          <w:rFonts w:ascii="Amiri" w:hAnsi="Amiri" w:eastAsia="Amiri" w:cs="Amiri"/>
          <w:color w:val="111111"/>
          <w:sz w:val="28"/>
          <w:sz w:val="28"/>
          <w:szCs w:val="28"/>
          <w:rtl w:val="true"/>
          <w:lang w:bidi="ar-SA"/>
        </w:rPr>
        <w:t>أثنائها و الاكتفاء بها و عدم إعادة الصلاة التي بلغ بعدها، و من عدم وجوب الإتمام و لزوم الاستئناف إذا بلغ في الأثناء و إعادة الصلاة إذا بلغ بعدها، إنّما هو كون الملاك الذي أمر لأجله بالصلاة هل هو متّحد في البالغ و الصبي، و يلزمه وحدة الأمر و المأمور به و أنّ التفاوت إنّما هو في صفة الأمر من الوجوب و الاستحباب، أو تغاير الملاك فيهما و أنّ المصلحة التي اقتضت أمر الصبي بالصلاة استحبابا مغايرة للمصلحة التي اقتضت أمر البالغ بالصلاة وجوبا، و يلزمه سقوط الأمر الاستحبابي عند البلوغ لسقوط ملاكه و ثبوت أمر آخر وجوبيا عنده لثبوت ملاكه؟</w:t>
      </w:r>
    </w:p>
    <w:p>
      <w:pPr>
        <w:pStyle w:val="BookText"/>
        <w:rPr/>
      </w:pPr>
      <w:r>
        <w:rPr>
          <w:rFonts w:ascii="Amiri" w:hAnsi="Amiri" w:eastAsia="Amiri" w:cs="Amiri"/>
          <w:color w:val="111111"/>
          <w:sz w:val="28"/>
          <w:sz w:val="28"/>
          <w:szCs w:val="28"/>
          <w:rtl w:val="true"/>
          <w:lang w:bidi="ar-SA"/>
        </w:rPr>
        <w:t xml:space="preserve">فلو قلنا بوحدة الملاك و أنّ التغاير إنّما هو في الصفة فقط كان اللازم هو القول بعدم إعادة الصلاة لو بلغ بعدها و إتمام الصلاة إذا بلغ في أثنائها، لاستيفاء الغرض و المصلحة فلا يكون هناك ما يوجب تجدّد الأمر الوجوبي بالإعادة و الاستئناف، و لو قلنا بتغاير الملاك كان اللّازم هو إعادة الصلاة و استئنافها، لسقوط ما هو الموجب للاستحباب و ثبوت ما هو الموجب للوجوب، و لا يمكن القول حينئذ بالاجتزاء بالركعتين اللّتين صلّاهما استحبابا، لأنّ ملاك الاستحباب لا يمكن أنّ يكون مسقطا لما هو ملاك الوجوب، و الأمر الوجوبي الذي يتوجّه عليه في أثناء الصلاة إنّما هو الأمر بتمام الصلاة من التكبيرة إلى التسليمة، إذ ليس هناك أمر سوى قوله تعالى أَقِيمُوا الصَّلٰاةَ </w:t>
      </w:r>
      <w:r>
        <w:rPr>
          <w:rStyle w:val="FootnoteAnchor"/>
          <w:rtl w:val="true"/>
        </w:rPr>
        <w:footnoteReference w:id="228"/>
      </w:r>
      <w:r>
        <w:rPr>
          <w:rFonts w:ascii="Amiri" w:hAnsi="Amiri" w:eastAsia="Amiri" w:cs="Amiri"/>
          <w:color w:val="111111"/>
          <w:sz w:val="28"/>
          <w:sz w:val="28"/>
          <w:szCs w:val="28"/>
          <w:rtl w:val="true"/>
          <w:lang w:bidi="ar-SA"/>
        </w:rPr>
        <w:t>و أمثال ذلك، و الصلاة اسم لمجموع الأفعال لا خصوص الركعتين اللّتين بلغ عندهما كما هو واضح، هذا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الإنصاف أنّه و إن قلنا بوحدة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ليس بكلّ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يلزمنا القول بسقوط الإعادة لو بلغ بعدها و لزوم إتمام الصلاة التي بلغ في</w:t>
      </w:r>
    </w:p>
    <w:p>
      <w:pPr>
        <w:pStyle w:val="BookText"/>
        <w:rPr/>
      </w:pPr>
      <w:r>
        <w:rPr>
          <w:rFonts w:ascii="Amiri" w:hAnsi="Amiri" w:eastAsia="Amiri" w:cs="Amiri"/>
          <w:color w:val="111111"/>
          <w:sz w:val="28"/>
          <w:sz w:val="28"/>
          <w:szCs w:val="28"/>
          <w:rtl w:val="true"/>
          <w:lang w:bidi="ar-SA"/>
        </w:rPr>
        <w:t>أثنائها، و ذلك لأنّه لا إشكال في امتياز صلاة البالغ مع غيره و لو باعتبار تبدّل صفة الأمر و تأكّد الطلب بالنسبة إلى البالغ، و حينئذ فمن المحتمل أن يكون لهذه الصفة دخل في استئناف الصلاة التي بلغ في أثنائها و إعادة الصلاة التي بلغ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نقصان صلاة الصبي عن غيره و إن اشتملت على الملاك و اتّحدت مع غيره في ذلك، إلّا أنّ المراد من اتّحاد الملاك هو عدم تباين الملاكين بحيث لم يكن بينهما جهة جامعة أصلا، لا أن يكون المراد منه هو اشتمال عبادة الصبي بتمام ما اشتملت عليه عبادة البالغ بحيث تكون وافية بتمام الغرض، فإنّه لا إشكال في أنّ للبلوغ دخلا و لو في تبدّل صفة الأمر و حينئذ فمن المحتمل في عالم الثبوت أن يكون المقدار الباقي من المصلحة التي تشتمل عليه عبادة البالغ باعتبار عروض صفة الوجوب لازمة التحصيل أيضا، بحيث يمكن استيفاؤها مع فعل الصبي الصلاة الناقصة و يمكن أن لا يكون قابلا للاستيفاء، و هذا البحث سيّال في جميع الناقص مع الكامل، كالصلاة بالطهارة الترابية، و الصلاة بالطهارة المائية، و غير ذلك من أفراد الناقص و الكامل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فإن كان في مقام الإثبات ما يعيّن أحدهما فهو، و إلّا كان المتّبع هو إطلاقات الأدلة، إذ لا إشكال في شمول قوله تعالى أَقِيمُوا الصَّلٰاةَ لعموم البالغين سواء فعلوا ما هو وظيفتهم في حال الصباوة من الصلاة أو لم يفعلوا، فحينئذ يلزم على الصبي البالغ أن يمتثل هذا الأمر و إن امتثل الأمر الاستحبابي قبل ذلك، و لازم ذلك هو استئناف الصلاة لو بلغ في أثنائها و إعادتها لو بلغ بعدها،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التمسّك بالإطلاقات بعد الاعتراف باتّحاد حقيقة المأمور به و أن صلاة الصبي بناء على الشرعية متّحدة بالهوية مع صلاة البالغ، و كذا اتّحاد الأمر و أنّ التبدّل إنّما هو في الصفة فقط، لا يخلو عن إشكال فإنّه لا موضوع حينئذ</w:t>
      </w:r>
      <w:bookmarkStart w:id="122" w:name="pg19820_206560"/>
    </w:p>
    <w:p>
      <w:pPr>
        <w:pStyle w:val="BookText"/>
        <w:rPr/>
      </w:pPr>
      <w:bookmarkEnd w:id="122"/>
      <w:r>
        <w:rPr>
          <w:rFonts w:ascii="Amiri" w:hAnsi="Amiri" w:eastAsia="Amiri" w:cs="Amiri"/>
          <w:color w:val="111111"/>
          <w:sz w:val="28"/>
          <w:sz w:val="28"/>
          <w:szCs w:val="28"/>
          <w:rtl w:val="true"/>
          <w:lang w:bidi="ar-SA"/>
        </w:rPr>
        <w:t>لتلك المطلقات، فتأمّل فإنّ المسألة بعد لا تخلو عن إشكال، هذا كلّه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الصيام فلا إشكال في عدم وجوب الإتمام لو بلغ بعد الفجر و لو بلحظة، لاعتبار اجتماع شرائط التكليف من أول الوقت، و لم يقم دليل على الاجتزاء لو حصلت في بعض الوقت كما ورد في باب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الطهارة و أنّه لو تطهّر الصبي ثمّ بلغ فهل له الصلاة بتلك الطهارة أو يجب إعادتها؟ الظاهر أنّه لا ينبغي الإشكال أيضا في عدم لزوم الإعادة، لأنّ المفروض أنّه تكفي الطهارة المستحبّة لأجل الغايات المستحبّة في فعل الصلاة الواجبة بها و لا يحتاج إلى إعادتها، لأنّ الطهارة المستحبّة كالطهارة الواجبة رافعة للحدث، و لا يشترط في الصلاة أزيد من رفع الحدث، و طهارة الصبي بناء على الشرعية تكون كسائر الطهارات المستحبّة في رافعيّتها للحدث، و البلوغ لم يكن من الأحداث الرافع للطهارة فلا يحتاج إلى إعادتها بعد البلوغ، إذ الطهارة حينئذ تكون كسائر الشرائط الحاصلة له قبل البلوغ من الساتر و غيره، فتأمّل جيّدا</w:t>
      </w:r>
      <w:r>
        <w:rPr>
          <w:rFonts w:eastAsia="Amiri" w:cs="Amiri" w:ascii="Amiri" w:hAnsi="Amiri"/>
          <w:color w:val="111111"/>
          <w:sz w:val="28"/>
          <w:szCs w:val="28"/>
          <w:rtl w:val="true"/>
          <w:lang w:bidi="ar-SA"/>
        </w:rPr>
        <w:t>.</w:t>
      </w:r>
    </w:p>
    <w:p>
      <w:pPr>
        <w:pStyle w:val="Heading6"/>
        <w:numPr>
          <w:ilvl w:val="5"/>
          <w:numId w:val="1"/>
        </w:numPr>
        <w:rPr/>
      </w:pPr>
      <w:bookmarkStart w:id="123" w:name="__RefHeading___Toc3360044_2314609296"/>
      <w:bookmarkStart w:id="124" w:name="_Toc49"/>
      <w:bookmarkEnd w:id="123"/>
      <w:r>
        <w:rPr>
          <w:rtl w:val="true"/>
        </w:rPr>
        <w:t>المسألة الثالثة</w:t>
      </w:r>
      <w:r>
        <w:rPr>
          <w:rtl w:val="true"/>
        </w:rPr>
        <w:t xml:space="preserve">: </w:t>
      </w:r>
      <w:r>
        <w:rPr>
          <w:rtl w:val="true"/>
        </w:rPr>
        <w:t>لا إشكال في أنّ مقتضى القاعدة الأولية هو لزوم تحصيل العلم بالوقت مع إمكانه</w:t>
      </w:r>
      <w:bookmarkEnd w:id="12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لا يكتفي بالظن لأصالة حرمة العمل به إلّا أن يقوم دليل على اعتباره إمّا مطلقا أو في الجملة، و حيث إنّ العلم بدخول الوقت ممكن و لو بالصبر إلى أن يعلم أنّه قد زال الزوال أو صار المغرب، و ليس الوقت كسائر الموضوعات الأخر التي يمكن تعذّر العلم بها، كالقبلة مثلا فإنّ الشخص يمكن أن لا يحصل له العلم بالقبلة أبدا، و هذا بخلاف الوقت فإنّه يبعد أن لا يحصل العلم به إلى أن يخرج الوقت، فتحصيل العلم بالوقت ممكن لعامّة الناس و لو بالصبر، فمقتضى القاعدة هو لزوم الصبر إلى أن يحصل العلم بدخول الوقت و عدم الاعتماد على الظنّ، خصوصا إذا أمكنه تحصيل العلم به في أول الوقت بلا حاجة إلى</w:t>
      </w:r>
    </w:p>
    <w:p>
      <w:pPr>
        <w:pStyle w:val="BookText"/>
        <w:rPr/>
      </w:pPr>
      <w:r>
        <w:rPr>
          <w:rFonts w:ascii="Amiri" w:hAnsi="Amiri" w:eastAsia="Amiri" w:cs="Amiri"/>
          <w:color w:val="111111"/>
          <w:sz w:val="28"/>
          <w:sz w:val="28"/>
          <w:szCs w:val="28"/>
          <w:rtl w:val="true"/>
          <w:lang w:bidi="ar-SA"/>
        </w:rPr>
        <w:t>الصبر، فإنّ الظاهر قيام الإجماع على عدم جواز التعويل بالظنّ المطلق من أيّ سبب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ربّما نسب الخلاف إلى بعض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الجواهر</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إلّا أنّ عبارات من نسب إليه الخلاف لا تدلّ على جواز العمل بالظنّ مطلقا حتّى مع إمكان تحصيل العلم به في أوله، فراجع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تردّد في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لخبر ابن رياح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صلّيت و أنت ترى أنّك في وقت، و لم يدخل الوقت فدخل و أنت في الصلاة، فقد أجزأت عنك، بدعوى إرادة الظنّ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معناه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خبير بفساده، لأنّ ترى مأخوذ من الرؤية، و هو أقرب إلى العلم من الظنّ، بل ربّما يدّعى ظهوره في العلم، و على تقدير عدم ظهوره في ذلك فلا أقلّ من صلاحيّته لذلك، فلا يمكن دعوى ظهوره في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لم يقم دليل على اعتبار مطلق الظنّ في معرفة الوقت مع التمكّن من تحصيل العلم من غير صبر، و لم يعلم به قائل أيضا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ذهب بعض الأعلام على اعتبار خصوص أذان الثقة العارف بالوقت، لجملة من الأخبار الظاهرة أو الصريحة في جواز التعويل بأذان الثقة التي بإطلاقها تشمل صورة التمكّن من تحصيل العلم،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الجمعة بأذان هؤلاء، فإنّهم أشدّ شي‌ء مواظبة على الوقت </w:t>
      </w:r>
      <w:r>
        <w:rPr>
          <w:rStyle w:val="FootnoteAnchor"/>
          <w:rtl w:val="true"/>
        </w:rPr>
        <w:footnoteReference w:id="231"/>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خالد القسري قال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أصلّي الجمعة قبل أن</w:t>
      </w:r>
    </w:p>
    <w:p>
      <w:pPr>
        <w:pStyle w:val="BookText"/>
        <w:rPr/>
      </w:pPr>
      <w:r>
        <w:rPr>
          <w:rFonts w:ascii="Amiri" w:hAnsi="Amiri" w:eastAsia="Amiri" w:cs="Amiri"/>
          <w:color w:val="111111"/>
          <w:sz w:val="28"/>
          <w:sz w:val="28"/>
          <w:szCs w:val="28"/>
          <w:rtl w:val="true"/>
          <w:lang w:bidi="ar-SA"/>
        </w:rPr>
        <w:t>تزول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ذلك على المؤذنين </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المؤذّن مؤتمن </w:t>
      </w:r>
      <w:r>
        <w:rPr>
          <w:rStyle w:val="FootnoteAnchor"/>
          <w:rtl w:val="true"/>
        </w:rPr>
        <w:footnoteReference w:id="233"/>
      </w:r>
      <w:r>
        <w:rPr>
          <w:rFonts w:ascii="IRNazanin" w:hAnsi="IRNazanin" w:eastAsia="IRNazanin"/>
          <w:color w:val="111111"/>
          <w:sz w:val="28"/>
          <w:sz w:val="28"/>
          <w:szCs w:val="28"/>
          <w:rtl w:val="true"/>
          <w:lang w:bidi="fa-IR"/>
        </w:rPr>
        <w:t xml:space="preserve">، و المؤذّنون أمناء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هذه التعبيرات الظاهرة في اعتبار أذانه، كاعتبار أقوال سائر الأمناء في سائر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هذه الأخبار مع جملة أخرى لم نذكرها تدلّ على جواز الاعتماد بقول المؤذّن في باب الوقت، حتّى مع التمكّن من تحصيل العلم من دون صبر، و حتّى مع عدم حصول العلم من أذان المؤذّن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بعضها يقرب من التصريح باعتبار الأذان مع عدم حصول العلم به، كالرواية المتقدّمة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أصلّي الجمعة قبل أن تزول الشمس،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على المؤذنين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ظاهره اعتبار الأذان حتّى مع الخوف و الشكّ، فحمل هذه الأخبار على صورة حصول العلم بالوقت بأذان المؤذّن بعيد في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بناء على هذا لا يكون خصوصية في الأذان بل هو كسائر الأسباب المفيدة للعلم، فتخصيص الأذان بالسؤال و الجواب يكون بلا وجه، و هذا مبعّد آخر على الحمل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 أنّ دلالة هذه الأخبار على اعتبار أذان المؤذّن في غاية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خبر عليّ بن جعفر عن أخيه عليه السّلام ما يدلّ على عدم العبرة بأذان المؤذّن حتّى يحصل له العلم، فإنّ فيه في الرجل يسمع الأذان، فيصلّي الفجر و لا يدري أ طلع الفجر أم لا، غير أنّه يظنّ لمكان الأذان أنّه طلع، قال عليه السّلام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يجزيه حتّى يعلم أنّه طلع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الخبر بظاهره يعارض تلك المطلقات بالأعمّ</w:t>
      </w:r>
    </w:p>
    <w:p>
      <w:pPr>
        <w:pStyle w:val="BookText"/>
        <w:rPr/>
      </w:pPr>
      <w:r>
        <w:rPr>
          <w:rFonts w:ascii="Amiri" w:hAnsi="Amiri" w:eastAsia="Amiri" w:cs="Amiri"/>
          <w:color w:val="111111"/>
          <w:sz w:val="28"/>
          <w:sz w:val="28"/>
          <w:szCs w:val="28"/>
          <w:rtl w:val="true"/>
          <w:lang w:bidi="ar-SA"/>
        </w:rPr>
        <w:t>المطلق، بل يعارض مع بعضها بالتباين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الخبر على ما إذا لم يكن المؤذّن بمؤتمن و غير عارف بالوقت ممّا لا شاهد له، كما أنّه يبعد تقييد تلك المطلقات بمثل هذا الخبر لقوّة تلك المطلقات في الغاية، مع أنّه قد عرفت أنّ في بعضها ما يأبى عن التقييد، فيدور الأمر بين طرح تلك المطلقات و الأخذ بهذا الخبر و الفتوى بمضمونه من أنّه لا بدّ من تحصيل العلم مع التمكّن كما نسب إلى المشهور، بل ربّما ادّعى عليه الإجماع على ما نقل، أو طرح هذا الخبر و الأخذ بتلك المطلقات و الفتوى بمضمونها من اعتبار أذان المؤذّن مطلقا حتّى مع التمكّن من تحصيل العلم كما قال به بعض الأعلام، و لم يعلم حال الطبقة الاولى من العلماء الذي يكون عملهم هو الجابر و الكاسر، و أنّهم هل أفتوا بمضمون المطلقات و طرحوا الخبر أو بالعكس، و من هنا استشكل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 و لم يرجّح أحد الطرفين، و لكنّ الإنصاف أنّ العمل بالمطلقات 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الأخبار إنّما دلّت على اعتبار أذان المؤذّن فقط، و أمّا قول المؤذّن و إخباره بدخول الوقت من دون أذان فلا يبعد إلحاقه بالأذان، و دعوى القطع بعدم خصوصية في الأذان ليست بتلك المثابة من البعد، و إن استشكل في ذلك أيضا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البيّنة فلا ينبغي الإشكال في اعتبار ها و أنّها في عرض العلم، لعموم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الأشياء كلّها على ذلك حتّى تستبين أو تقوم به البيّنة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أنّ المشار إليه في ذلك إنّما هو خصوص الحلّية و الحرمة، فلا يعمّ ما نحن فيه و ما شابهه من الشرائط و الأجزاء و غير ذلك من الموضوعات، ضعيفة</w:t>
      </w:r>
    </w:p>
    <w:p>
      <w:pPr>
        <w:pStyle w:val="BookText"/>
        <w:rPr/>
      </w:pPr>
      <w:r>
        <w:rPr>
          <w:rFonts w:ascii="Amiri" w:hAnsi="Amiri" w:eastAsia="Amiri" w:cs="Amiri"/>
          <w:color w:val="111111"/>
          <w:sz w:val="28"/>
          <w:sz w:val="28"/>
          <w:szCs w:val="28"/>
          <w:rtl w:val="true"/>
          <w:lang w:bidi="ar-SA"/>
        </w:rPr>
        <w:t>جدّا، فإنّ المراد من المشار إليه في ذلك ليس خصوص الحلّية و الحرمة النفسيّان، بل المراد منه هو الأصل الجاري في الشي‌ء لو لا العلم و قيام البيّنة على الخلاف، فيصير المعنى أنّ الأشياء كلّها على ما يقتضيه الأصل فيها إلّا مع العلم على الخلاف أو قيام البيّنة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كون الأمثلة المذكورة في صدر الرواية من موارد الحلّية و الحرمة النفسيّان لا يقتضي اسم الإشارة بذلك،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حجيّة البيّنة لو قامت على أيّ موضوع من الموضوعات التي يتعلّق به حكم شرعي، سواء في ذلك الوقت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العدل الواحد فالأقوى عدم حجّيته في الموضوعات مطلقا، إلّا أن يقوم دليل خاص في مورد بالخصوص على اعتباره، فإنّ ما دلّ على اعتبار خبر العدل مخصوص بالأحكام و لا يشمل الموضوعات، سوى مفهوم آية النبإ </w:t>
      </w:r>
      <w:r>
        <w:rPr>
          <w:rStyle w:val="FootnoteAnchor"/>
          <w:rtl w:val="true"/>
        </w:rPr>
        <w:footnoteReference w:id="237"/>
      </w:r>
      <w:r>
        <w:rPr>
          <w:rFonts w:ascii="Amiri" w:hAnsi="Amiri" w:eastAsia="Amiri" w:cs="Amiri"/>
          <w:color w:val="111111"/>
          <w:sz w:val="28"/>
          <w:sz w:val="28"/>
          <w:szCs w:val="28"/>
          <w:rtl w:val="true"/>
          <w:lang w:bidi="ar-SA"/>
        </w:rPr>
        <w:t>، و في دلالة آية النبإ على اعتبار خبر العدل محلّ تأمّل كما ذكر في محلّه، و على فرض دلالتها و عمومها للموضوعات تكون مخصّصة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كغيرها من الأدلّة على تقدير عمومها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دلّ على اعتبار التعدّد في الموضوعات، كقوله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الأشياء كلّها على ذلك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حصر طريق إثبات الموضوعات بالعلم أو البيّنة، فلا عبرة بخبر الواحد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التمكّن من تحصيل العلم بالوقت من غير صبر لا بدّ من تحصيل العلم، و لا يقوم شي‌ء من الظنون مقامه سوى البيّنة و سوى أذان المؤذّن على إشكال في الأخير تقدّم وجهه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مع عدم التمكّن من تحصيل العلم إلّا بالصبر، فتارة يكون عدم التمكّن من</w:t>
      </w:r>
    </w:p>
    <w:p>
      <w:pPr>
        <w:pStyle w:val="BookText"/>
        <w:rPr/>
      </w:pPr>
      <w:r>
        <w:rPr>
          <w:rFonts w:ascii="Amiri" w:hAnsi="Amiri" w:eastAsia="Amiri" w:cs="Amiri"/>
          <w:color w:val="111111"/>
          <w:sz w:val="28"/>
          <w:sz w:val="28"/>
          <w:szCs w:val="28"/>
          <w:rtl w:val="true"/>
          <w:lang w:bidi="ar-SA"/>
        </w:rPr>
        <w:t>جهة وجود العذر العامّ كالغيم، و اخرى من جهة العذر الخاصّ كالعمى و الحبس، فلو كان العذر عامّا فربّما قيل بالاكتفاء بمطلق الظنّ و لا يلزمه الصبر إلى أن يعلم، بل ربّما نسب ذلك إلى المشهور، بل ربّما ادّعى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عليه بما ورد من اعتبار صياح الديك في يوم لا يرى فيه الشمس و القمر أو في يوم غيم، كما ورد التعبير بذلك في الأخبار، ففي حسن الفرّاء كالصحيح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من أصحابنا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اشتبه علينا الوقت في يوم غيم،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هذه الطيور التي تكون عندكم بالعراق يقال لها الديوك؟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ارتفعت أصواتها و تجاوبت فقد زالت الشمس،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معناه خبران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أقصى ما يفيده صياح الديك هو الظنّ، و بعد إلغاء الخصوصية من الظنّ المستفاد من صياح الديك، و إلغاء خصوصية الغيم و أنّ ذكره إنّما كان من جهة كونه عذرا لا يمكن معه تحصيل العلم، يتمّ ما أفاده المشهور من جواز الاعتماد على مطلق الظنّ مع عدم التمكّن من العلم، سواء كان ذلك من جهة الغيم أو العمى أو الحبس أو غير ذلك من الأعذار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بما في دعوى القطع بعدم الخصوصية في صياح الديك و تسرية الحكم إلى كلّ ظنّ من المجازفة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دعوى القطع بعدم الخصوصية في الغيم و تسرية الحكم إلى كلّ عذر و لو لم يكن عامّا كالعمى و الحبس</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فالأقوى على ما اختاره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الاقتصار على اعتبار خصوص صياح الديك في خصوص العام، و اما فيما عداه فيلزمه الصبر حتّى يحصل له العلم بدخول الوقت، فتأمّل فإنّ ما ذهب إليه المشهور 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يستدلّ للمشهور بأمور أخر لا تخلو عن ضعف و إن صلحت للتأييد، فراجع الكتب المبسوطة و تأمّل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تبيّن فساد ظنّه فيما جاز التعويل عليه أو تبيّن خطأ قطعه فمقتضى القاعدة الأولية هو فساد الصلاة و لزوم الإعادة و لو وقعت تكبيرة الإحرام في خارج الوقت، فضلا عن وقوع تمام الصلاة أو معظم الأجزاء في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بناء على ما اخترناه في الأصول من عدم اقتضاء الأمر الظاهري للإجزاء في غاية الوضوح، فإنّ أقصى ما دلّ على اعتبار الظنّ أو القطع من النصّ و العقل هو جواز الصلاة، و أمّا الإجزاء و عدم لزوم الإعادة لو وقع جزء منها في خارج الوقت فلا دلالة فيه على ذلك، فلا بد في القول بالإجزاء من التماس دليل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قال باقتضاء الأمر الظاهري للإجزاء يلزمه القول بالصحّة و عدم لزوم الإعادة لو وقعت تمام الصلاة في خارج الوقت، فضلا عن وقوع بعض منها فيه، و لا بدّ له من التماس دليل يدلّ على عدم الإجزاء على عكس ما اخترناه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إنّما يتمّ في خصوص ما إذا اعتمد في الوقت على الحجة الشرعية من البيّنة و أذان المؤذّن و صياح الديك و أمثال ذلك، و أمّا لو اعتمد على قطعه فمقتضى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بناء على اقتضاء الأمر الظاهري للإجزاء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فساد الصلاة و لزوم الإعادة عند تبيّن الخطأ و وقوع بعض الصلاة في خارج الوقت، فضلا عن وقوع تمامها فيه، إذ لا أمر ظاهري في صورة القطع حتّى يقتضي الإجزاء كما لا يخفى</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عدم اقتضاء الأمر الظاهري للإجزاء لا يفرّق الحال بين ما إذا كان اعتماده على القطع أو الظنّ المعتبر، و أنّ في الجميع القاعدة تقتضي الإعادة لو وقعت الصلاة في خارج الوقت أو بعض منها و لو التكبيرة، و لا بدّ من</w:t>
      </w:r>
    </w:p>
    <w:p>
      <w:pPr>
        <w:pStyle w:val="BookText"/>
        <w:rPr/>
      </w:pPr>
      <w:r>
        <w:rPr>
          <w:rFonts w:ascii="Amiri" w:hAnsi="Amiri" w:eastAsia="Amiri" w:cs="Amiri"/>
          <w:color w:val="111111"/>
          <w:sz w:val="28"/>
          <w:sz w:val="28"/>
          <w:szCs w:val="28"/>
          <w:rtl w:val="true"/>
          <w:lang w:bidi="ar-SA"/>
        </w:rPr>
        <w:t>قيام دليل يدلّ على الإجزاء إمّا مطلقا أو في بعض الفروض، و أمّا بناء على اقتضاء الأمر الظاهري للإجزاء ففي صورة الاعتماد على الظنّ مقتضى القاعدة هو الإجزاء لو وقعت الصلاة في خارج الوقت بتمامها أو بعض منها، و لا بدّ من قيام دليل حينئذ على عدم الإجزاء إمّا مطلقا أو في بعض الفروض، و أمّا في صورة الاعتماد على القطع فمقتضى القاعدة أيضا عدم الإجزاء مطلقا، هذا ما يقتضيه القاعدة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ما عليه العمل و فتوى المشهور هو الإعادة و القضاء لو وقعت تمام الصلاة في خارج الوقت، و أمّا لو وقع جزء منها في الوقت و لو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كونه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إعادة و لا قضاء، من غير فرق بين أن يكون قد اعتمد على الظنّ المعتبر أو القطع في كلا الفرضين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يظهر من بعض التفصيل بين الظنّ و القطع، و أنّ في صورة الاعتماد على الظنّ تصحّ الصلاة لو وقع جزء منها في الوقت دون ما إذا وقع تمامها في خارجه، و أمّا في صورة الاعتماد على القطع فالصلاة فاسدة مطلقا و لو وقع جزء منها في الوقت</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في المسألة نصّ سوى خبر ابن رياح المتقدّم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صلّيت و أنت ترى أنّك في وقت، و لم يدخل الوقت فدخل و أنت في الصلاة فقد أجزأت عنك </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إنّما يدلّ على الإجزاء في خصوص ما إذا دخل الوقت في أثناء الصلاة و لو قبل التسليم، و أمّا إذا لم يدخل الوقت حتّى فرغ من الصلاة فهذا الخبر بنفسه يدلّ على عدم الإجزاء فضلا عن اقتضاء القاعدة ذلك، بداهة أنّ تخصيصه عليه السّلام الإجزاء بصورة دخول الوقت في الأثناء يدلّ على</w:t>
      </w:r>
    </w:p>
    <w:p>
      <w:pPr>
        <w:pStyle w:val="BookText"/>
        <w:rPr/>
      </w:pPr>
      <w:r>
        <w:rPr>
          <w:rFonts w:ascii="Amiri" w:hAnsi="Amiri" w:eastAsia="Amiri" w:cs="Amiri"/>
          <w:color w:val="111111"/>
          <w:sz w:val="28"/>
          <w:sz w:val="28"/>
          <w:szCs w:val="28"/>
          <w:rtl w:val="true"/>
          <w:lang w:bidi="ar-SA"/>
        </w:rPr>
        <w:t>عدم الإجزاء عند عدم الدخول، فللقائل باقتضاء الأمر الظاهري للإجزاء أن يستدلّ بهذا الخبر أيضا على عدم الإجزاء لو لم يدخل الوقت في أثناء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دخل في الأثناء فلو قلنا إنّ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خصوص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دليلا على القول الأخير من التفصيل بين القطع و الظنّ، و أنّ في صورة الاعتماد على القطع يلزم الإعادة و لو وقع جزء منها في خارج الوقت، بخلاف ما إذا اعتمد على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بناء على ما قوّيناه سابقا من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مأخوذة من الرؤية فهي مقصورة بصورة العلم، أو الاعتقاد الراجح الشامل للعلم و الظنّ، فيكون الخبر دليلا على ما ذهب إليه المشهور، فإنّ دخول صورة القطع في الخبر بناء على ما اخترناه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الظنّ فربّما يتوهّم خروجه لعدم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إلّا أنّ الإنصاف أنّه لو كان الظنّ من الظنون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مفروض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شاملة له أيضا،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الاعتماد على البيّنة مثلا، فالأقوى ما ذهب إليه المشهور، و المناقشة في سند الرواية ممّا لا وجه له بعد عمل المشهور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دخل في الصلاة قاطعا لدخول الوقت أو ظانّا له بالظنّ المعتبر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دخل في الصلاة عامدا عالما بعدم دخول الوقت، أو جاهلا بشرطية الوقت، أو ناسيا لها أو للوقت، فمقتضى القاعدة البطلان لو وقع جزء منها في خارج الوقت، و أمّا لو وقعت تمام الصلاة في الوقت فالأقوى الصحّة في الجميع إن تمشّي منه قصد القربة، و إن كان حصول ذلك في صورة التعمّد مشكل، و ذلك لأنّ الوقت ليس من الخصوصيات القصدية التي يعتبر قصدها في الصلاة، بل ما هو المعتبر في تحقّق قصد المأمور به إنّما هو قصد الصلاة في هذا الوقت و الزمان، و أمّا مطابقة الزمان للزوال فهو أمر خارج عن تحت قدرته و إرادته بل هو يدور</w:t>
      </w:r>
    </w:p>
    <w:p>
      <w:pPr>
        <w:pStyle w:val="BookText"/>
        <w:rPr/>
      </w:pPr>
      <w:r>
        <w:rPr>
          <w:rFonts w:ascii="Amiri" w:hAnsi="Amiri" w:eastAsia="Amiri" w:cs="Amiri"/>
          <w:color w:val="111111"/>
          <w:sz w:val="28"/>
          <w:sz w:val="28"/>
          <w:szCs w:val="28"/>
          <w:rtl w:val="true"/>
          <w:lang w:bidi="ar-SA"/>
        </w:rPr>
        <w:t>مدار واقعه، و في المقام أبحاث مهمّة قد فاتني كتابتها لبعض عوائق الزمان، فنسأل أن يوفّقنا لكتابتها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لزوم الترتيب بين الفرائض و وجوب فعل الظهر قبل العصر و المغرب قبل العشاء، إلّا أنّ هذا الترتيب ليس شرطا واقعيا تبطل الصلاة بفواتها سهوا بل إنّما هو شرط ذكري، فلوسها و قدّم العصر على الظهر و كان ذلك في الوقت الاشتراكي أو دخل و هو فيها صحّت صلاته و وقعت عصرا لا ظهرا، و أمّا لو وقعت في الوقت الاختصاصي فالأقوى البطلان و لا تحتسب لا ظهرا و لا عصرا، و قد تقدّم الوجه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العشاءين كالظهرين، نعم بينهما فرق و هو أنّه لو شرع في العشاء في أول وقت المغرب نسيانا و لم يتذكّر حتّى فرغ منها فلا محالة يقع ركعة منها في الوقت الاشتراكي فتصحّ، هذا كلّه إذا لم يتذكّر حتّى فرغ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تذكّر في الأثناء عدل بنيّته إلى السابقة إن كان محلّ العدول باقيا، و هو في الظهرين إلى ما قبل التسليم، و أمّا في العشاءين فإلى قبل الدخول في ركوع الركعة الرابعة على الأظهر، و لا يضرّ زيادة القيام في العدول لأنّه من قبيل الزيادة السهوية، كما لا يخفى وجهه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دخل في الركوع فقد أفتى بعض بالبطلان، لعدم إمكان العدول حينئذ و عدم سقوط الترتيب في الأجزاء اللاحقة لتذكّره، فلا يمكنه تتميم هذه الصلاة عشاء فتبطل، هذا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الأقوى أيضا الصحّة و تتميمها عشاء، و ذلك لأنّ الترتيب المعتبر بين الصلاتين هو الترتيب بين مجموع الصلاتين من حيث المجموع، بحيث يقع مجموع إحدى الصلاتين قبل الأخرى، و هذا المعنى بمجرّد الشروع في الصلاة اللّاحقة نسيانا قبل الاولى يسقط، فشرطية الترتيب تكون حينئذ مقصورة بما إذا كان</w:t>
      </w:r>
    </w:p>
    <w:p>
      <w:pPr>
        <w:pStyle w:val="BookText"/>
        <w:rPr/>
      </w:pPr>
      <w:r>
        <w:rPr>
          <w:rFonts w:ascii="Amiri" w:hAnsi="Amiri" w:eastAsia="Amiri" w:cs="Amiri"/>
          <w:color w:val="111111"/>
          <w:sz w:val="28"/>
          <w:sz w:val="28"/>
          <w:szCs w:val="28"/>
          <w:rtl w:val="true"/>
          <w:lang w:bidi="ar-SA"/>
        </w:rPr>
        <w:t xml:space="preserve">متذكّرا له قبل الصلاة، و أمّا لو شرع في الصلاة نسيانا ثمّ تذكّر في الأثناء و لو في الركعة الأولى فالترتيب يسقط بالنسبة إلى الأجزاء اللّاحقة، لأنّ الترتيب في الأجزاء السابقة سقط بمقتضى النسيان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و المفروض أنّ الترتيب إنّما اعتبر بين مجموع الصلاتين، و هذا المعنى ممّا يستحيل حصوله بعد وقوع بعض الأجزاء على خلاف الترتيب، لفوات المجموع بفوات بعض الأجزاء، فمقتضى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أخبار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لو شرع في الصلاة اللّاحقة نسيانا و تذكّر في الأثناء صحّت صلاته و أتمّها على ما افتتحت، غايته أنّ أخبار العدول دلّت على لزوم العدول فيما أمكن، و المفروض فيما نحن فيه عدم إمكان العدول فلا بدّ من تتميمها عشاء،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لو فرض أنّ الترتيب اعتبر في كلّ جزء جزء من اللّاحقة و السابقة على نحو العامّ الأصولي، فيمكن أن يقال أيضا بالصحّة بالملازمة بين الصحّة في الاجزاء السابقة بمقتضى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الصحّة في الأجزاء اللّاحقة، و ذلك لأنّ المفروض أنّ الأجزاء السابقة على التذكّر مشمولة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وقوعها قبل السابقة نسيانا، فالترتيب ساقط بالنسبة إليها و يشملها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لم يجب إعادة الأجزاء السابقة فبالملازمة تدلّ على صحّة الأجزاء اللّاحقة، و إلا لزم لغوية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للأجزاء السابقة، فتأمّل جيّدا فإنّه لا يخلو عن دقّة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 المواقيت، و قد وقع الفراغ منها في الليلة الرابعة و العشرين من شهر محرّم الحرام سنة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bookmarkStart w:id="125" w:name="pg19820_206571"/>
    </w:p>
    <w:p>
      <w:pPr>
        <w:pStyle w:val="Heading4"/>
        <w:numPr>
          <w:ilvl w:val="3"/>
          <w:numId w:val="1"/>
        </w:numPr>
        <w:rPr/>
      </w:pPr>
      <w:bookmarkStart w:id="126" w:name="__RefHeading___Toc3360046_2314609296"/>
      <w:bookmarkStart w:id="127" w:name="_Toc50"/>
      <w:bookmarkEnd w:id="125"/>
      <w:bookmarkEnd w:id="126"/>
      <w:r>
        <w:rPr>
          <w:rtl w:val="true"/>
        </w:rPr>
        <w:t>[</w:t>
      </w:r>
      <w:r>
        <w:rPr>
          <w:rtl w:val="true"/>
        </w:rPr>
        <w:t>البحث الثاني</w:t>
      </w:r>
      <w:r>
        <w:rPr>
          <w:rtl w:val="true"/>
        </w:rPr>
        <w:t xml:space="preserve">] </w:t>
      </w:r>
      <w:r>
        <w:rPr>
          <w:rtl w:val="true"/>
        </w:rPr>
        <w:t>الكلام في القبلة</w:t>
      </w:r>
      <w:bookmarkEnd w:id="127"/>
    </w:p>
    <w:p>
      <w:pPr>
        <w:pStyle w:val="Heading5"/>
        <w:numPr>
          <w:ilvl w:val="4"/>
          <w:numId w:val="1"/>
        </w:numPr>
        <w:rPr/>
      </w:pPr>
      <w:bookmarkStart w:id="128" w:name="__RefHeading___Toc3360048_2314609296"/>
      <w:bookmarkStart w:id="129" w:name="_Toc51"/>
      <w:bookmarkEnd w:id="128"/>
      <w:r>
        <w:rPr>
          <w:rtl w:val="true"/>
        </w:rPr>
        <w:t>اشارة</w:t>
      </w:r>
      <w:bookmarkEnd w:id="129"/>
    </w:p>
    <w:p>
      <w:pPr>
        <w:pStyle w:val="BookText"/>
        <w:rPr/>
      </w:pPr>
      <w:r>
        <w:rPr>
          <w:rFonts w:ascii="Amiri" w:hAnsi="Amiri" w:eastAsia="Amiri" w:cs="Amiri"/>
          <w:color w:val="111111"/>
          <w:sz w:val="28"/>
          <w:sz w:val="28"/>
          <w:szCs w:val="28"/>
          <w:rtl w:val="true"/>
          <w:lang w:bidi="ar-SA"/>
        </w:rPr>
        <w:t>و فيه أبحاث</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3360050_2314609296"/>
      <w:bookmarkStart w:id="131" w:name="_Toc52"/>
      <w:bookmarkEnd w:id="130"/>
      <w:r>
        <w:rPr>
          <w:rtl w:val="true"/>
        </w:rPr>
        <w:t>المبحث الأول فيما يجب استقباله في حال الصلاة و الدفن و غير ذلك</w:t>
      </w:r>
      <w:r>
        <w:rPr>
          <w:rtl w:val="true"/>
        </w:rPr>
        <w:t>.</w:t>
      </w:r>
      <w:bookmarkEnd w:id="131"/>
    </w:p>
    <w:p>
      <w:pPr>
        <w:pStyle w:val="Heading6"/>
        <w:numPr>
          <w:ilvl w:val="5"/>
          <w:numId w:val="1"/>
        </w:numPr>
        <w:rPr/>
      </w:pPr>
      <w:bookmarkStart w:id="132" w:name="__RefHeading___Toc3360052_2314609296"/>
      <w:bookmarkStart w:id="133" w:name="_Toc53"/>
      <w:bookmarkEnd w:id="132"/>
      <w:r>
        <w:rPr>
          <w:rtl w:val="true"/>
        </w:rPr>
        <w:t>اشارة</w:t>
      </w:r>
      <w:bookmarkEnd w:id="133"/>
    </w:p>
    <w:p>
      <w:pPr>
        <w:pStyle w:val="BookText"/>
        <w:rPr/>
      </w:pPr>
      <w:r>
        <w:rPr>
          <w:rFonts w:ascii="Amiri" w:hAnsi="Amiri" w:eastAsia="Amiri" w:cs="Amiri"/>
          <w:color w:val="111111"/>
          <w:sz w:val="28"/>
          <w:sz w:val="28"/>
          <w:szCs w:val="28"/>
          <w:rtl w:val="true"/>
          <w:lang w:bidi="ar-SA"/>
        </w:rPr>
        <w:t>و قد اختلفت كلمات الأصحاب في ذلك،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القبلة عبارة عن نفس الكعبة و البناء لمن كان في المسجد، و المسجد قبلة لمن كان في الحرم، و الحرم قبلة لمن كان في خارجه من 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 على ذلك بعدّة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القبلة للقريب هو نفس الكعبة، و للبعيد الجهة بمعنى السمت و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القبلة هي عبارة عن نفس الكعبة للقريب و البعيد و المشاهد و غير المشاهد، لكن مع تعميم الكعبة من تخوم الأرض إلى عنان السماء، و إن اختلفت كيفية المحاذاة و الاستقبال، فإنّ القريب المشاهد إنّما يحاذي نفس البناء و البيت، و البعيد الغير المشاهد إنّما يحاذي الفضاء و الخط الخارج من البيت إلى عنان السماء</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هو الحقّ الذي ينبغي المصير إليه، و ذلك للأخبار المستفيضة التي ادعى في الجواهر </w:t>
      </w:r>
      <w:r>
        <w:rPr>
          <w:rStyle w:val="FootnoteAnchor"/>
          <w:rtl w:val="true"/>
        </w:rPr>
        <w:footnoteReference w:id="241"/>
      </w:r>
      <w:r>
        <w:rPr>
          <w:rFonts w:ascii="Amiri" w:hAnsi="Amiri" w:eastAsia="Amiri" w:cs="Amiri"/>
          <w:color w:val="111111"/>
          <w:sz w:val="28"/>
          <w:sz w:val="28"/>
          <w:szCs w:val="28"/>
          <w:rtl w:val="true"/>
          <w:lang w:bidi="ar-SA"/>
        </w:rPr>
        <w:t>تواترها، الدالّة على أنّ القبلة هي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 إن كانت ظاهرة في</w:t>
      </w:r>
    </w:p>
    <w:p>
      <w:pPr>
        <w:pStyle w:val="BookText"/>
        <w:rPr/>
      </w:pPr>
      <w:r>
        <w:rPr>
          <w:rFonts w:ascii="Amiri" w:hAnsi="Amiri" w:eastAsia="Amiri" w:cs="Amiri"/>
          <w:color w:val="111111"/>
          <w:sz w:val="28"/>
          <w:sz w:val="28"/>
          <w:szCs w:val="28"/>
          <w:rtl w:val="true"/>
          <w:lang w:bidi="ar-SA"/>
        </w:rPr>
        <w:t xml:space="preserve">نفس البيت و البناء إلّا أنّه قد ورد عنهم صلوات اللّٰه عليهم أجمعين </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الكعبة إنّما هي ممتدّة إلى عنان السماء، مع وضوح أنّه لا يمكن استقبال نفس البناء للبعيد مع كروية الأرض، بداهة أنّه على ذلك إمّا أن يكون البعيد فوق الكعبة و البيت أو تحتها، فالتكليف باستقبال نفس البناء محال كما هو واضح، فالعبرة في استقبال البعيد إنّما هو استقبال الخطّ الخارج من البيت الممتدّ إلى عنان السماء، بحيث لو أخرج خطّ من جبهة المصلّي لكان يمرّ على ذلك الخط الخارج من البيت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بأنّ قبلة البعيد إنّما هو الجهة و السمت و إن لم يصل خطّ من المصلّي إلى الفضاء المحيط بالبيت خال عن الدليل و الشاهد، و كيف يمكن القول بذلك مع تضافر الأخبار بأنّ القبلة هي الكعبة و البيت؟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كلّ مصل أن يستقبل نفس الكعبة و البناء أو الخطّ الخارج منها إلى عنان السماء، و لا يكفي فيه استقبال السمت و الجهة من دون ذلك، كما أنّه لا يعتبر استقبال نفس البناء بل ذلك كما عرفت محال من جهة كروية الأرض، كما أنّه لا يكفي استقبال المسجد أو الحرم لمن كان خارجا عنهما مع عدم اتّصال خطّ من جبهة المصلّي إلى الكعبة أو الخطّ الخارج منها، كما إذا وقف على أحد أضلاع المسجد بحيث يعلم عدم اتّصال خطّ منه إلى الكعبة، بل لم يعلم من صاحب هذا القول الاكتفاء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احتمل بعض أن يكون النزاع لفظيّا، بمعنى أنّه من قال بأنّ المسجد قبلة لمن كان في الحرم لا يريد أنّ المسجد قبلة لذلك و لو مع عدم مواجهة البيت بوجه من الوجوه بحيث لم يتّصل خطّ من المصلّي إليه، بل المراد أنّه لو استقبل المسجد يكفي من جهة استلزامه غالبا لاتّصال خطّ منه إلى البيت أو الفضاء المتّصل به، و هو كذلك بناء على ما سيأتي من معنى استلزام زيادة البعد لزيادة المحاذاة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يمكن إرجاع ما دلّ من الأخبار على أنّ المسجد قبلة لأهل الحرم، و الحرم قبلة لأهل الدنيا </w:t>
      </w:r>
      <w:r>
        <w:rPr>
          <w:rStyle w:val="FootnoteAnchor"/>
          <w:rtl w:val="true"/>
        </w:rPr>
        <w:footnoteReference w:id="243"/>
      </w:r>
      <w:r>
        <w:rPr>
          <w:rFonts w:ascii="Amiri" w:hAnsi="Amiri" w:eastAsia="Amiri" w:cs="Amiri"/>
          <w:color w:val="111111"/>
          <w:sz w:val="28"/>
          <w:sz w:val="28"/>
          <w:szCs w:val="28"/>
          <w:rtl w:val="true"/>
          <w:lang w:bidi="ar-SA"/>
        </w:rPr>
        <w:t>، إلى ذلك، بمعنى أنّ مستقبل المسجد لمن كان في الحرم و مستقبل الحرم لمن كان خارجا منه يكون مستقبلا للكعبة أيضا و لو للخطّ الخارج منها إلى عنان السماء، كما أنّه يمكن إرجاع من قال بالسمت و الطرف إلى ذلك أيضا، و إن أبت بعض عباراتهم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مراد الجميع من الأقوال و الأخبار أنّ البعيد إذا توجّه نحو الطرف الذي تكون القبلة فيه أو نحو المسجد و الحرم فلا محالة يتّصل منه خط إلى الخطّ الخارج من البيت غالبا، و هذا لا ينافي بطلان صلاة من علم بعدم ذلك كالمصلّي نحو أحد أضلاع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فالحريّ إنّما هو بيان اتّصال الخطّين، فإنّه ربّما يتوهّم أنّ ذلك محال من جهة صغر جرم البيت، فالمصلّي لو فرض أنّه صلّى في أماكن متعدّدة بحيث يعلم بزيادة سعة الأمكنة التي صلّى فيها عن جرم البيت، فكيف يمكن اتّصال خطّ من المصلّي من جميع هذه الأمكنة إلى البيت، أو الى الخط الخارج منه الى عنان السماء؟</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الإشكال في الصفّ المستطيل، فيلزم بناء على اعتبار اتّصال الخطّين هو بطلان صلاة بعض الصفّ، أو بطلان بعض الصلوات بالنسبة إلى الشخص</w:t>
      </w:r>
    </w:p>
    <w:p>
      <w:pPr>
        <w:pStyle w:val="BookText"/>
        <w:rPr/>
      </w:pPr>
      <w:r>
        <w:rPr>
          <w:rFonts w:ascii="Amiri" w:hAnsi="Amiri" w:eastAsia="Amiri" w:cs="Amiri"/>
          <w:color w:val="111111"/>
          <w:sz w:val="28"/>
          <w:sz w:val="28"/>
          <w:szCs w:val="28"/>
          <w:rtl w:val="true"/>
          <w:lang w:bidi="ar-SA"/>
        </w:rPr>
        <w:t>الواحد المصلّي في الأمكنة المتعدّدة، 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يقول به أحد 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القبلة نفس الكعبة بناء و فضاء يلازم القول ببطلان صلاة الصفّ المستطيل، هذا و لكن لا يخفى عليك فساد التوهّم، و توضيح ذلك يحتاج إلى بيان مقدّمة، و هي أنّ سعة دائرة رأس الإنسان ممّا يقرب ثلاثين إصبعا و هذه الدائرة بهذا الضيق يكون كلّ جزء منها محاذيا لجزء من الدائرة المحيطة بالعالم، بحيث لو أخرجت خطوط من الدائرة المحيطة إلى دائرة رأس الإنسان فلا محالة جميع تلك الخطوط تتّصل إلى دائرة رأس الإنسان، كما يشاهد إنّ الدائرة الصغيرة المرسوم فيما يقرب من قطب الرحى يكون كلّ جزء منها محاذيا لجزء من الدائرة الوسيعة المرسومة في مبتدإ الرحى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القدر المعتبر في الاستقبال و مواجهة شخص لشخص إنّما هو مقدار ثمن دائرة الرأس تقريبا، و هو مقدار أربعة أصابع من مقدّم الرأس الذي يكون بين الحاجبين، و لا يعتبر في صدق الاستقبال المواجهة بكلّ ما بين الحاجبين، بل يكفي في صدق الاستقبال عرفا أن يكون مواجها بجزء ممّا بين الحاجبين، بحيث لو اخرج خطّ من المستقبل بالكسر من أي جزء من أجزاء جبهته لكان ذلك الخطّ متّصلا إلى المستقبل إليه، و لا يحتاج أن تكون جميع الخطوط الخارجة من الجبهة متّصلة بالمستقبل إليه، كما لا يخفى</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 كون مقدار ما بين الحاجبين قوسيا، و يكون</w:t>
      </w:r>
    </w:p>
    <w:p>
      <w:pPr>
        <w:pStyle w:val="BookText"/>
        <w:rPr/>
      </w:pPr>
      <w:r>
        <w:rPr>
          <w:rFonts w:ascii="Amiri" w:hAnsi="Amiri" w:eastAsia="Amiri" w:cs="Amiri"/>
          <w:color w:val="111111"/>
          <w:sz w:val="28"/>
          <w:sz w:val="28"/>
          <w:szCs w:val="28"/>
          <w:rtl w:val="true"/>
          <w:lang w:bidi="ar-SA"/>
        </w:rPr>
        <w:t>محاذيا لقطعة قوسية من دائرة محيط العالم، و إن كان سعة تلك القطعة من دائرة المحيط تزداد عن سعة الجبهة بأضعاف مضاعف، لما عرفت من أنّ الدائرة الصغيرة تحاذي الدائرة الكبيرة بتمام أجزائها، فقوس الجبهة تحاذي مقدارا من قوس دائرة المحيط مع كثرة سعته بالنسبة إلى قوس الجبهة، بحيث لو أخرج خطوطا من قوس الدائرة لاتّصلت الخطوط بأجمعها بقوس الجبهة فالجبهة مع صغر سعتها تحاذي أضعاف مضاعف منها بآلاف ألوف، و ذلك ليس إلّا من جهة بعد موقف الإنسان عن دائرة المحيط، و إذا كان الشخص مواجها لقطعة من قوس دائرة المحيط فلا محالة يكون مواجها لكلّ ما كان بينه و بين قوس الدائرة من البلدان و الجبال و الأنهار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المواجهة ليست تظهر للحسّ من دون أن يكون لها واقع بل مواجهة حقيقية واقعية، و الشاهد على ذلك أنّه لو أخرج خطوطا من قوس الجبهة مستقيمة معتدلة لكانت الخطوط مارّة بجميع ما كان بينه و بين قوس المحيط، بداهة اتّصال خطوط الجبهة بالقوس يستلزم مرورها على ما كان متوسّطا بينها و بين القوس، فظهر معنى ما يقال من أنّ زيادة البعد توجب زيادة المحاذاة، و أنّ الإنسان مع صغر حجمه يكون مواجها بقوس الجبهة لكلّ ما كان بينه و بين محيط العالم من الأودية و الأبنية و منها الكعبة المعظّمة لو توجّه نحوها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 المستطيل كيف ما فرضت استطالته لا محالة يكون مواجها للكعبة مع بعده عنها و مع اتحاد جهة أهل الصفّ بحسب</w:t>
      </w:r>
    </w:p>
    <w:p>
      <w:pPr>
        <w:pStyle w:val="BookText"/>
        <w:rPr/>
      </w:pPr>
      <w:r>
        <w:rPr>
          <w:rFonts w:ascii="Amiri" w:hAnsi="Amiri" w:eastAsia="Amiri" w:cs="Amiri"/>
          <w:color w:val="111111"/>
          <w:sz w:val="28"/>
          <w:sz w:val="28"/>
          <w:szCs w:val="28"/>
          <w:rtl w:val="true"/>
          <w:lang w:bidi="ar-SA"/>
        </w:rPr>
        <w:t>القبلة، بحيث لو فرض خروج خطّ من جبهة كلّ واحد من المصلّين لكان مارّا على الخطّ الخارج من الكعبة الممتدّ إلى عنان السماء، نعم لو اعتبرنا في الاستقبال أن يكون الخطّ خارجا من بين العينين، و لا يكفي خروجه من أحد جانبيها لامتنع اتّصال خطوط الصفّ المستطيل إلى الخطّ الخارج من الكعبة، إلّا أنّه قد تقدّم عدم اعتبار ذلك في صدق الاستقبال، بل يكفي الاستقبال بأحد طرفي الجبهة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الدوائر المرتسمة بين موقف الشخص و بين محيط العالم على كثرتها يكون الشخص مواجها لقوس منها بقوس جبهته، و كلّما فرض بعد الدائرة عن دائرة الموقف يكون القوس المواجه إليه منها أوسع من القوس المواجه إليه من الدائرة التي دونها التي تكون أقرب إلى موقف الشخص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فالشخص يكون مواجها لمقدار شبر من الدائرة التي ترتسم بقرب منه، و يكون مواجها لمقدار شبرين من الدائرة التي ترسم فوق تلك الدائرة، و هكذا يزداد المحاذاة و المواجهة بمقدار بعد الدائرة إلى أن تصل إلى الدائرة المحيطة بالعالم، فتتّسع المحاذاة بمقدار اتّساع ما يحاذيه من قوس الدائرة، و عليه يكون الإنسان محاذيا و مواجها لكلّ ما كان بينه و بين المحيط</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توجّه الإنسان نحو القوس الذي تكون الكعبة فيه فلا محالة يكون مواجها للكعبة و لو لفضائها الممتدّ إلى السماء، و هذه المواجهة تزداد كلّما ازداد الإنسان بعدا عنها، فربّما يكون الشخص مواجها لجزء يسير من الكعبة إذا كان قريبا منها، و ربّما يكون مواجها لتمامها إذا بعد عنها، و هكذا يزداد المواجهة حتّى تصلى المواجهة إلى مرتبة يكون الشخص مواجها لتمام الحرم و ما زاد، حتّى أنّه لو فرض أنّ الشخص وقف فيما يقرب القطب الجنوبي أو الشمالي يكون مواجها لثمن الدنيا بحسب نسبة الجبهة إلى دائرة الرأس، و قد عرفت أنّ هذه المواجهة ليس مواجهة وهمية بل مواجهة واقعية 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الصفّ الذي يكون متّحد الجهة في القبلة كلّما فرض بعده عن مكّة يمكن زيادة استطالته، و يكون كلّ من أهل الصفّ محاذيا لنفس الكعبة أو الخطّ الخارج و لو بجزء من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فرض أنّ الصفّ انعقد في مسجد الحرام فغاية ما يمكن من استطالته بحيث يكون مواجها للكعبة هو أنّ يكون بمقدار سعة المسجد بل أقلّ، و أمّا لو فرض انعقاده في الحرم يمكن زيادة استطالته على وجه يكون الجميع مواجها لها، و هكذا كلّما فرضت بعد مكان الصفّ عن الكعبة يزداد في استطالته،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العراق يمكن فرض استطالة الصفّ على وجه يزيد عن عشرين فرسخا، و يكون الجميع مواجها للخطّ الخارج من الكعبة إلى عنان السماء، بحيث لو فرض خروج خطوط مستقيمة من مواقف الصفّ فلا محالة من كلّ شخص يمرّ خطّ من جبهته إلى الخطّ الخارج من الكعبة، و لا يعتبر في الخطوط الخارجة من المواقف أن تكون متوازية بحيث يتساوى بعد ما بين الخطّين من مخرجهما إلى منتهاهما، بداهة أنّه لو اعتبرت الخطوط هكذا لامتنع اتّصال الخطوط من الصفّ إلى الخط الخارج من الكعبة، لصغر حجم الكعبة بالنسبة إلى الصف و لعلّ منشأ النقض بالصفّ المستطيل على من قال باعتبار مواجهة الكعبة سواء في ذلك القريب و البعيد هو هذا، أي تخيّل اعتبار أن تكون الخطوط متوازية، و لمّا رأى استحالة ذلك في الصفّ المستطيل نقض على صاحب هذا القول بأنّه يلزمه القول ببطلان صلاة بعض الصفّ</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خبير بأنّه لا نحتاج في المواجهة أن تكون الخطوط متوازية، بل المدار على صدق المواجهة و الاستقبال، و ذلك يتحقّق باستقامة الخطوط الخارجة من دون حاجة إلى توازيها، فتأمّل جيّدا في كلمات الأعلام حتّى تعرف حقيقة الحال، و أنّ المراد من الجهة في كلماتهم هو هذا المعنى، لا الجهة بمعنى السمت و الطرف مع عدم اتّصال خطّ من المصلّي إلى الخطّ الخارج عن الكعبة، فإنّ ذلك</w:t>
      </w:r>
    </w:p>
    <w:p>
      <w:pPr>
        <w:pStyle w:val="BookText"/>
        <w:rPr/>
      </w:pPr>
      <w:r>
        <w:rPr>
          <w:rFonts w:ascii="Amiri" w:hAnsi="Amiri" w:eastAsia="Amiri" w:cs="Amiri"/>
          <w:color w:val="111111"/>
          <w:sz w:val="28"/>
          <w:sz w:val="28"/>
          <w:szCs w:val="28"/>
          <w:rtl w:val="true"/>
          <w:lang w:bidi="ar-SA"/>
        </w:rPr>
        <w:t>ضروري البطلان، و كيف يمكن الالتزام بذلك مع تواتر الأخبار على وجوب استقبال الكعبة؟ فلا محالة يعتبر في صحّة الصلاة من اتّصال خطّ من أحد أجزاء جبهته إلى الخطّ الخارج من الكعبة الممتدّ إلى عنان السماء، فإنّ الذي يمكن في حق البعيد هو هذا، و هذا المعنى بمكان من الإمكان، و لو فرض أنّه صلّى في أمكنة متعدّدة بحيث تزداد سعة الأمكنة عن الكعبة فإنّ من كلّ مكان يتّصل خط إليها بعد معرفة السمت التي تكون الكعبة فيه بالأمارات المنصوبة لذلك على 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الدائرة المرسومة عند مسجد المصلّي المحيطة بالمكان الذي يشغله في حال الصلاة تكون أوسع من دائرة رأس المصلّي، فإنّ دائرة الرأس تقرب ثلاثين إصبعا كما تقدّم، و دائرة المسجد تقرب ذلك المقدار شبرا، فالقوس المواجه لجبهة المصلّي من دائرة المسجد يزيد على شبرين، و عليه لو كان الخطّ الخارج من الكعبة محاذيا لأحد الجانبين من الجبهة كما إذا كان في طرف اليمين مثلا يجوز الانحراف عمدا إلى أن يقع ذلك الخطّ في طرف الشمال، و ذلك يكون بمقدار شبر، فيجوز الانحراف عن القبلة لو كانت في مسجد المصلي عمدا يمينا و شمالا إلى حدّ يقع خطّ القبلة في أحد جانبي الجبهة، لما عرفت سابقا من صدق الاستقبال من أيّ جزء من أجزاء الجبهة،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من الاستقبال هو الاستقبال بالوجه مع مقاديم البدن، فلا يكفي المواجهة بالوجه مع اعوجاج مقاديم البدن كلّا أو بعضا، إلّا أن يكون البعض ممّا لا يضرّ بالصدق العرفي كاعوجاج أصابع الرجلين مثلا، و لا فرق في اعتبار ذلك بين القريب و البعيد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يختصّ القريب بأمر آخر، و هو أنّه هل يكفي مواجهة بعض البدن كالنصف مثلا للبيت، أو أنّه يعتبر مواجهته بجميع البدن، فلا يكفي الوقوف مواجها لأحد أضلاع البيت، بحيث يكون نصف البدن مواجها للبناء و نصفه</w:t>
      </w:r>
      <w:bookmarkStart w:id="134" w:name="pg19820_206579"/>
    </w:p>
    <w:p>
      <w:pPr>
        <w:pStyle w:val="BookText"/>
        <w:rPr/>
      </w:pPr>
      <w:bookmarkEnd w:id="134"/>
      <w:r>
        <w:rPr>
          <w:rFonts w:ascii="Amiri" w:hAnsi="Amiri" w:eastAsia="Amiri" w:cs="Amiri"/>
          <w:color w:val="111111"/>
          <w:sz w:val="28"/>
          <w:sz w:val="28"/>
          <w:szCs w:val="28"/>
          <w:rtl w:val="true"/>
          <w:lang w:bidi="ar-SA"/>
        </w:rPr>
        <w:t>الآخر خارجا عنه؟ الظاهر هو الثاني لعدم صدق الاستقبال كذلك،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يختصّ بالقريب لأنّ البعيد لا يتصوّر فيه ذلك بعد ما كان قبلته الجهة بالمعنى المتقدّم، فإن المعتبر في مواجهته أن يكون خطّا خارجا من أحد أجزاء جبهته و أصلا إلى الخطّ الخارج من الكعبة الممتدّ إلى عنان السماء، بحيث يحدث منهما زوايا قوائم، و هذه المواجهة إمّا أن تكون و إمّا أن لا تكون، و لا يمكن التبعيض و المواجهة بنصف البدن كما لا يخفى</w:t>
      </w:r>
      <w:r>
        <w:rPr>
          <w:rFonts w:eastAsia="Amiri" w:cs="Amiri" w:ascii="Amiri" w:hAnsi="Amiri"/>
          <w:color w:val="111111"/>
          <w:sz w:val="28"/>
          <w:szCs w:val="28"/>
          <w:rtl w:val="true"/>
          <w:lang w:bidi="ar-SA"/>
        </w:rPr>
        <w:t>.</w:t>
      </w:r>
    </w:p>
    <w:p>
      <w:pPr>
        <w:pStyle w:val="Heading6"/>
        <w:numPr>
          <w:ilvl w:val="5"/>
          <w:numId w:val="1"/>
        </w:numPr>
        <w:rPr/>
      </w:pPr>
      <w:bookmarkStart w:id="135" w:name="__RefHeading___Toc3360054_2314609296"/>
      <w:bookmarkStart w:id="136" w:name="_Toc54"/>
      <w:bookmarkEnd w:id="135"/>
      <w:r>
        <w:rPr>
          <w:rtl w:val="true"/>
        </w:rPr>
        <w:t>فرع</w:t>
      </w:r>
      <w:r>
        <w:rPr>
          <w:rtl w:val="true"/>
        </w:rPr>
        <w:t xml:space="preserve">: </w:t>
      </w:r>
      <w:r>
        <w:rPr>
          <w:rtl w:val="true"/>
        </w:rPr>
        <w:t>الظاهر أنّ حجر إسماعيل خارج عن البيت</w:t>
      </w:r>
      <w:bookmarkEnd w:id="136"/>
    </w:p>
    <w:p>
      <w:pPr>
        <w:pStyle w:val="BookText"/>
        <w:rPr/>
      </w:pPr>
      <w:r>
        <w:rPr>
          <w:rFonts w:ascii="Amiri" w:hAnsi="Amiri" w:eastAsia="Amiri" w:cs="Amiri"/>
          <w:color w:val="111111"/>
          <w:sz w:val="28"/>
          <w:sz w:val="28"/>
          <w:szCs w:val="28"/>
          <w:rtl w:val="true"/>
          <w:lang w:bidi="ar-SA"/>
        </w:rPr>
        <w:t>و إن وجب إدخاله في الطواف، فلا يكفي استقباله كما ورد به النصّ الصريح، و هو ما رواه معاوية بن عمّار أنّه سأل الصادق عليه السّلام عن الحجر أمن البيت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لا قلامة ظفر، و لكنّ إسماعيل عليه السّلام دفن امّه فيه، فكره أن يوطأ فجعل عليه حجرا، و فيه قبور أنبياء </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بمضمونه أخبار أخر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إدخاله في الطواف لا يكون قرينه على كونه من البيت مع تعليل الإمام عليه السّلام ذلك بأنّ إسماعيل دفن امّه في ذلك المكان، فوجب إدخاله في الطواف لئلا يوطأ، و أين هذا من جواز استقباله في الصلاة؟ فقياس بعض الأعلام الصلاة بالطواف في غير محلّه</w:t>
      </w:r>
      <w:r>
        <w:rPr>
          <w:rFonts w:eastAsia="Amiri" w:cs="Amiri" w:ascii="Amiri" w:hAnsi="Amiri"/>
          <w:color w:val="111111"/>
          <w:sz w:val="28"/>
          <w:szCs w:val="28"/>
          <w:rtl w:val="true"/>
          <w:lang w:bidi="ar-SA"/>
        </w:rPr>
        <w:t>.</w:t>
      </w:r>
    </w:p>
    <w:p>
      <w:pPr>
        <w:pStyle w:val="Heading6"/>
        <w:numPr>
          <w:ilvl w:val="5"/>
          <w:numId w:val="1"/>
        </w:numPr>
        <w:rPr/>
      </w:pPr>
      <w:bookmarkStart w:id="137" w:name="__RefHeading___Toc3360056_2314609296"/>
      <w:bookmarkStart w:id="138" w:name="_Toc55"/>
      <w:bookmarkEnd w:id="137"/>
      <w:r>
        <w:rPr>
          <w:rtl w:val="true"/>
        </w:rPr>
        <w:t>تنبيه</w:t>
      </w:r>
      <w:r>
        <w:rPr>
          <w:rtl w:val="true"/>
        </w:rPr>
        <w:t>:</w:t>
      </w:r>
      <w:bookmarkEnd w:id="13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ظهر ممّا ذكرنا أنّ القبلة هي محل البناء و الفضاء لا نفس الأبنية</w:t>
      </w:r>
      <w:bookmarkStart w:id="139" w:name="pg19820_206580"/>
    </w:p>
    <w:p>
      <w:pPr>
        <w:pStyle w:val="BookText"/>
        <w:rPr/>
      </w:pPr>
      <w:bookmarkEnd w:id="139"/>
      <w:r>
        <w:rPr>
          <w:rFonts w:ascii="Amiri" w:hAnsi="Amiri" w:eastAsia="Amiri" w:cs="Amiri"/>
          <w:color w:val="111111"/>
          <w:sz w:val="28"/>
          <w:sz w:val="28"/>
          <w:szCs w:val="28"/>
          <w:rtl w:val="true"/>
          <w:lang w:bidi="ar-SA"/>
        </w:rPr>
        <w:t>و الجدران، و عليه يجوز الصلاة في جوف الكعبة و لو إلى بابها المفتوحة، و كذا على سطح الكعبة اختيارا و إن لم يكن هناك ضرورة، و تقييد بعض بها في غير محلّه، نعم يشترط أن يبرز بين يديه شيئا من السطح حتّى لا يكون سجوده على منتهى السطح ليكون مستقبل القبلة في جميع أحوال الصلاة، و كذا يجوز الصلاة على جبل أبي قبيس أو جبل آخر أو في سرداب منخفضا عن الكعبة، لما تقدّم من أنّ الكعبة من تخوم الأرض إلى عنان السماء</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3360058_2314609296"/>
      <w:bookmarkStart w:id="141" w:name="_Toc56"/>
      <w:bookmarkEnd w:id="140"/>
      <w:r>
        <w:rPr>
          <w:rtl w:val="true"/>
        </w:rPr>
        <w:t>المبحث الثاني في بيان ما يعرف به قبلة كلّ إقليم</w:t>
      </w:r>
      <w:bookmarkEnd w:id="141"/>
    </w:p>
    <w:p>
      <w:pPr>
        <w:pStyle w:val="Heading6"/>
        <w:numPr>
          <w:ilvl w:val="5"/>
          <w:numId w:val="1"/>
        </w:numPr>
        <w:rPr/>
      </w:pPr>
      <w:bookmarkStart w:id="142" w:name="__RefHeading___Toc3360060_2314609296"/>
      <w:bookmarkStart w:id="143" w:name="_Toc57"/>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من العلامات المذكورة في الكتب المبسوطة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 معرفة قبلة كلّ البلاد يتوقّف على معرفة طول البلاد و عرضها، و نسبة طول كلّ بلد و عرضه إلى طول و عرض مكّة حتّى يعرف قبلة كلّ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القدماء من علماء الهيئة يجعلون مبدأ طول البلاد من جزائر خالدات، و عرضها من خطّ الاستواء الذي هو مارّ بنقطتي المشرق و المغرب تحت دائرة المعدّل، و لكنّ المتجدّدين من علماء الهيئة في هذا الزمان يجعلون مبدأ الطول من قرية قريبة بدار سلطنة الإنجليز لندن، بل أهل كلّ مملكة يجعل مبدأ طول البلاد دار سلطنة تلك المملكة، كطهران في إيران و باريس في فرانسة و كذا سائر الممالك، و على أيّ حال لا يختلف الحال في ذلك، فإنّ من أيّ مكان جعل مبدأ الطول لا بدّ من ملاحظة نسبة طول البلد و عرضه إلى طول مكّة و عرضها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الأقسام المتصوّرة في المقام ثمانية، فإنّ الاختلاف إمّا أن يكون في الطول و العرض معا و إمّا أن يكون في أحدهما، و لا يعقل اتّفاق بلد مع مكّة في الطول و العرض معا كما لا يخفى، ثمّ إنّ الاختلاف في الطول تارة يكون البلد في غربي مكّة و اخرى يكون في شرقيّها، و كذا الاختلاف في العرض تارة يكون البلد في</w:t>
      </w:r>
    </w:p>
    <w:p>
      <w:pPr>
        <w:pStyle w:val="BookText"/>
        <w:rPr/>
      </w:pPr>
      <w:r>
        <w:rPr>
          <w:rFonts w:ascii="Amiri" w:hAnsi="Amiri" w:eastAsia="Amiri" w:cs="Amiri"/>
          <w:color w:val="111111"/>
          <w:sz w:val="28"/>
          <w:sz w:val="28"/>
          <w:szCs w:val="28"/>
          <w:rtl w:val="true"/>
          <w:lang w:bidi="ar-SA"/>
        </w:rPr>
        <w:t>جنوب مكة و اخرى يكون في شمالها، فهذه أقسام أربعة فيما إذا كان الاختلاف في الطول فقط أو في العرض فقط، و أربعة أقسام أخر حاصلة من الاختلاف في كليهما، و هي ما إذا كان البلد في غربي مكّة و عرضه في جنوبها أو في شمالها فهذا قسمان، و القسمان الآخران هو ما إذا كان البلد في شرقي مكّة و عرضه في جنوبها أو شمالها، فهذه أقسام ثمانية تختلف قبلة البلاد حسب هذا الاختلاف، و ليس المقام مقام التعرّض لطول البلاد و عرضها و النسبة بينها، فإنّ ذلك موكول إلى محلّه و مطلوب من أهله من علماء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استخراجات أهل هذا العصر من أهل الفنّ يكون أضبط و أتقن من استخراجات القدماء، و لذلك </w:t>
      </w:r>
      <w:r>
        <w:rPr>
          <w:rStyle w:val="FootnoteAnchor"/>
          <w:rtl w:val="true"/>
        </w:rPr>
        <w:footnoteReference w:id="246"/>
      </w:r>
      <w:r>
        <w:rPr>
          <w:rFonts w:ascii="Amiri" w:hAnsi="Amiri" w:eastAsia="Amiri" w:cs="Amiri"/>
          <w:color w:val="111111"/>
          <w:sz w:val="28"/>
          <w:sz w:val="28"/>
          <w:szCs w:val="28"/>
          <w:rtl w:val="true"/>
          <w:lang w:bidi="ar-SA"/>
        </w:rPr>
        <w:t>لسهولة أسباب الاستخراج في هذا الزمان، حتّى أنّه يمكن معرفة قبلة عامّة البلاد بتوسّط القوّة البرقية من التلكراف، و ذلك لأنّ الشمس في كلّ سنة تسامت رءوس أهل مكّة بيومين، و هما اليوم الثامن من الجوزاء و الثاني و العشرين من السرطان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فالشمس في هذين اليومين هي فوق الكعبة، و لذا يعدم الظلّ فيها في هذين اليومين كما تقدّم في باب المواقيت، فلو عرف أول الزوال في مكّة و هو آن انعدام الظلّ فيها يكون الظلّ الشاخص في كلّ بلد من البلاد في ذلك الآن مواجها للكعبة لا محالة، بحيث لو اخرج من ذلك الظلّ خطّا مستقيما لاتّصل بالكعبة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فالمعيار في قبلة كلّ بلد هو المواجهة إلى ظلّ ذلك البلد في آن زوال مكّة في يوم يعدم فيها الظلّ، و معرفة آن زوال مكّة في كلّ بلد بمكان من الإمكان بتوسّط القوّة البرقية من التلكراف، و هذا المعنى أضبط شي‌ء في معرفة القبلة في جميع الأقاليم و البلدان</w:t>
      </w:r>
      <w:r>
        <w:rPr>
          <w:rFonts w:eastAsia="Amiri" w:cs="Amiri" w:ascii="Amiri" w:hAnsi="Amiri"/>
          <w:color w:val="111111"/>
          <w:sz w:val="28"/>
          <w:szCs w:val="28"/>
          <w:rtl w:val="true"/>
          <w:lang w:bidi="ar-SA"/>
        </w:rPr>
        <w:t>.</w:t>
      </w:r>
      <w:bookmarkStart w:id="144" w:name="pg19820_206582"/>
    </w:p>
    <w:p>
      <w:pPr>
        <w:pStyle w:val="BookText"/>
        <w:rPr/>
      </w:pPr>
      <w:bookmarkEnd w:id="144"/>
      <w:r>
        <w:rPr>
          <w:rFonts w:ascii="Amiri" w:hAnsi="Amiri" w:eastAsia="Amiri" w:cs="Amiri"/>
          <w:color w:val="111111"/>
          <w:sz w:val="28"/>
          <w:sz w:val="28"/>
          <w:szCs w:val="28"/>
          <w:rtl w:val="true"/>
          <w:lang w:bidi="ar-SA"/>
        </w:rPr>
        <w:t>و في المقام طريق آخر لا يحتاج إلى القوّة البرقية إذا علم مقدار تفاوت البلد مع مكّة في الطول، كما استخرجه المحقّق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نقل، و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اليوم الذي يعدم الظلّ فيه في مكّة تكون الشمس في أول الزوال في دائرة نصف النهار، و التفاوت بين نصف النهار في كلّ بلد و نصف نهار مكّة بقدر الفصل بين طوليهما، لأنّ كلّ بلد كان طوله أقلّ من مكّة يتأخّر الظهر فيه عن مكة، و كلّ بلد كان طوله أكثر من مكّة يتقدّم الزوال فيه عن مكّة، لأنّه يكون حينئذ أبعد عن المغرب و أقرب إلى المشرق، فإذا علم مقدار طول البلد و مقدار طول مكّة فالتفاوت بينهما بكلّ درجة مقابل لمقدار أربع دقائق، لأنّه لو قسّم ثلاثمائة و ستّين درجة على أربع و عشرين ساعة فلكلّ خمس عشرة درجة ساعة و لكلّ درجة أربع دقائق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فلو كان طول مكّة عشرين درجة و طول البلد خمسة و عشرين فيصير زوال البلد عشرين دقيقة قبل زوال مكّة، فبعد مضي عشرين دقيقة من زوال البلد إذا جعل المصلّي ظلّ الشاخص بين قدميه و توجّه إليه يكون متوجّها إلى القبلة لا محالة، لأنّ الشمس في هذا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 مضي عشرين دقيقة من زوال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مسامتة لرءوس أهل مكة و فوق الكعبة، فالمتوجّه إلى الظلّ يكون متوجّها إلى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انعكس الفرض بأن كان طول البلد عشرين و طول مكة خمس و عشرين، فيصير زوال البلد بعد زوال مكّة بعشرين دقيقة، فالعبرة حينئذ بمواجهة الظلّ في ذلك الحال، فتأمّل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العبرة إنّما هو بمعرفة القبلة بأيّ طريق ممكن،</w:t>
      </w:r>
    </w:p>
    <w:p>
      <w:pPr>
        <w:pStyle w:val="Heading6"/>
        <w:numPr>
          <w:ilvl w:val="5"/>
          <w:numId w:val="1"/>
        </w:numPr>
        <w:rPr/>
      </w:pPr>
      <w:bookmarkStart w:id="145" w:name="__RefHeading___Toc3360062_2314609296"/>
      <w:bookmarkStart w:id="146" w:name="_Toc58"/>
      <w:bookmarkEnd w:id="145"/>
      <w:r>
        <w:rPr>
          <w:rtl w:val="true"/>
        </w:rPr>
        <w:t>و معرفة ذلك لها طرق متعدّدة</w:t>
      </w:r>
      <w:r>
        <w:rPr>
          <w:rtl w:val="true"/>
        </w:rPr>
        <w:t>.</w:t>
      </w:r>
      <w:bookmarkEnd w:id="146"/>
    </w:p>
    <w:p>
      <w:pPr>
        <w:pStyle w:val="Heading6"/>
        <w:numPr>
          <w:ilvl w:val="5"/>
          <w:numId w:val="1"/>
        </w:numPr>
        <w:rPr/>
      </w:pPr>
      <w:bookmarkStart w:id="147" w:name="__RefHeading___Toc3360064_2314609296"/>
      <w:bookmarkStart w:id="148" w:name="_Toc59"/>
      <w:bookmarkEnd w:id="147"/>
      <w:r>
        <w:rPr>
          <w:rtl w:val="true"/>
        </w:rPr>
        <w:t>منها</w:t>
      </w:r>
      <w:r>
        <w:rPr>
          <w:rtl w:val="true"/>
        </w:rPr>
        <w:t xml:space="preserve">: </w:t>
      </w:r>
      <w:r>
        <w:rPr>
          <w:rtl w:val="true"/>
        </w:rPr>
        <w:t>محراب صلّى فيه معصوم عليه السّلام</w:t>
      </w:r>
      <w:bookmarkEnd w:id="14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كأحد المحاريب للمساجد الأربعة،</w:t>
      </w:r>
      <w:bookmarkStart w:id="149" w:name="pg19820_206583"/>
    </w:p>
    <w:p>
      <w:pPr>
        <w:pStyle w:val="BookText"/>
        <w:rPr/>
      </w:pPr>
      <w:bookmarkEnd w:id="149"/>
      <w:r>
        <w:rPr>
          <w:rFonts w:ascii="Amiri" w:hAnsi="Amiri" w:eastAsia="Amiri" w:cs="Amiri"/>
          <w:color w:val="111111"/>
          <w:sz w:val="28"/>
          <w:sz w:val="28"/>
          <w:szCs w:val="28"/>
          <w:rtl w:val="true"/>
          <w:lang w:bidi="ar-SA"/>
        </w:rPr>
        <w:t>و لكن بشرط العلم ببقاء المحراب على هيئته التي جعلها المعصوم عليه السّلام من دون أن يتغيّر، و هذا الشرط مفقود في هذا الزمان لكثرة التغيّرات، خصوصا في محراب مسجد الكوفة على ما نقل</w:t>
      </w:r>
      <w:r>
        <w:rPr>
          <w:rFonts w:eastAsia="Amiri" w:cs="Amiri" w:ascii="Amiri" w:hAnsi="Amiri"/>
          <w:color w:val="111111"/>
          <w:sz w:val="28"/>
          <w:szCs w:val="28"/>
          <w:rtl w:val="true"/>
          <w:lang w:bidi="ar-SA"/>
        </w:rPr>
        <w:t>.</w:t>
      </w:r>
    </w:p>
    <w:p>
      <w:pPr>
        <w:pStyle w:val="Heading6"/>
        <w:numPr>
          <w:ilvl w:val="5"/>
          <w:numId w:val="1"/>
        </w:numPr>
        <w:rPr/>
      </w:pPr>
      <w:bookmarkStart w:id="150" w:name="__RefHeading___Toc3360066_2314609296"/>
      <w:bookmarkStart w:id="151" w:name="_Toc60"/>
      <w:bookmarkEnd w:id="150"/>
      <w:r>
        <w:rPr>
          <w:rtl w:val="true"/>
        </w:rPr>
        <w:t>و منها</w:t>
      </w:r>
      <w:r>
        <w:rPr>
          <w:rtl w:val="true"/>
        </w:rPr>
        <w:t xml:space="preserve">: </w:t>
      </w:r>
      <w:r>
        <w:rPr>
          <w:rtl w:val="true"/>
        </w:rPr>
        <w:t>قبر المعصوم عليه السّلام</w:t>
      </w:r>
      <w:bookmarkEnd w:id="151"/>
    </w:p>
    <w:p>
      <w:pPr>
        <w:pStyle w:val="BookText"/>
        <w:rPr/>
      </w:pPr>
      <w:r>
        <w:rPr>
          <w:rFonts w:ascii="Amiri" w:hAnsi="Amiri" w:eastAsia="Amiri" w:cs="Amiri"/>
          <w:color w:val="111111"/>
          <w:sz w:val="28"/>
          <w:sz w:val="28"/>
          <w:szCs w:val="28"/>
          <w:rtl w:val="true"/>
          <w:lang w:bidi="ar-SA"/>
        </w:rPr>
        <w:t>بالشرط المذكور</w:t>
      </w:r>
      <w:r>
        <w:rPr>
          <w:rFonts w:eastAsia="Amiri" w:cs="Amiri" w:ascii="Amiri" w:hAnsi="Amiri"/>
          <w:color w:val="111111"/>
          <w:sz w:val="28"/>
          <w:szCs w:val="28"/>
          <w:rtl w:val="true"/>
          <w:lang w:bidi="ar-SA"/>
        </w:rPr>
        <w:t>.</w:t>
      </w:r>
    </w:p>
    <w:p>
      <w:pPr>
        <w:pStyle w:val="Heading6"/>
        <w:numPr>
          <w:ilvl w:val="5"/>
          <w:numId w:val="1"/>
        </w:numPr>
        <w:rPr/>
      </w:pPr>
      <w:bookmarkStart w:id="152" w:name="__RefHeading___Toc3360068_2314609296"/>
      <w:bookmarkStart w:id="153" w:name="_Toc61"/>
      <w:bookmarkEnd w:id="152"/>
      <w:r>
        <w:rPr>
          <w:rtl w:val="true"/>
        </w:rPr>
        <w:t>و منها</w:t>
      </w:r>
      <w:r>
        <w:rPr>
          <w:rtl w:val="true"/>
        </w:rPr>
        <w:t xml:space="preserve">: </w:t>
      </w:r>
      <w:r>
        <w:rPr>
          <w:rtl w:val="true"/>
        </w:rPr>
        <w:t>العلائم المنصوبة لذلك من مهرة أهل الفنّ</w:t>
      </w:r>
      <w:bookmarkEnd w:id="153"/>
    </w:p>
    <w:p>
      <w:pPr>
        <w:pStyle w:val="BookText"/>
        <w:rPr/>
      </w:pPr>
      <w:r>
        <w:rPr>
          <w:rFonts w:ascii="Amiri" w:hAnsi="Amiri" w:eastAsia="Amiri" w:cs="Amiri"/>
          <w:color w:val="111111"/>
          <w:sz w:val="28"/>
          <w:sz w:val="28"/>
          <w:szCs w:val="28"/>
          <w:rtl w:val="true"/>
          <w:lang w:bidi="ar-SA"/>
        </w:rPr>
        <w:t>، كوضع الجدي كذا و وضع سهيل كذا، و أمثال ذلك ممّا هو مذكور في الكتب المبسوطة، فإنّ الإنصاف أنّ هذه العلائم علائم متقنة استخرجها مهرة أهل الفنّ، فهي إن لم تكن مفيدة للعلم فلا أقلّ من إفادتها الاطمئنان الملحق بالعلم المعبّر عنه بالعلم العادي في بعض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أنّه ليس في الأخبار علامة تعبّدية لمعرفة القبلة، و إنّما ورد بعض الأخبار في خصوص الجدي، كقوله عليه السّلام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اجعله على يمينك، و إذا كنت في طريق مكّة فاجعله بين كتفيك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الجدي في قفاك و صلّ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من المعلوم أنّه لا يمكن الأخذ بإطلاق هذه الأخبار، فإنّ جعل الجدي على القفا لا يكون مطّردا في جميع البلدان، بل هو مقصور بما إذا كان قبلة البلد نقطة الجنوب، و كذا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كنت في طريق الحجّ فاجعله بين كتفيك</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فيما بأيدينا من الأخبار ما يدلّ على جعل الشارع شيئا خاصّا علامة للقبلة تكون مطّردة في جميع البلدان، فلا بدّ حينئذ من الرجوع إلى العلامات المستخرجة من الهيئة، و قد عرفت أنّها أمور مضبوطة من شأنها أن تفيد</w:t>
      </w:r>
    </w:p>
    <w:p>
      <w:pPr>
        <w:pStyle w:val="BookText"/>
        <w:rPr/>
      </w:pPr>
      <w:r>
        <w:rPr>
          <w:rFonts w:ascii="Amiri" w:hAnsi="Amiri" w:eastAsia="Amiri" w:cs="Amiri"/>
          <w:color w:val="111111"/>
          <w:sz w:val="28"/>
          <w:sz w:val="28"/>
          <w:szCs w:val="28"/>
          <w:rtl w:val="true"/>
          <w:lang w:bidi="ar-SA"/>
        </w:rPr>
        <w:t>العلم، و على تقدير عدم إفادتها للعلم فلا أقلّ من إفادتها الظنّ، و سيأتي أنّه حجّة عند تعذّر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التعويل على العلامات المذكورة في كتب القوم مع أنّها بنفسها مختلفة لا يمكن الجمع بينها؟ و الاختلاف في ذلك يكون أقوى شاهدا على اشتباههم، و كيف يتصوّر الجمع بين جعل الجدي خلف المنكب الأيمن مع جعل المغرب و المشرق الاعتداليّان على اليمين و الشمال؟ فإنّ جعل المشرق و المغرب كذلك يقتضي مقابلة نقطة الجنوب، و جعل الجدي كذلك يقتضي الانحراف عنه إلى المغرب بما يقرب من اثني عشرة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الاختلاف إنّما هو لأجل ما ذهبوا إليه من التوسعة في جهة القبلة بحيث لا يضرّ هذا المقدار من الزيادة و النقيصة في الانحراف، و الشاهد على ذلك أنّه جمع بين هذين العلامتين من هو أستاذ الفنّ الذي لا يمكن في حقّه الاشتباه كالعلّامة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من هذا أنّ ذلك لا يكون إلّا من جهة التوسعة في جهة القبلة عندهم، و هذا المقدار من التفاوت لا يوجب الخروج عن الجهة بالمعنى الذي ذكرناه، و لا يكون شاهدا على أنّ المراد من الجهة هو السمت و الطرف مع عدم اتّصال خطّ من المصلّي إلى الكعبة،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لا بدّ من الرجوع إلى العلائم التي ذكرها أهل الهيئة لمعرفة القبلة، فإنّ هذا هو المتيسّر للبعيد، نعم حيث كان قدماء أهل الهيئة مختلفين مع المتجدّدين في تشخيص طول البلاد و عرضها و مقدار الانحراف، حتّى نقل أنّ القدماء ذهبوا إلى انحراف قبلة النجف الأشرف من الجنوب إلى المغرب بمقدار اثني عشرة درجة، و المتجدّدون ذهبوا إلى أنّ الانحراف بمقدار ثمانية درجات، فلا بدّ حينئذ من الأخذ بالاحتياط و المتوسّط بين القولين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سابقا أنّ العلامات المنصوصة في الأخبار لا يمكن الأخذ بإطلاقها</w:t>
      </w:r>
    </w:p>
    <w:p>
      <w:pPr>
        <w:pStyle w:val="BookText"/>
        <w:rPr/>
      </w:pPr>
      <w:r>
        <w:rPr>
          <w:rFonts w:ascii="Amiri" w:hAnsi="Amiri" w:eastAsia="Amiri" w:cs="Amiri"/>
          <w:color w:val="111111"/>
          <w:sz w:val="28"/>
          <w:sz w:val="28"/>
          <w:szCs w:val="28"/>
          <w:rtl w:val="true"/>
          <w:lang w:bidi="ar-SA"/>
        </w:rPr>
        <w:t>و حملها على التعبّد طابقت الكعبة أو لم تطابق، و ما ورد في صحيح زرارة عن الباقر عليه السّلام لا صلاة إلّا إلى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حدّ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المغرب و المشرق قبلة كلّه </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صريحا في جواز التوجّه إلى أيّ نقطة ممّا بين المغرب و المشرق اختيارا، لاحتمال أن يكون السؤال عن حدّ القبلة هو الحدّ الذي إذا صلّى الإنسان فيه تكون صلاته صحيحة و لو في الجملة و في بعض الأوقات، كما إذا تبيّن له الخطأ بعد الجهد و أنّ صلاته لم تكن على جهة القبلة، فإنّ في هذا الحال تصحّ الصلاة إذا كانت بين المشرق و المغرب و لم يكن مستدبرا للقبلة، كما هو رأي المعظم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السؤال عن حدّ القبلة هو الحدّ الذي يجوز إيقاع الصلاة فيه اختيارا، و يمكن أن يختصّ ببعض الأحوال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يبعد المعنى الأول هو أنّه من المستبعد جدّا أن يختفي لمثل زرارة حدّ القبلة مع وروده في الكتاب العزيز بقوله تعالى فَوَلِّ وَجْهَكَ شَطْرَ الْمَسْجِدِ الْحَرٰامِ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المحتمل أن يكون جهة السؤال هو المعنى الثاني،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يمكن أن يكون المعنى أنّ ما بين المغرب و المشرق قبلة كلّه لكن لا لكلّ أحد بل تختلف الأشخاص في ذلك، فربّ شخص تكون قبلته منحرفة عن المغرب بقليل، و ربّ شخص يكون انحرافه أزيد و كذا إلى أن يصل إلى حدّ يكون قبلة الشخص ممّا تقرب المشرق، و هذا الاختلاف إنما ينشأ من اختلاف البلدان في الطول و العرض، فما بين المغرب و المشرق كلّه قبلة على حسب اختلاف البلاد، فتأمّل و على كلّ تقدير لا يمكن الأخذ بإطلاق الصحيحة و القول بجواز استقبال أيّ نقطة ممّا بين المغرب و المشرق، هذا مع أنّه يمكن أن يدّعى الإجماع على خلافه،</w:t>
      </w:r>
    </w:p>
    <w:p>
      <w:pPr>
        <w:pStyle w:val="BookText"/>
        <w:rPr/>
      </w:pPr>
      <w:r>
        <w:rPr>
          <w:rFonts w:ascii="Amiri" w:hAnsi="Amiri" w:eastAsia="Amiri" w:cs="Amiri"/>
          <w:color w:val="111111"/>
          <w:sz w:val="28"/>
          <w:sz w:val="28"/>
          <w:szCs w:val="28"/>
          <w:rtl w:val="true"/>
          <w:lang w:bidi="ar-SA"/>
        </w:rPr>
        <w:t>و إن نسب الخلاف إلى من لا يضرّ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من جملة العلامات لأهل العراق جعل القمر ليلة السابع عند الغروب على العين اليمنى، و جعله كذلك عند انتصاف اللّيل في اللّيلة الرابع عشر، و جعله كذلك أيضا عند الفجر في اللّيلة الإحدى و العشرين </w:t>
      </w:r>
      <w:r>
        <w:rPr>
          <w:rStyle w:val="FootnoteAnchor"/>
          <w:rtl w:val="true"/>
        </w:rPr>
        <w:footnoteReference w:id="251"/>
      </w:r>
      <w:r>
        <w:rPr>
          <w:rFonts w:ascii="Amiri" w:hAnsi="Amiri" w:eastAsia="Amiri" w:cs="Amiri"/>
          <w:color w:val="111111"/>
          <w:sz w:val="28"/>
          <w:sz w:val="28"/>
          <w:szCs w:val="28"/>
          <w:rtl w:val="true"/>
          <w:lang w:bidi="ar-SA"/>
        </w:rPr>
        <w:t>و لكن قال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جرّبت ذلك في اللّيلة السابعة فرأيت في ذلك اختلافا بحسب اختلاف الشهور بالنقص و التمام،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لا بدّ من معرفة القبلة و العلم بها مع التمكّن كما هو الشأن في جميع الشرائط، و لا يعتبر في العلم حصوله من سبب خاصّ بل من أيّ سبب حصل، و مع عدم التمكّن من العلم لا بدّ إلى التنزّل إلى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يقع الكلام في أنّه مع التعذّر من تحصيل العلم هل يجوز التعويل على مطلق الظنّ، أو أنّ مرتبة الأخذ بالعلامات المنصوبة المستخرجة من الهيئة مقدّمة رتبة على الظنّ المطلق على تقدير عدم إفادتها للعلم؟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العلامات مع عدم إفادتها للعلم تكون في عرض الظنّ المطلق و لا وجه لتقدّمها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الإنصاف أنّه ليس كذلك، فإنّ العلامات على فرض تسليم عدم إفادتها للعلم ليست في رتبة الظنّ المطلق، إذ لا إشكال في كونها منضبطة في نوعها مستخرجة من أساس مستحكم مفيدة للاطمئنان غالبا، فهي مقدّمة على الظنّ المطلق كتقدّم البيّنة عليه أيضا، لما عرفت من عموم حجّية البيّنة في باب المواقيت، و أنّها لا تختصّ بباب الترافع و ما كان الشكّ فيه من جهة الحلّية و الحرمة الذاتيّان، كما ربّما يتوهّم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الأشياء كلها على ذلك حتّى يستبين أو تقوم به البيّنة </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قد تقدّم أنّ ورودها في ذلك لا يوجب الاختصاص</w:t>
      </w:r>
    </w:p>
    <w:p>
      <w:pPr>
        <w:pStyle w:val="BookText"/>
        <w:rPr/>
      </w:pPr>
      <w:r>
        <w:rPr>
          <w:rFonts w:ascii="Amiri" w:hAnsi="Amiri" w:eastAsia="Amiri" w:cs="Amiri"/>
          <w:color w:val="111111"/>
          <w:sz w:val="28"/>
          <w:sz w:val="28"/>
          <w:szCs w:val="28"/>
          <w:rtl w:val="true"/>
          <w:lang w:bidi="ar-SA"/>
        </w:rPr>
        <w:t>فالأقوى أنّ البيّنة في عرض العلم مقدّمة في الرتبة على الظنّ المطلق، لأنّ الظنّ متأخّر عن العلم، و المفروض أنّ البيّنة في عرض العلم لعدم تقييد في دليل حجّيتها، فيكون الظنّ متأخّرا عن البيّنة أيضا، و لا يعقل أن يكون ما في طول الشي‌ء في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قامت عنده البيّنة يكون عارفا بالقبلة بالتعبّد، فيخرج عن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أخذ موضوعا لحجّية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خصوص المقام إشكال و هو أنّ حجّية البيّنة في الموضوعات كحجّية الخبر الواحد في الأحكام مقصورة بما إذا كان الإخبار عن حسّ و شهود لا الحدس و الاجتهاد، و هذا المعنى في باب الإخبار عن القبلة منسدّ، لأنّ مستند الشهود إمّا الاجتهاد و هو حدسي، و إمّا العلامات المنصوبة المأخوذة من الهيئة و هي أيضا حدسية، فلا يجوز التعويل على البيّنة في أمثال المقام </w:t>
      </w:r>
      <w:r>
        <w:rPr>
          <w:rStyle w:val="FootnoteAnchor"/>
          <w:rtl w:val="true"/>
        </w:rPr>
        <w:footnoteReference w:id="253"/>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يخفى عليك ضعف الإشكال، فإنّ العلامات المستخرجة من الهيئة ليست حدسية، لأن الضابط في الأمور الحدسية هو أن يكون ذلك بإعمال نظر و اجتهاد، و استعمال المقدّمات النظرية و الأقيسة الاجتهادية لاستنتاج المطالب، كاستنتاج الفقيه الحكم الشرعي من الأدلة بحسب ما يفهمه منها، و من المعلوم أن علم الهيئة ليس من هذا القبيل، بل هو كعلم الحساب مأخوذ من مبادئ حسّية و مقدمات مشهورة، بداهة أن معرفة طول البلاد و عرضها من الأمور الحسية التي يعرفها كلّ من كان أهلا لها، و مجرّد عدم معرفة كلّ أحد لها لا يخرجها عن الحسّية، فهو من قبيل معرفة الصائغ مقدار الغش في الذهب و معرفة المقوّم مقدار</w:t>
      </w:r>
    </w:p>
    <w:p>
      <w:pPr>
        <w:pStyle w:val="BookText"/>
        <w:rPr/>
      </w:pPr>
      <w:r>
        <w:rPr>
          <w:rFonts w:ascii="Amiri" w:hAnsi="Amiri" w:eastAsia="Amiri" w:cs="Amiri"/>
          <w:color w:val="111111"/>
          <w:sz w:val="28"/>
          <w:sz w:val="28"/>
          <w:szCs w:val="28"/>
          <w:rtl w:val="true"/>
          <w:lang w:bidi="ar-SA"/>
        </w:rPr>
        <w:t>قيمة الدار، و هل يمكن ان يدّعي أحد أنّ معرفة الصائغ مقدار الغشّ يكون حدسيّا 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الضابط في الحسّيات أن تكون مأخوذة من مباد حسّية و إن احتاجت إلى إعمال نظر في استخراجات المحسوسات، إذ ليس كلّ محسوس مشاهدا بالبصر، بداهة أنّ معرفة هذا الحامض و أنّه من ماء النارنج أو الحصرم يحتاج إلى إعمال نظر مع أنّه من المحسوسات، فالقول بأنّ علم الهيئة مبنيّ على الحدسيّات في غاية الوهن و السخافة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لا إشكال في حجّية البيّنة إذا كان مستندها العلائم المنصوبة المستخرجة من الهيئة، نعم لو كان مستندها أمورا أخر اجتهادية تكون حينئذ في عرض الظنّ المطلق إذا أفاد من قولها الظنّ، و لا وجه حينئذ لتقدّمها عن الظنّ الحاصل باجتهاد نفس المكلّف كما لا يخفى</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و العلائم و البيّنة تكون في عرض واحد و مقدّمة على الظنّ المطلق، كما أنّها مقدّمة على الامتثال الإجمالي من الصلاة إلى أربع جهات، بناء على أنّ الامتثال التفصيلي مقدّم على الامتثال الإجمالي كما بيّن في محلّه، و كما أنّ البيّنة تكون مقدّمة على الامتثال الإجمالي كذلك الظنّ الحاصل بالاجتهاد في مورد اعتباره يكون مقدما على الامتثال الإجمالي، لأنّ الظنّ يكون حينئذ حجة شرعية، و الامتثال به يكون امتثالا تفصيلا فيقدّم على الامتثال الإجمالي و ما يظهر من خبر خراش </w:t>
      </w:r>
      <w:r>
        <w:rPr>
          <w:rStyle w:val="FootnoteAnchor"/>
          <w:rtl w:val="true"/>
        </w:rPr>
        <w:footnoteReference w:id="254"/>
      </w:r>
      <w:r>
        <w:rPr>
          <w:rFonts w:ascii="Amiri" w:hAnsi="Amiri" w:eastAsia="Amiri" w:cs="Amiri"/>
          <w:color w:val="111111"/>
          <w:sz w:val="28"/>
          <w:sz w:val="28"/>
          <w:szCs w:val="28"/>
          <w:rtl w:val="true"/>
          <w:lang w:bidi="ar-SA"/>
        </w:rPr>
        <w:t>من نفي اعتبار الاجتهاد و أنّ الحكم عند تعذّر</w:t>
      </w:r>
    </w:p>
    <w:p>
      <w:pPr>
        <w:pStyle w:val="BookText"/>
        <w:rPr/>
      </w:pPr>
      <w:r>
        <w:rPr>
          <w:rFonts w:ascii="Amiri" w:hAnsi="Amiri" w:eastAsia="Amiri" w:cs="Amiri"/>
          <w:color w:val="111111"/>
          <w:sz w:val="28"/>
          <w:sz w:val="28"/>
          <w:szCs w:val="28"/>
          <w:rtl w:val="true"/>
          <w:lang w:bidi="ar-SA"/>
        </w:rPr>
        <w:t>العلم هو الصلاة إلى أربع جهات فمأوّل أو مطروح، لما سيمرّ عليك إن شاء اللّٰه من صراحة الأخبار في أنّ الحكم عند تعذّر العلم هو التحرّي و الاجتهاد و العمل بما أدى إليه اجتهاده، و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صراحتها و صحّتها و عمل المشهور عليها، لا يمكن طرحها لأجل خبر يحتاج العمل به إلى جابر مفقود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ليس بصريح في نفي الاجتهاد و الأخذ بالظنّ عند تعذّر العلم، بل لا ظهور فيه لاحتمال أن يكون المراد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كما يقولون إذا كان ذلك فليصلّ إلى أربع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ليس كما يزعمون من أنّه لو غمت عليه الأمارات و لم يمكن الاجتهاد و التحرّي صلّى إلى أيّ جهة شاء، بل يعتبر أن يصلّي حينئذ إلى أربع جهات، و يحتمل أن يكون المراد من الاجتهاد في كلام السائل هو العمل بالرأي و الاستحسان من دون أن يكون ذلك بتحرّي و استناد إلى أمارة مفيدة للظنّ، و هذا المعنى من الاجتهاد ليس بمعتبر عندنا، و لا يجوز التعويل عليه عند فقد العلم، بل لا بدّ حينئذ من الصلاة إلى أربع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إمّا من طرح الخبر و إمّا من تأويله، لعدم مقاومته لما دلّ من أنّ الحكم عند تعذّر العلم هو التحرّي و الاجتهاد، و أنّ ذلك مقدّم على الصلاة إلى أربع جهات، كقوله عليه السّلام في 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التحرّي أبدا إذ لم يعلم أين وجه القبلة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كموثق سماعة سألته عن الصلاة باللّيل و النهار إذا لم ير الشمس و القمر و لا النجوم،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اجتهد رأيك و تعمّد القبلة جهدك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النصوص الدالّة على اعتبار الاجتهاد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يخفى عليك أنّه لا فرق فيما ذكرناه من وجوب التحرّي و الاجتهاد عند</w:t>
      </w:r>
    </w:p>
    <w:p>
      <w:pPr>
        <w:pStyle w:val="BookText"/>
        <w:rPr/>
      </w:pPr>
      <w:r>
        <w:rPr>
          <w:rFonts w:ascii="Amiri" w:hAnsi="Amiri" w:eastAsia="Amiri" w:cs="Amiri"/>
          <w:color w:val="111111"/>
          <w:sz w:val="28"/>
          <w:sz w:val="28"/>
          <w:szCs w:val="28"/>
          <w:rtl w:val="true"/>
          <w:lang w:bidi="ar-SA"/>
        </w:rPr>
        <w:t>فقد العلم بين الأعمى و غيره، و ما في بعض الكلمات من أنّ الأعمى يقلّد ليس المراد منه التقليد الاصطلاحي الذي هو عبارة عن الأخذ بقول الغير تعبّدا و بلا دليل، بل المراد منه هو أنّ الأعمى إذا لم يتمكّن من تحصيل العلم و كان المورد مورد الاجتهاد و التحرّي يسأل عن الغير و يأخذ بقوله، لكن لا مطلقا بل إذ حصل له الظنّ من قوله، لأنّ هذا هو التحرّي الممكن في حقّ الأعمى غالبا، فإنّه لا دليل على اعتبار التقليد في الموضوعات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ورد </w:t>
      </w:r>
      <w:r>
        <w:rPr>
          <w:rStyle w:val="FootnoteAnchor"/>
          <w:rtl w:val="true"/>
        </w:rPr>
        <w:footnoteReference w:id="257"/>
      </w:r>
      <w:r>
        <w:rPr>
          <w:rFonts w:ascii="Amiri" w:hAnsi="Amiri" w:eastAsia="Amiri" w:cs="Amiri"/>
          <w:color w:val="111111"/>
          <w:sz w:val="28"/>
          <w:sz w:val="28"/>
          <w:szCs w:val="28"/>
          <w:rtl w:val="true"/>
          <w:lang w:bidi="ar-SA"/>
        </w:rPr>
        <w:t>في بعض الروايات من أنّ الأعمى إذا لم يعرف القبلة يرى من يسدّده إليها و يوجّهه نحوها ليس المراد من التقليد، بل المراد منه أنّه يرى من يعرّفه القبلة حتّى يصلّي نحوها، فهذه الروايات تدلّ على وجوب تحصيل العلم على الأعمى إذا كانت القبلة معلومة مشخّصة عند الناس، و هذا ممّا لا كلام فيه، فإنّه لو كانت القبلة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في 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الأعمى تحصيل العلم بها و لو بالسؤال، و ليس في مثل هذا موقع للاجتهاد و التحرّي، لأنّ الظاهر من أخبار التحرّي إنّما هو فيما إذا لم تكن القبلة معلومة مشخصّة كيوم غيم و أمثال ذلك، و أمّا إذا كانت القبلة معلومة غاية الأمر أنّ الأعمى لخصوص عماه لم يعرف القبلة فليس هذا مورد التحرّي و الاجتهاد، بل يجب عليه أولا السؤال حتّى يحصل له العلم، و مع فرض عدم حصوله يصلّي إلى أربع جهات و لا عبرة بالظنّ حينئذ، بل غير الأعمي أيضا كذلك</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المقام دعويين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عند فقد العلم هو الاجتهاد و التحرّي، سواء في ذلك الأعمى و غيره، و لا عبرة بالتقليد و لا دليل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الاجتهاد و التحرّي إنّما هو فيما إذا لم تكن القبلة معلومة، كما إذا</w:t>
      </w:r>
    </w:p>
    <w:p>
      <w:pPr>
        <w:pStyle w:val="BookText"/>
        <w:rPr/>
      </w:pPr>
      <w:r>
        <w:rPr>
          <w:rFonts w:ascii="Amiri" w:hAnsi="Amiri" w:eastAsia="Amiri" w:cs="Amiri"/>
          <w:color w:val="111111"/>
          <w:sz w:val="28"/>
          <w:sz w:val="28"/>
          <w:szCs w:val="28"/>
          <w:rtl w:val="true"/>
          <w:lang w:bidi="ar-SA"/>
        </w:rPr>
        <w:t xml:space="preserve">كان يوم غيم بحيث لم ير الشمس و القمر كما هو مورد الأخبار </w:t>
      </w:r>
      <w:r>
        <w:rPr>
          <w:rStyle w:val="FootnoteAnchor"/>
          <w:rtl w:val="true"/>
        </w:rPr>
        <w:footnoteReference w:id="258"/>
      </w:r>
      <w:r>
        <w:rPr>
          <w:rFonts w:ascii="Amiri" w:hAnsi="Amiri" w:eastAsia="Amiri" w:cs="Amiri"/>
          <w:color w:val="111111"/>
          <w:sz w:val="28"/>
          <w:sz w:val="28"/>
          <w:szCs w:val="28"/>
          <w:rtl w:val="true"/>
          <w:lang w:bidi="ar-SA"/>
        </w:rPr>
        <w:t>، و أمّا إذا كانت القبلة معلومة و لم يكن مانع من ملاحظة العلامات المنصوبة لمعرفتها فليس هذا مورد الاجتهاد و التحرّي، بل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 مع التعذّر لمانع شخصي كالعمى فالصلاة إلى أربع جهات، و لا فرق في ذلك أيضا بين الأعمى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لمعرفة القبلة مرتبتين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 ما يلحق به من الأمارات و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 و الاجتهاد و الأخذ بالأحرى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فقد المرتبتان جميعا فاللّازم هو الصلاة إلى أربع جهات كما عليه المعظم، 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على الإجماع المحكيّ في عدّة من كتب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خداش </w:t>
      </w:r>
      <w:r>
        <w:rPr>
          <w:rStyle w:val="FootnoteAnchor"/>
          <w:rtl w:val="true"/>
        </w:rPr>
        <w:footnoteReference w:id="259"/>
      </w:r>
      <w:r>
        <w:rPr>
          <w:rFonts w:ascii="Amiri" w:hAnsi="Amiri" w:eastAsia="Amiri" w:cs="Amiri"/>
          <w:color w:val="111111"/>
          <w:sz w:val="28"/>
          <w:sz w:val="28"/>
          <w:szCs w:val="28"/>
          <w:rtl w:val="true"/>
          <w:lang w:bidi="ar-SA"/>
        </w:rPr>
        <w:t>المتقدّم، و هو و إن اشتمل على ما لا يقول به المشهور من نفي الاجتهاد إلّا أنّه قد عرفت الجواب عن ذلك، مع أنّ المشهور أخذوا به فيما نحن فيه، إذ الظاهر أنّه ليس لهم مستند في الصلاة إلى أربع جهات سواه، و إن حكي عن الكافي و الفقيه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المتحيّر يصلّي إلى أربع جوانب كما عن الأول </w:t>
      </w:r>
      <w:r>
        <w:rPr>
          <w:rStyle w:val="FootnoteAnchor"/>
          <w:rtl w:val="true"/>
        </w:rPr>
        <w:footnoteReference w:id="260"/>
      </w:r>
      <w:r>
        <w:rPr>
          <w:rFonts w:ascii="Amiri" w:hAnsi="Amiri" w:eastAsia="Amiri" w:cs="Amiri"/>
          <w:color w:val="111111"/>
          <w:sz w:val="28"/>
          <w:sz w:val="28"/>
          <w:szCs w:val="28"/>
          <w:rtl w:val="true"/>
          <w:lang w:bidi="ar-SA"/>
        </w:rPr>
        <w:t xml:space="preserve">، و أنّه قد روي فيمن لا يهتدي إلى القبلة في مفازة أن يصلّي إلى أربع جوانب كما عن الثاني </w:t>
      </w:r>
      <w:r>
        <w:rPr>
          <w:rStyle w:val="FootnoteAnchor"/>
          <w:rtl w:val="true"/>
        </w:rPr>
        <w:footnoteReference w:id="261"/>
      </w:r>
      <w:r>
        <w:rPr>
          <w:rFonts w:ascii="Amiri" w:hAnsi="Amiri" w:eastAsia="Amiri" w:cs="Amiri"/>
          <w:color w:val="111111"/>
          <w:sz w:val="28"/>
          <w:sz w:val="28"/>
          <w:szCs w:val="28"/>
          <w:rtl w:val="true"/>
          <w:lang w:bidi="ar-SA"/>
        </w:rPr>
        <w:t>، و قد استفاد بعض الأعلام أنّ هاتين الروايتين غير مرسل خداش و ليس بكلّ البعيد، و على أيّ حال يكفي دليلا لما نحن فيه مرسل خداش بعد جبره بعمل المشهور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يكون مقدّما على ما دلّ من أنّ الحكم عند التحيّر هو الصلاة إلى جهة</w:t>
      </w:r>
      <w:bookmarkStart w:id="154" w:name="pg19820_206592"/>
    </w:p>
    <w:p>
      <w:pPr>
        <w:pStyle w:val="BookText"/>
        <w:rPr/>
      </w:pPr>
      <w:bookmarkEnd w:id="154"/>
      <w:r>
        <w:rPr>
          <w:rFonts w:ascii="Amiri" w:hAnsi="Amiri" w:eastAsia="Amiri" w:cs="Amiri"/>
          <w:color w:val="111111"/>
          <w:sz w:val="28"/>
          <w:sz w:val="28"/>
          <w:szCs w:val="28"/>
          <w:rtl w:val="true"/>
          <w:lang w:bidi="ar-SA"/>
        </w:rPr>
        <w:t>من الجهات حيث شاء، كما في مرسل ابن أبي عمير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قبلة المتحيّر،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حيث يشاء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المتحيّر أبدا أينما يتوجّه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أطنب في الجواهر </w:t>
      </w:r>
      <w:r>
        <w:rPr>
          <w:rStyle w:val="FootnoteAnchor"/>
          <w:rtl w:val="true"/>
        </w:rPr>
        <w:footnoteReference w:id="264"/>
      </w:r>
      <w:r>
        <w:rPr>
          <w:rFonts w:ascii="Amiri" w:hAnsi="Amiri" w:eastAsia="Amiri" w:cs="Amiri"/>
          <w:color w:val="111111"/>
          <w:sz w:val="28"/>
          <w:sz w:val="28"/>
          <w:szCs w:val="28"/>
          <w:rtl w:val="true"/>
          <w:lang w:bidi="ar-SA"/>
        </w:rPr>
        <w:t xml:space="preserve">في مقام الجواب عن هذه الروايات و ضعفها و أنّها مجعولة أو محرّفة، و لكنّ الإنصاف أنّه لا حاجة إلى هذا التطويل، فإنّ نسبة هذه الروايات مع مرسل خداش </w:t>
      </w:r>
      <w:r>
        <w:rPr>
          <w:rStyle w:val="FootnoteAnchor"/>
          <w:rtl w:val="true"/>
        </w:rPr>
        <w:footnoteReference w:id="265"/>
      </w:r>
      <w:r>
        <w:rPr>
          <w:rFonts w:ascii="Amiri" w:hAnsi="Amiri" w:eastAsia="Amiri" w:cs="Amiri"/>
          <w:color w:val="111111"/>
          <w:sz w:val="28"/>
          <w:sz w:val="28"/>
          <w:szCs w:val="28"/>
          <w:rtl w:val="true"/>
          <w:lang w:bidi="ar-SA"/>
        </w:rPr>
        <w:t>بالأعم و الأخص المطلق، فإنّ الموضوع في خبر خداش هو المتمكّن من الصلاة إلى أربع جهات، و هذه الأخبار أعم من ذلك، فيجب حملها على من لا يتمكّن من الصلاة إلى أربع جهات على قواعد باب التعارض بالأعم المطلق، فتأمّل</w:t>
      </w:r>
      <w:r>
        <w:rPr>
          <w:rFonts w:eastAsia="Amiri" w:cs="Amiri" w:ascii="Amiri" w:hAnsi="Amiri"/>
          <w:color w:val="111111"/>
          <w:sz w:val="28"/>
          <w:szCs w:val="28"/>
          <w:rtl w:val="true"/>
          <w:lang w:bidi="ar-SA"/>
        </w:rPr>
        <w:t>.</w:t>
      </w:r>
    </w:p>
    <w:p>
      <w:pPr>
        <w:pStyle w:val="Heading6"/>
        <w:numPr>
          <w:ilvl w:val="5"/>
          <w:numId w:val="1"/>
        </w:numPr>
        <w:rPr/>
      </w:pPr>
      <w:bookmarkStart w:id="155" w:name="__RefHeading___Toc3360070_2314609296"/>
      <w:bookmarkStart w:id="156" w:name="_Toc62"/>
      <w:bookmarkEnd w:id="155"/>
      <w:r>
        <w:rPr>
          <w:rtl w:val="true"/>
        </w:rPr>
        <w:t>بقي في المقام أمور ينبغي التنبيه عليها</w:t>
      </w:r>
      <w:r>
        <w:rPr>
          <w:rtl w:val="true"/>
        </w:rPr>
        <w:t>.</w:t>
      </w:r>
      <w:bookmarkEnd w:id="156"/>
    </w:p>
    <w:p>
      <w:pPr>
        <w:pStyle w:val="Heading6"/>
        <w:numPr>
          <w:ilvl w:val="5"/>
          <w:numId w:val="1"/>
        </w:numPr>
        <w:rPr/>
      </w:pPr>
      <w:bookmarkStart w:id="157" w:name="__RefHeading___Toc3360072_2314609296"/>
      <w:bookmarkStart w:id="158" w:name="_Toc63"/>
      <w:bookmarkEnd w:id="157"/>
      <w:r>
        <w:rPr>
          <w:rtl w:val="true"/>
        </w:rPr>
        <w:t>الأول</w:t>
      </w:r>
      <w:r>
        <w:rPr>
          <w:rtl w:val="true"/>
        </w:rPr>
        <w:t xml:space="preserve">: </w:t>
      </w:r>
      <w:r>
        <w:rPr>
          <w:rtl w:val="true"/>
        </w:rPr>
        <w:t>أنّه يعتبر أن تكون الصلوات الأربع إلى جهات أربع</w:t>
      </w:r>
      <w:bookmarkEnd w:id="158"/>
    </w:p>
    <w:p>
      <w:pPr>
        <w:pStyle w:val="BookText"/>
        <w:rPr/>
      </w:pPr>
      <w:r>
        <w:rPr>
          <w:rFonts w:ascii="Amiri" w:hAnsi="Amiri" w:eastAsia="Amiri" w:cs="Amiri"/>
          <w:color w:val="111111"/>
          <w:sz w:val="28"/>
          <w:sz w:val="28"/>
          <w:szCs w:val="28"/>
          <w:rtl w:val="true"/>
          <w:lang w:bidi="ar-SA"/>
        </w:rPr>
        <w:t xml:space="preserve">متساوية النسبة تقريبا، و لا يكفي صلاتها إلى جهة واحدة أو جهتين، لأنّ المتبادر من قوله عليه السّلام في خبر خداش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فليصلّ إلى أربع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 كما لا يخفى، مضافا إلى أنّ الصلاة إلى أربعة وجوه متساوية النسبة أمّا محصّلة للقبلة و إمّا أن لا يبلغ الانحراف عنها إلى اليمين و الشمال، و هو مجز أيضا في الجملة و في بعض الأحوال، و هذا بخلاف ما إذا صلّى الأربع إلى جهة واحدة أو جهتين، فإنّه ربّما يكون الانحراف إلى ما وراء اليمين و الشمال، و هو لا يجزي في حال من الأحوال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يقال من أنّه بناء على هذا يمكن الاكتفاء بثلاث صلوات على ثلاث جهات متساوية، لأنّ الانحراف على تقديره أيضا لا يبلغ اليمين و الشمال، فلا وجه</w:t>
      </w:r>
      <w:bookmarkStart w:id="159" w:name="pg19820_206593"/>
    </w:p>
    <w:p>
      <w:pPr>
        <w:pStyle w:val="BookText"/>
        <w:rPr/>
      </w:pPr>
      <w:bookmarkEnd w:id="159"/>
      <w:r>
        <w:rPr>
          <w:rFonts w:ascii="Amiri" w:hAnsi="Amiri" w:eastAsia="Amiri" w:cs="Amiri"/>
          <w:color w:val="111111"/>
          <w:sz w:val="28"/>
          <w:sz w:val="28"/>
          <w:szCs w:val="28"/>
          <w:rtl w:val="true"/>
          <w:lang w:bidi="ar-SA"/>
        </w:rPr>
        <w:t>للالتزام بأربع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ففساده غنيّ عن البيان بعد ورود النصّ بأربع صلوات، مضافا إلى أنّه لو خلّينا و أنفسنا لكان اللّازم هو الصلاة بمقدار يعلم بوقوع أحدها إلى القبلة، كما هو الشأن في جميع الموارد التي يحكم فيها بلزوم الإتيان بالمقدّمات العلمية، غاية الأمر أنّه بالنصّ أسقطنا الزائد على أربع صلوات، و تبقى الأربع على حالها من لزوم الإتيان بها من باب المقدّمة العلمية، فلا وجه للاكتفاء بثلاث 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يتوهّم من أنّه بعد سقوط الزائد على الأربع لا تكون الأربع حينئذ مقدّمة علمية حتّى يلزم الإتيان بها لذلك، لعدم كونها محصّلة للعلم بالصلاة إلى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بشي‌ء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سقوط بعض مقدّمات العلمية لا يوجب سقوط بعضها الآخر كما بيّن في الأصول، و عليه بنينا بوجوب </w:t>
      </w:r>
      <w:r>
        <w:rPr>
          <w:rStyle w:val="FootnoteAnchor"/>
          <w:rtl w:val="true"/>
        </w:rPr>
        <w:footnoteReference w:id="266"/>
      </w:r>
      <w:r>
        <w:rPr>
          <w:rFonts w:ascii="Amiri" w:hAnsi="Amiri" w:eastAsia="Amiri" w:cs="Amiri"/>
          <w:color w:val="111111"/>
          <w:sz w:val="28"/>
          <w:sz w:val="28"/>
          <w:szCs w:val="28"/>
          <w:rtl w:val="true"/>
          <w:lang w:bidi="ar-SA"/>
        </w:rPr>
        <w:t>بما أمكن من المحتملات في الشبهة الوجوبية الغير المحصورة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ورود النصّ بأربع صلوات يستكشف أنّ الشارع وسّع القبلة في هذا الحال إلى ربع الفلك، و جعل المواجهة إلى ربع الدائرة التي تكون الكعبة فيها مجز في هذا الحال، و عليه يكون الصلوات إلى أربع جهات من باب المقدّمة العلمية لإحراز المواجه إلى ربع الدائرة التي تكون القبلة فيها، فتأمّل جيّدا</w:t>
      </w:r>
      <w:r>
        <w:rPr>
          <w:rFonts w:eastAsia="Amiri" w:cs="Amiri" w:ascii="Amiri" w:hAnsi="Amiri"/>
          <w:color w:val="111111"/>
          <w:sz w:val="28"/>
          <w:szCs w:val="28"/>
          <w:rtl w:val="true"/>
          <w:lang w:bidi="ar-SA"/>
        </w:rPr>
        <w:t>.</w:t>
      </w:r>
    </w:p>
    <w:p>
      <w:pPr>
        <w:pStyle w:val="Heading6"/>
        <w:numPr>
          <w:ilvl w:val="5"/>
          <w:numId w:val="1"/>
        </w:numPr>
        <w:rPr/>
      </w:pPr>
      <w:bookmarkStart w:id="160" w:name="__RefHeading___Toc3360074_2314609296"/>
      <w:bookmarkStart w:id="161" w:name="_Toc64"/>
      <w:bookmarkEnd w:id="160"/>
      <w:r>
        <w:rPr>
          <w:rtl w:val="true"/>
        </w:rPr>
        <w:t>الأمر الثاني</w:t>
      </w:r>
      <w:r>
        <w:rPr>
          <w:rtl w:val="true"/>
        </w:rPr>
        <w:t xml:space="preserve">: </w:t>
      </w:r>
      <w:r>
        <w:rPr>
          <w:rtl w:val="true"/>
        </w:rPr>
        <w:t>هل يعتبر أن يستوفي أولا محتملات الظهر ثمّ يعقبه بمحتملات العصر</w:t>
      </w:r>
      <w:bookmarkEnd w:id="16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أو لا يعتبر ذلك بل له أن يصلّي الظهر و العصر معا إلى جهة و هكذا إلى أن يستوفي محتملاتهما معا، نعم ليس له أن يستوفي محتملات العصر قبل استيفاء محتملات الظهر، و كذا ليس له أن يصلّي العصر إلى جهة مغايرة لصلاة الظهر، بل لا بدّ أن يصلّي العصر إلى الجهة التي صلّى الظهر إليها؟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مبنية على أنّ الامتثال الإجمالي هل هو في عرض الامتثال التفصيلي أو في طوله، فلو قلنا بالأول فلا يعتبر أن تقع محتملات العصر عقيب جميع محتملات الظهر، و لو قلنا بالثاني فيعتبر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ذلك هو أنّه لا إشكال في اشتراط الترتيب بين الظهر و العصر، و لا بدّ من إحراز وقوع العصر عقيب الظهر كسائر الشرائط التي لا بدّ من إحرازها في مقام الامتثال، و هذا ممّا لا كلام، إنّما الكلام في أنّه يعتبر في حسن الامتثال من إحراز الترتيب حين فعل العصر بحيث يكون حين اشتغاله بالعصر محرزا لوقوع الظهر حتّى يكون محرزا للترتيب في ذلك الحال، أو أنّه يكفي في تحقّق الامتثال و حسنه إحراز الترتيب و لو بعد فعل العصر؟ فلو قلنا بكفاية الإحراز البعدي فله فعل الظهر و العصر معا إلى جهة واحدة، لأنّ حين فعل العصر و إن لم يعلم بالترتيب و وقوع العصر عقيب الظهر لاحتمال أن لا تكون القبلة في تلك الجهة إلّا أنّه بعد استيفاء جميع المحتملات يعلم بالترتيب و وقوع العصر بعد الظهر، و لو قلنا بلزوم العلم بالترتيب حين فعل العصر فاللّازم تأخير محتملات العصر عن محتملات الظهر، لأنّه يعلم حينئذ بفراغ ذمّته عن الظهر حين اشتغاله بمحتملات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فعل كلّ واحد من محتملات العصر لا يعلم أيضا بوقوع العصر عقيب الظهر، لاحتمال أن لا تكون القبلة في تلك الجهة فلا تكون هذه الصلاة عصرا واقعيّا، و المعتبر من الترتيب هو وقوع العصر الواقعي عقيب الظهر الواقعي لا مطلقا، و لا يمكن العلم بهذا حين فعل كلّ واحد من محتملات العصر، فبالأخرة ينتهي الأمر إلى حصول العلم بالترتيب بعد استيفاء جميع المحتملات، و يرتفع الفارق بين القولين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في غاية الوضوح، فإنّه لو صلّى العصر عقيب جميع</w:t>
      </w:r>
    </w:p>
    <w:p>
      <w:pPr>
        <w:pStyle w:val="BookText"/>
        <w:rPr/>
      </w:pPr>
      <w:r>
        <w:rPr>
          <w:rFonts w:ascii="Amiri" w:hAnsi="Amiri" w:eastAsia="Amiri" w:cs="Amiri"/>
          <w:color w:val="111111"/>
          <w:sz w:val="28"/>
          <w:sz w:val="28"/>
          <w:szCs w:val="28"/>
          <w:rtl w:val="true"/>
          <w:lang w:bidi="ar-SA"/>
        </w:rPr>
        <w:t>محتملات الظهر يعلم إجمالا حين فعل كلّ واحد من محتملات العصر أنّ هذه الصلاة التي بيده واقعة عقيب الظهر الواقعي، فهو من جهة تكليفه الظهري فارغ الذمّة، و إن كان لا يعلم بأنّ هذه الصلاة التي بيده عصرا واقعيّا لاحتمال أن لا تكون إلى القبلة، إلّا أنّ هذا الجهل، لأجل الجهل بالقبلة لا الجهل بالترتيب، و هذا بخلاف ما إذا صلّى الظهر و العصر معا إلى جهة واحدة، فإنّه كما يكون جاهلا بأنّ صلاته العصري واقعة إلى القبلة كذلك يكون جاهلا بفراغ ذمّته عن الظهر، ففي الفرض يكون جاهلا بكلّ من القبلة و الترتيب معا، و بناء على أن يكون الامتثال التفصيلي مقدّما على الامتثال الإجمالي يجب عليه رفع جهله بالنسبة إلى الترتيب، لأنّه يتمكّن من ذلك بتأخير محتملات العصر عن محتملات الظهر مع الإمكان، و إن لم يتمكّن رفع جهله بالنسبة إلى القبلة و لا ملازمة بينهما، فما نحن فيه نظير ما إذا كانت القبلة و اللّباس كلاهما مشتبهين، و يمكنه رفع اشتباهه بالنسبة إلى اللّباس و امتياز الطاهر منه عن النجس، و لا يمكنه رفع اشتباهه بالنسبة إلى القبلة، فهل يمكن أن يتوهّم أحد بناء على تقدّم الامتثال التفصيلي على الإجمالي أنّه لا يلزم عليه رفع اشتباهه بالنسبة إلى اللّباس لكونه مشتبه القبلة و يصلّي في كلّ واحد من الثوبين إلى أربع جهات؟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ما نحن فيه و المثال، فإنّ في المثال عند عدم رفع اشتباهه عن اللّباس يلزم زيادة في المحتملات و لزوم تعدّد الصلاة في كلّ واحد من الثوبين إلى كلّ واحدة من الجهات الأربع، و هذا بخلاف ما نحن فيه، فإنّه سواء صلّى الظهر و العصر معا إلى جهة أو عقّب محتملات العصر عن محتملات الظهر لا يلزم زيادة في المحتملات، و لا يلزمه أكثر من صلاة الظهر أربع إلى أربع جهات و كذلك العصر، و من المعلوم أنّ تقدّم الامتثال التفصيلي على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فيما إذا استلزم من الامتثال الإجمالي التكرار، و عند استلزام التكرار</w:t>
      </w:r>
      <w:bookmarkStart w:id="162" w:name="pg19820_206596"/>
    </w:p>
    <w:p>
      <w:pPr>
        <w:pStyle w:val="BookText"/>
        <w:rPr/>
      </w:pPr>
      <w:bookmarkEnd w:id="162"/>
      <w:r>
        <w:rPr>
          <w:rFonts w:ascii="Amiri" w:hAnsi="Amiri" w:eastAsia="Amiri" w:cs="Amiri"/>
          <w:color w:val="111111"/>
          <w:sz w:val="28"/>
          <w:sz w:val="28"/>
          <w:szCs w:val="28"/>
          <w:rtl w:val="true"/>
          <w:lang w:bidi="ar-SA"/>
        </w:rPr>
        <w:t>يكون الامتثال التفصيلي في عرض الامتثال الإجمالي كما ثبت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التكرار بنفسه محذورا، بل إنّما منع من التكرار لأنّه امتثال إجمالي و هو متأخّر رتبة عن الامتثال التفصيلي، و هذا المحذور بعينه يأتي فيما نحن فيه و إن لم يلزم منه زيادة في المحتملات، 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تأخّر رتبة الامتثال الإجمالي عن التفصيلي أوجب لمنع التكرار، لا أنّ لمنع التكرار أوجب تأخّر رتبة الامتثال الإجمالي عن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ذكرنا من ابتناء المسألة على تلك المسألة فاعلم أنّ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اختار في تلك المسألة تأخّر رتبة الامتثال الإجمالي عن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وجه ذلك في حجّية القطع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في هذه المسألة إلى لزوم تأخّر محتملات العصر عن محتملات الظهر، و كذا الكلام فيما كان من هذا القبيل كموارد الجمع بين القصر و الإتمام و أمثال ذلك، فتأمّل جيّدا</w:t>
      </w:r>
      <w:r>
        <w:rPr>
          <w:rFonts w:eastAsia="Amiri" w:cs="Amiri" w:ascii="Amiri" w:hAnsi="Amiri"/>
          <w:color w:val="111111"/>
          <w:sz w:val="28"/>
          <w:szCs w:val="28"/>
          <w:rtl w:val="true"/>
          <w:lang w:bidi="ar-SA"/>
        </w:rPr>
        <w:t>.</w:t>
      </w:r>
    </w:p>
    <w:p>
      <w:pPr>
        <w:pStyle w:val="Heading6"/>
        <w:numPr>
          <w:ilvl w:val="5"/>
          <w:numId w:val="1"/>
        </w:numPr>
        <w:rPr/>
      </w:pPr>
      <w:bookmarkStart w:id="163" w:name="__RefHeading___Toc3360076_2314609296"/>
      <w:bookmarkStart w:id="164" w:name="_Toc65"/>
      <w:bookmarkEnd w:id="163"/>
      <w:r>
        <w:rPr>
          <w:rtl w:val="true"/>
        </w:rPr>
        <w:t>الأمر الثالث</w:t>
      </w:r>
      <w:r>
        <w:rPr>
          <w:rtl w:val="true"/>
        </w:rPr>
        <w:t xml:space="preserve">: </w:t>
      </w:r>
      <w:r>
        <w:rPr>
          <w:rtl w:val="true"/>
        </w:rPr>
        <w:t>لو ضاق الوقت عن استيفاء جميع محتملات الظهر و العصر</w:t>
      </w:r>
      <w:bookmarkEnd w:id="164"/>
    </w:p>
    <w:p>
      <w:pPr>
        <w:pStyle w:val="BookText"/>
        <w:rPr/>
      </w:pPr>
      <w:r>
        <w:rPr>
          <w:rFonts w:ascii="Amiri" w:hAnsi="Amiri" w:eastAsia="Amiri" w:cs="Amiri"/>
          <w:color w:val="111111"/>
          <w:sz w:val="28"/>
          <w:sz w:val="28"/>
          <w:szCs w:val="28"/>
          <w:rtl w:val="true"/>
          <w:lang w:bidi="ar-SA"/>
        </w:rPr>
        <w:t>كما إذا لم يسع الوقت إلّا لسبع صلوات، فهل يدخل النقص على الظهر أو على العصر أو يتخيّر؟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 فهو تخيّل شمول أدلّة الاختصاص لما نحن فيه، بدعوى أنّ مقدار أربع صلوات من آخر الوقت مختصّ بالعصر، لأنّ مقدّمات العلمية كمقدّمات الصحّة مشمولة لأدلّة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قد تقدّم سابقا أنّ مقدّمات الصحّة غير داخلة في أدلّة الاختصاص فكيف بالمقدّمات العلمية، فالوجه الأول ضعيف جدّا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وجه التخيير فهو تخيّل أنّ ما نحن فيه إنّما يكون من باب التزاحم، فإنّ التكليف بالظهر و العصر معا فعليّ و إنّما المتأخّر هو زمان الامتثال، و حيث لم يكن في البين أهمّ و مهمّ فاللازم هو التخيير على قواعد باب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w:t>
      </w:r>
    </w:p>
    <w:p>
      <w:pPr>
        <w:pStyle w:val="BookText"/>
        <w:rPr/>
      </w:pPr>
      <w:r>
        <w:rPr>
          <w:rFonts w:ascii="Amiri" w:hAnsi="Amiri" w:eastAsia="Amiri" w:cs="Amiri"/>
          <w:color w:val="111111"/>
          <w:sz w:val="28"/>
          <w:sz w:val="28"/>
          <w:szCs w:val="28"/>
          <w:rtl w:val="true"/>
          <w:lang w:bidi="ar-SA"/>
        </w:rPr>
        <w:t>التخيّل أيضا فاسد، فإنّ ما نحن فيه و إن كان من باب التزاحم إلّا أنّه حيث كان فعل العصر مشروطا شرعا بفعل الظهر لأدلّة الترتيب فاللّازم هو استيفاء محتملات الظهر، لأنّ فعل الظهر غير مشروط بشرط فما نحن فيه نظير ما إذا عجز عن القيام في ركعة من ركعات الصلاة، و دار الأمر بين ترك القيام في الركعة الأولى أو في الركعة الثانية، فإنّه كما يجب القيام في الركعة الأولى لقدرته فعلا عليه و القعود في الركعة الثانية لعجزه عنه، و لا يمكنه العكس إذ لا موجب للقعود في الركعة الاولى مع كونه قادرا على القيام فيها، فكذلك فيما نحن فيه يجب فعل الظهر إلى أربع جهات لقدرته على تحصيل القبلة فيها، و يدخل النقص على العصر لعجزه عنها عند 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ما نحن فيه أولى من المثال، لأنّ ترتّب الركعة الثانية على الاولى ليس بشرعي بل هو أمر تكويني، و هذا بخلاف ترتّب العصر على الظهر فإنّه أمر شرعي، و صحّة العصر مشروطة شرعا بفعل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تحرّر في باب التزاحم أنّه كلّ أمرين مترتّبين إذا وقع التزاحم بينهما يجب صرف القدرة على الأول منهما، لعدم اشتراط الأول بشرط غير القدرة و هي حاصلة بالفرض، بخلاف الثاني فإنّه مشروط بكونه عقيب الأول سواء كان شرط الوجوب أو شرط الواجب، فلا بدّ من ملاحظة القدرة حين تحقّق شرطه و المفروض أنّه لا قدرة له في ذلك 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المتأخّر أهمّ في نظر الشارع، كالقيام الركني في المثال المتقدّم لكان اللّازم صرف قدرته إلى المتأخّر، لأنّ الأهمية موجبة لتولّد خطاب احفظ قدرتك إلى الأهم، فتأمّل فإنّ المقام لا يسع أكثر من ذلك و تفصيله موكول إلى محلّه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أنّ الأقوى من الوجوه هو الوسط</w:t>
      </w:r>
      <w:r>
        <w:rPr>
          <w:rFonts w:eastAsia="IRNazanin" w:cs="IRNazanin"/>
          <w:color w:val="111111"/>
          <w:sz w:val="28"/>
          <w:szCs w:val="28"/>
          <w:rtl w:val="true"/>
          <w:lang w:bidi="fa-IR"/>
        </w:rPr>
        <w:t>.</w:t>
      </w:r>
      <w:bookmarkStart w:id="165" w:name="pg19820_206598"/>
    </w:p>
    <w:p>
      <w:pPr>
        <w:pStyle w:val="Heading6"/>
        <w:numPr>
          <w:ilvl w:val="5"/>
          <w:numId w:val="1"/>
        </w:numPr>
        <w:rPr/>
      </w:pPr>
      <w:bookmarkStart w:id="166" w:name="__RefHeading___Toc3360078_2314609296"/>
      <w:bookmarkStart w:id="167" w:name="_Toc66"/>
      <w:bookmarkEnd w:id="165"/>
      <w:bookmarkEnd w:id="166"/>
      <w:r>
        <w:rPr>
          <w:rtl w:val="true"/>
        </w:rPr>
        <w:t>الأمر الرابع</w:t>
      </w:r>
      <w:r>
        <w:rPr>
          <w:rtl w:val="true"/>
        </w:rPr>
        <w:t xml:space="preserve">: </w:t>
      </w:r>
      <w:r>
        <w:rPr>
          <w:rtl w:val="true"/>
        </w:rPr>
        <w:t>لو ضاق الوقت إلّا عن ثلاث أو اثنتان</w:t>
      </w:r>
      <w:bookmarkEnd w:id="167"/>
    </w:p>
    <w:p>
      <w:pPr>
        <w:pStyle w:val="BookText"/>
        <w:rPr/>
      </w:pPr>
      <w:r>
        <w:rPr>
          <w:rFonts w:ascii="Amiri" w:hAnsi="Amiri" w:eastAsia="Amiri" w:cs="Amiri"/>
          <w:color w:val="111111"/>
          <w:sz w:val="28"/>
          <w:sz w:val="28"/>
          <w:szCs w:val="28"/>
          <w:rtl w:val="true"/>
          <w:lang w:bidi="ar-SA"/>
        </w:rPr>
        <w:t>، فهل يجب فعلها أو يقتصر على واحدة منها إلى أيّ جهة شاء؟ ربّما يتوهّم أنّه لا يجب عليه فعل ما تمكّن من الجهات بعد عدم إمكان الأربع، لأنّ المفروض عدم التمكن من الصلاة إلى القبلة أو ما بحكمها من استقبال ربع الفلك، فتخرج الجهات الباقية عن كونها مقدّمة علمية، نعم لمّا كانت الصلاة لا تسقط بحال يجب عليه صلاة واحدة إلى أي جهة شاء،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عليك ضعفه، لأنّ سقوط بعض المقدّمات العلمية لا يوجب سقوط الباقي، فهو كما إذا اضطرّ إلى بعض أطراف الشبهة المحصورة، فكما أنّ الاضطرار إلى بعض الأطراف لا يوجب جواز فعل الباقي في الشبهة التحريمية و ترك الباقي في الشبهة الوجوبية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بيّن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الأمر و إن كان كذلك و أنّ مقتضى القاعدة عند سقوط بعض المقدّمة العقلية عدم سقوط الباقي، إلّا أنّ في المقام حيث ورد الدليل على أنّ المتحيّر يكفيه الصلاة إلى أي جهة شاء، غاية الأمر أنّه رفعنا اليد عنه في صورة التمكّن من الأربع لرواية </w:t>
      </w:r>
      <w:r>
        <w:rPr>
          <w:rStyle w:val="FootnoteAnchor"/>
          <w:rtl w:val="true"/>
        </w:rPr>
        <w:footnoteReference w:id="267"/>
      </w:r>
      <w:r>
        <w:rPr>
          <w:rFonts w:ascii="Amiri" w:hAnsi="Amiri" w:eastAsia="Amiri" w:cs="Amiri"/>
          <w:color w:val="111111"/>
          <w:sz w:val="28"/>
          <w:sz w:val="28"/>
          <w:szCs w:val="28"/>
          <w:rtl w:val="true"/>
          <w:lang w:bidi="ar-SA"/>
        </w:rPr>
        <w:t>خداش، فيبقى باقي الصور داخل تحت ذلك الدليل، فلا وجه حينئذ لإيجاب الثلاث أو الاثنان عليه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لهذا الإشكال بعد ملاحظة الأدلّة الواردة في المقام و ملاحظة الجمع بينهما، و تفصيل ذلك هو أنّه بعد ورود اعتبار كون الصلاة إلى القبلة و أنّه أينما كنتم فولّوا وجوهكم شطر المسجد الحرام، و بعد ورود أنّ ما بين المشرق و المغرب قبلة </w:t>
      </w:r>
      <w:r>
        <w:rPr>
          <w:rStyle w:val="FootnoteAnchor"/>
          <w:rtl w:val="true"/>
        </w:rPr>
        <w:footnoteReference w:id="268"/>
      </w:r>
      <w:r>
        <w:rPr>
          <w:rFonts w:ascii="IRNazanin" w:hAnsi="IRNazanin" w:eastAsia="IRNazanin"/>
          <w:color w:val="111111"/>
          <w:sz w:val="28"/>
          <w:sz w:val="28"/>
          <w:szCs w:val="28"/>
          <w:rtl w:val="true"/>
          <w:lang w:bidi="fa-IR"/>
        </w:rPr>
        <w:t xml:space="preserve">، و بعد ورود </w:t>
      </w:r>
      <w:r>
        <w:rPr>
          <w:rStyle w:val="FootnoteAnchor"/>
          <w:rtl w:val="true"/>
        </w:rPr>
        <w:footnoteReference w:id="269"/>
      </w:r>
      <w:r>
        <w:rPr>
          <w:rFonts w:ascii="Amiri" w:hAnsi="Amiri" w:eastAsia="Amiri" w:cs="Amiri"/>
          <w:color w:val="111111"/>
          <w:sz w:val="28"/>
          <w:sz w:val="28"/>
          <w:szCs w:val="28"/>
          <w:rtl w:val="true"/>
          <w:lang w:bidi="ar-SA"/>
        </w:rPr>
        <w:t>ان غير المتمكّن يصلّي إلى أربع جهات، لا بدّ من</w:t>
      </w:r>
    </w:p>
    <w:p>
      <w:pPr>
        <w:pStyle w:val="BookText"/>
        <w:rPr/>
      </w:pPr>
      <w:r>
        <w:rPr>
          <w:rFonts w:ascii="Amiri" w:hAnsi="Amiri" w:eastAsia="Amiri" w:cs="Amiri"/>
          <w:color w:val="111111"/>
          <w:sz w:val="28"/>
          <w:sz w:val="28"/>
          <w:szCs w:val="28"/>
          <w:rtl w:val="true"/>
          <w:lang w:bidi="ar-SA"/>
        </w:rPr>
        <w:t>ملاحظة ما يتحصّل منها،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مقتضى القاعدة الأولية هو أنّه عند المتمكّن من معرفة القبلة يجب الصلاة إليها، بمقتضى قوله تعالى فَوَلُّوا وُجُوهَكُمْ </w:t>
      </w:r>
      <w:r>
        <w:rPr>
          <w:rStyle w:val="FootnoteAnchor"/>
          <w:rtl w:val="true"/>
        </w:rPr>
        <w:footnoteReference w:id="270"/>
      </w:r>
      <w:r>
        <w:rPr>
          <w:rFonts w:ascii="Amiri" w:hAnsi="Amiri" w:eastAsia="Amiri" w:cs="Amiri"/>
          <w:color w:val="111111"/>
          <w:sz w:val="28"/>
          <w:sz w:val="28"/>
          <w:szCs w:val="28"/>
          <w:rtl w:val="true"/>
          <w:lang w:bidi="ar-SA"/>
        </w:rPr>
        <w:t>، و قوله عليه السّلام في موثّق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السؤال عن رجل صلّى على غير القبلة فيعلم و هو في الصلاة قبل أن يفرغ من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متوجّها فيما بين المغرب و المشرق فليحوّل وجهه إلى القبلة ساعة يعلم </w:t>
      </w:r>
      <w:r>
        <w:rPr>
          <w:rStyle w:val="FootnoteAnchor"/>
          <w:rtl w:val="true"/>
        </w:rPr>
        <w:footnoteReference w:id="271"/>
      </w:r>
      <w:r>
        <w:rPr>
          <w:rFonts w:ascii="Amiri" w:hAnsi="Amiri" w:eastAsia="Amiri" w:cs="Amiri"/>
          <w:color w:val="111111"/>
          <w:sz w:val="28"/>
          <w:sz w:val="28"/>
          <w:szCs w:val="28"/>
          <w:rtl w:val="true"/>
          <w:lang w:bidi="ar-SA"/>
        </w:rPr>
        <w:t>،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منه أنّه لو علم جهة القبلة فاللّازم عليه هو الصلاة نحوها و لا يكفيه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ورد أيضا أنّ ما بين المغرب و المشرق قبلة كما في رواية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إلى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 القبلة؟</w:t>
      </w:r>
    </w:p>
    <w:p>
      <w:pPr>
        <w:pStyle w:val="BookText"/>
        <w:rPr/>
      </w:pPr>
      <w:r>
        <w:rPr>
          <w:rFonts w:ascii="Amiri" w:hAnsi="Amiri" w:eastAsia="Amiri" w:cs="Amiri"/>
          <w:color w:val="111111"/>
          <w:sz w:val="28"/>
          <w:sz w:val="28"/>
          <w:szCs w:val="28"/>
          <w:rtl w:val="true"/>
          <w:lang w:bidi="ar-SA"/>
        </w:rPr>
        <w:t xml:space="preserve">قال ما بين المشرق و المغرب قبلة كلّه </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الرواية و إن حملناها سابقا على ما إذا تبيّن له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عدّة من روايات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داعي إلى هذا الحمل بعد عموم اللّفظ و شموله إلى ما قبل الصلاة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طريق الجمع بين هذه الرواية و ما دلّ من وجوب استقبال عين الكعبة هو أنّ استقبال العين إنّما هو للمتمكّن من معرفتها، بداهة أنّ التكليف بالتوجّه نحوها إنّما هو فرع الإمكان فهو مخصوص قهرا بالمتمكّن، و أمّا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المشرق و المغرب قبلة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حمله بما إذا لم يتمكّن من معرفة القبلة، كما ربّما يشعر به قوله في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حدّ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أين حدّ القبلة التي يجزي الصلاة إليها في الجملة أي في صورة عدم التمكن من استقبال العين، 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المشرق و المغرب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عدم معرفة القبلة يجزيه الصلاة إلى ما بين</w:t>
      </w:r>
      <w:bookmarkStart w:id="168" w:name="pg19820_206600"/>
    </w:p>
    <w:p>
      <w:pPr>
        <w:pStyle w:val="BookText"/>
        <w:rPr/>
      </w:pPr>
      <w:bookmarkEnd w:id="168"/>
      <w:r>
        <w:rPr>
          <w:rFonts w:ascii="Amiri" w:hAnsi="Amiri" w:eastAsia="Amiri" w:cs="Amiri"/>
          <w:color w:val="111111"/>
          <w:sz w:val="28"/>
          <w:sz w:val="28"/>
          <w:szCs w:val="28"/>
          <w:rtl w:val="true"/>
          <w:lang w:bidi="ar-SA"/>
        </w:rPr>
        <w:t>المشرق و المغرب، فلو علم جهة المشرق و المغرب فهو، و إن لم يعلم جهتيهما فلا بدّ من إحراز كون صلاته واقعة بينهما، و ذلك إنّما يكون بالصلاة إلى ثلاث جهات على نحو التثليث، فإنّه حينئذ يجوز كون صلاته واقعة بينهما و لا يكفيه الصلاة إلى ثلاث جهات على نحو التربيع، لعدم إحراز البينونية حينئذ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خلّينا و أنفسنا لكان اللازم عند التحيّر و عدم معرفة القبلة هو الاكتفاء بثلاث صلاة على جهة التثليث، و لكن بعد ورود الدليل على أنّه يصلّي إلى أربع جهات فلا بدّ مع التمكّن من الأربع من الصلاة إلى أربع، و يبقى صورة عدم التمكّن من الأربع و التمكّن من الثلاث تحت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المشرق و المغرب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الصلاة إلى ثلاث جهات على جهة التثليث لإحراز البينونية، و لا يجوز الاكتفاء بواحدة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يبقى في المقام صورة ما إذا لم يتمكّن إلّا من صلاتين، فإنه خارج عن تحت دليل الأربع و خارج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المغرب و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يقال حينئذ بالاكتفاء بصلاة واحدة، لإطلاق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إلى أيّ جهة شاء</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و لكن مع ذلك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خروج المتمكّن من الأربع و الثلاث من ذلك الإطلاق فيصير إطلاقه موهونا و يكون المتيقّن منه هو ما إذا لم يتمكّن إلّا من جهة واحدة، و يبقى المتمكّن من الاثنين باقيا على حكمه الأصلي من وجوب الإتيان بالمقدّمات العلمية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ما أفاده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 و لكن بعد للنظر فيه مجال، فتأمّل</w:t>
      </w:r>
      <w:r>
        <w:rPr>
          <w:rFonts w:eastAsia="Amiri" w:cs="Amiri" w:ascii="Amiri" w:hAnsi="Amiri"/>
          <w:color w:val="111111"/>
          <w:sz w:val="28"/>
          <w:szCs w:val="28"/>
          <w:rtl w:val="true"/>
          <w:lang w:bidi="ar-SA"/>
        </w:rPr>
        <w:t>.</w:t>
      </w:r>
    </w:p>
    <w:p>
      <w:pPr>
        <w:pStyle w:val="Heading6"/>
        <w:numPr>
          <w:ilvl w:val="5"/>
          <w:numId w:val="1"/>
        </w:numPr>
        <w:rPr/>
      </w:pPr>
      <w:bookmarkStart w:id="169" w:name="__RefHeading___Toc3360080_2314609296"/>
      <w:bookmarkStart w:id="170" w:name="_Toc67"/>
      <w:bookmarkEnd w:id="169"/>
      <w:r>
        <w:rPr>
          <w:rtl w:val="true"/>
        </w:rPr>
        <w:t>الأمر الخامس</w:t>
      </w:r>
      <w:r>
        <w:rPr>
          <w:rtl w:val="true"/>
        </w:rPr>
        <w:t xml:space="preserve">: </w:t>
      </w:r>
      <w:r>
        <w:rPr>
          <w:rtl w:val="true"/>
        </w:rPr>
        <w:t>أنّه لا إشكال في عدم الإعادة و القضاء على من صلّى أربع</w:t>
      </w:r>
      <w:bookmarkEnd w:id="17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 xml:space="preserve">تبيّن الخلاف و أنّ القبلة لم تكن على نفس الجهة التي صلّى نحوها بل كانت بيمينها و يسارها، لأنّه مضافا إلى أنّ الحكم بالصلاة إلى الأربع و سقوط الزائد لم يكن من قبيل الحكم الظاهري الذي يمكن انكشاف الخلاف فيه، بل هو حكم واقعي جعل للمتحيّر، فقبلة المتحيّر في الحقيقة في هذا الحال هي ربع الفلك، أنّ صلاته تكون حينئذ فيما بين المغرب و المشرق، و قد ورد النصّ على أنّ الصلاة لو وقعت بينهما لا إعادة و لا قضاء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يعلم أيضا الحكم فيما إذا لو صلّى إلى ثلاث جهات فيما إذا كان تكليفه ذلك و أنّه لا إعادة عليه و لا قضاء، لان ما بين المغرب و المشرق قبلة له في هذا الحال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صلّى إلى جهة واحدة فيما كان تكليفه ذلك فربّما يتوهّم وجوب الإعادة و القضاء لو كان مستدبرا، و وجوب الإعادة فقط لو كان إلى جهة المشرق و المغرب، و عدم وجوب شي‌ء لو كان بينهما إلى جهة القبلة، لما سيمرّ عليك من الأخبار الدالّة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يدفعه أنّ تلك الأخبار مقصورة بمن أحرز جهة القبلة فتبيّن الخطأ، لا من لم يحرز القبلة لعدم معرفتها و كان تكليفه الواقعي الصلاة إلى أيّ جهة شاء كما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عدم الإعادة و القضاء عليه أيضا، و إن أشكل شيخنا الأستاذ بالنسبة إلى الإعادة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يبقى صورة واحدة و هو ما إذا صلّى إلى جهتين فيما كان تكليفه ذلك، فإنّه خارج عمّا بين المغرب و المشرق و خارج عن إطلاق الصلاة إلى أيّ جهة شاء، فمقتضى القاعدة في صورة انكشاف الخلاف أن يكون عليه الإعادة و القضاء، و إن كان بعيدا من المذاق حيث إنه من صلّى إلى جهة واحدة لا يكون</w:t>
      </w:r>
      <w:bookmarkStart w:id="171" w:name="pg19820_206602"/>
    </w:p>
    <w:p>
      <w:pPr>
        <w:pStyle w:val="BookText"/>
        <w:rPr/>
      </w:pPr>
      <w:bookmarkEnd w:id="171"/>
      <w:r>
        <w:rPr>
          <w:rFonts w:ascii="Amiri" w:hAnsi="Amiri" w:eastAsia="Amiri" w:cs="Amiri"/>
          <w:color w:val="111111"/>
          <w:sz w:val="28"/>
          <w:sz w:val="28"/>
          <w:szCs w:val="28"/>
          <w:rtl w:val="true"/>
          <w:lang w:bidi="ar-SA"/>
        </w:rPr>
        <w:t>عليه إعادة و لا قضاء و من صلّى إلى جهتين يكون عليه الإعادة و القضاء، فتأمّل</w:t>
      </w:r>
      <w:r>
        <w:rPr>
          <w:rFonts w:eastAsia="Amiri" w:cs="Amiri" w:ascii="Amiri" w:hAnsi="Amiri"/>
          <w:color w:val="111111"/>
          <w:sz w:val="28"/>
          <w:szCs w:val="28"/>
          <w:rtl w:val="true"/>
          <w:lang w:bidi="ar-SA"/>
        </w:rPr>
        <w:t>.</w:t>
      </w:r>
    </w:p>
    <w:p>
      <w:pPr>
        <w:pStyle w:val="Heading6"/>
        <w:numPr>
          <w:ilvl w:val="5"/>
          <w:numId w:val="1"/>
        </w:numPr>
        <w:rPr/>
      </w:pPr>
      <w:bookmarkStart w:id="172" w:name="__RefHeading___Toc3360082_2314609296"/>
      <w:bookmarkStart w:id="173" w:name="_Toc68"/>
      <w:bookmarkEnd w:id="172"/>
      <w:r>
        <w:rPr>
          <w:rtl w:val="true"/>
        </w:rPr>
        <w:t>الأمر السادس</w:t>
      </w:r>
      <w:r>
        <w:rPr>
          <w:rtl w:val="true"/>
        </w:rPr>
        <w:t xml:space="preserve">: </w:t>
      </w:r>
      <w:r>
        <w:rPr>
          <w:rtl w:val="true"/>
        </w:rPr>
        <w:t>لا فرق في عدم التمكّن فيما ذكر له من الأحكام بين أن يكون ذلك لضيق الوقت أو لأمر آخر</w:t>
      </w:r>
      <w:bookmarkEnd w:id="173"/>
    </w:p>
    <w:p>
      <w:pPr>
        <w:pStyle w:val="BookText"/>
        <w:rPr/>
      </w:pPr>
      <w:r>
        <w:rPr>
          <w:rFonts w:ascii="Amiri" w:hAnsi="Amiri" w:eastAsia="Amiri" w:cs="Amiri"/>
          <w:color w:val="111111"/>
          <w:sz w:val="28"/>
          <w:sz w:val="28"/>
          <w:szCs w:val="28"/>
          <w:rtl w:val="true"/>
          <w:lang w:bidi="ar-SA"/>
        </w:rPr>
        <w:t>، لإطلاق الدليل</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3360084_2314609296"/>
      <w:bookmarkStart w:id="175" w:name="_Toc69"/>
      <w:bookmarkEnd w:id="174"/>
      <w:r>
        <w:rPr>
          <w:rtl w:val="true"/>
        </w:rPr>
        <w:t>الأمر السابع</w:t>
      </w:r>
      <w:r>
        <w:rPr>
          <w:rtl w:val="true"/>
        </w:rPr>
        <w:t xml:space="preserve">: </w:t>
      </w:r>
      <w:r>
        <w:rPr>
          <w:rtl w:val="true"/>
        </w:rPr>
        <w:t>لو حصل له الظنّ إلى أنّ القبلة في أحد هاتين الجهتين</w:t>
      </w:r>
      <w:bookmarkEnd w:id="175"/>
    </w:p>
    <w:p>
      <w:pPr>
        <w:pStyle w:val="BookText"/>
        <w:rPr/>
      </w:pPr>
      <w:r>
        <w:rPr>
          <w:rFonts w:ascii="Amiri" w:hAnsi="Amiri" w:eastAsia="Amiri" w:cs="Amiri"/>
          <w:color w:val="111111"/>
          <w:sz w:val="28"/>
          <w:sz w:val="28"/>
          <w:szCs w:val="28"/>
          <w:rtl w:val="true"/>
          <w:lang w:bidi="ar-SA"/>
        </w:rPr>
        <w:t>فهل يلحق هذا الظنّ بالظنّ إلى القبلة في الاعتبار بحيث لا يجب عليه الصلاة إلى أربع، أو لا يلحق بذلك بل يجب عليه الصلاة إلى أربع؟</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يتوهّم ابتناء المسألة على أنّ اعتبار الظنّ بالقبلة هل يلازم اعتبار الظنّ بالنفي و أنّ القبلة لم تكن في هذه الجهة أو لا يلازم، فإن قلنا بالملازمة فلا يجب عليه الصلاة إلى أربع، لأنّ الظنّ بكون القبلة في أحد هاتين الجهتين يلازم الظنّ بعدم القبلة في الجهتين الباقيتين، و المفروض اعتبار الظنّ بالنفي كالإثبات، فلا تجب الصلاة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نقل بالملازمة فتجب، لأنّ الظنّ بعدم القبلة في الجهتين وجوده كعدمه، هذا و لكن لا يخفى عليك عدم ابتناء المسألة على ذلك، فإنّه و إن قلنا بالملازمة بين اعتبار الظنّ بالإثبات و بين اعتباره بالنفي لكنّ هذه الملازمة إنّما هي فيما إذا كان الظنّ بالإثبات معتبرا، و الظنّ في كون القبلة في أحد هاتين الجهتين لم يقم دليل على اعتباره، لخروجه عن موضوع الأخبار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دلّت</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 xml:space="preserve">على اعتبار الظنّ بالقبلة، فإنها ظاهرة في الظنّ في جهة خاصّة لا مردّد بين جهتين، كما هو الظاهر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فتحرّى و تعمّد القبلة جهدك</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فإذا لم يكن مثل هذا الظنّ معتبرا فكيف يقال باعتبار الظنّ بالنفي؟ فلا بدّ له حينئذ من الصلاة إلى أربع مع الإمكان، فتأمّل، جيّدا</w:t>
      </w:r>
      <w:r>
        <w:rPr>
          <w:rFonts w:eastAsia="Amiri" w:cs="Amiri" w:ascii="Amiri" w:hAnsi="Amiri"/>
          <w:color w:val="111111"/>
          <w:sz w:val="28"/>
          <w:szCs w:val="28"/>
          <w:rtl w:val="true"/>
          <w:lang w:bidi="ar-SA"/>
        </w:rPr>
        <w:t>.</w:t>
      </w:r>
      <w:bookmarkStart w:id="176" w:name="pg19820_206603"/>
    </w:p>
    <w:p>
      <w:pPr>
        <w:pStyle w:val="BookText"/>
        <w:rPr/>
      </w:pPr>
      <w:bookmarkEnd w:id="176"/>
      <w:r>
        <w:rPr>
          <w:rFonts w:ascii="Amiri" w:hAnsi="Amiri" w:eastAsia="Amiri" w:cs="Amiri"/>
          <w:color w:val="111111"/>
          <w:sz w:val="28"/>
          <w:sz w:val="28"/>
          <w:szCs w:val="28"/>
          <w:rtl w:val="true"/>
          <w:lang w:bidi="ar-SA"/>
        </w:rPr>
        <w:t>هذا تمام الكلام في أحكام الجاهل بالقبلة و المتحيّر بها</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3360086_2314609296"/>
      <w:bookmarkStart w:id="178" w:name="_Toc70"/>
      <w:bookmarkEnd w:id="177"/>
      <w:r>
        <w:rPr>
          <w:rtl w:val="true"/>
        </w:rPr>
        <w:t>المبحث الثالث</w:t>
      </w:r>
      <w:bookmarkEnd w:id="178"/>
    </w:p>
    <w:p>
      <w:pPr>
        <w:pStyle w:val="Heading6"/>
        <w:numPr>
          <w:ilvl w:val="5"/>
          <w:numId w:val="1"/>
        </w:numPr>
        <w:rPr/>
      </w:pPr>
      <w:bookmarkStart w:id="179" w:name="__RefHeading___Toc3360088_2314609296"/>
      <w:bookmarkStart w:id="180" w:name="_Toc71"/>
      <w:bookmarkEnd w:id="179"/>
      <w:r>
        <w:rPr>
          <w:rtl w:val="true"/>
        </w:rPr>
        <w:t>اشارة</w:t>
      </w:r>
      <w:bookmarkEnd w:id="180"/>
    </w:p>
    <w:p>
      <w:pPr>
        <w:pStyle w:val="BookText"/>
        <w:rPr/>
      </w:pPr>
      <w:r>
        <w:rPr>
          <w:rFonts w:ascii="Amiri" w:hAnsi="Amiri" w:eastAsia="Amiri" w:cs="Amiri"/>
          <w:color w:val="111111"/>
          <w:sz w:val="28"/>
          <w:sz w:val="28"/>
          <w:szCs w:val="28"/>
          <w:rtl w:val="true"/>
          <w:lang w:bidi="ar-SA"/>
        </w:rPr>
        <w:t>لا يجوز صلاة الفريضة على الراحلة اختيارا إلّا مع الضرورة، اعلم أنّ هنا مسائل ينبغي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الراحلة و ما يجري مجراها من المحمل و الأرجوحة و القجاوة و ما شابهها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الإشكال فيها من جهتين، من جهة الاستقبال و من جهة 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المعروف الذي عليه المعظم أنّه لا يجوز أن يصلّي الفريضة على الراحلة إلّا لضرورة، و أمّا النافلة فيجوز مطلقا و لو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إشكال فيه في الجملة، لدلالة جملة من الأخبار عليه كما سيمرّ عليك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الإشكال فيما إذا طرأ على الفرض النفل كالصلاة المعادة، أو طرأ على النفل الفرض كما لو نذر النافلة، فهل العبرة على الأصل في كلّ من الطرفين بأن يلاحظ في المعادة و ما شابهها حكم الفريضة و يلاحظ في المنذورة حكم النافلة، أو أنّ العبرة على الوصف الطارئ أيضا في كلّ من الطرفين، أو يفصّل بين نقل عرض له الفرض فيلحقه أحكام الفرض و بين فرض عرض له النفل كالمعادة فيلحقه حكم النفل؟</w:t>
      </w:r>
    </w:p>
    <w:p>
      <w:pPr>
        <w:pStyle w:val="BookText"/>
        <w:rPr/>
      </w:pPr>
      <w:r>
        <w:rPr>
          <w:rFonts w:ascii="Amiri" w:hAnsi="Amiri" w:eastAsia="Amiri" w:cs="Amiri"/>
          <w:color w:val="111111"/>
          <w:sz w:val="28"/>
          <w:sz w:val="28"/>
          <w:szCs w:val="28"/>
          <w:rtl w:val="true"/>
          <w:lang w:bidi="ar-SA"/>
        </w:rPr>
        <w:t>ثمّ إنّ هذه الوجوه ليست في خصوص مسألة القبلة و الاستقرار، بل هي جارية في جميع ما يختصّ به النافلة من الأحكام، كعدم بطلان الشكّ في الثنائية منها، و جواز البناء على الأكثر و الأقل، و غير ذلك من الأحكام المختصّة بالنافلة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العبرة إنّما هي حكم الأصل و لا يلتفت إلى العارض، سواء كان الأصل نفلا طرأ عليه الفرض كالمنذورة أو فرضا طرأ عليه النفل</w:t>
      </w:r>
    </w:p>
    <w:p>
      <w:pPr>
        <w:pStyle w:val="BookText"/>
        <w:rPr/>
      </w:pPr>
      <w:r>
        <w:rPr>
          <w:rFonts w:ascii="Amiri" w:hAnsi="Amiri" w:eastAsia="Amiri" w:cs="Amiri"/>
          <w:color w:val="111111"/>
          <w:sz w:val="28"/>
          <w:sz w:val="28"/>
          <w:szCs w:val="28"/>
          <w:rtl w:val="true"/>
          <w:lang w:bidi="ar-SA"/>
        </w:rPr>
        <w:t>كالمعادة، ففي الأول يجوز صلاتها على الراحلة اختيارا و لا يبطلها الشكّ، و في الثاني لا يجوز صلاتها على الراحلة و يبطلها الشكّ لو كانت ثنائية أو ثلاثية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على ذلك بالاستصحاب في كلّ من الفرضين، ففي الأول استصحاب حكم النافلة إلى ما بعد النذر، و في الثاني استصحاب أحكام الفريضة إلى ما بعد صيرورتها نافلة،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 أنّه لا موقع للتمسّك بالاستصحاب في كلّ من الطرفين، للشكّ في الموضوع إن لم نقل بتبدّله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الوصف العنواني الذي يؤخذ في موضوع دليل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بمناسبة الحكم و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المتفاهم منه عرفا أنّ للوصف العنواني دخلا في موضوع الحكم حدوثا و بقاء،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الزكاة الفقير فإنّ العرف يرى بمناسبة الحكم و الموضوع أنّ لوصف الفقر دخلا في الحكم بإعطاء الزكاة، فلو زال الفقر يكون من باب زوال الموضوع، 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 المجتهد العادل و أمثال ذلك ممّا يكون للوصف في نظر العرف دخلا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لا يرى العرف للوصف العنواني دخلا في الموضوع بحسب مرتكزاته و ما يراه من مناسبة الحكم و الموضوع، بل يرى الوصف معرّفا و من قبيل العلّة للحكم لا أنّه جزء موضوع له،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المتغيّر نجس، فإنّ العرف يفهم أنّ معروض النجاسة إنّما هو جسم الماء لا وصف التغيّر، و إنّما أخذ التغيّر علّة لعروض هذا الحكم على نفس الماء، و من هنا يرى النجاسة باقية ببقاء الماء و إن زال التغيّر، بحيث لو فرض حكم الشارع بالطهارة عند زواله يرى من باب ارتفاع الحكم عن موضوعه مع بقائه لا ارتفاعه بارتفاعه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 يشكّ في أنّه من أيّ القبيلين هل للوصف العنواني دخل في الموضوع أو أنّه يكون معرّفا و علّة، و لا غرو في شكّ العرف في ذلك و تفصيله موكول إلى محلّه في</w:t>
      </w:r>
    </w:p>
    <w:p>
      <w:pPr>
        <w:pStyle w:val="BookText"/>
        <w:rPr/>
      </w:pPr>
      <w:r>
        <w:rPr>
          <w:rFonts w:ascii="IRNazanin" w:hAnsi="IRNazanin" w:eastAsia="IRNazanin"/>
          <w:color w:val="111111"/>
          <w:sz w:val="28"/>
          <w:sz w:val="28"/>
          <w:szCs w:val="28"/>
          <w:rtl w:val="true"/>
          <w:lang w:bidi="fa-IR"/>
        </w:rPr>
        <w:t>باب 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لا إشكال في عدم جريان الاستصحاب في القسم الأول، للقطع بارتفاع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لا إشكال في جريان الاستصحاب في القسم الثاني، للقطع ببقاء الموضوع، فلو شكّ أنّ التغيّر هل علّة الحدوث فقط حتّى تبقى النجاسة عند زواله، أو علّة للبقاء أيضا حتّى ترتفع بزواله، كان الاستصحاب هو 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القسم الثالث فلا يجري فيه الاستصحاب أيضا، للشكّ في الموضوع مع أنّه يعتبر في باب الاستصحاب القطع ببقائه كما بيّن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جواز الصلاة على الراحلة مع فوت الاستقبال و الاستقرار، و مثل أنّ الشكّ في الثنائية لا يبطل، و مثل جواز البناء على الأقل و الأكثر، و غير ذلك من الأحكام المترتبة على النافلة، حيث إنّها كانت أحكاما تسهيلية و جعلها إنّما هو لأجل التوسعة فهي إنّما تناسب النافلة لأنّه يتسامح فيها ما لا يتسامح في الفريضة، فمن القريب جدّا أن يكون لوصف التنفّل دخل في موضوع هذه الأحكام، لأنّ مناسبة الحكم و الموضوع يقتضي أن تكون جعل مثل هذه الأحكام المبتنية على التسامح و التسهيل إنّما هو لأجل النافلة، لخلاف ما يقابلها من الأحكام من عدم جواز الصلاة على الراحلة، و بطلان الشكّ في الثنائية و الثلاثية، و لزوم البناء على الأكثر، و أمثال ذلك من الأحكام المبتنية على التضيق و عدم المسامحة، فإنّها تناسب وصف الفرض، فمن القريب أيضا جدّا أن يكون لوصف الفرض دخل في مثل هذه الأحكام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المنذورة حيث عرض لها وصف الفرض فتناسب أن يلحقها أحكام الفرض، فلو ادّعى أحد القطع بأنّ لوصفي الفرض و النفل دخلًا في موضوع هذه الأحكام لما كان مجازفا و كانت دعواه في محلّه، فيكون المقام من قبيل القسم الأول الذي يكون للوصف العنواني دخل في متعلّق الحكم مثل أعط الزكاة الفقير، ففي</w:t>
      </w:r>
    </w:p>
    <w:p>
      <w:pPr>
        <w:pStyle w:val="BookText"/>
        <w:rPr/>
      </w:pPr>
      <w:r>
        <w:rPr>
          <w:rFonts w:ascii="Amiri" w:hAnsi="Amiri" w:eastAsia="Amiri" w:cs="Amiri"/>
          <w:color w:val="111111"/>
          <w:sz w:val="28"/>
          <w:sz w:val="28"/>
          <w:szCs w:val="28"/>
          <w:rtl w:val="true"/>
          <w:lang w:bidi="ar-SA"/>
        </w:rPr>
        <w:t>مثل النفل الذي عرض له الفرض ممّا يقطع بارتفاع الموضوع فلا موقع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أبيت عن ذلك فلا أقل من الشكّ، فيكون من القسم الثالث الذي يشكّ في الموضوع فلا يجري الاستصحاب فيه أيضا، و المنع عن الشكّ في مدخلية وصفي الفرض و النفل في الأحكام يكون خلاف الإنصاف، فالأقوى أنّه لا موقع للاستصحاب في كلّ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إن قام دليل بالخصوص على تسرية حكم النقل إلى بعد عروض الفرض و بالعكس فهو، و إلّا كان المتّبع إلى الإطلاقات و العمومات الدالّة على اعتبار الشرائط من القبلة و الاستقرار، و عموم البناء على الأكثر عند الشكّ في الرباعية، و بطلان الشكّ في الثنائية، و القدر الثابت من التخصيص هو ما كان نفلا بالفعل، لأنّ المقام يكون من إجمال المخصّص الذي يدور أمره بين الأقل و الأكثر، فلا مانع من الرجوع إلى العمومات،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النفل الذي طرأ عليه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الفرض الذي طرأ عليه النفل كالمعادة احتياطا و جماعة فالأقوى فيه أيضا مراعاة حكم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الصلاة المعادة احتياطا فأصل نفليّتها شرعا مشكل، بل إنّما هو لأجل حكم العقل بحسن الاحتياط من جهة احتمال الخلل، و على فرض أن يكون الإعادة مستحبّا شرعا فاستحبابه إنّما هو لأجل جبر الخلل المحتمل وقوعه في الصلاة، فلا بدّ من أن تكون المعادة واجدة لجميع الشرائط حتّى تقوم الصلاة المعادة مقام الأصل على تقدير وقوع الخلل فيها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الصلاة المعادة جماعة فهي و إن كانت مستحبّة شرعا إلّا أنّ قوله</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ليختار اللّٰه أحبّهما إليه</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يدلّ على أنّها تكون من باب الامتثال عقيب الامتثال، فلا بدّ أن تكون أيضا واجدة لجميع الشرائط حتّى يمكن أن تكون أحبّهما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الإشكال في صلاة العيدين و الجمعة في زمان الغيبة، و أنّه هل يجري عليها أحكام الفرض أو أحكام النقل؟ و لعلّه يأتي تحقيقه إن شاء اللّٰه عند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ما اخترناه من جريان أحكام الفرض على النافلة المنذورة إنّما هو في غير حكم الجماعة، و أمّا بالنسبة إلى حكم الجماعة بحيث يجوز له أن يصلّي الصلاة النافلة المنذورة جماعة، كسائر الفرائض التي تشرع فيها الجماعة دون النوافل، فأمره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يظهر من عبارة الشهيد </w:t>
      </w:r>
      <w:r>
        <w:rPr>
          <w:rStyle w:val="FootnoteAnchor"/>
          <w:rtl w:val="true"/>
        </w:rPr>
        <w:footnoteReference w:id="278"/>
      </w:r>
      <w:r>
        <w:rPr>
          <w:rFonts w:ascii="Amiri" w:hAnsi="Amiri" w:eastAsia="Amiri" w:cs="Amiri"/>
          <w:color w:val="111111"/>
          <w:sz w:val="28"/>
          <w:sz w:val="28"/>
          <w:szCs w:val="28"/>
          <w:rtl w:val="true"/>
          <w:lang w:bidi="ar-SA"/>
        </w:rPr>
        <w:t>،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جواز ذلك، حيث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أحكام الفريضة تجري على المنذورة حتّى بالنسبة إلى الجماعة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دعوى الإجماع على ذلك، و إن كان في الظهور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فالمتيقّن إنّما هو تسرية أحكام الفرض على المنذورة سوى الجماعة إلّا أن يقوم دليل على خلافه، هذا ما يقتضيه القاعدة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 خصوص المقام وردت رواية على جواز الصلاة المنذورة على الراحلة، و هي رواية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جعل للّٰه عليه أن يصلّي كذا و كذا، هل يجزيه أن يصلّي ذلك على دابّته و هو مسافر؟ قال عليه السّلام نعم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و النسبة بين هذه الرواية و ما دلّ </w:t>
      </w:r>
      <w:r>
        <w:rPr>
          <w:rStyle w:val="FootnoteAnchor"/>
          <w:rtl w:val="true"/>
        </w:rPr>
        <w:footnoteReference w:id="280"/>
      </w:r>
      <w:r>
        <w:rPr>
          <w:rFonts w:ascii="Amiri" w:hAnsi="Amiri" w:eastAsia="Amiri" w:cs="Amiri"/>
          <w:color w:val="111111"/>
          <w:sz w:val="28"/>
          <w:sz w:val="28"/>
          <w:szCs w:val="28"/>
          <w:rtl w:val="true"/>
          <w:lang w:bidi="ar-SA"/>
        </w:rPr>
        <w:t>على عدم جواز الفريضة على الراحلة إلّا لضرورة إنّما بالعموم من وجه، لأنّ هذه و إن كانت ظاهرة في خصوص النافلة كما لا يخفى وجهه إلّا أنّها أعمّ من حيث الضرورة و عدمها، و تلك الروايات و إن كانت في خصوص الفريضة إلّا أنّها أعمّ من حيث كونها منذورة أو غيرها، فلا بدّ من رفع اليد عن عموم أحدهما، إمّا بتخصيص الفريضة بغير المنذورة، و إمّا بتخصيص المنذورة بصورة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أظهرية رواية علي بن جعفر، لانصراف الفريضة في أخبار المنع إلى الفرائض الأصلية فلا تشمل المنذورة خالية عن الشاهد، لعدم الانصراف على وجه يوجب صرف اللّفظ عن ظاهره، بل إنّما هو من الانصرافات البدوية التي لا عبرة بها، فالإنصاف أنّ الفريضة في أخبار المنع ظاهرة في الأعمّ من المنذورة و الفرائض الأصلية، كما أنّ ما دلّ على جواز فعل المنذورة على الراحلة ظاهر في الأعمّ من الضرورة و غيرها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ربّما يدّعى أنّ رواية علي بن جعفر أظهر، لأنّ الظاهر من السؤال أنّ المنذورة هل هي كالفرائض لا يجوز أن يصلّيها على الراحلة أو أنّها كالنافلة يجوز، فكأنّه كان المرتكز في ذهن السائل أنّ حكم النافلة هو جواز صلاتها اختيارا على الراحلة، و كان جهة السؤال في أنّ النذر يوجب تغيير الحكم أو لا يوجب، فقوله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قوله إنّ النذر لا يوجب تغيير الحكم و بعد يجوز صلاتها اختيارا على الراحلة، فتأمّل فإنّ هذا أيضا كدعوى الانصراف في تلك الأخبار لا يخلو عن مناقشة، فالأظهرية في البين في كلّ من الطرفين لم يكن، و عليه لا بدّ من رفع اليد عن ظهور أحدهما،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بعد لم يعلم عمل الأصحاب على</w:t>
      </w:r>
      <w:bookmarkStart w:id="181" w:name="pg19820_206609"/>
    </w:p>
    <w:p>
      <w:pPr>
        <w:pStyle w:val="BookText"/>
        <w:rPr/>
      </w:pPr>
      <w:bookmarkEnd w:id="181"/>
      <w:r>
        <w:rPr>
          <w:rFonts w:ascii="Amiri" w:hAnsi="Amiri" w:eastAsia="Amiri" w:cs="Amiri"/>
          <w:color w:val="111111"/>
          <w:sz w:val="28"/>
          <w:sz w:val="28"/>
          <w:szCs w:val="28"/>
          <w:rtl w:val="true"/>
          <w:lang w:bidi="ar-SA"/>
        </w:rPr>
        <w:t>رواية علي بن جعفر عليه السّلام، فالقول بأنّه لا يجوز صلاة المنذورة على الراحلة اختيارا 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هنا مقامين للتكلّم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الصلاة على الراحلة مع فوات بعض الشرائط و الأفعال من القبلة و الركوع و الاستقرار و أمثال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الصلاة على الراحلة مع عدم فوات شي‌ء من الشرائط و الأجزاء</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3360090_2314609296"/>
      <w:bookmarkStart w:id="183" w:name="_Toc72"/>
      <w:bookmarkEnd w:id="182"/>
      <w:r>
        <w:rPr>
          <w:rtl w:val="true"/>
        </w:rPr>
        <w:t>أمّا المقام الأول</w:t>
      </w:r>
      <w:r>
        <w:rPr>
          <w:rtl w:val="true"/>
        </w:rPr>
        <w:t>:</w:t>
      </w:r>
      <w:bookmarkEnd w:id="183"/>
    </w:p>
    <w:p>
      <w:pPr>
        <w:pStyle w:val="BookText"/>
        <w:rPr/>
      </w:pPr>
      <w:r>
        <w:rPr>
          <w:rFonts w:ascii="Amiri" w:hAnsi="Amiri" w:eastAsia="Amiri" w:cs="Amiri"/>
          <w:color w:val="111111"/>
          <w:sz w:val="28"/>
          <w:sz w:val="28"/>
          <w:szCs w:val="28"/>
          <w:rtl w:val="true"/>
          <w:lang w:bidi="ar-SA"/>
        </w:rPr>
        <w:t>فالمعروف بين الأصحاب عدم جواز الفريضة على الراحلة اختيارا و جوازه عند الضرورة، و أمّا النافلة فيجوز مطلقا، و يدلّ عليه عدّة من الأخبار، كصحيح عبد الرحمن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يصلّي على الدابّة الفريضة إلّا مريض يستقبل القبلة، و تجزيه فاتحة الكتاب، و يضع بوجهه في الفريضة على ما أمكنه من شي‌ء، و يومئ في النافلة إيماء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موثّق عبد اللّٰه بن سنان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يصلّي الرجل شيئا من المفروض راكبا؟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من ضرورة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بعض الروايات </w:t>
      </w:r>
      <w:r>
        <w:rPr>
          <w:rStyle w:val="FootnoteAnchor"/>
          <w:rtl w:val="true"/>
        </w:rPr>
        <w:footnoteReference w:id="283"/>
      </w:r>
      <w:r>
        <w:rPr>
          <w:rFonts w:ascii="Amiri" w:hAnsi="Amiri" w:eastAsia="Amiri" w:cs="Amiri"/>
          <w:color w:val="111111"/>
          <w:sz w:val="28"/>
          <w:sz w:val="28"/>
          <w:szCs w:val="28"/>
          <w:rtl w:val="true"/>
          <w:lang w:bidi="ar-SA"/>
        </w:rPr>
        <w:t>تقييد الضرورة بالشدّة، و معلوم أنّه ليس المراد من الشدّة البالغة حدّ القدرة، بل المراد منها ما يعسر معه النزول و الركوب</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ان يعلم أنّه في مورد جاز الصلاة على الراحلة لا بدّ من ملاحظة الشرائط و الأفعال مهما أمكن، لأنّ الضرورات تتقدّر بقدرها، فيستقبل القبلة و لو بالتكبيرة مع عدم التمكّن من غيرها، و يراعي سائر الشرائط بقدر القدرة، و لا يعتبر</w:t>
      </w:r>
      <w:bookmarkStart w:id="184" w:name="pg19820_206610"/>
    </w:p>
    <w:p>
      <w:pPr>
        <w:pStyle w:val="BookText"/>
        <w:rPr/>
      </w:pPr>
      <w:bookmarkEnd w:id="184"/>
      <w:r>
        <w:rPr>
          <w:rFonts w:ascii="Amiri" w:hAnsi="Amiri" w:eastAsia="Amiri" w:cs="Amiri"/>
          <w:color w:val="111111"/>
          <w:sz w:val="28"/>
          <w:sz w:val="28"/>
          <w:szCs w:val="28"/>
          <w:rtl w:val="true"/>
          <w:lang w:bidi="ar-SA"/>
        </w:rPr>
        <w:t xml:space="preserve">أن يصبر إلى ضيق الوقت كما يظهر من الشرائع </w:t>
      </w:r>
      <w:r>
        <w:rPr>
          <w:rStyle w:val="FootnoteAnchor"/>
          <w:rtl w:val="true"/>
        </w:rPr>
        <w:footnoteReference w:id="284"/>
      </w:r>
      <w:r>
        <w:rPr>
          <w:rFonts w:ascii="Amiri" w:hAnsi="Amiri" w:eastAsia="Amiri" w:cs="Amiri"/>
          <w:color w:val="111111"/>
          <w:sz w:val="28"/>
          <w:sz w:val="28"/>
          <w:szCs w:val="28"/>
          <w:rtl w:val="true"/>
          <w:lang w:bidi="ar-SA"/>
        </w:rPr>
        <w:t>، بل يجوز له البدار لكن بشرط اليأس عن زوال العذر، كما هو الشأن في جميع دوي الأعذار، على ما يأتي بيانه إن شاء اللّٰه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حكم الصلاة على الراحلة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الصلاة ماشيا فيجوز عند الضرورة دون الاختيار، و ادّعي على ذلك الإجماع، و الظاهر أنّه لو دار الأمر بين الصلاة راكبا و بين الصلاة ماشيا فالحكم فيه التخيير، لأنّ في كلّ منهما جهة لم تكن في الآخر، فإنّ في الركوب تفويتا للقيام مع استقرار المصلّي بنفسه و إن كانت دابّته متحرّكة، و في المشي تفويت استقرار المصلّي مع ثبوت القيام له، و لم يعلم أهمية أحد الجهتين، فلا محيص عن التخيير كما هو الشأن في كلّ متزاحمين لم يكن أحدهما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يستدلّ على التخيير بقوله تعالى فَإِنْ خِفْتُمْ فَرِجٰالًا أَوْ رُكْبٰاناً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الاستدلال ما لا يخفى، لأنّ المراد من رجالا أو ركبانا هو الحال المتلبس به المكلّفين، فيصير المعنى إن خفتم العدوّ فصلّوا سواء كنتم راكبين أو راجلين، و أين هذا من التخيير؟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أن يقال بتقديم المشي لأهمية القيام خصوصا الركني منه، فتأمّل</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3360092_2314609296"/>
      <w:bookmarkStart w:id="186" w:name="_Toc73"/>
      <w:bookmarkEnd w:id="185"/>
      <w:r>
        <w:rPr>
          <w:rtl w:val="true"/>
        </w:rPr>
        <w:t>المقام الثاني</w:t>
      </w:r>
      <w:r>
        <w:rPr>
          <w:rtl w:val="true"/>
        </w:rPr>
        <w:t>:</w:t>
      </w:r>
      <w:bookmarkEnd w:id="18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جواز الصلاة على الراحلة مع عدم فوات شي‌ء من الشرائط و الأجزاء، كما إذا كانت الدابّة معقولة و كان في كجاوة أو سرير يمكنه استيفاء الركوع و السجود</w:t>
      </w:r>
    </w:p>
    <w:p>
      <w:pPr>
        <w:pStyle w:val="BookText"/>
        <w:rPr/>
      </w:pPr>
      <w:r>
        <w:rPr>
          <w:rFonts w:ascii="Amiri" w:hAnsi="Amiri" w:eastAsia="Amiri" w:cs="Amiri"/>
          <w:color w:val="111111"/>
          <w:sz w:val="28"/>
          <w:sz w:val="28"/>
          <w:szCs w:val="28"/>
          <w:rtl w:val="true"/>
          <w:lang w:bidi="ar-SA"/>
        </w:rPr>
        <w:t>و غير ذلك من الشرائط و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جواز الصلاة كذلك إشكال، فإنّ الظاهر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يصلّي على الدابّة الفريضة إلّا 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جواز الصلاة على الدابّة مطلقا سواء كانت واقفة أو سائرة، فيكون نفس الكون على الدابّة مانعا عن الصلاة عليها كمانعية غير المأكول عن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المنع عن الصلاة على الدابّة إنّما هو لأجل أنّ الغالب عدم إمكان استيفاء جميع الافعال عليها فيكون الحكم واردا مورد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xml:space="preserve">ممّا لا يمكن المساعدة عليه، لأنّ النفي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إلّا لبيان مانعية الدابّة عن الصلاة عليها، و ليس له نظر إلى حيثية الأجزاء و الشرائط و أنّه مطلق بالنسبة إلى إمكان استيفائها و عدمه، حتّى يمنع إطلاقه بالنسبة إلى ذلك بدعوى أنّ الغالب عدم إمكان الاستيفاء فالحكم وارد مورد الغالب، لما عرفت من أنّ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يصلّي على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يصلّي في 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شرطية عدم الدابّة و أنّه وارد لمجرّد بيان ذلك، فليس النفي متعرّضا لحال الأفعال حتّى يبحث عن إطلاقه بالنسبة إلى ذلك و عدم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بالنسبة إلى مانعية الدابّة يكون مطلقا من حيث كونها واقفة أو سائرة، غاية الأمر أنّا نقطع بأنّ الدابّة من حيث كونها دابّة ليس لها خصوصية تمنع عن الصلاة عليها، و إنّما المانع هو عدم القرار الذي نسب إلى المشهور اعتباره في الصلاة زائدا على الاستقرار، و المراد من القرار هو أن يكون المصلّي مستقرّا على الأرض و لو بواسطة أو ما بحكمها كالماء على ما سيأتي من جواز الصلاة في السفينة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تنقيح البحث في المقام يستدعي بسطا في الكلام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المصلّي تارة</w:t>
      </w:r>
    </w:p>
    <w:p>
      <w:pPr>
        <w:pStyle w:val="BookText"/>
        <w:rPr/>
      </w:pPr>
      <w:r>
        <w:rPr>
          <w:rFonts w:ascii="Amiri" w:hAnsi="Amiri" w:eastAsia="Amiri" w:cs="Amiri"/>
          <w:color w:val="111111"/>
          <w:sz w:val="28"/>
          <w:sz w:val="28"/>
          <w:szCs w:val="28"/>
          <w:rtl w:val="true"/>
          <w:lang w:bidi="ar-SA"/>
        </w:rPr>
        <w:t>يكون مستقرّا في مكان بحيث لم يكن له حركة عينية خارجية و إن كان له حركة تبعية عرضية، كجالس السفينة في الأنهار الصغار التي لم يكن لها تموّج و اضطراب لسكون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لا يكون مستقرّا في مكان بل متحرّكا بحركة عينية خارجية و لو كان بتبع حركة الغير، كالراكب على الدابّة في حال سيرها، و كالراكب في الشمندفر و إن كان حركته دون حركة الدابّة إلّا أنّه مع ذلك له حركة حسّية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لا يكون مستقرّا في مكان و لم يكن له حركة أيضا، كراكب الدابّة الواقفة سواء كان في محمل أو سرير أو غيره، و هذا أيضا يمكن على نحوين، فإنّ الدابّة تارة تكون معقولة بحيث يؤمن من حركتها، و اخرى لا تكون معقولة و تكون في معرض الحركة، و قس على الدابّة غيرها ممّا يكون معلّقا في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مجمل أقسام المصلّي باعتبار حالاته من حيث المكان و 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حكمها فالقسم الأول ممّا لا شبهة في صحّة صلاته، على خلاف في السفينة يأتي بيانه إن شاء اللّٰه و كذا لا شبهة في عدم صحّة الصلاة في القسم الثاني، لفوات القرار و الاستقرار معا فيه فهو المتيقّن من أخبار المانعة عن جواز الصلاة على الراحلة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الثالث فهو بكلا قسميه يمكن أيضا دخوله في الأخبار المانعة، بناء على ما استظهرناه منها من أنّ المنع إنّما هو لبيان مانعية نفس الراحلة من جهة فوات القرار، و قد بنى شيخنا الأستاذ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الإنصاف أنّ استظهار ذلك من الأخبار في غاية الإشكال، لإمكان دعوى أنّ المنع عن الصلاة على الراحلة إنّما هو لأجل فوات الاستقرار و غيره من الشرائط و الأجزاء كما هو الغالب</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أنّ الحكم لم يرد لبيان ذلك لا تخلو عن إشكال، و على فرض التسليم و أنّ المنع إنّما يكون واردا لبيان مانعية نفس الدابّة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جهة</w:t>
      </w:r>
      <w:bookmarkStart w:id="187" w:name="pg19820_206613"/>
    </w:p>
    <w:p>
      <w:pPr>
        <w:pStyle w:val="BookText"/>
        <w:rPr/>
      </w:pPr>
      <w:bookmarkEnd w:id="187"/>
      <w:r>
        <w:rPr>
          <w:rFonts w:ascii="Amiri" w:hAnsi="Amiri" w:eastAsia="Amiri" w:cs="Amiri"/>
          <w:color w:val="111111"/>
          <w:sz w:val="28"/>
          <w:sz w:val="28"/>
          <w:szCs w:val="28"/>
          <w:rtl w:val="true"/>
          <w:lang w:bidi="ar-SA"/>
        </w:rPr>
        <w:t>السؤال عن الصلاة على الراحلة إنّما هو من جهة حركتها و سيرها، فالحكم إنّما يكون منزّلا على حال حركتها و سيرها كما هو الغالب، فلا يشمل ما إذا كانت معقولة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ببطلان الصلاة على المحمل و السرير المحمول على الدابّة المعقولة المطمئنّ من حركتها، أو التخت المعلّق في الهواء بحيث لا يتحرّك في حال الصلاة لا يخلو عن تأمّل بل منع، للشكّ في دخوله في أخبار المنع، و الأصل فيه البراءة لرجوع الشكّ فيه إلى الشكّ في مانعية الراحلة عن الصلاة فيكون من باب الأقلّ و الأكثر الارتباطيين، و قد حرّر في محلّه أنّ الأصل فيه هو البراءة لا الاشتغال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يعتبر أن يكون المصلّي مطمئنّا بعدم حركة الدابّة في حال الصلاة حتّى يمكنه الجزم بالنية، إذ مع عدم الاطمئنان يكون حال الصلاة عليها كحال الصلاة في مواضع الزحام من حيث عدم تحقّق الجزم بالنية، و أصالة عدم طروّ المانع في الأثناء لا يوجب حصول الجزم بالنية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ينتقض بصلاة ذات العادة التي تحتمل طروّ الحيض في أثنائها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القدر المتمكّن منها هو الصلاة باحتمال عدم طروّ الحيض فلا يمكنها الجزم بالنية، فلا بدّ لها من الامتثال الاحتمالي، لأنّ صبرها يوجب تأكّد احتمال طروّ المانع، و هذا بخلاف المقام لأنّ المفروض هو تمكّنه من الصلاة على الأرض، فهو متمكّن من الامتثال القطعي و عليه لا يجوز له الصلاة بالامتثال الاحتمالي، و سيأتي مزيد توضيح لذلك في باب النية إن شاء اللّٰه</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3360094_2314609296"/>
      <w:bookmarkStart w:id="189" w:name="_Toc74"/>
      <w:bookmarkEnd w:id="188"/>
      <w:r>
        <w:rPr>
          <w:rtl w:val="true"/>
        </w:rPr>
        <w:t>بقي الكلام في حكم الصلاة في السفينة في حال سيرها</w:t>
      </w:r>
      <w:bookmarkEnd w:id="189"/>
    </w:p>
    <w:p>
      <w:pPr>
        <w:pStyle w:val="BookText"/>
        <w:rPr/>
      </w:pPr>
      <w:r>
        <w:rPr>
          <w:rFonts w:ascii="Amiri" w:hAnsi="Amiri" w:eastAsia="Amiri" w:cs="Amiri"/>
          <w:color w:val="111111"/>
          <w:sz w:val="28"/>
          <w:sz w:val="28"/>
          <w:szCs w:val="28"/>
          <w:rtl w:val="true"/>
          <w:lang w:bidi="ar-SA"/>
        </w:rPr>
        <w:t>، و لا بدّ أولا من ذكر بعض الأخبار الواردة في الباب ممّا ظاهره التعارض و التنافي</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الحلبي أنّه سأل أبا عبد اللّٰه عن الصلاة في السفينة، فقال</w:t>
      </w:r>
    </w:p>
    <w:p>
      <w:pPr>
        <w:pStyle w:val="BookText"/>
        <w:rPr/>
      </w:pPr>
      <w:r>
        <w:rPr>
          <w:rFonts w:ascii="Amiri" w:hAnsi="Amiri" w:eastAsia="Amiri" w:cs="Amiri"/>
          <w:color w:val="111111"/>
          <w:sz w:val="28"/>
          <w:sz w:val="28"/>
          <w:szCs w:val="28"/>
          <w:rtl w:val="true"/>
          <w:lang w:bidi="ar-SA"/>
        </w:rPr>
        <w:t xml:space="preserve">يستقبل القبلة و يصفّ رجليه، فإذا دارت و استطاع أن يتوجّه إلى القبلة و إلّا فليصلّ حيث توجّهت به، و إن أمكنه القيام فليصلّ قائما و إلّا فليقعد ثمّ يصلّي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جميل بن درّاج أنّه قال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السفينة قريبة من الجدد فأخرج و أصلّي؟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فيها أما ترضى بصلاة نوح عليه السّلام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يونس بن يعقوب أنّه سأل أبا عبد اللّٰه عن الصلاة في الفرات و ما هو أصغر منه من الأنهار في السفينة،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صلّيت فحسن و إن خرجت فحسن </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عن الصلاة في السفينة و هي تأخذ شرقا و غربا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استقبل القبلة ثمّ كبّر ثمّ در مع السفينة حيث دارت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في السفينة،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يصلّي و هو جالس إذا لم يمكنه القيام في السفينة، و لا يصلّي في السفينة و هو يقدر على الشطّ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يسأل عن الصلاة في السفينة،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استطعتم أن تخرجوا إلى الجدد فاخرجوا، فإن لم تقدروا فصلّوا قياما، فإن لم تستطيعوا فصلّوا قعودا، و تحرّوا القبلة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تفسير العيّاشي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في السفر في السفينة و المحمل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النافلة كلّها سواء، تومئ إيماء</w:t>
      </w:r>
    </w:p>
    <w:p>
      <w:pPr>
        <w:pStyle w:val="BookText"/>
        <w:rPr/>
      </w:pPr>
      <w:r>
        <w:rPr>
          <w:rFonts w:ascii="Amiri" w:hAnsi="Amiri" w:eastAsia="Amiri" w:cs="Amiri"/>
          <w:color w:val="111111"/>
          <w:sz w:val="28"/>
          <w:sz w:val="28"/>
          <w:szCs w:val="28"/>
          <w:rtl w:val="true"/>
          <w:lang w:bidi="ar-SA"/>
        </w:rPr>
        <w:t>أينما توجّهت دابّتك و سفينتك، و الفريضة تنزل لها عن المحمل إلى الأرض إلّا من خوف فإن خفت أومأت، و أمّا السفينة فصلّ فيها قائما و توخّ القبلة بجهدك، فإنّ نوحا قد صلّى الفريضة فيها قائما متوجّها إلى القبلة و هي مطبقة عليهم،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علمه بالقبلة فيتوجّهها و هي مطبقة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جبرئيل عليه السّلام يقوّمه نحوها،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فأتوجّه نحوها في كلّ تكبيرة؟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النافلة فلا، إنّما تكبّر على غير القبلة اللّٰه أكبر،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قبلة للمتنفّل، أينما تولّوا فثمّ وجه اللّٰه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جملة من الأخبار التي أردنا ذكرها،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يدلّ على كيفية الصلاة في السفينة من استقبال القبلة و صفّ الرجلين و القيام مع التمكّن، من دون أن يكون متعرّضا لأصل حكم الصلاة في السفينة من الجواز مطلقا في حالتي الاختيار و الاضطرار و هي رواية الحلبي </w:t>
      </w:r>
      <w:r>
        <w:rPr>
          <w:rStyle w:val="FootnoteAnchor"/>
          <w:rtl w:val="true"/>
        </w:rPr>
        <w:footnoteReference w:id="295"/>
      </w:r>
      <w:r>
        <w:rPr>
          <w:rFonts w:ascii="Amiri" w:hAnsi="Amiri" w:eastAsia="Amiri" w:cs="Amiri"/>
          <w:color w:val="111111"/>
          <w:sz w:val="28"/>
          <w:sz w:val="28"/>
          <w:szCs w:val="28"/>
          <w:rtl w:val="true"/>
          <w:lang w:bidi="ar-SA"/>
        </w:rPr>
        <w:t xml:space="preserve">، فإنّ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عن الصلاة في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الجواب هو أن يكون السؤال عن أصل الكيفية، فهو من جهة الجواز مطلقا مهمل غير ناظر إليه، فلو فرض أنّه ورد في عدم الجواز اختيارا و إنّما الجواز مختصّ بصورة الاضطرار لا يقع التعارض بينهما كما لا يخفى</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جواز الصلاة في السفينة، و هو بإطلاقه يشمل صورتي الاختيار و الاضطرار، بل ظاهر في خصوص الاختيار كالرواية الثانية، فإنّ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السفينة قريبة من الجدد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المشقّة في الخروج منها و عدم الاضطرار بالصلاة فيها، خصوصا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 و 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p>
    <w:p>
      <w:pPr>
        <w:pStyle w:val="BookText"/>
        <w:rPr/>
      </w:pPr>
      <w:r>
        <w:rPr>
          <w:rFonts w:ascii="Amiri" w:hAnsi="Amiri" w:eastAsia="Amiri" w:cs="Amiri"/>
          <w:color w:val="111111"/>
          <w:sz w:val="28"/>
          <w:sz w:val="28"/>
          <w:szCs w:val="28"/>
          <w:rtl w:val="true"/>
          <w:lang w:bidi="ar-SA"/>
        </w:rPr>
        <w:t xml:space="preserve">عليه السّلام في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قوّة التصريح بجواز الصلاة فيها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يقرب من ذلك في التصريح بالجواز في صورة الاختيار رواية يونس بن يعقوب حيث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خرجت فحسن و إن صلّيت فحسن إذ في صورة الاضطرار لا يكون محلّ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خرجت فحسن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السؤال مختصّ بالأنهار الصغار فلا يشمل السفينة في البحر المتلاطم، و أمّا قوله في تتمّة هذه الرواية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عن الصلاة في السفينة تأخذ شرقا و غربا، فلا يدلّ على جواز الصلاة في السفينة المضطربة اختيارا، لأنّ الظاهر منه بقرينة الجواب هو أن يكون السؤال عن كيفية الصلاة في السفينة المضطربة لا عن أصل الجواز، فلا ينافي اختصاصه بصورة الاضطرار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رواية على بن إبراهيم فالظاهر منها أيضا أن يكون السؤال عن كيفية الصلاة في السفينة بقرينة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و هو جالس إذا لم يمكنه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عليه السّلام في ذيل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يصلّي في السفينة و هو يقدر على الشطّ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معارض لما دلّ من جواز الصلاة في السفينة اختيارا، لأنّ الظاهر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يصلّي في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يكون في صورة عدم التمكّن من استيفاء جميع أفعال الصلاة في السفينة، بقرينة قوله عليه السّلام في صدر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و هو جالس إذا لم يمكنه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فيختصّ المنع في هذه الصورة لا فيما إذا تمكّن من استيفاء جميع الأفعال حتّى الاستقرار فيما إذا لم تكن السفينة مضطربة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يدّعى ظهور رواية حمّاد بن عيسى في المنع عن الصلاة في السفينة في صورة الاختيار و التمكّن من الخروج، لأنّ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استطعتم أن تخرجوا إلى الجدد فاخرجوا فإن لم تقدروا فصلّوا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مع التمكّن من الصلاة في السفينة تامّة الأجزاء و الشرائط يجب عليه الخروج مع القدرة عليه،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ملازمة بين التمكّن من القيام و التمكّن من استيفاء سائر أفعال الصلاة، فيمكن أن يكون المنع لأجل فوات الاستقرار كما ربّما يدّعى أنّه الغالب أو فوات القبلة،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العيّاشي و الإنصاف أنّها صريحة في جواز الصلاة في السفينة اختيارا مع التمكّن من استيفاء الأفعال و تكون شاهد جمع بين الأخبار، فإنّ التفصيل في الفريضة بين الراحلة و السفينة، و أن في الراحلة لا يجوز إلّا في صورة الاضطرار و في السفينة يجوز مطلقا سواء قدر على الخروج أو لم يقدر يكون نصّا في الجواز، نعم يختصّ الجواز بصورة التمكّن من استيفاء الأفعال بقرينة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فيها قائما و توخّ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يختصّ بصورة التمكّن من الاستقرار و عدم اضطراب السفينة بقرينة كون السائل زرارة و هو عراقي، و السفن السارية في أنهار العراق من الفرات و الدجلة لا تكون مضطربة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مجموع الأخبار بعد تحكيم النصّ و الأظهر على الظاهر هو أنّه لو كانت السفينة غير مضطربة، و تمكّن المصلّي من استيفاء جميع أفعال الصلاة من القيام و القبلة و غير ذلك فالصلاة فيها اختيارا تصحّ مع التمكّن من الخروج، و إن لم يتمكّن من استيفاء الأفعال فجواز الصلاة مختصّ بصورة عدم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انقدح أيضا حال الصلاة على الراحلة، و أنّه في الفريضة لا يجوز إلّا مع الاضطرار و عدم التمكّن من النزول، و أمّا في النافلة فيجوز مطلقا و لا يعتبر القبلة و لو مع التمكّن فيها، بل يتوجّه حيثما توجّهت الدابّة، كما صرّحت به رواية العيّاشي المتقدّمة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عساه يظهر من بعض الأخبار من اعتبار الاستقبال في حال الركوع و السجود و التكبير أو في خصوص حال التكبير، كقول الصادق عليه السّلام في</w:t>
      </w:r>
    </w:p>
    <w:p>
      <w:pPr>
        <w:pStyle w:val="BookText"/>
        <w:rPr/>
      </w:pPr>
      <w:r>
        <w:rPr>
          <w:rFonts w:ascii="Amiri" w:hAnsi="Amiri" w:eastAsia="Amiri" w:cs="Amiri"/>
          <w:color w:val="111111"/>
          <w:sz w:val="28"/>
          <w:sz w:val="28"/>
          <w:szCs w:val="28"/>
          <w:rtl w:val="true"/>
          <w:lang w:bidi="ar-SA"/>
        </w:rPr>
        <w:t>حسن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يصلّي الرجل صلاة اللّيل في السفر و هو يمشي، و لا بأس إن فاتته صلاة اللّيل أن يقضيها بالنهار و هو يمشي يتوجّه إلى القبلة ثمّ يمشي و يقرأ، فإذا أراد أن يركع حوّل وجهه إلى القبلة و ركع و سجد ثمّ مشى </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كصحيح عبد الرحمن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الصلاة في اللّيل في السفر في المحمل،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على غير القبلة فاستقبل القبلة ثمّ كبّر و صلّ حيث ذهب بك بعيرك </w:t>
      </w:r>
      <w:r>
        <w:rPr>
          <w:rStyle w:val="FootnoteAnchor"/>
          <w:rtl w:val="true"/>
        </w:rPr>
        <w:footnoteReference w:id="297"/>
      </w:r>
      <w:r>
        <w:rPr>
          <w:rFonts w:ascii="Amiri" w:hAnsi="Amiri" w:eastAsia="Amiri" w:cs="Amiri"/>
          <w:color w:val="111111"/>
          <w:sz w:val="28"/>
          <w:sz w:val="28"/>
          <w:szCs w:val="28"/>
          <w:rtl w:val="true"/>
          <w:lang w:bidi="ar-SA"/>
        </w:rPr>
        <w:t>،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حمله على الأفضلية، لعدم مقاومته لجملة من الأخبار المصرّحة بعدم اعتبار القبلة في النافلة إذا صلّيت على الدابّة، أو في حال المشي مطلقا حتّى في حال التكبير المعلّلة في جملة منها بقوله تعالى فَأَيْنَمٰا تُوَلُّوا فَثَمَّ وَجْهُ اللّٰهِ </w:t>
      </w:r>
      <w:r>
        <w:rPr>
          <w:rStyle w:val="FootnoteAnchor"/>
          <w:rtl w:val="true"/>
        </w:rPr>
        <w:footnoteReference w:id="298"/>
      </w:r>
      <w:r>
        <w:rPr>
          <w:rFonts w:ascii="Amiri" w:hAnsi="Amiri" w:eastAsia="Amiri" w:cs="Amiri"/>
          <w:color w:val="111111"/>
          <w:sz w:val="28"/>
          <w:sz w:val="28"/>
          <w:szCs w:val="28"/>
          <w:rtl w:val="true"/>
          <w:lang w:bidi="ar-SA"/>
        </w:rPr>
        <w:t>، و أنّها نزلت في النافلة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صلاة النافلة جهات من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جوازها اختيارا على الراحلة و في حال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اعتبار القبلة فيها مطلقا و لو في حال 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جواز الصلاة على الراحلة هل هو مختصّ بالسفر أو يعمّ الحضر أيضا؟</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يعتبر الركوع و السجود فيها لو صلّيت ماشيا أو على الراحلة و لو بأن ينزل لهما، أو لا يعتبر ذلك بل يجزي الإيماء لهما مع جعل إيماء السجود أخفض؟</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لو قلنا بعدم اعتبار القبلة فيها، فهل ذلك يختصّ بما إذا</w:t>
      </w:r>
    </w:p>
    <w:p>
      <w:pPr>
        <w:pStyle w:val="BookText"/>
        <w:rPr/>
      </w:pPr>
      <w:r>
        <w:rPr>
          <w:rFonts w:ascii="Amiri" w:hAnsi="Amiri" w:eastAsia="Amiri" w:cs="Amiri"/>
          <w:color w:val="111111"/>
          <w:sz w:val="28"/>
          <w:sz w:val="28"/>
          <w:szCs w:val="28"/>
          <w:rtl w:val="true"/>
          <w:lang w:bidi="ar-SA"/>
        </w:rPr>
        <w:t>صلّيت على الراحلة أو في حال المشي دون ما إذا صلّيت في حال الاستقرار على الأرض مطمئنا، أو لا يختصّ بذلك بل يعمّ حال الاستقرار أيضا؟</w:t>
      </w:r>
    </w:p>
    <w:p>
      <w:pPr>
        <w:pStyle w:val="BookText"/>
        <w:rPr/>
      </w:pPr>
      <w:r>
        <w:rPr>
          <w:rFonts w:ascii="Amiri" w:hAnsi="Amiri" w:eastAsia="Amiri" w:cs="Amiri"/>
          <w:color w:val="111111"/>
          <w:sz w:val="28"/>
          <w:sz w:val="28"/>
          <w:szCs w:val="28"/>
          <w:rtl w:val="true"/>
          <w:lang w:bidi="ar-SA"/>
        </w:rPr>
        <w:t xml:space="preserve">أمّا الجهة الأولى فقد تقدّم البحث عنها، و أنّ أصل الجواز ممّا لا إشكال فيه و لا خلاف، و قد تواترت الأخبار </w:t>
      </w:r>
      <w:r>
        <w:rPr>
          <w:rStyle w:val="FootnoteAnchor"/>
          <w:rtl w:val="true"/>
        </w:rPr>
        <w:footnoteReference w:id="299"/>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الجهة الثانية فقد تقدّم أيضا أنّه لا يعتبر الاستقبال في حال من الأحوال، و أنّ ما ورد من اعتبار ذلك في بعض الأحوال فمحمول على الأفضلية، و إن خالف فيه بعض الأعلام على ما هو المحكي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الجهة الثالثة فالظاهر عدم اختصاص الجواز بالسفر بل يعم الحضر، لصحيح عبد الرحمن بن الحجّاج سأل أبا عبد اللّٰه عليه السّلام عن الرجل يصلّي النوافل في الأمصار و هو على دابّته حيث ما توجّهت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حكم الراكب الماشي، و هو و إن لم يدلّ عليه بالخصوص دليل إلّا أنّه يكفي إطلاقات جواز الصلاة ماشيا من غير تفصيل بين السفر و الحضر، فما يظهر من بعض الأعلام من الإشكال في جواز الصلاة على الراحلة حضرا ممّا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الجهة الرابعة فالظاهر أنّ النزول من الدابّة للركوع و السجود ممّا لا يعتبر في الفريضة في مورد جواز أن يصلّيها على الدابّة فضلا عن النافلة، بل لا يجوز ذلك لأنّه فعل كثير يمحو صورة الصلاة، و إن مال إليه في الجواهر </w:t>
      </w:r>
      <w:r>
        <w:rPr>
          <w:rStyle w:val="FootnoteAnchor"/>
          <w:rtl w:val="true"/>
        </w:rPr>
        <w:footnoteReference w:id="301"/>
      </w:r>
      <w:r>
        <w:rPr>
          <w:rFonts w:ascii="Amiri" w:hAnsi="Amiri" w:eastAsia="Amiri" w:cs="Amiri"/>
          <w:color w:val="111111"/>
          <w:sz w:val="28"/>
          <w:sz w:val="28"/>
          <w:szCs w:val="28"/>
          <w:rtl w:val="true"/>
          <w:lang w:bidi="ar-SA"/>
        </w:rPr>
        <w:t>في الفريضة بدعوى أنّ الصعود و النزول من مقدّمات فعل الركوع و السجود فلا يضرّ، و لا يخفى ما فيه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الماشي فالظاهر عدم اعتبار ذلك أيضا، بل يكفي الإيماء لهما مع جعل إيماء السجود أخفض، و ما تقدّم في رواية معاوية بن عمّار من أنّ الماشي يركع</w:t>
      </w:r>
    </w:p>
    <w:p>
      <w:pPr>
        <w:pStyle w:val="BookText"/>
        <w:rPr/>
      </w:pPr>
      <w:r>
        <w:rPr>
          <w:rFonts w:ascii="Amiri" w:hAnsi="Amiri" w:eastAsia="Amiri" w:cs="Amiri"/>
          <w:color w:val="111111"/>
          <w:sz w:val="28"/>
          <w:sz w:val="28"/>
          <w:szCs w:val="28"/>
          <w:rtl w:val="true"/>
          <w:lang w:bidi="ar-SA"/>
        </w:rPr>
        <w:t>و يسجد فمحمول على الأفضلية، لصراحة جملة من الأخبار بكفاية الإيماء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الجهة الخامسة فمقتضى الإطلاقات الواردة في الكتاب و السنّة هو اشتراط النافلة بالقبلة، كقوله تعالى فَوَلُّوا وُجُوهَكُمْ شَطْرَهُ </w:t>
      </w:r>
      <w:r>
        <w:rPr>
          <w:rStyle w:val="FootnoteAnchor"/>
          <w:rtl w:val="true"/>
        </w:rPr>
        <w:footnoteReference w:id="302"/>
      </w:r>
      <w:r>
        <w:rPr>
          <w:rFonts w:ascii="Amiri" w:hAnsi="Amiri" w:eastAsia="Amiri" w:cs="Amiri"/>
          <w:color w:val="111111"/>
          <w:sz w:val="28"/>
          <w:sz w:val="28"/>
          <w:szCs w:val="28"/>
          <w:rtl w:val="true"/>
          <w:lang w:bidi="ar-SA"/>
        </w:rPr>
        <w:t>و كقوله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صلاة إلّا إلى القبلة </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بنفسه شامل للفريضة و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بأنّ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 هو للوجوب و النافلة لا وجوب لها ففساده غني عن البيان، لأنّ الأمر في مثل هذا إنّما هو لبيان شرطية القبلة كسائر الأوامر الواردة في بيان الأجزاء و الشرائط فيعمّ النافلة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الأوامر الواردة في الكتاب و السنّة هو اشتراط النافلة بجميع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الفريضة إلّا ما خرج فالعمدة هو ملاحظة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ورد في بعض الأخبار </w:t>
      </w:r>
      <w:r>
        <w:rPr>
          <w:rStyle w:val="FootnoteAnchor"/>
          <w:rtl w:val="true"/>
        </w:rPr>
        <w:footnoteReference w:id="304"/>
      </w:r>
      <w:r>
        <w:rPr>
          <w:rFonts w:ascii="Amiri" w:hAnsi="Amiri" w:eastAsia="Amiri" w:cs="Amiri"/>
          <w:color w:val="111111"/>
          <w:sz w:val="28"/>
          <w:sz w:val="28"/>
          <w:szCs w:val="28"/>
          <w:rtl w:val="true"/>
          <w:lang w:bidi="ar-SA"/>
        </w:rPr>
        <w:t>من أنّ الآية إنّما نزلت في الفريضة لا ينافي ذلك أيضا، لأنّ مورد النزول لا يوجب التخصيص كما هو الشأن في غالب الآيات الواردة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دلّ دليل بأنّ الحكم بتولية الوجه شطر المسجد مختصّ بالفريضة لكان اللازم خروج النافلة عنه، إلّا أنّ ظاهر الخبر ليس كذلك، فإنّ فيه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 القبلة بوجهك و لا تقلب وجهك من القبلة فتفسد صلاتك، فإنّ اللّٰه عزّ و جلّ يقول لنبيّه صلّى اللّٰه عليه و آله في الفريضة فَوَلِّ وَجْهَكَ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أنّ الحكم مختصّ بالفريضة، بل أقصاه أنّ الآية نزلت عليه صلّى اللّٰه عليه و آله و هو في الفريضة، كما ورد </w:t>
      </w:r>
      <w:r>
        <w:rPr>
          <w:rStyle w:val="FootnoteAnchor"/>
          <w:rtl w:val="true"/>
        </w:rPr>
        <w:footnoteReference w:id="305"/>
      </w:r>
      <w:r>
        <w:rPr>
          <w:rFonts w:ascii="Amiri" w:hAnsi="Amiri" w:eastAsia="Amiri" w:cs="Amiri"/>
          <w:color w:val="111111"/>
          <w:sz w:val="28"/>
          <w:sz w:val="28"/>
          <w:szCs w:val="28"/>
          <w:rtl w:val="true"/>
          <w:lang w:bidi="ar-SA"/>
        </w:rPr>
        <w:t>التفسير بذلك حيث كان صلّى اللّٰه عليه و آله في صلاة العصر و هو مستقبل لبيت المقدس، فنزلت هذه</w:t>
      </w:r>
      <w:bookmarkStart w:id="190" w:name="pg19820_206621"/>
    </w:p>
    <w:p>
      <w:pPr>
        <w:pStyle w:val="BookText"/>
        <w:rPr/>
      </w:pPr>
      <w:bookmarkEnd w:id="190"/>
      <w:r>
        <w:rPr>
          <w:rFonts w:ascii="Amiri" w:hAnsi="Amiri" w:eastAsia="Amiri" w:cs="Amiri"/>
          <w:color w:val="111111"/>
          <w:sz w:val="28"/>
          <w:sz w:val="28"/>
          <w:szCs w:val="28"/>
          <w:rtl w:val="true"/>
          <w:lang w:bidi="ar-SA"/>
        </w:rPr>
        <w:t>الآية فحوّل وجهه صلّى اللّٰه عليه و آله نحو الكعبة، فمن هذه الجهة لا يمكن الخدشة في إطلاق الآية، مع أنّ في إطلاق السنّة كفاية،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حينئذ من ملاحظة المخرج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بمقتضى الأدلّة السابقة جواز فعل النافلة إلى غير القبلة في حال الركوب و المشي، و بعد لم يقم دليل على جواز فعلها إلى غير القبلة في حال الركون و الاستقرار على الأرض، و ما ورد في عدّة من الروايات </w:t>
      </w:r>
      <w:r>
        <w:rPr>
          <w:rStyle w:val="FootnoteAnchor"/>
          <w:rtl w:val="true"/>
        </w:rPr>
        <w:footnoteReference w:id="306"/>
      </w:r>
      <w:r>
        <w:rPr>
          <w:rFonts w:ascii="Amiri" w:hAnsi="Amiri" w:eastAsia="Amiri" w:cs="Amiri"/>
          <w:color w:val="111111"/>
          <w:sz w:val="28"/>
          <w:sz w:val="28"/>
          <w:szCs w:val="28"/>
          <w:rtl w:val="true"/>
          <w:lang w:bidi="ar-SA"/>
        </w:rPr>
        <w:t>من أنّ قوله تعالى فَأَيْنَمٰا تُوَلُّوا فَثَمَّ وَجْهُ اللّٰهِ نزلت في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يدلّ على ذلك أيضا لتقييدها في جميعها أو غالبها بأنّها نزلت في النافلة في السفر، و معلوم أنّ المراد من السفر هو حال التلبّس به من الركوب و المشي، فلا يعمّ حال الاستقرار في منازل السفر،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أنّ النافلة لو صلّيت على الأرض مستقرّا يعتبر فيها كلّ ما يعتبر في الفريضة من الأجزاء و الشرائط إلّا ما استثني من الترخيص بالقعود فيها و ترك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لو صلّيت على الأرض مستقرّا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صلّيت في السفينة فالظاهر عدم اعتبار القبلة فيها كما لو صلّيت على الراحلة، للتصريح بسقوط القبلة فيها في رواية العيّاشي </w:t>
      </w:r>
      <w:r>
        <w:rPr>
          <w:rStyle w:val="FootnoteAnchor"/>
          <w:rtl w:val="true"/>
        </w:rPr>
        <w:footnoteReference w:id="307"/>
      </w:r>
      <w:r>
        <w:rPr>
          <w:rFonts w:ascii="Amiri" w:hAnsi="Amiri" w:eastAsia="Amiri" w:cs="Amiri"/>
          <w:color w:val="111111"/>
          <w:sz w:val="28"/>
          <w:sz w:val="28"/>
          <w:szCs w:val="28"/>
          <w:rtl w:val="true"/>
          <w:lang w:bidi="ar-SA"/>
        </w:rPr>
        <w:t xml:space="preserve">المتقدّمة، مضافا إلى الأخبار </w:t>
      </w:r>
      <w:r>
        <w:rPr>
          <w:rStyle w:val="FootnoteAnchor"/>
          <w:rtl w:val="true"/>
        </w:rPr>
        <w:footnoteReference w:id="308"/>
      </w:r>
      <w:r>
        <w:rPr>
          <w:rFonts w:ascii="Amiri" w:hAnsi="Amiri" w:eastAsia="Amiri" w:cs="Amiri"/>
          <w:color w:val="111111"/>
          <w:sz w:val="28"/>
          <w:sz w:val="28"/>
          <w:szCs w:val="28"/>
          <w:rtl w:val="true"/>
          <w:lang w:bidi="ar-SA"/>
        </w:rPr>
        <w:t xml:space="preserve">الواردة في أنّ قوله تعالى فَأَيْنَمٰا تُوَلُّوا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نزلت في النافلة في السفر الذي تعمّ الصلاة في السفينة أيضا كما لا يخفى</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3360096_2314609296"/>
      <w:bookmarkStart w:id="192" w:name="_Toc75"/>
      <w:bookmarkEnd w:id="191"/>
      <w:r>
        <w:rPr>
          <w:rtl w:val="true"/>
        </w:rPr>
        <w:t>المبحث الرابع في الخلل الواقع في القبلة</w:t>
      </w:r>
      <w:r>
        <w:rPr>
          <w:rtl w:val="true"/>
        </w:rPr>
        <w:t>:</w:t>
      </w:r>
      <w:bookmarkEnd w:id="192"/>
    </w:p>
    <w:p>
      <w:pPr>
        <w:pStyle w:val="Heading6"/>
        <w:numPr>
          <w:ilvl w:val="5"/>
          <w:numId w:val="1"/>
        </w:numPr>
        <w:rPr/>
      </w:pPr>
      <w:bookmarkStart w:id="193" w:name="__RefHeading___Toc3360098_2314609296"/>
      <w:bookmarkStart w:id="194" w:name="_Toc76"/>
      <w:bookmarkEnd w:id="193"/>
      <w:r>
        <w:rPr>
          <w:rtl w:val="true"/>
        </w:rPr>
        <w:t>اشارة</w:t>
      </w:r>
      <w:bookmarkEnd w:id="19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فاعلم أنّ الخلل الواقع في الصلاة من جهة القبلة</w:t>
      </w:r>
    </w:p>
    <w:p>
      <w:pPr>
        <w:pStyle w:val="BookText"/>
        <w:rPr/>
      </w:pPr>
      <w:r>
        <w:rPr>
          <w:rFonts w:ascii="Amiri" w:hAnsi="Amiri" w:eastAsia="Amiri" w:cs="Amiri"/>
          <w:color w:val="111111"/>
          <w:sz w:val="28"/>
          <w:sz w:val="28"/>
          <w:szCs w:val="28"/>
          <w:rtl w:val="true"/>
          <w:lang w:bidi="ar-SA"/>
        </w:rPr>
        <w:t>تارة يكون عن عمد و علم بالحكم و الموضوع، و اخرى يكون عن جهل بالحكم قصورا أو تقصيرا، و ثالثة يكون عن نسيان كما إذا نسي و صلّى إلى غير القبلة، و رابعة يكون عن غفلة، و خامسة يكون عن خطأ في الاجتهاد و التحرّي فيما كان تكليفه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الخلل الواقع تارة يكون منحرفا عن القبلة و لم يبلغ اليمين و اليسار، و اخرى يكون بالغا لهما بأن صلّى إلى نفس النقطتين، و ثالثة يكون متجاوزا منهما و لم يبلغ الاستدبار، و رابعة بلغ الاستدبار، فهذه جملة الأقسام المصوّرة في الخلل الواقع في القبلة، و لا بدّ من تنقيح كلّ منها على وجه الاختصار،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بطلان الصلاة إذا وقع الخلل عن عمد في جميع الأقسام، سواء كان إلى بين النقطتين أو إلى نفسهما أو تجاوز عنهما بلغ إلى الاستدبار أو لم يبلغ، و السرّ في ذلك واضح لأن لازم جعل القبلة شرطا في الصلاة هو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الخلل واقعا عن جهل فإن كان عن تقصير فكذلك أيضا، للإجماع على أنّ الجاهل المقصّر في حكم العامد خطابا و عقابا إلّا في القصر و الإتمام و الجهر و الإخفات، فهو مكلّف بالتوجّه إلى القبلة الواقعية فلا تعمّه الأخبار الآتية المصحّحة للصلاة إذا وقعت بين المغرب و المشرق المعلّلة بأنّ ما بين الشرق و المغرب قبلة، لأنّ توسعة القبلة إلى هذا الحدّ إنّما يكون في مورد سقوط الخطاب بالقبلة الواقعية، فتكون ما بين المغرب و المشرق قبلة في طول القبلة الواقعية لا في عرضها، و إلّا لصحّ التوجّه إلى ما بينهما عمدا و اختيارا، و قد عرفت أنّ ذلك خلاف التحقيق، و إن قيل به فمورد هذه الأخبار إنّما هو فيما إذا لم يتمكّن المكلّف من التوجّه إلى القبلة الواقعية بحيث يوجب سقوط خطابها، و الخطاب عن الجاهل المقصّر غير ساقط إجماعا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البيان يمكن خروج الجاهل القاصر أيضا عن عموم الأخبار الآتية،</w:t>
      </w:r>
      <w:bookmarkStart w:id="195" w:name="pg19820_206623"/>
    </w:p>
    <w:p>
      <w:pPr>
        <w:pStyle w:val="BookText"/>
        <w:rPr/>
      </w:pPr>
      <w:bookmarkEnd w:id="195"/>
      <w:r>
        <w:rPr>
          <w:rFonts w:ascii="Amiri" w:hAnsi="Amiri" w:eastAsia="Amiri" w:cs="Amiri"/>
          <w:color w:val="111111"/>
          <w:sz w:val="28"/>
          <w:sz w:val="28"/>
          <w:szCs w:val="28"/>
          <w:rtl w:val="true"/>
          <w:lang w:bidi="ar-SA"/>
        </w:rPr>
        <w:t>لأنّ الساقط عن الجاهل القاصر ليس إلّا العقاب و أمّا الخطاب فغير ساقط عنه لتمكّنه من التوجّه إلى القبلة، و الجهل بالحكم لا يوجب سلب قدرته عنه، لعلمه بموضوع القبلة و كان جاهلا في حكمها، كما إذا كان الجاهل في نفس مسجد الحرام المشاهد للكعبة، بداهة أنّه يمكنه التوجّه إلى القبلة، فهو عن عمد و اختيار لم يوقع صلاته نحوها و إن كان ذلك لجهله بالحكم، فحينئذ لا وجه لسقوط خطاب القبلة عن الجاهل القاصر و إن كان معذورا من حيث العقاب، فإذا لم يسقط خطاب القبلة عنه فلا تعمّه الأخبار الآتية، لأنّ موردها الغير المتمكّن من التوجّه إليها الموجب لسقوط خطابها، هذا ما أفاده شيخنا الأستاذ في هذا المقام،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الخلل الواقع في القبلة من جهة النسيان أو الغفلة أو الخطأ في الاجتهاد فهو داخل في عموم الأخبار، و اختصاص بعضها بصورة الخطأ في الاجتهاد لا ينافي إطلاق الباقي و عمومها للناسي و الغافل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الاولى ذكر جملة من</w:t>
      </w:r>
    </w:p>
    <w:p>
      <w:pPr>
        <w:pStyle w:val="Heading6"/>
        <w:numPr>
          <w:ilvl w:val="5"/>
          <w:numId w:val="1"/>
        </w:numPr>
        <w:rPr/>
      </w:pPr>
      <w:bookmarkStart w:id="196" w:name="__RefHeading___Toc3360100_2314609296"/>
      <w:bookmarkStart w:id="197" w:name="_Toc77"/>
      <w:bookmarkEnd w:id="196"/>
      <w:r>
        <w:rPr>
          <w:rtl w:val="true"/>
        </w:rPr>
        <w:t>الأخبار الواردة في المقام و هي على طوائف ثلاث</w:t>
      </w:r>
      <w:r>
        <w:rPr>
          <w:rtl w:val="true"/>
        </w:rPr>
        <w:t>:</w:t>
      </w:r>
      <w:bookmarkEnd w:id="197"/>
    </w:p>
    <w:p>
      <w:pPr>
        <w:pStyle w:val="Heading6"/>
        <w:numPr>
          <w:ilvl w:val="5"/>
          <w:numId w:val="1"/>
        </w:numPr>
        <w:rPr/>
      </w:pPr>
      <w:bookmarkStart w:id="198" w:name="__RefHeading___Toc3360102_2314609296"/>
      <w:bookmarkStart w:id="199" w:name="_Toc78"/>
      <w:bookmarkEnd w:id="198"/>
      <w:r>
        <w:rPr>
          <w:rtl w:val="true"/>
        </w:rPr>
        <w:t>منها</w:t>
      </w:r>
      <w:r>
        <w:rPr>
          <w:rtl w:val="true"/>
        </w:rPr>
        <w:t xml:space="preserve">: </w:t>
      </w:r>
      <w:r>
        <w:rPr>
          <w:rtl w:val="true"/>
        </w:rPr>
        <w:t>ما دلّ على عدم وجوب الإعادة لا في الوقت و لا في خارجه</w:t>
      </w:r>
      <w:bookmarkEnd w:id="199"/>
    </w:p>
    <w:p>
      <w:pPr>
        <w:pStyle w:val="BookText"/>
        <w:rPr/>
      </w:pPr>
      <w:r>
        <w:rPr>
          <w:rFonts w:ascii="Amiri" w:hAnsi="Amiri" w:eastAsia="Amiri" w:cs="Amiri"/>
          <w:color w:val="111111"/>
          <w:sz w:val="28"/>
          <w:sz w:val="28"/>
          <w:szCs w:val="28"/>
          <w:rtl w:val="true"/>
          <w:lang w:bidi="ar-SA"/>
        </w:rPr>
        <w:t>، كصحيح ابن عمّار عن الصادق عليه السّلام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يقوم في الصلاة ثمّ ينظر بعد ما فرغ فيرى أنّه قد انحرف يمينا و شمالا،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مضت صلاته و ما بين المغرب و المشرق قبلة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كموثّق عمّار عنه عليه السّلام أيضا في رجل صلّى على غير القبلة فيعلم و هو في الصلاة قبل أن يفرغ من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متوجّها فيما بين المغرب و المشرق فليحوّل وجهه إلى القبلة ساعة يعلم، و إن كان متوجّها إلى دبر القبلة</w:t>
      </w:r>
    </w:p>
    <w:p>
      <w:pPr>
        <w:pStyle w:val="BookText"/>
        <w:rPr/>
      </w:pPr>
      <w:r>
        <w:rPr>
          <w:rFonts w:ascii="Amiri" w:hAnsi="Amiri" w:eastAsia="Amiri" w:cs="Amiri"/>
          <w:color w:val="111111"/>
          <w:sz w:val="28"/>
          <w:sz w:val="28"/>
          <w:szCs w:val="28"/>
          <w:rtl w:val="true"/>
          <w:lang w:bidi="ar-SA"/>
        </w:rPr>
        <w:t xml:space="preserve">فليقطع صلاته ثمّ يحوّل وجهه إلى القبلة ثمّ يفتح الصلاة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المروي عن قرب الأسناد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إلى غير القبلة و هو يرى أنّه على القبلة ثمّ عرف بعد ذلك فلا إعادة عليه فيما بين المغرب و المشرق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الراوندي من صلّى على غير القبلة فكان إلى غير المشرق و المغرب فلا يعيد الصلاة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أبي جعفر عليه السّلام في 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إلى القبلة،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حدّ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المغرب و المشرق قبلة كلّه </w:t>
      </w:r>
      <w:r>
        <w:rPr>
          <w:rStyle w:val="FootnoteAnchor"/>
          <w:rtl w:val="true"/>
        </w:rPr>
        <w:footnoteReference w:id="313"/>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معناها عدّة من الأخبار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أو صريحة في أنّه لو وقعت الصلاة بين لمغرب و المشرق فلا إعادة، و هي و إن كانت مطلقة بالنسبة إلى الوقت و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شمول الإعادة لفعل الشي‌ء في خارج الوقت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النسبة بينها و بين ما يأتي من الأخبار الظاهرة في وجوب الإعادة في الوقت دون خارجه بالعموم من وجه، لأنّ هذه الأخبار أعمّ من التذكّر في الوقت و خارجه و إن كانت في خصوص ما بين المغرب و المشرق، و الأخبار الآتية أعمّ ممّا إذا كانت الصلاة بين المغرب و المشرق و ما إذا كانت ما وراء ذلك، لكنّها أخصّ من حيث كونها مختصّة بصورة التذكّر في خارج الوقت، فلكلّ منهما جهة عموم و جهة خصوص</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أنّه يمكن حمل الأخبار الآتية على خصوص ما إذا كانت الصلاة واقعة فيما وراء المغرب و المشرق أو إلى نفس النقطتين، كذلك يمكن حمل هذه الأخبار المتقدّمة على خصوص التذكّر في خارج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حكي عن صاحب</w:t>
      </w:r>
    </w:p>
    <w:p>
      <w:pPr>
        <w:pStyle w:val="BookText"/>
        <w:rPr/>
      </w:pPr>
      <w:r>
        <w:rPr>
          <w:rFonts w:ascii="IRNazanin" w:hAnsi="IRNazanin" w:eastAsia="IRNazanin"/>
          <w:color w:val="111111"/>
          <w:sz w:val="28"/>
          <w:sz w:val="28"/>
          <w:szCs w:val="28"/>
          <w:rtl w:val="true"/>
          <w:lang w:bidi="fa-IR"/>
        </w:rPr>
        <w:t xml:space="preserve">الحدائق </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إلى ذلك، و التزم بوجوب الإعادة في الوقت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يرد عليه ما أورده الجواهر </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معاملة العموم من وجه إنّما هو فيما إذا كان بين موضوعي الحكمين لا بين الموضوع و الحكم كما في المقام، حيث إنّ أعمّية هذه الأخبار بالنسبة إلى عدم وجوب الإعادة في الوقت و في خارجه إنّما تكون في الحكم لا في الموضوع، و هذا بخلاف الأعمّية في الأخبار الآتية لأنّها تكون في الموضوع و هو المصلّي ما بين المغرب و المشرق و المصلّي إلى ما وراء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في الأخبار الآتية هو الصلاة إلى غير القبلة الأعمّ ممّا بين المغرب و المشرق و ما وراء ذلك، و الموضوع في الأخبار المتقدّمة هو خصوص الصلاة ما بين المغرب و المشرق الأعمّ في الحكم و عدم وجوب الإعادة في الوقت و في خارجه، و في مثل هذا لا يعامل معه معاملة التعارض من وجه، كما لا يعامل معاملة التعارض من وجه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الجهّال في اللّيل لا 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تضرب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إلا من جهة أنّ العموم في اضرب الجهّال إنّما هو في الموضوع و هو الجهّال الشامل لزيد و لغيره، و العموم في لا تضرب زيدا في الحكم الشامل للّيل و النهار الذي يكون ظرف النفي</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للفرق بين المثال و أخبار الباب، فإنّ في المثال أعمّية لا تضرب زيدا لا يصلح إلّا في طرف الحكم، و هذا بخلاف أخبار الباب فإنّ الموضوع فيها ليس إلّا المصلّي إلى غير القبلة، و هذا الموضوع في الأخبار المتقدّمة يكون أعمّ من المتذكّر في الوقت و في خارجه، و في الأخبار الآتية يكون أعمّ ممّا بين المغرب و المشرق و غيره، كما أنّ الموضوع في الأول يكون خاصّا في خصوص المصلّي ما بين المغرب و المشرق، و في الثاني يكون خاصّا في المتذكّر في خارج الوقت، فالإنصاف</w:t>
      </w:r>
      <w:bookmarkStart w:id="200" w:name="pg19820_206626"/>
    </w:p>
    <w:p>
      <w:pPr>
        <w:pStyle w:val="BookText"/>
        <w:rPr/>
      </w:pPr>
      <w:bookmarkEnd w:id="200"/>
      <w:r>
        <w:rPr>
          <w:rFonts w:ascii="Amiri" w:hAnsi="Amiri" w:eastAsia="Amiri" w:cs="Amiri"/>
          <w:color w:val="111111"/>
          <w:sz w:val="28"/>
          <w:sz w:val="28"/>
          <w:szCs w:val="28"/>
          <w:rtl w:val="true"/>
          <w:lang w:bidi="ar-SA"/>
        </w:rPr>
        <w:t>أنّ النسبة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مع ذلك لا بدّ من القول بعدم الإعادة مطلقا في الوقت و في خارجه إذا كانت الصلاة بين المغرب و المشرق، لقوله عليه السّلام في عدّة من الأخبار </w:t>
      </w:r>
      <w:r>
        <w:rPr>
          <w:rStyle w:val="FootnoteAnchor"/>
          <w:rtl w:val="true"/>
        </w:rPr>
        <w:footnoteReference w:id="316"/>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بين المغرب و المشرق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يكون حاكما على الأخبار الآتية و مفسّرا لموضوعها و أنّ الصلاة إلى غير القبلة إنّما هي الصلاة التي لم تكن بين المغرب و المشرق لأنّ ما بينهما يكون قبلة، و مع هذه الحكومة لا مجال لملاحظة النسبة و أنّها تكون بالعموم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الأخبار كما تكون حاكمة على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الصلاة إلّا من خمس </w:t>
      </w:r>
      <w:r>
        <w:rPr>
          <w:rStyle w:val="FootnoteAnchor"/>
          <w:rtl w:val="true"/>
        </w:rPr>
        <w:footnoteReference w:id="317"/>
      </w:r>
      <w:r>
        <w:rPr>
          <w:rFonts w:ascii="Amiri" w:hAnsi="Amiri" w:eastAsia="Amiri" w:cs="Amiri"/>
          <w:color w:val="111111"/>
          <w:sz w:val="28"/>
          <w:sz w:val="28"/>
          <w:szCs w:val="28"/>
          <w:rtl w:val="true"/>
          <w:lang w:bidi="ar-SA"/>
        </w:rPr>
        <w:t xml:space="preserve">و عدّ منها القبلة فإنّ هذه الأخبار توسّع دائرة القبلة، كذلك تكون حاكمة على قوله عليه السّلام في الأخبار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إلى غير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عن القول بعدم وجوب الإعادة مطلقا إذا كانت الصلاة بين المشرق و المغرب</w:t>
      </w:r>
      <w:r>
        <w:rPr>
          <w:rFonts w:eastAsia="Amiri" w:cs="Amiri" w:ascii="Amiri" w:hAnsi="Amiri"/>
          <w:color w:val="111111"/>
          <w:sz w:val="28"/>
          <w:szCs w:val="28"/>
          <w:rtl w:val="true"/>
          <w:lang w:bidi="ar-SA"/>
        </w:rPr>
        <w:t>.</w:t>
      </w:r>
    </w:p>
    <w:p>
      <w:pPr>
        <w:pStyle w:val="Heading6"/>
        <w:numPr>
          <w:ilvl w:val="5"/>
          <w:numId w:val="1"/>
        </w:numPr>
        <w:rPr/>
      </w:pPr>
      <w:bookmarkStart w:id="201" w:name="__RefHeading___Toc3360104_2314609296"/>
      <w:bookmarkStart w:id="202" w:name="_Toc79"/>
      <w:bookmarkEnd w:id="201"/>
      <w:r>
        <w:rPr>
          <w:rtl w:val="true"/>
        </w:rPr>
        <w:t>الطائفة الثانية</w:t>
      </w:r>
      <w:r>
        <w:rPr>
          <w:rtl w:val="true"/>
        </w:rPr>
        <w:t xml:space="preserve">: </w:t>
      </w:r>
      <w:r>
        <w:rPr>
          <w:rtl w:val="true"/>
        </w:rPr>
        <w:t>من الأخبار</w:t>
      </w:r>
      <w:bookmarkEnd w:id="202"/>
    </w:p>
    <w:p>
      <w:pPr>
        <w:pStyle w:val="BookText"/>
        <w:rPr/>
      </w:pPr>
      <w:r>
        <w:rPr>
          <w:rFonts w:ascii="Amiri" w:hAnsi="Amiri" w:eastAsia="Amiri" w:cs="Amiri"/>
          <w:color w:val="111111"/>
          <w:sz w:val="28"/>
          <w:sz w:val="28"/>
          <w:szCs w:val="28"/>
          <w:rtl w:val="true"/>
          <w:lang w:bidi="ar-SA"/>
        </w:rPr>
        <w:t>هي الأخبار المفصّلة بين التذكّر في الوقت فالإعادة و خارجه فلا 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كصحيح عبد الرحمن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صلّيت و أنت على غير القبلة و استبان لك أنّك صلّيت و أنت على غير القبلة و أنت في وقت فأعد، و إن فاتك الوقت فلا تعد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كخبر يعقوب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عبدا صالحا عليه السّلام عن رجل صلّى في يوم سحاب على غير القبلة، ثمّ طلعت الشمس و هو في وقت، أ يعيد</w:t>
      </w:r>
      <w:bookmarkStart w:id="203" w:name="pg19820_206627"/>
    </w:p>
    <w:p>
      <w:pPr>
        <w:pStyle w:val="BookText"/>
        <w:rPr/>
      </w:pPr>
      <w:bookmarkEnd w:id="203"/>
      <w:r>
        <w:rPr>
          <w:rFonts w:ascii="Amiri" w:hAnsi="Amiri" w:eastAsia="Amiri" w:cs="Amiri"/>
          <w:color w:val="111111"/>
          <w:sz w:val="28"/>
          <w:sz w:val="28"/>
          <w:szCs w:val="28"/>
          <w:rtl w:val="true"/>
          <w:lang w:bidi="ar-SA"/>
        </w:rPr>
        <w:t>الصلاة إذا كان قد صلّى على غير القبلة؟ و إن كان قد تحرّى القبلة بجهده أ تجزيه صلاته؟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ما كان في الوقت، فإذا ذهب الوقت فلا إعادة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معناهما عدّة من أخبار </w:t>
      </w:r>
      <w:r>
        <w:rPr>
          <w:rStyle w:val="FootnoteAnchor"/>
          <w:rtl w:val="true"/>
        </w:rPr>
        <w:footnoteReference w:id="320"/>
      </w:r>
      <w:r>
        <w:rPr>
          <w:rFonts w:ascii="IRNazanin" w:hAnsi="IRNazanin" w:eastAsia="IRNazanin"/>
          <w:color w:val="111111"/>
          <w:sz w:val="28"/>
          <w:sz w:val="28"/>
          <w:szCs w:val="28"/>
          <w:rtl w:val="true"/>
          <w:lang w:bidi="fa-IR"/>
        </w:rPr>
        <w:t>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هذه الأخبار و إن كانت مطلقة بالنسبة إلى ما كانت الصلاة بين المغرب و المشرق و ما وراء ذلك حتّى الاستدبار، إلّا أنّه لا بدّ من تقييدها بغير ما كانت بين المغرب و المشرق للأخبار المتقدّمة، كما لا بدّ من تقييدها بغير صورة الاستدبار لما يأتي من دلالة بعض الأخبار </w:t>
      </w:r>
      <w:r>
        <w:rPr>
          <w:rStyle w:val="FootnoteAnchor"/>
          <w:rtl w:val="true"/>
        </w:rPr>
        <w:footnoteReference w:id="321"/>
      </w:r>
      <w:r>
        <w:rPr>
          <w:rFonts w:ascii="Amiri" w:hAnsi="Amiri" w:eastAsia="Amiri" w:cs="Amiri"/>
          <w:color w:val="111111"/>
          <w:sz w:val="28"/>
          <w:sz w:val="28"/>
          <w:szCs w:val="28"/>
          <w:rtl w:val="true"/>
          <w:lang w:bidi="ar-SA"/>
        </w:rPr>
        <w:t>على لزوم الإعادة عند الاستدبار مطلقا في الوقت و في خارجه</w:t>
      </w:r>
      <w:r>
        <w:rPr>
          <w:rFonts w:eastAsia="Amiri" w:cs="Amiri" w:ascii="Amiri" w:hAnsi="Amiri"/>
          <w:color w:val="111111"/>
          <w:sz w:val="28"/>
          <w:szCs w:val="28"/>
          <w:rtl w:val="true"/>
          <w:lang w:bidi="ar-SA"/>
        </w:rPr>
        <w:t>.</w:t>
      </w:r>
    </w:p>
    <w:p>
      <w:pPr>
        <w:pStyle w:val="Heading6"/>
        <w:numPr>
          <w:ilvl w:val="5"/>
          <w:numId w:val="1"/>
        </w:numPr>
        <w:rPr/>
      </w:pPr>
      <w:bookmarkStart w:id="204" w:name="__RefHeading___Toc3360106_2314609296"/>
      <w:bookmarkStart w:id="205" w:name="_Toc80"/>
      <w:bookmarkEnd w:id="204"/>
      <w:r>
        <w:rPr>
          <w:rtl w:val="true"/>
        </w:rPr>
        <w:t>الطائفة الثالثة</w:t>
      </w:r>
      <w:r>
        <w:rPr>
          <w:rtl w:val="true"/>
        </w:rPr>
        <w:t>:</w:t>
      </w:r>
      <w:bookmarkEnd w:id="205"/>
    </w:p>
    <w:p>
      <w:pPr>
        <w:pStyle w:val="BookText"/>
        <w:rPr/>
      </w:pPr>
      <w:r>
        <w:rPr>
          <w:rFonts w:ascii="Amiri" w:hAnsi="Amiri" w:eastAsia="Amiri" w:cs="Amiri"/>
          <w:color w:val="111111"/>
          <w:sz w:val="28"/>
          <w:sz w:val="28"/>
          <w:szCs w:val="28"/>
          <w:rtl w:val="true"/>
          <w:lang w:bidi="ar-SA"/>
        </w:rPr>
        <w:t>ما دلّت على وجوب الإعادة مطلقا في صورة الاستدبار، و نحن و إن لم نعثر على خبر يدلّ بالصراحة على ذلك سوى ما أرسله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w:t>
      </w:r>
      <w:r>
        <w:rPr>
          <w:rStyle w:val="FootnoteAnchor"/>
          <w:rtl w:val="true"/>
        </w:rPr>
        <w:footnoteReference w:id="322"/>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رويت رواية أنّ من صلّى إلى استدبار القبلة ثمّ علم بعد خروج الوقت وجب عليه إعادة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الأحوط و عليه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قوله أخيرا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عمل الصحابة كان على ذلك لا عمل نفسه، خصوصا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يمكن الاستدلال على ذلك أيضا بما دلّ من بطلان الصلاة عند الالتفات إلى ما وراء القبلة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و إن كان بين هذه المسألة التي نحن فيها و مسألة الالتفات التي تأتي في قواطع الصلاة إن شاء اللّٰه فرق، من جهة أنّ الالتفات إنّما اعتبر قاطعا للصلاة و ذلك لا يكون إلّا في أثناء الصلاة، و هذا بخلاف القبلة</w:t>
      </w:r>
      <w:bookmarkStart w:id="206" w:name="pg19820_206628"/>
    </w:p>
    <w:p>
      <w:pPr>
        <w:pStyle w:val="BookText"/>
        <w:rPr/>
      </w:pPr>
      <w:bookmarkEnd w:id="206"/>
      <w:r>
        <w:rPr>
          <w:rFonts w:ascii="Amiri" w:hAnsi="Amiri" w:eastAsia="Amiri" w:cs="Amiri"/>
          <w:color w:val="111111"/>
          <w:sz w:val="28"/>
          <w:sz w:val="28"/>
          <w:szCs w:val="28"/>
          <w:rtl w:val="true"/>
          <w:lang w:bidi="ar-SA"/>
        </w:rPr>
        <w:t>حيث إنّها اعتبرت شرطا في الصلاة، و لا بدّ من تحقّق الشرط من ابتداء الصلاة إلى آخرها،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إنّما يكون قاطعا للهيئة فاعتباره إنّما يكون في أكوان الصلاة من غير دخل له في أفعالها، و القبلة إنّما تكون شرطا لأفعال الصلاة، إلّا أنّه لو وقعت بعض أفعال الصلاة في أثنائها إلى غير القبلة يصدق الالتفات أيضا، لأنّه يكون حينئذ التفاتا و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يتحقّق الالتفات القاطع من دون إخلال بما هو الشرط في أفعال الصلاة من القبلة، كما إذا التفت إلى ما ورائه ثمّ رجع من دون أن يأتي بشي‌ء من أفعال الصلاة، و لكن لا يمكن العكس بأن يأتي بشي‌ء من أفعال الصلاة إلى دبر القبلة من دون أن يكون هناك التفات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p>
    <w:p>
      <w:pPr>
        <w:pStyle w:val="Heading6"/>
        <w:numPr>
          <w:ilvl w:val="5"/>
          <w:numId w:val="1"/>
        </w:numPr>
        <w:rPr/>
      </w:pPr>
      <w:bookmarkStart w:id="207" w:name="__RefHeading___Toc3360108_2314609296"/>
      <w:bookmarkStart w:id="208" w:name="_Toc81"/>
      <w:bookmarkEnd w:id="207"/>
      <w:r>
        <w:rPr>
          <w:rtl w:val="true"/>
        </w:rPr>
        <w:t>الاستدلال على بطلان الصلاة الواقعة على دبر القبلة بالأخبار الدالّة على بطلان الصلاة عند الالتفات إلى ما وراء القبلة في أثناء الصلاة يتوقّف على أمور</w:t>
      </w:r>
      <w:r>
        <w:rPr>
          <w:rtl w:val="true"/>
        </w:rPr>
        <w:t>:</w:t>
      </w:r>
      <w:bookmarkEnd w:id="208"/>
    </w:p>
    <w:p>
      <w:pPr>
        <w:pStyle w:val="Heading6"/>
        <w:numPr>
          <w:ilvl w:val="5"/>
          <w:numId w:val="1"/>
        </w:numPr>
        <w:rPr/>
      </w:pPr>
      <w:bookmarkStart w:id="209" w:name="__RefHeading___Toc3360110_2314609296"/>
      <w:bookmarkStart w:id="210" w:name="_Toc82"/>
      <w:bookmarkEnd w:id="209"/>
      <w:r>
        <w:rPr>
          <w:rtl w:val="true"/>
        </w:rPr>
        <w:t>الأول</w:t>
      </w:r>
      <w:r>
        <w:rPr>
          <w:rtl w:val="true"/>
        </w:rPr>
        <w:t xml:space="preserve">: </w:t>
      </w:r>
      <w:r>
        <w:rPr>
          <w:rtl w:val="true"/>
        </w:rPr>
        <w:t>أنّ أخبار الباب الدالّة على أنّ من صلّى إلى غير القبلة يعيد في الوقت</w:t>
      </w:r>
      <w:bookmarkEnd w:id="210"/>
    </w:p>
    <w:p>
      <w:pPr>
        <w:pStyle w:val="BookText"/>
        <w:rPr/>
      </w:pPr>
      <w:r>
        <w:rPr>
          <w:rFonts w:ascii="Amiri" w:hAnsi="Amiri" w:eastAsia="Amiri" w:cs="Amiri"/>
          <w:color w:val="111111"/>
          <w:sz w:val="28"/>
          <w:sz w:val="28"/>
          <w:szCs w:val="28"/>
          <w:rtl w:val="true"/>
          <w:lang w:bidi="ar-SA"/>
        </w:rPr>
        <w:t xml:space="preserve">لا في خارجه تعمّ الناسي أيضا و لا تختصّ بالمجتهد المتحرّي كما قدّمناه، و كذا الأخبار الدالّة على أنّ الالتفات مبطل تعمّ الناسي أيضا و لا تختصّ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و من الغريب دعوى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المتيقّن من أخبار الالتفات صورة العمد، فراجع و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بالعامد الملتفت كما لا يخفى على من راجعها</w:t>
      </w:r>
      <w:r>
        <w:rPr>
          <w:rFonts w:eastAsia="Amiri" w:cs="Amiri" w:ascii="Amiri" w:hAnsi="Amiri"/>
          <w:color w:val="111111"/>
          <w:sz w:val="28"/>
          <w:szCs w:val="28"/>
          <w:rtl w:val="true"/>
          <w:lang w:bidi="ar-SA"/>
        </w:rPr>
        <w:t>.</w:t>
      </w:r>
      <w:bookmarkStart w:id="211" w:name="pg19820_206629"/>
    </w:p>
    <w:p>
      <w:pPr>
        <w:pStyle w:val="Heading6"/>
        <w:numPr>
          <w:ilvl w:val="5"/>
          <w:numId w:val="1"/>
        </w:numPr>
        <w:rPr/>
      </w:pPr>
      <w:bookmarkStart w:id="212" w:name="__RefHeading___Toc3360112_2314609296"/>
      <w:bookmarkStart w:id="213" w:name="_Toc83"/>
      <w:bookmarkEnd w:id="211"/>
      <w:bookmarkEnd w:id="212"/>
      <w:r>
        <w:rPr>
          <w:rtl w:val="true"/>
        </w:rPr>
        <w:t>الأمر الثاني</w:t>
      </w:r>
      <w:r>
        <w:rPr>
          <w:rtl w:val="true"/>
        </w:rPr>
        <w:t xml:space="preserve">: </w:t>
      </w:r>
      <w:r>
        <w:rPr>
          <w:rtl w:val="true"/>
        </w:rPr>
        <w:t>أنّه لا إشكال في صدق الصلاة على غير القبلة</w:t>
      </w:r>
      <w:bookmarkEnd w:id="213"/>
    </w:p>
    <w:p>
      <w:pPr>
        <w:pStyle w:val="BookText"/>
        <w:rPr/>
      </w:pPr>
      <w:r>
        <w:rPr>
          <w:rFonts w:ascii="Amiri" w:hAnsi="Amiri" w:eastAsia="Amiri" w:cs="Amiri"/>
          <w:color w:val="111111"/>
          <w:sz w:val="28"/>
          <w:sz w:val="28"/>
          <w:szCs w:val="28"/>
          <w:rtl w:val="true"/>
          <w:lang w:bidi="ar-SA"/>
        </w:rPr>
        <w:t>فيما إذا وقعت ركعتين أو ركعة منها إلى غير القبلة، و لا تختصّ بما إذا وقعت الصلاة من أولها إلى آخرها إلى غير القبلة، فمن كبّر إلى القبلة ثمّ أوقع باقي الصلاة إلى غير القبلة يصدق أنّه صلّى إلى غير القبلة، و ذلك واضح أيضا</w:t>
      </w:r>
      <w:r>
        <w:rPr>
          <w:rFonts w:eastAsia="Amiri" w:cs="Amiri" w:ascii="Amiri" w:hAnsi="Amiri"/>
          <w:color w:val="111111"/>
          <w:sz w:val="28"/>
          <w:szCs w:val="28"/>
          <w:rtl w:val="true"/>
          <w:lang w:bidi="ar-SA"/>
        </w:rPr>
        <w:t>.</w:t>
      </w:r>
    </w:p>
    <w:p>
      <w:pPr>
        <w:pStyle w:val="Heading6"/>
        <w:numPr>
          <w:ilvl w:val="5"/>
          <w:numId w:val="1"/>
        </w:numPr>
        <w:rPr/>
      </w:pPr>
      <w:bookmarkStart w:id="214" w:name="__RefHeading___Toc3360114_2314609296"/>
      <w:bookmarkStart w:id="215" w:name="_Toc84"/>
      <w:bookmarkEnd w:id="214"/>
      <w:r>
        <w:rPr>
          <w:rtl w:val="true"/>
        </w:rPr>
        <w:t>الأمر الثالث</w:t>
      </w:r>
      <w:r>
        <w:rPr>
          <w:rtl w:val="true"/>
        </w:rPr>
        <w:t>:</w:t>
      </w:r>
      <w:bookmarkEnd w:id="215"/>
    </w:p>
    <w:p>
      <w:pPr>
        <w:pStyle w:val="BookText"/>
        <w:rPr/>
      </w:pPr>
      <w:r>
        <w:rPr>
          <w:rFonts w:ascii="Amiri" w:hAnsi="Amiri" w:eastAsia="Amiri" w:cs="Amiri"/>
          <w:color w:val="111111"/>
          <w:sz w:val="28"/>
          <w:sz w:val="28"/>
          <w:szCs w:val="28"/>
          <w:rtl w:val="true"/>
          <w:lang w:bidi="ar-SA"/>
        </w:rPr>
        <w:t>أنّه لا إشكال في أولوية الصلاة الواقعة بتمام أجزائها إلى غير القبلة بالبطلان من الصلاة الواقعة ركعتين منها مثلا إلى غير القبلة لو قام الدليل على بطلانها كذلك، بداهة أنّه لو كان وقوع بعض أفعال الصلاة إلى غير القبلة موجبا لبطلانها لكان وقوعها بتمام أجزائها إلى غير القبلة أولى بالبطلان</w:t>
      </w:r>
      <w:r>
        <w:rPr>
          <w:rFonts w:eastAsia="Amiri" w:cs="Amiri" w:ascii="Amiri" w:hAnsi="Amiri"/>
          <w:color w:val="111111"/>
          <w:sz w:val="28"/>
          <w:szCs w:val="28"/>
          <w:rtl w:val="true"/>
          <w:lang w:bidi="ar-SA"/>
        </w:rPr>
        <w:t>.</w:t>
      </w:r>
    </w:p>
    <w:p>
      <w:pPr>
        <w:pStyle w:val="Heading6"/>
        <w:numPr>
          <w:ilvl w:val="5"/>
          <w:numId w:val="1"/>
        </w:numPr>
        <w:rPr/>
      </w:pPr>
      <w:bookmarkStart w:id="216" w:name="__RefHeading___Toc3360116_2314609296"/>
      <w:bookmarkStart w:id="217" w:name="_Toc85"/>
      <w:bookmarkEnd w:id="216"/>
      <w:r>
        <w:rPr>
          <w:rtl w:val="true"/>
        </w:rPr>
        <w:t>الأمر الرابع</w:t>
      </w:r>
      <w:r>
        <w:rPr>
          <w:rtl w:val="true"/>
        </w:rPr>
        <w:t>:</w:t>
      </w:r>
      <w:bookmarkEnd w:id="217"/>
    </w:p>
    <w:p>
      <w:pPr>
        <w:pStyle w:val="BookText"/>
        <w:rPr/>
      </w:pPr>
      <w:r>
        <w:rPr>
          <w:rFonts w:ascii="Amiri" w:hAnsi="Amiri" w:eastAsia="Amiri" w:cs="Amiri"/>
          <w:color w:val="111111"/>
          <w:sz w:val="28"/>
          <w:sz w:val="28"/>
          <w:szCs w:val="28"/>
          <w:rtl w:val="true"/>
          <w:lang w:bidi="ar-SA"/>
        </w:rPr>
        <w:t>أنّه لو قام الدليل على عدم بطلان الصلاة لو وقعت إلى ما بين المغرب و المشرق، و لا تحتاج إلى الإعادة لا في الوقت و لا في خارجه، أو عدم القضاء فقط لو وقعت إلى نفس النقطتين، فالالتفات إلى ما بين المغرب و المشرق يكون أولى بعدم البطلان، و كذا الالتفات إلى نفس النقطتين يكون أولى بعدم القضاء، لما عرفت من الملازمة بين وقوع الصلاة إلى غير القبلة مع تحقّق الالتفات إلى غيرها و لا عكس، فلو كانت الصلاة إلى ما بين المغرب و المشرق صحيحة و غير موجبة للإعادة و القضاء لكان الالتفات المجرّد عن فعل الصلاتي إلى ما بين المغرب و المشرق أولى بالصحّة كما لا يخفى</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الأمور فاعلم أنّ في أخبار الباب و في أخبار الالتفات مطلقات ينبغي ملاحظتها و ما يستفاد منها، أمّا مطلقات الباب فهي ما ذكرناه من الطائفة الثانية الدالّة على عدم وجوب القضاء لمن صلّى على غير القبلة، فإنّها تعمّ صورة الاستدبار و عدمه، و أمّا مطلقات باب الالتفات فهي ما دلّت على وجوب الإعادة 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التفت إلى غير القبلة، كقول الصادق عليه السّلام في</w:t>
      </w:r>
    </w:p>
    <w:p>
      <w:pPr>
        <w:pStyle w:val="BookText"/>
        <w:rPr/>
      </w:pPr>
      <w:r>
        <w:rPr>
          <w:rFonts w:ascii="Amiri" w:hAnsi="Amiri" w:eastAsia="Amiri" w:cs="Amiri"/>
          <w:color w:val="111111"/>
          <w:sz w:val="28"/>
          <w:sz w:val="28"/>
          <w:szCs w:val="28"/>
          <w:rtl w:val="true"/>
          <w:lang w:bidi="ar-SA"/>
        </w:rPr>
        <w:t>خبر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تكلّمت أو صرفت وجهك عن القبلة فأعد </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تعمّ صورة الالتفات على وجه الاستدبار أو دون ذلك إلى طرف المغرب و المشرق و ما بينهما،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بعد ما كان الصلاة إلى ما بين المغرب و المشرق غير موجب للإعادة و القضاء، و كان الصلاة إلى نفس النقطتين غير موجب للقضاء فقط لكان اللّازم هو عدم وجوب الإعادة و القضاء لو التفت إلى ما بين المغرب و المشرق نسيانا، لما عرفت من أنّ الصلاة إلى ما بينهما يلازم الالتفات أيضا، فإذا لم تكن الصلاة إلى ذلك موجبة للإعادة و القضاء فالالتفات الخالي عن فعل الصلاة بطريق أولى يكون غير موجب لذلك، فلا يبقى في مطلقات باب الالتفات إلّا صورة واحدة و هي صورة الاستدبار، فتكون نصّا في بطلان الصلاة عند الالتفات إلى الاستدبار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يعارضه أخبار الباب الدالّة على عدم وجوب القضاء عند الصلاة إلى غير القبلة، لأنّ شمول هذه الأخبار للاستدبار إنّما يكون بالإطلاق و الظهور، و مقتضى تحكيم النصّ على الظاهر هو حمل مطلقات الباب على غير صورة الاستدبار و هو ما إذا كانت الصلاة على نفس النقطتين، فصورة الاستدبار تكون خارجة عن تحت هذه المطلقات، و حينئذ يتمّ الاستدلال بأخبار باب الالتفات لما نحن فيه من بطلان الصلاة في صورة الاستدبار لبعض المقدّمات السابقة، لأنّه لو كان الالتفات إلى الاستدبار موجبا للبطلان فالصلاة إلى ذلك و لو في الأثناء أولى بالبطلان، و لو كان الصلاة في الأثناء إلى دبر القبلة موجبا للبطلان فالصلاة التامّة الواقعة إلى دبر القبلة نسيانا أولى بالبطلان، و بعد ملاحظة المقدّمات السابقة لا محيص عن القول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بأنّ أخبار الباب مختصّة بصورة التحرّي و الاجتهاد و لا تعمّ 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اختاره صاحب الجواهر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لكانت أخبار الالتفات أجنبية عن المقام و لا يمكن الاستدلال بها فيه، إلّا أنّ دعوى اختصاصها بذلك ممّا لا وجه لها، مع أنّ صاحب الجواهر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اعترف بأنّ الطائفة الاولى من أخبار الباب الدالّة على عدم وجوب الإعادة و القضاء لو وقعت الصلاة إلى ما بين المغرب و المشرق تعمّ الناسي أيضا، و إنّما قال بالاختصاص في خصوص الطائفة الثانية، و لكن الإنصاف أنّه لم يظهر وجه للتفرقة بين الطائفتين، فتأمّل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لا يمكن الاستدلال بأخبار باب الالتفات لما نحن فيه، لو منعنا الأولوية و أنّه لا ملازمة بين بطلان الصلاة إلى دبر القبلة لو كان ذلك في الأثناء و بطلانها لو وقعت من أول الأمر إلى دبر القبلة، أو قلنا بعدم صدق الصلاة إلى دبر القبلة لو كان في الأثناء، أو قلنا بأن أخبار الالتفات تختصّ بالعامد و لا تعمّ الناسي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منع الملازمة بين الأول و الأثناء و عدم صدق الصلاة إلى غير القبلة لو كان ذلك في الأثناء و اختصاص الالتفات بصورة العمد كلّ ذلك مشكل بل لا سبيل إليه، فالأقوى القول ببطلان الصلاة لو وقعت إلى دبر القبلة، كما عليه عمل الأصحاب حسب ما يستفاد من عبارة الشيخ </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في ذيل المرسل الذي حكاه، فتأمّل فيما ذكرناه فإنّ الاستدلال بأخبار الالتفات لما نحن فيه لا يخلو من إعمال 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تقريب الاستدلال بوجه آخر، و هو أنّه في أخبار باب الالتفات ما يكون أخصّ من مطلقات هذا الباب، و هو صحيح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الرجل يلتفت في صلاته هل يقطع ذلك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الفريضة و التفت إلى خلفه فقد قطع صلاته، فيعيد ما صلّى و لا يعتدّ به </w:t>
      </w:r>
      <w:r>
        <w:rPr>
          <w:rStyle w:val="FootnoteAnchor"/>
          <w:rtl w:val="true"/>
        </w:rPr>
        <w:footnoteReference w:id="328"/>
      </w:r>
      <w:r>
        <w:rPr>
          <w:rFonts w:ascii="Amiri" w:hAnsi="Amiri" w:eastAsia="Amiri" w:cs="Amiri"/>
          <w:color w:val="111111"/>
          <w:sz w:val="28"/>
          <w:sz w:val="28"/>
          <w:szCs w:val="28"/>
          <w:rtl w:val="true"/>
          <w:lang w:bidi="ar-SA"/>
        </w:rPr>
        <w:t>،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معناه رواية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كون ذلك أخصّ من مطلقات الباب واضح، فإنّ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إلى غير القبلة يعيد في الوقت لا في خارجه</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يعمّ صورة الاستدبار و غيرها، و ما في صحيح البزنطي في أخبار الالتفات مختصّ بصورة الاستدبار كما هو الظاهر من الخلف، فتكون النسبة بينهما أعمّ أخصّ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يتوهّم أنّ صحيح البزنطي أعمّ من جهة التذكّر في الوقت و في خارجه فتكون النسبة بينهما بالعموم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الإعادة عند التذكّر في الوقت ممّا اتّفق عليه كلتا الطائفتين من أخبار الباب و صحيح البزنطي، فلا تعارض بينهما بالنسبة إلى ذلك، و إنّما التعارض في صورة التذكّر في خارج الوقت، فإنّ صحيح البزنطي يوجب القضاء عند الالتفات إلى خصوص الاستدبار، و أخبار الباب تنفي القضاء عند الاستدبار أيضا لكن بالعموم الشامل له و لغيره، فتكون النسبة أعمّ مطلقا لا من وجه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لا بدّ من تقييد أخبار الباب بما في صحيح البزنطي، و خروج صورة الصلاة على وجه الاستدبار عن تحت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إلى غير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بعد ما تقدّم من أولوية بطلان الصلاة على وجه الاستدبار من البطلان عند</w:t>
      </w:r>
    </w:p>
    <w:p>
      <w:pPr>
        <w:pStyle w:val="BookText"/>
        <w:rPr/>
      </w:pPr>
      <w:r>
        <w:rPr>
          <w:rFonts w:ascii="Amiri" w:hAnsi="Amiri" w:eastAsia="Amiri" w:cs="Amiri"/>
          <w:color w:val="111111"/>
          <w:sz w:val="28"/>
          <w:sz w:val="28"/>
          <w:szCs w:val="28"/>
          <w:rtl w:val="true"/>
          <w:lang w:bidi="ar-SA"/>
        </w:rPr>
        <w:t xml:space="preserve">الالتفات إلى الخلف الخالي عن الصلاة واضح لا شبهة فيه، فإذا خرجت صورة الاستدبار عن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على غير القبلة، و خرجت صورة الصلاة إلى ما بين المغرب و المشرق عن عمومه أيضا بما تقدّم من الأخبار </w:t>
      </w:r>
      <w:r>
        <w:rPr>
          <w:rStyle w:val="FootnoteAnchor"/>
          <w:rtl w:val="true"/>
        </w:rPr>
        <w:footnoteReference w:id="330"/>
      </w:r>
      <w:r>
        <w:rPr>
          <w:rFonts w:ascii="Amiri" w:hAnsi="Amiri" w:eastAsia="Amiri" w:cs="Amiri"/>
          <w:color w:val="111111"/>
          <w:sz w:val="28"/>
          <w:sz w:val="28"/>
          <w:szCs w:val="28"/>
          <w:rtl w:val="true"/>
          <w:lang w:bidi="ar-SA"/>
        </w:rPr>
        <w:t xml:space="preserve">الدالّة على أنّ ما بين المشرق و المغرب قبلة، فلا يبقى حينئذ تحت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إلى غير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صورة واحدة و هي الصلاة إلى نفس النقطتين و ما يلحق بذلك على ما 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تكون النسبة حينئذ بين أخبار الباب مع مطلقات باب الالتفات بالأعم المطلق، لأنّ قوله عليه السّلام في الخبر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تكلّمت أو صرفت وجهك عن القبلة فأعد</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يعمّ صورة الاستدبار و غيره، و هذا بخلاف أخبار الباب فإنّها بعد التخصيص بما عرفت تكون مختصّة بصورة الصلاة إلى نفس النقطتين و ما يلحق بذلك، فتكون النسبة بينهما بالأعم المطلق، و إن كان قبل تخصيص أخبار الباب بما عرفت تكون النسبة بالعموم من وجه، و لكن بالتخصيص تنقلب النسبة، فلا بدّ من حمل مطلقات باب الالتفات الدالّة على فساد الصلاة عند الالتفات بغير صورة الالتفات إلى النقطتين، لما تقدّم أيضا من أنّ الصلاة إلى ذلك لو كان غير موجب للقضاء، فالالتفات لا يكون موجبا له بالأولوية القطعية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لا بدّ في الاستدلال بأخبار الالتفات لما نحن فيه من شمول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إلى غير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لصورة النسيان و عدم اختصاصه بالمتحرّي، فإنّه لو لا ذلك لكان باب الالتفات أجنبيّا عن المقام كما تقدّم في شمول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إلى غير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لصورة النسيان نوع خفاء،</w:t>
      </w:r>
    </w:p>
    <w:p>
      <w:pPr>
        <w:pStyle w:val="BookText"/>
        <w:rPr/>
      </w:pPr>
      <w:r>
        <w:rPr>
          <w:rFonts w:ascii="Amiri" w:hAnsi="Amiri" w:eastAsia="Amiri" w:cs="Amiri"/>
          <w:color w:val="111111"/>
          <w:sz w:val="28"/>
          <w:sz w:val="28"/>
          <w:szCs w:val="28"/>
          <w:rtl w:val="true"/>
          <w:lang w:bidi="ar-SA"/>
        </w:rPr>
        <w:t>لأنّ نسبة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إلى غير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 إلّا من خمس و منها القبلة</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xml:space="preserve">إنّما تكون بالعموم من وجه، و 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 إلّا 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مقصور بصورة النسيان كما يأتي بيانه إن شاء اللّٰه في باب الخلل، لأنّ عقد المستثنى منه و هو عدم الإعادة في غير الخمس إنّما يكون مختصّا بمورد النسيان و لا يعمّ العامد و غيره، فيكون عقد المستثنى و هو الإعادة من الخمس أيضا مقصورا بصورة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ينافي وجوب الإعادة في الخمس في غير صورة النسيان أيضا، لأنّ كون الحكم كذلك خارجا لا يلازم أعمّية عقد المستثنى لغير صورة النسيان، فإنّ المستثنى تابع للمستثنى منه، فإذا كان المستثنى منه مختصا بصورة النسيان فيكون المستثنى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تكون النسبة بين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إلى غير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بالعموم من وجه، فإنّ الموضوع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يشمل صورة وقوع الصلاة على نفس النقطتين و على الاستدبار و على ما بين المغرب و المشرق و لكن يختصّ بصورة النسيان، و هذا بخلاف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إلى غير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 إن كان مختصّا بصورة وقوع الصلاة إلى نفس النقطتين و ما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أعمّ من جهة النسيان و غيره من الغافل و المتحرّي فتكون النسبة بالعموم من وجه، و كما يمكن تخصيص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صورة الصلاة إلى النقطتين كذلك يمكن تخصيص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إلى غير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صورة النسيان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 إلى هذا كان نظر صاحب الجواهر </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ذهب إلى عدم</w:t>
      </w:r>
    </w:p>
    <w:p>
      <w:pPr>
        <w:pStyle w:val="BookText"/>
        <w:rPr/>
      </w:pPr>
      <w:r>
        <w:rPr>
          <w:rFonts w:ascii="Amiri" w:hAnsi="Amiri" w:eastAsia="Amiri" w:cs="Amiri"/>
          <w:color w:val="111111"/>
          <w:sz w:val="28"/>
          <w:sz w:val="28"/>
          <w:szCs w:val="28"/>
          <w:rtl w:val="true"/>
          <w:lang w:bidi="ar-SA"/>
        </w:rPr>
        <w:t xml:space="preserve">شمول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إلى غير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لصورة النسيان و كونه مختصّا بالمتحرّي، و هذا بخلاف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المغرب و المشرق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 إن كان النسبة بينه و بين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بالعموم من وجه أيضا إلّا أنّه حيث كان 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المغرب و المشرق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الحكومة يقدّم على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تلاحظ النسبة و هذا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إلى غير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يكون حاكما على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معارضا له بالنسبة إلى خارج الوقت، و أمّا في الوقت فلا تعارض بينهما لاتّفاقهما على وجوب الإعادة فيه،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مع كون النسبة بينهما بالعموم من وجه يمكن أن يقال بأظهرية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إلى غير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شموله لصورة النسيان من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الصلاة إلى النقطتين و ما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ليس المستفاد من عقد المستثنى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قضية جزئية و هو إعادة الصلاة من القبلة في الجملة، و ليس لها إطلاق بالنسبة إلى جميع الأحوال، بداهة 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سيق لبيان حكم المستثنى منه و هو عدم إعادة الصلاة من غير الخمسة، و لم يرد لبيان حكم الإعادة من الخمسة، فلا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فوات كلّ واحد من الخمسة موجب لبطلان الصلاة مطلقا، بل المستفاد منه ليس إلّا البطلان في الجملة، لأنّ رفع السلب الكلّي الذي دلّ عليه عقد المستثنى منه إنّما يصدق بالإيجاب الجزئي الذي هو مفاد عقد المستثنى، فالقول ببطلان الصلاة مطلقا و في جميع الأحوال لا يستفاد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بمعونة مقدّمات أخر من أنّ الإيجاب الجزئي في قوّة الإهمال، و خروج عقد المستثنى عن الفائدة مع كون المتكلّم بصدد البيان، و غير ذلك من مقدّمات الحكمة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بخلاف الإطلاق المستفاد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إلى غير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bookmarkStart w:id="218" w:name="pg19820_206636"/>
    </w:p>
    <w:p>
      <w:pPr>
        <w:pStyle w:val="BookText"/>
        <w:rPr/>
      </w:pPr>
      <w:bookmarkEnd w:id="218"/>
      <w:r>
        <w:rPr>
          <w:rFonts w:ascii="Amiri" w:hAnsi="Amiri" w:eastAsia="Amiri" w:cs="Amiri"/>
          <w:color w:val="111111"/>
          <w:sz w:val="28"/>
          <w:sz w:val="28"/>
          <w:szCs w:val="28"/>
          <w:rtl w:val="true"/>
          <w:lang w:bidi="ar-SA"/>
        </w:rPr>
        <w:t>الإطلاق و شمول النسيان إنّما يستفاد من نفس القضية، لأنّ الصلاة إلى غير القبلة نسيانا ليس بمثابة يكون اللّفظ منصرفا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أنّ إطلاق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إلى غير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شموله لصورة النسيان يكون أقوى من إطلاق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شموله لبطلان الصلاة على نفس النقطتين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عرفت أنّه لا إطلاق في عقد المستثنى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نظير المفهوم المستفاد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الماء قدر كرّ لم ينجّسه شي‌ء</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فإنّ مفهومه ليس إلّا أنّ الماء إذا لم يبلغ قدر كرّ ينجّسه شي‌ء، و لا يستفاد منه انّه ينجّسه كلّ شي‌ء إلّا بضمّ مقدّمات أخر من الخارج، و ليس ذلك إلّا لأجل أنّ القضية لم تسق إلّا لبيان مطهّرية الكرّ و لم تسق لبيان نجاسة غيره، فتأمّل فإنّ المقام لا يسع زيادة على ذلك من الكلام</w:t>
      </w:r>
      <w:r>
        <w:rPr>
          <w:rFonts w:eastAsia="Amiri" w:cs="Amiri" w:ascii="Amiri" w:hAnsi="Amiri"/>
          <w:color w:val="111111"/>
          <w:sz w:val="28"/>
          <w:szCs w:val="28"/>
          <w:rtl w:val="true"/>
          <w:lang w:bidi="ar-SA"/>
        </w:rPr>
        <w:t>.</w:t>
      </w:r>
    </w:p>
    <w:p>
      <w:pPr>
        <w:pStyle w:val="Heading6"/>
        <w:numPr>
          <w:ilvl w:val="5"/>
          <w:numId w:val="1"/>
        </w:numPr>
        <w:rPr/>
      </w:pPr>
      <w:bookmarkStart w:id="219" w:name="__RefHeading___Toc3360118_2314609296"/>
      <w:bookmarkStart w:id="220" w:name="_Toc86"/>
      <w:bookmarkEnd w:id="219"/>
      <w:r>
        <w:rPr>
          <w:rtl w:val="true"/>
        </w:rPr>
        <w:t>بقي الكلام في معنى الاستدبار الموجب لبطلان الصلاة مطلقا</w:t>
      </w:r>
      <w:bookmarkEnd w:id="220"/>
    </w:p>
    <w:p>
      <w:pPr>
        <w:pStyle w:val="BookText"/>
        <w:rPr/>
      </w:pPr>
      <w:r>
        <w:rPr>
          <w:rFonts w:ascii="Amiri" w:hAnsi="Amiri" w:eastAsia="Amiri" w:cs="Amiri"/>
          <w:color w:val="111111"/>
          <w:sz w:val="28"/>
          <w:sz w:val="28"/>
          <w:szCs w:val="28"/>
          <w:rtl w:val="true"/>
          <w:lang w:bidi="ar-SA"/>
        </w:rPr>
        <w:t>في الوقت و في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يكون المراد منه مقدار ثلث الدائرة الذي يكون مقابلا للثلث الذي تكون القبلة فيه، بحيث؛ لو قسّمنا الدائرة التي يكون المصلّي فيها إلى ثلاثة أثلاث يكون ثلث منها بطرف القبلة و ما بحكمها ممّا بين المغرب و المشرق الذي تصح الصلاة فيه و غير موجب للإعادة و القضاء، و يكون ثلث آخر منها في طرف المغرب و المشرق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سدس للمغرب و سدس للمشرق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الثلث الآخر يكون في دبر القبلة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الاستدبار تكون أوسع من دائرة الاستقبال، فإنّ المعتبر في الاستقبال إنّما هو ما بين الجبينين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يكون قريبا من عشر</w:t>
      </w:r>
      <w:bookmarkStart w:id="221" w:name="pg19820_206637"/>
    </w:p>
    <w:p>
      <w:pPr>
        <w:pStyle w:val="BookText"/>
        <w:rPr/>
      </w:pPr>
      <w:bookmarkEnd w:id="221"/>
      <w:r>
        <w:rPr>
          <w:rFonts w:ascii="Amiri" w:hAnsi="Amiri" w:eastAsia="Amiri" w:cs="Amiri"/>
          <w:color w:val="111111"/>
          <w:sz w:val="28"/>
          <w:sz w:val="28"/>
          <w:szCs w:val="28"/>
          <w:rtl w:val="true"/>
          <w:lang w:bidi="ar-SA"/>
        </w:rPr>
        <w:t>الدائرة، و أمّا الاستدبار فالمعتبر منه هو الخلف و ما بين التكفين، و هذا يكون قريبا من ثلث الدائرة، إذ الظاهر صدق الاستدبار و الخلف إلى هذا المقدار،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ظهر الخطأ بعد إتمام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ظهر في الأثناء فلو كان ما بين المغرب و المشرق استقام و لا استئناف، و لو كان إلى نفس النقطتين فإن تذكّر في خارج الوقت، بأن كانت صلاته في آخر الوقت بحيث لم يدرك منه إلّا ركعة، و في الركعة الثانية التي وقعت في خارج الوقت تذكّر أنه أخطأ في القبلة، و كانت صلاته إلى نفس النقطتين فكذلك أيضا استقام بلا استئناف، لأنّ تذكّره كان في خارج الوقت الذي لا يوجب القضاء إذا وقعت الصلاة بتمامها إلى نفس النقطتين، فعدم وجوب القضاء لو وقعت ركعة منها كذلك يكون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تذكر في الوقت فالظاهر وجوب الاستئناف، لأنّ التذكّر في الوقت موجب للإعادة إذا كان بعد الصلاة فكذلك لو كان في الأثناء، لأنّ ما هو شرط الكلّ شرط للبعض أيضا،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إلى دبر القبلة فالظاهر أيضا وجوب الاستئناف مطلقا في الوقت و في خارجه، لأنّ ما هو المبطل للكلّ مبطل للبعض أيضا، مضافا إلى دلالة بعض الروايات عليه</w:t>
      </w:r>
      <w:r>
        <w:rPr>
          <w:rFonts w:eastAsia="Amiri" w:cs="Amiri" w:ascii="Amiri" w:hAnsi="Amiri"/>
          <w:color w:val="111111"/>
          <w:sz w:val="28"/>
          <w:szCs w:val="28"/>
          <w:rtl w:val="true"/>
          <w:lang w:bidi="ar-SA"/>
        </w:rPr>
        <w:t>.</w:t>
      </w:r>
    </w:p>
    <w:p>
      <w:pPr>
        <w:pStyle w:val="Heading6"/>
        <w:numPr>
          <w:ilvl w:val="5"/>
          <w:numId w:val="1"/>
        </w:numPr>
        <w:rPr/>
      </w:pPr>
      <w:bookmarkStart w:id="222" w:name="__RefHeading___Toc3360120_2314609296"/>
      <w:bookmarkStart w:id="223" w:name="_Toc87"/>
      <w:bookmarkEnd w:id="222"/>
      <w:r>
        <w:rPr>
          <w:rtl w:val="true"/>
        </w:rPr>
        <w:t>بقي الكلام في بعض الفروع التي تعرض لها في الشرائع،</w:t>
      </w:r>
      <w:bookmarkEnd w:id="22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أنه لا ثمرة مهمّة في ذكرها، فالأولى عطف عنان الكلام إلى ما هو الشرط الثالث في الصلاة و هو الساتر و حيث كان البحث عن الساتر يشتمل على أمور مهمّة أفردنا بجزء مستقل، فراجع</w:t>
      </w:r>
      <w:r>
        <w:rPr>
          <w:rFonts w:eastAsia="Amiri" w:cs="Amiri" w:ascii="Amiri" w:hAnsi="Amiri"/>
          <w:color w:val="111111"/>
          <w:sz w:val="28"/>
          <w:szCs w:val="28"/>
          <w:rtl w:val="true"/>
          <w:lang w:bidi="ar-SA"/>
        </w:rPr>
        <w:t>.</w:t>
      </w:r>
      <w:bookmarkStart w:id="224" w:name="pg19820_206638"/>
    </w:p>
    <w:p>
      <w:pPr>
        <w:pStyle w:val="Heading4"/>
        <w:numPr>
          <w:ilvl w:val="3"/>
          <w:numId w:val="1"/>
        </w:numPr>
        <w:rPr/>
      </w:pPr>
      <w:bookmarkStart w:id="225" w:name="__RefHeading___Toc3360122_2314609296"/>
      <w:bookmarkStart w:id="226" w:name="_Toc88"/>
      <w:bookmarkEnd w:id="224"/>
      <w:bookmarkEnd w:id="225"/>
      <w:r>
        <w:rPr>
          <w:rtl w:val="true"/>
        </w:rPr>
        <w:t>[</w:t>
      </w:r>
      <w:r>
        <w:rPr>
          <w:rtl w:val="true"/>
        </w:rPr>
        <w:t>البحث الثالث</w:t>
      </w:r>
      <w:r>
        <w:rPr>
          <w:rtl w:val="true"/>
        </w:rPr>
        <w:t xml:space="preserve">] </w:t>
      </w:r>
      <w:r>
        <w:rPr>
          <w:rtl w:val="true"/>
        </w:rPr>
        <w:t>لباس المصلّي و بحث المكان</w:t>
      </w:r>
      <w:bookmarkEnd w:id="226"/>
    </w:p>
    <w:p>
      <w:pPr>
        <w:pStyle w:val="Heading5"/>
        <w:numPr>
          <w:ilvl w:val="4"/>
          <w:numId w:val="1"/>
        </w:numPr>
        <w:rPr/>
      </w:pPr>
      <w:bookmarkStart w:id="227" w:name="__RefHeading___Toc3360124_2314609296"/>
      <w:bookmarkStart w:id="228" w:name="_Toc89"/>
      <w:bookmarkEnd w:id="227"/>
      <w:r>
        <w:rPr>
          <w:rtl w:val="true"/>
        </w:rPr>
        <w:t>القول في لباس المصلّي</w:t>
      </w:r>
      <w:r>
        <w:rPr>
          <w:rtl w:val="true"/>
        </w:rPr>
        <w:t xml:space="preserve">: </w:t>
      </w:r>
      <w:r>
        <w:rPr>
          <w:rtl w:val="true"/>
        </w:rPr>
        <w:t>و يعتبر فيه أمور</w:t>
      </w:r>
      <w:r>
        <w:rPr>
          <w:rtl w:val="true"/>
        </w:rPr>
        <w:t>:</w:t>
      </w:r>
      <w:bookmarkEnd w:id="228"/>
    </w:p>
    <w:p>
      <w:pPr>
        <w:pStyle w:val="Heading6"/>
        <w:numPr>
          <w:ilvl w:val="5"/>
          <w:numId w:val="1"/>
        </w:numPr>
        <w:rPr/>
      </w:pPr>
      <w:bookmarkStart w:id="229" w:name="__RefHeading___Toc3360126_2314609296"/>
      <w:bookmarkStart w:id="230" w:name="_Toc90"/>
      <w:bookmarkEnd w:id="229"/>
      <w:r>
        <w:rPr>
          <w:rtl w:val="true"/>
        </w:rPr>
        <w:t>الأول</w:t>
      </w:r>
      <w:r>
        <w:rPr>
          <w:rtl w:val="true"/>
        </w:rPr>
        <w:t xml:space="preserve">: </w:t>
      </w:r>
      <w:r>
        <w:rPr>
          <w:rtl w:val="true"/>
        </w:rPr>
        <w:t>أن لا يكون من جلد الميتة و غيره من سائر أجزائها</w:t>
      </w:r>
      <w:bookmarkEnd w:id="230"/>
    </w:p>
    <w:p>
      <w:pPr>
        <w:pStyle w:val="Heading6"/>
        <w:numPr>
          <w:ilvl w:val="5"/>
          <w:numId w:val="1"/>
        </w:numPr>
        <w:rPr/>
      </w:pPr>
      <w:bookmarkStart w:id="231" w:name="__RefHeading___Toc3360128_2314609296"/>
      <w:bookmarkStart w:id="232" w:name="_Toc91"/>
      <w:bookmarkEnd w:id="231"/>
      <w:r>
        <w:rPr>
          <w:rtl w:val="true"/>
        </w:rPr>
        <w:t>اشارة</w:t>
      </w:r>
      <w:bookmarkEnd w:id="232"/>
    </w:p>
    <w:p>
      <w:pPr>
        <w:pStyle w:val="BookText"/>
        <w:rPr/>
      </w:pPr>
      <w:r>
        <w:rPr>
          <w:rFonts w:ascii="Amiri" w:hAnsi="Amiri" w:eastAsia="Amiri" w:cs="Amiri"/>
          <w:color w:val="111111"/>
          <w:sz w:val="28"/>
          <w:sz w:val="28"/>
          <w:szCs w:val="28"/>
          <w:rtl w:val="true"/>
          <w:lang w:bidi="ar-SA"/>
        </w:rPr>
        <w:t>سواء دبّغ أو لا، و سواء كان مأكولة اللّحم أو لا، و سواء كانت ممّا لها نفس سائلة أو لا، كلّ ذلك لإطلاق الأدلّة على تأمّل في الأخير يأتي الإشارة إليه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اعتبار ذلك في اللّباس ممّا انعقد عليه الإجماع ظاهرا و استفاضت به النصوص فلا كلام فيه، و لكن</w:t>
      </w:r>
    </w:p>
    <w:p>
      <w:pPr>
        <w:pStyle w:val="Heading6"/>
        <w:numPr>
          <w:ilvl w:val="5"/>
          <w:numId w:val="1"/>
        </w:numPr>
        <w:rPr/>
      </w:pPr>
      <w:bookmarkStart w:id="233" w:name="__RefHeading___Toc3360130_2314609296"/>
      <w:bookmarkStart w:id="234" w:name="_Toc92"/>
      <w:bookmarkEnd w:id="233"/>
      <w:r>
        <w:rPr>
          <w:rtl w:val="true"/>
        </w:rPr>
        <w:t>يقع الكلام في مقامين</w:t>
      </w:r>
      <w:r>
        <w:rPr>
          <w:rtl w:val="true"/>
        </w:rPr>
        <w:t>:</w:t>
      </w:r>
      <w:bookmarkEnd w:id="234"/>
    </w:p>
    <w:p>
      <w:pPr>
        <w:pStyle w:val="Heading6"/>
        <w:numPr>
          <w:ilvl w:val="5"/>
          <w:numId w:val="1"/>
        </w:numPr>
        <w:rPr/>
      </w:pPr>
      <w:bookmarkStart w:id="235" w:name="__RefHeading___Toc3360132_2314609296"/>
      <w:bookmarkStart w:id="236" w:name="_Toc93"/>
      <w:bookmarkEnd w:id="235"/>
      <w:r>
        <w:rPr>
          <w:rtl w:val="true"/>
        </w:rPr>
        <w:t>الأول</w:t>
      </w:r>
      <w:r>
        <w:rPr>
          <w:rtl w:val="true"/>
        </w:rPr>
        <w:t xml:space="preserve">: </w:t>
      </w:r>
      <w:r>
        <w:rPr>
          <w:rtl w:val="true"/>
        </w:rPr>
        <w:t>في بيان الحال عند الشكّ في كون الجلد جلد ميتة</w:t>
      </w:r>
      <w:bookmarkEnd w:id="23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أنّه هل يجوز الصلاة فيه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يقال بابتناء المسألة على كون التذكية شرطا أو الموت مانعا، فإن قلنا بالأول فلا بدّ من إحرازها و لا يجوز الصلاة عند الشكّ فيها، كما هو الشأن في كلّ ما اعتبر شرطا، و لو قلنا بالثاني فيمكن دفعه بالأصل عند الشكّ في تحقّقه، كما هو الشأن أيضا في كلّ ما اعتبر مانعا،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الظاهر عدم ابتناء المسألة بذلك، و أنّه لا يجوز للصلاة في المشكوك مطلقا سواء قلنا بشرطية التذكية أو مانعية الموت، لأنّ الأصل عند الشكّ هو عدم التذكية و معه لا يبقى مجال لدفع المانع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منع عن جريان أصالة عدم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ذلك إلى الفاضل التوني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Style w:val="FootnoteAnchor"/>
          <w:rtl w:val="true"/>
        </w:rPr>
        <w:footnoteReference w:id="335"/>
      </w:r>
      <w:r>
        <w:rPr>
          <w:rFonts w:ascii="Amiri" w:hAnsi="Amiri" w:eastAsia="Amiri" w:cs="Amiri"/>
          <w:color w:val="111111"/>
          <w:sz w:val="28"/>
          <w:sz w:val="28"/>
          <w:szCs w:val="28"/>
          <w:rtl w:val="true"/>
          <w:lang w:bidi="ar-SA"/>
        </w:rPr>
        <w:t>لكان ابتناء المسألة على شرطية التذكية أو مانعية الموت في محلّه، إلّا أنّه لا سبيل إلى المنع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الفاضل التوني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الشيخ قدّس سرّه </w:t>
      </w:r>
      <w:r>
        <w:rPr>
          <w:rStyle w:val="FootnoteAnchor"/>
          <w:rtl w:val="true"/>
        </w:rPr>
        <w:footnoteReference w:id="336"/>
      </w:r>
      <w:r>
        <w:rPr>
          <w:rFonts w:ascii="Amiri" w:hAnsi="Amiri" w:eastAsia="Amiri" w:cs="Amiri"/>
          <w:color w:val="111111"/>
          <w:sz w:val="28"/>
          <w:sz w:val="28"/>
          <w:szCs w:val="28"/>
          <w:rtl w:val="true"/>
          <w:lang w:bidi="ar-SA"/>
        </w:rPr>
        <w:t>في تنبيهات الاستصحاب عند بيان أقسام الاستصحاب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أحد وجهين كلّ منهما لا يخلو عن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الموضوع في الأدلّة و ما أخذ مانعا عن جواز الصلاة ليس إلّا الموت حتف الأنف الذي يكون ضدّا وجوديّا للتذكية، و بأصالة عدم التذكية لا يمكن إثبات الموت حتف الأنف، لأنّه يكون إثباتا لأحد الضدّين الوجوديّين بنفي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عدم التذكية في حال حياة الحيوان أمر مغاير لعدم التذكية في حال موته، و الذي ينفع هو عدم التذكية في حال الموت، و هذا العدم لم يكن له حالة سابقة حتّى يستصحب فهو مشكوك الحدوث، و العدم الثابت في حال الحياة لم يؤخذ مانعا حتّى يستصحب، مع أنّه قطعيّ الارتفاع لأنّ المفروض عدم حياة الحيوان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التذكية من اللّوازم الأعمّ للحيوان من حال حياته و من حال مماته، و ما هو المانع عن الصلاة هو العدم المقارن للموت لا العدم في حال</w:t>
      </w:r>
    </w:p>
    <w:p>
      <w:pPr>
        <w:pStyle w:val="BookText"/>
        <w:rPr/>
      </w:pPr>
      <w:r>
        <w:rPr>
          <w:rFonts w:ascii="Amiri" w:hAnsi="Amiri" w:eastAsia="Amiri" w:cs="Amiri"/>
          <w:color w:val="111111"/>
          <w:sz w:val="28"/>
          <w:sz w:val="28"/>
          <w:szCs w:val="28"/>
          <w:rtl w:val="true"/>
          <w:lang w:bidi="ar-SA"/>
        </w:rPr>
        <w:t>الحياة، فاستصحاب عدم التذكية الثابت في حال حياة الحيوان لا ينفع في إثبات عدم التذكية في حال موت الحيوان الذي يكون هو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الوجهان و إن لم يصرّح بهما في كلامه، إلّا أنّه يمكن تطبيق كلامه عليه،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ما يمكن أن يكون مانعا عن جريان أصالة عدم التذكية في المشكوك هو هذان الوجهان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عليك ما في كلا الوجهين من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يؤخذ في شي‌ء من الأدلّة الموت حتف الأنف موضوعا للنجاسة و لا اعتبر مانعا عن الصلاة، بل الموضوع للنجاسة و الحرمة و المانع عن الصلاة هو الميتة، و هي عبارة عن عدم التذكية و عدم ورود فعل الذابح على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التقابل بين التذكية و الميتة تقابل التضاد، بل التذكية هي أمر شرعي يعتبر في تحقّقها أمور من الذبح بالحديد و فري الأوداج و التسمية و الاستقبال، فإذا انتفى أحد هذه الأمور يكون الحيوان ميتة، بداهة أنّه لو انتفى أحد هذه الأمور لا يكون الحيوان مذكّى و إلّا خرج الشرط عن كونه شرطا، و إذا لم يكن مذكّى فلا بدّ من أن يكون ميتة إذ لا واسطة بينهما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في بعض الأدلّة رتّب الحلّية و الطهارة و جواز الصلاة على نفس التذكية، كقوله تعالى إِلّٰا مٰا ذَكَّيْتُمْ </w:t>
      </w:r>
      <w:r>
        <w:rPr>
          <w:rStyle w:val="FootnoteAnchor"/>
          <w:rtl w:val="true"/>
        </w:rPr>
        <w:footnoteReference w:id="337"/>
      </w:r>
      <w:r>
        <w:rPr>
          <w:rFonts w:ascii="Amiri" w:hAnsi="Amiri" w:eastAsia="Amiri" w:cs="Amiri"/>
          <w:color w:val="111111"/>
          <w:sz w:val="28"/>
          <w:sz w:val="28"/>
          <w:szCs w:val="28"/>
          <w:rtl w:val="true"/>
          <w:lang w:bidi="ar-SA"/>
        </w:rPr>
        <w:t xml:space="preserve">، و قوله عليه السّلام في ذيل موثّقة ابن بكير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ذكيّا ذكّاه الذابح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ذلك، فبانتفاء التذكية تنتفي هذه الأحكام كما دلّ عليه قوله تعالى وَ لٰا تَأْكُلُوا مِمّٰا لَمْ يُذْكَرِ اسْمُ اللّٰهِ عَلَيْهِ </w:t>
      </w:r>
      <w:r>
        <w:rPr>
          <w:rStyle w:val="FootnoteAnchor"/>
          <w:rtl w:val="true"/>
        </w:rPr>
        <w:footnoteReference w:id="338"/>
      </w:r>
      <w:r>
        <w:rPr>
          <w:rFonts w:ascii="Amiri" w:hAnsi="Amiri" w:eastAsia="Amiri" w:cs="Amiri"/>
          <w:color w:val="111111"/>
          <w:sz w:val="28"/>
          <w:sz w:val="28"/>
          <w:szCs w:val="28"/>
          <w:rtl w:val="true"/>
          <w:lang w:bidi="ar-SA"/>
        </w:rPr>
        <w:t>، و لا فرق في انتفاء التذكية بين العلم به أو قيام طريق معتبر عليه و لو كان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المقصود من أصالة عدم التذكية إثبات الموت حتف الأنف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p>
    <w:p>
      <w:pPr>
        <w:pStyle w:val="BookText"/>
        <w:rPr/>
      </w:pPr>
      <w:r>
        <w:rPr>
          <w:rFonts w:ascii="Amiri" w:hAnsi="Amiri" w:eastAsia="Amiri" w:cs="Amiri"/>
          <w:color w:val="111111"/>
          <w:sz w:val="28"/>
          <w:sz w:val="28"/>
          <w:szCs w:val="28"/>
          <w:rtl w:val="true"/>
          <w:lang w:bidi="ar-SA"/>
        </w:rPr>
        <w:t>لا يمكن إثبات أحد الضدّين بنفي الآخر، بل المقصود هو مجرّد عدم ورود التذكية على الحيوان، و هذا بنفسه كاف في إثبات النجاسة و الحرمة و عدم جواز الصلاة في 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أنّه لا مانع من جريان أصالة عدم التذكية عند الشكّ فيها، و لا حاجة إلى إثبات الموت حتف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الثاني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التذكية لو كانت عبارة عن فعل الذابح و ما هو الصادر عنه، من دون اعتبار قابلية المحلّ فيها جزء أو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سيأتي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الشكّ في تحقّقها تكون مسبوقة بالعدم، بداهة أنّ فعل الذابح أمر حادث مسبوق بالعدم الأزلي، و هذا العدم الأزلي مستمر من قبل وجود الحيوان إلى زمان تحقّق موته و إزهاق الروح عنه، غايته أنّ عدم التذكية قبل وجود الحيوان يكون عدما محموليّا منتف بانتفاء موضوعه و هو الحيوان، و بعد وجود الحيوان يكون عدما نعتيّا و هو عدم تذكية هذا الحيوان الموجود، و هذا العدم النعتي مستمر إلى زمان زهوق الروح عنه و بعده، من دون أن ينقلب ذلك العدم الثابت في حال الحياة إلى عدم آخر في حال الممات بل هو هو، غاية الأمر أنّ عدم التذكية الثابت في حال حياة الحيوان لم يكن موضوعا لأثر شرعي، لأنّ موضوع الحرمة و النجاسة و عدم جواز الصلاة مركّب من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زهوق الروح مع عدم التذكية، فعدم التذكية في حال الحياة لم يكن لها أثر، و لكنّ بقاء ذلك العدم إلى تحقّق الجزء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عبارة عن زهاق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ذا أثر شرعي من النجاسة و الحرمة و عدم جواز الصلاة في جلده، و المفروض تحقّق زهوق الروح وجدانا فيستصحب عدم التذكية الثابتة في حال الحياة إلى زمان زهوق الروح، و يلتئم حينئذ كلا جزئي المركّب الذي يكون موضوعا للنجاسة و غيرها من الأحكام، غايته أنّ أحد جزئي المركّب يكون محرزا بالوجدان و الجزء الآخر بالأصل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معروض التذكية التي هي عبارة عن فعل الذابح إنّما</w:t>
      </w:r>
    </w:p>
    <w:p>
      <w:pPr>
        <w:pStyle w:val="BookText"/>
        <w:rPr/>
      </w:pPr>
      <w:r>
        <w:rPr>
          <w:rFonts w:ascii="Amiri" w:hAnsi="Amiri" w:eastAsia="Amiri" w:cs="Amiri"/>
          <w:color w:val="111111"/>
          <w:sz w:val="28"/>
          <w:sz w:val="28"/>
          <w:szCs w:val="28"/>
          <w:rtl w:val="true"/>
          <w:lang w:bidi="ar-SA"/>
        </w:rPr>
        <w:t>هو الجسم، و هذا الجسم في حال الحياة لم يكن مذكّى و لم يرد عليه فعل الذابح بالعدم النعتي فيستصحب إلى زمان زهوق الروح، و الأثر في المقام مترتّب على نفس هذا العدم النعتي المستمرّ، و ليست حياة الحيوان من مقوّمات هذا العدم و قيدا للموضوع حتّى يقال بتبدل ذلك العدم إلى عدم آخر لانقلاب الموضوع و فوات الحياة عن الحيوان، بل ليست الحياة إلّا من حالات الموضوع الذي عبّر عنها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بالوجودات المقارنة، و الموضوع هو الجسم الثابت في كلا الحالين، فلا الموضوع تبدّل و لا العدم انقلب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 أنّه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التذكية هي عبارة عن فعل الذابح فقط من دون أخذ قابلية المحل جزء لها، بل هي شرط آخر للنجاسة و غيرها من الأحكام مغايرة للتذكية، فلا مجال للمنع عن جريان أصالة عدم التذكية عند الشكّ فيها، و كذا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قابلية المحلّ داخل في التذكية و جزء لها و لكن كان المشكوك من الحيوانات القابلة للتذكية بأن لا يكون من الحشرات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كلّ حيوان قابل للتذكية سوى الحشرات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يكن من المسوخ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أنّه لا يقبل التذكية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في مقام تنقيح الضابط بين ما يقبل التذكية و ما لا يقبل، بل هو موكول إلى محلّه، و إن كان لا يبعد القول بان كل حيوان قابل للتذكية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الحشرات، و على كلّ حال بعد إحراز قابلية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مفروض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أصالة عدم التذكية جارية عند الشكّ فيها، سواء قلنا بأنّ قابلية المحل جزء للتذكية أو لم نقل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قلنا بأنّ قابلية المحل جزء أو شرط لتحقّق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يمكن القول</w:t>
      </w:r>
    </w:p>
    <w:p>
      <w:pPr>
        <w:pStyle w:val="BookText"/>
        <w:rPr/>
      </w:pPr>
      <w:r>
        <w:rPr>
          <w:rFonts w:ascii="Amiri" w:hAnsi="Amiri" w:eastAsia="Amiri" w:cs="Amiri"/>
          <w:color w:val="111111"/>
          <w:sz w:val="28"/>
          <w:sz w:val="28"/>
          <w:szCs w:val="28"/>
          <w:rtl w:val="true"/>
          <w:lang w:bidi="ar-SA"/>
        </w:rPr>
        <w:t>بذلك لأنّ التذكية تعرّض المحل القابل فلا يمكن أخذ القابلية في مفهومها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لأصالة عدم التذكية مجال أصلا عند الشك في قابلية المحل لها و لو فرض العلم بتحقّق ما هو فعل الذابح، لأنّ فعل الذابح بنفسه على هذا القول لم يكن تذكية، بل هي مركّب من فعله و من قابلية المحل، و قابلية المحل ليست لها حالة سابقة حتّى تستصحب، فإنّ الحيوان إمّا أن يوجد قابلا للتذكية و إمّا أن يوجد غير قابل، فلا مجرى لأصالة عدم التذكية حينئذ كما لا يخفى،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حتّى على هذا القول لو شكّ في ورود فعل الذابح على الحيوان المشكوك القابلية لكان أصالة عدم التذكية تجري أيضا، لأنّه بناء على هذا القول تكون التذكية معنى حاصلا من فعل الذابح و من قابلية المحل، و هذا المعنى البسيط الحاصل من ذلك مقطوع العدم عن هذا الجسم في حال حياته فيستصحب إلى حال الممات</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قابلية الحيوان للتذكية و إن لم يكن لها سابقة إلّا بالعدم المحمولي الثابت قبل وجود الحيوان، إلّا أنّ التذكية الحاصلة منها و من فعل الذابح يكون مسبوقا بالعدم في حال حياة الحيوان، فتجري أصالة عدم التذكية عند الشكّ في حصولها، فانقدح أنّه عند الشكّ في تذكية الحيوان تكون أصالة عدم التذكية محكّمة، من غير فرق بين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التذكية عبارة عن نفس فعل الذابح و كان قابلية المحل شيئا آخر معتبرا في تأثير التذكية للطهارة و الحلّية،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التذكية هي عبارة عن معنى بسيط منتزع عن مجموع الأمرين، و إنّما تظهر الثمرة بين القولين فيما إذا علم بتحقّق ما هو فعل الذابح، فإنّه بناء على أنّ التذكية عبارة عن نفس فعل الذابح فالتذكية تحقّقت قطعا و يرجع إلى قابلية المحل عند الشكّ فيها إلى أصالة الحلّ و الطهارة سواء كانت الشبهة حكمية أو موضوعية، و أمّا بناء على القول الآخر فأصل التذكية مشكوكة، فتأمّل جيّدا</w:t>
      </w:r>
      <w:r>
        <w:rPr>
          <w:rFonts w:eastAsia="Amiri" w:cs="Amiri" w:ascii="Amiri" w:hAnsi="Amiri"/>
          <w:color w:val="111111"/>
          <w:sz w:val="28"/>
          <w:szCs w:val="28"/>
          <w:rtl w:val="true"/>
          <w:lang w:bidi="ar-SA"/>
        </w:rPr>
        <w:t>.</w:t>
      </w:r>
      <w:bookmarkStart w:id="237" w:name="pg19820_206644"/>
    </w:p>
    <w:p>
      <w:pPr>
        <w:pStyle w:val="BookText"/>
        <w:rPr/>
      </w:pPr>
      <w:bookmarkEnd w:id="237"/>
      <w:r>
        <w:rPr>
          <w:rFonts w:ascii="Amiri" w:hAnsi="Amiri" w:eastAsia="Amiri" w:cs="Amiri"/>
          <w:color w:val="111111"/>
          <w:sz w:val="28"/>
          <w:sz w:val="28"/>
          <w:szCs w:val="28"/>
          <w:rtl w:val="true"/>
          <w:lang w:bidi="ar-SA"/>
        </w:rPr>
        <w:t>و على كلّ حال قد ظهر ممّا حقّقناه انه عند الشكّ في التذكية لا مانع من جريان أصالة العدم، و عليه لا تظهر الثمرة بين شرطية التذكية أو مانعية الموت، فلا حاجة في إتعاب النفس لإثبات أحد الأمرين، و إن كان القول بمانعية الموت لا يخلو عن قوّة، لظاهر النواهي الدالّة على المنع عن الصلاة في أجزاء الميتة، فإنّ النهي المتعلّق بإجزاء العبادة و شرائطها ظاهر في المانعية لا الحرمة التكليفية، كما أنّ الأمر المتعلّق بها ظاهر في الجزئية و الشرطية لا الوجوب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قيل من أنّ الظاهر من قوله عليه السّلام في صحيحة ابن بكير </w:t>
      </w:r>
      <w:r>
        <w:rPr>
          <w:rStyle w:val="FootnoteAnchor"/>
          <w:rtl w:val="true"/>
        </w:rPr>
        <w:footnoteReference w:id="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ممّا يؤكل لحمه فالصلاة في وبره و شعره و بوله و ألبانه و كلّ شي‌ء منه جائزة إذا علمت أنّه ذكي قد ذكّاه الذابح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عليه السّلام في خبر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فيها إلّا ما كان ذكيّا</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هو شرطية التذكية لا مانعية الموت، فيمكن منعه لاحتمال أن يكون المراد بالذكي عدم الميتة، و التعبير بالذكي من باب أنّه إذا لم يكن ميتة فلا محالة يكون ذكيّا لانتفاء الواسطة، فتأمّل جيّدا</w:t>
      </w:r>
      <w:r>
        <w:rPr>
          <w:rFonts w:eastAsia="Amiri" w:cs="Amiri" w:ascii="Amiri" w:hAnsi="Amiri"/>
          <w:color w:val="111111"/>
          <w:sz w:val="28"/>
          <w:szCs w:val="28"/>
          <w:rtl w:val="true"/>
          <w:lang w:bidi="ar-SA"/>
        </w:rPr>
        <w:t>.</w:t>
      </w:r>
    </w:p>
    <w:p>
      <w:pPr>
        <w:pStyle w:val="Heading6"/>
        <w:numPr>
          <w:ilvl w:val="5"/>
          <w:numId w:val="1"/>
        </w:numPr>
        <w:rPr/>
      </w:pPr>
      <w:bookmarkStart w:id="238" w:name="__RefHeading___Toc3360134_2314609296"/>
      <w:bookmarkStart w:id="239" w:name="_Toc94"/>
      <w:bookmarkEnd w:id="238"/>
      <w:r>
        <w:rPr>
          <w:rtl w:val="true"/>
        </w:rPr>
        <w:t>المقام الثاني</w:t>
      </w:r>
      <w:r>
        <w:rPr>
          <w:rtl w:val="true"/>
        </w:rPr>
        <w:t xml:space="preserve">: </w:t>
      </w:r>
      <w:r>
        <w:rPr>
          <w:rtl w:val="true"/>
        </w:rPr>
        <w:t>بعد ما تبيّن أنّ المرجع عند الشكّ في التذكية هو أصالة العدم</w:t>
      </w:r>
      <w:bookmarkEnd w:id="239"/>
    </w:p>
    <w:p>
      <w:pPr>
        <w:pStyle w:val="Heading6"/>
        <w:numPr>
          <w:ilvl w:val="5"/>
          <w:numId w:val="1"/>
        </w:numPr>
        <w:rPr/>
      </w:pPr>
      <w:bookmarkStart w:id="240" w:name="__RefHeading___Toc3360136_2314609296"/>
      <w:bookmarkStart w:id="241" w:name="_Toc95"/>
      <w:bookmarkEnd w:id="240"/>
      <w:r>
        <w:rPr>
          <w:rtl w:val="true"/>
        </w:rPr>
        <w:t>اشارة</w:t>
      </w:r>
      <w:bookmarkEnd w:id="241"/>
    </w:p>
    <w:p>
      <w:pPr>
        <w:pStyle w:val="BookText"/>
        <w:rPr/>
      </w:pPr>
      <w:r>
        <w:rPr>
          <w:rFonts w:ascii="Amiri" w:hAnsi="Amiri" w:eastAsia="Amiri" w:cs="Amiri"/>
          <w:color w:val="111111"/>
          <w:sz w:val="28"/>
          <w:sz w:val="28"/>
          <w:szCs w:val="28"/>
          <w:rtl w:val="true"/>
          <w:lang w:bidi="ar-SA"/>
        </w:rPr>
        <w:t>، فيقع الكلام</w:t>
      </w:r>
    </w:p>
    <w:p>
      <w:pPr>
        <w:pStyle w:val="Heading6"/>
        <w:numPr>
          <w:ilvl w:val="5"/>
          <w:numId w:val="1"/>
        </w:numPr>
        <w:rPr/>
      </w:pPr>
      <w:bookmarkStart w:id="242" w:name="__RefHeading___Toc3360138_2314609296"/>
      <w:bookmarkStart w:id="243" w:name="_Toc96"/>
      <w:bookmarkEnd w:id="242"/>
      <w:r>
        <w:rPr>
          <w:rtl w:val="true"/>
        </w:rPr>
        <w:t>في بيان ما هو المخرج عن هذا الأصل، و هو أحد أمور</w:t>
      </w:r>
      <w:r>
        <w:rPr>
          <w:rtl w:val="true"/>
        </w:rPr>
        <w:t>:</w:t>
      </w:r>
      <w:bookmarkEnd w:id="243"/>
    </w:p>
    <w:p>
      <w:pPr>
        <w:pStyle w:val="Heading6"/>
        <w:numPr>
          <w:ilvl w:val="5"/>
          <w:numId w:val="1"/>
        </w:numPr>
        <w:rPr/>
      </w:pPr>
      <w:bookmarkStart w:id="244" w:name="__RefHeading___Toc3360140_2314609296"/>
      <w:bookmarkStart w:id="245" w:name="_Toc97"/>
      <w:bookmarkEnd w:id="244"/>
      <w:r>
        <w:rPr>
          <w:rtl w:val="true"/>
        </w:rPr>
        <w:t>الأول</w:t>
      </w:r>
      <w:r>
        <w:rPr>
          <w:rtl w:val="true"/>
        </w:rPr>
        <w:t xml:space="preserve">: </w:t>
      </w:r>
      <w:r>
        <w:rPr>
          <w:rtl w:val="true"/>
        </w:rPr>
        <w:t>المأخوذ من المسلم</w:t>
      </w:r>
      <w:bookmarkEnd w:id="245"/>
    </w:p>
    <w:p>
      <w:pPr>
        <w:pStyle w:val="BookText"/>
        <w:rPr/>
      </w:pPr>
      <w:r>
        <w:rPr>
          <w:rFonts w:ascii="Amiri" w:hAnsi="Amiri" w:eastAsia="Amiri" w:cs="Amiri"/>
          <w:color w:val="111111"/>
          <w:sz w:val="28"/>
          <w:sz w:val="28"/>
          <w:szCs w:val="28"/>
          <w:rtl w:val="true"/>
          <w:lang w:bidi="ar-SA"/>
        </w:rPr>
        <w:t>، فإنّ يد المسلم قد جعلها الشارع أمارة على التذكية، سواء أخبر ذو اليد بها أو لم يخبر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يدلّ على اعتبار يد المسلم ما رواه إسماعيل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bookmarkStart w:id="246" w:name="pg19820_206645"/>
    </w:p>
    <w:p>
      <w:pPr>
        <w:pStyle w:val="BookText"/>
        <w:rPr/>
      </w:pPr>
      <w:bookmarkEnd w:id="246"/>
      <w:r>
        <w:rPr>
          <w:rFonts w:ascii="Amiri" w:hAnsi="Amiri" w:eastAsia="Amiri" w:cs="Amiri"/>
          <w:color w:val="111111"/>
          <w:sz w:val="28"/>
          <w:sz w:val="28"/>
          <w:szCs w:val="28"/>
          <w:rtl w:val="true"/>
          <w:lang w:bidi="ar-SA"/>
        </w:rPr>
        <w:t>أبا الحسن عليه السّلام عن جلود الفراء يشتريها الرجل في سوق من أسواق الجبل، أ يسأل عن ذكاته إذا كان البائع مسلما غير عارف؟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أنتم أن تسألوا عنه إذا رأيتم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يبيعون ذلك، و إذا رأيتم يصلّون فيه فلا تسألوا عنه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كالصريحة في اعتبار يد المسلم، و ما ربّما يظهر منها من اعتبار أمر زائد على اليد، من استعمال المسلم له كالصلاة فيه، فالظاهر أنّه غير معتبر عند الأصحاب</w:t>
      </w:r>
      <w:r>
        <w:rPr>
          <w:rFonts w:eastAsia="Amiri" w:cs="Amiri" w:ascii="Amiri" w:hAnsi="Amiri"/>
          <w:color w:val="111111"/>
          <w:sz w:val="28"/>
          <w:szCs w:val="28"/>
          <w:rtl w:val="true"/>
          <w:lang w:bidi="ar-SA"/>
        </w:rPr>
        <w:t>.</w:t>
      </w:r>
    </w:p>
    <w:p>
      <w:pPr>
        <w:pStyle w:val="Heading6"/>
        <w:numPr>
          <w:ilvl w:val="5"/>
          <w:numId w:val="1"/>
        </w:numPr>
        <w:rPr/>
      </w:pPr>
      <w:bookmarkStart w:id="247" w:name="__RefHeading___Toc3360142_2314609296"/>
      <w:bookmarkStart w:id="248" w:name="_Toc98"/>
      <w:bookmarkEnd w:id="247"/>
      <w:r>
        <w:rPr>
          <w:rtl w:val="true"/>
        </w:rPr>
        <w:t>الأمر الثاني</w:t>
      </w:r>
      <w:r>
        <w:rPr>
          <w:rtl w:val="true"/>
        </w:rPr>
        <w:t xml:space="preserve">: </w:t>
      </w:r>
      <w:r>
        <w:rPr>
          <w:rtl w:val="true"/>
        </w:rPr>
        <w:t>الاشتراء من سوق المسلمين</w:t>
      </w:r>
      <w:bookmarkEnd w:id="248"/>
    </w:p>
    <w:p>
      <w:pPr>
        <w:pStyle w:val="BookText"/>
        <w:rPr/>
      </w:pPr>
      <w:r>
        <w:rPr>
          <w:rFonts w:ascii="Amiri" w:hAnsi="Amiri" w:eastAsia="Amiri" w:cs="Amiri"/>
          <w:color w:val="111111"/>
          <w:sz w:val="28"/>
          <w:sz w:val="28"/>
          <w:szCs w:val="28"/>
          <w:rtl w:val="true"/>
          <w:lang w:bidi="ar-SA"/>
        </w:rPr>
        <w:t>و إن لم يعلم إسلام البائع، و لكن بشرط عدم العلم بكفره بأن كان مجهول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يدلّ على اعتبار سوق المسلمين ما رواه أبو نصير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الخفّاف يأتي السوق فيشتري الخفّ لا يدري أ ذكي هو أم لا، ما تقول في الصلاة فيه و هو لا يدري أ يصلّي فيه؟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أنا اشتري الخفّ من السوق و يصنع لي و أصلّي فيه و ليس عليكم المسألة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 هذه الرواية تدلّ على اعتبار السوق و إن لم يعلم إسلام البائع، و لا يمكن دعوى انصرافه إلى ما كان البائع مسلما لغلبة وجود أهل الذمّة في سوق المسلمين في ذلك الزمان، فدعوى الانصراف ممّا لا وجه له</w:t>
      </w:r>
      <w:r>
        <w:rPr>
          <w:rFonts w:eastAsia="Amiri" w:cs="Amiri" w:ascii="Amiri" w:hAnsi="Amiri"/>
          <w:color w:val="111111"/>
          <w:sz w:val="28"/>
          <w:szCs w:val="28"/>
          <w:rtl w:val="true"/>
          <w:lang w:bidi="ar-SA"/>
        </w:rPr>
        <w:t>.</w:t>
      </w:r>
    </w:p>
    <w:p>
      <w:pPr>
        <w:pStyle w:val="Heading6"/>
        <w:numPr>
          <w:ilvl w:val="5"/>
          <w:numId w:val="1"/>
        </w:numPr>
        <w:rPr/>
      </w:pPr>
      <w:bookmarkStart w:id="249" w:name="__RefHeading___Toc3360144_2314609296"/>
      <w:bookmarkStart w:id="250" w:name="_Toc99"/>
      <w:bookmarkEnd w:id="249"/>
      <w:r>
        <w:rPr>
          <w:rtl w:val="true"/>
        </w:rPr>
        <w:t>الأمر الثالث</w:t>
      </w:r>
      <w:r>
        <w:rPr>
          <w:rtl w:val="true"/>
        </w:rPr>
        <w:t xml:space="preserve">: </w:t>
      </w:r>
      <w:r>
        <w:rPr>
          <w:rtl w:val="true"/>
        </w:rPr>
        <w:t>ما إذا كان الجلد أو غيره من أجزاء الحيوان مطروحا في أرض الإسلام</w:t>
      </w:r>
      <w:r>
        <w:rPr>
          <w:rtl w:val="true"/>
        </w:rPr>
        <w:t>.</w:t>
      </w:r>
      <w:bookmarkEnd w:id="25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استدلّ على اعتبار ذلك بما رواه السكوني عن أبي عبد اللّٰه عليه السّلام أنّ أمير المؤمنين عليه السّلام سئل عن سفرة وجدت في الطريق مطروحة لكثير لحمها و خبزها و جبنها و بيضها و فيها سكّين،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ما فيها</w:t>
      </w:r>
    </w:p>
    <w:p>
      <w:pPr>
        <w:pStyle w:val="BookText"/>
        <w:rPr/>
      </w:pPr>
      <w:r>
        <w:rPr>
          <w:rFonts w:ascii="Amiri" w:hAnsi="Amiri" w:eastAsia="Amiri" w:cs="Amiri"/>
          <w:color w:val="111111"/>
          <w:sz w:val="28"/>
          <w:sz w:val="28"/>
          <w:szCs w:val="28"/>
          <w:rtl w:val="true"/>
          <w:lang w:bidi="ar-SA"/>
        </w:rPr>
        <w:t>ثمّ يؤكل لأنّه يفسد و ليس له بقاء، فإذا جاء طالبها غرموا له الثمن،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عليه السّلام لا يدري سفرة مسلم أم سفرة مجوسي،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في سعة حتّى يعلموا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يستدلّ عليه أيضا بما رواه عمّار عن العبد الصالح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بالصلاة في الفراء اليماني و فيما صنع في أرض الإسلام،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فيها غير أهل الإسلام؟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الغالب عليها المسلمين فلا بأس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الاستدلال بذلك على اعتبار المطروح في أرض الإسلام، بحيث يكون نفس كونه في أرض الإسلام أمارة على التذكية قاطعة لأصالة العدم مشكل، و إن قال به جماعة من الأساطين لكن بعد تقييده بما إذا كان عليه أثر الاستعمال، بأن يكون على المطروح أثر يستفاد منه أنّه كان مستعملا فيما لا يجوز استعماله على تقدير كونه ميتة، كاللّحم الموضوع في السفرة كما في الخبر المتقدّم، حيث إنّه يستفاد من وضعه في السفرة أنّه وضع فيها لأجل الأكل الذي لا يجوز على تقدير كونه من ميتة، و هذا بخلاف الجلد المطروح في الأرض الذي لا يكون عليه أثر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استفادة هذا القيد إنّما يكون من خبر السفرة، و لا بأس باستفادته إلّا أنّ الكلام في أصل اعتبار المطروح في أرض الإسلام من دون أن يكون في يدهم أو سوقهم، فإنّ ما استدلّ به على اعتبار ذلك من الخبرين لا يخلو عن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خبر السفرة فالظاهر منه أنّه ليس السؤال عن التذكية و عدمها، بل جهة السؤال عن الطهارة و النجاسة، فإنّ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يدري سفرة مسلم أو سفرة مجوسي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لا يعلم طهارة ما في السفرة و نجاستها، فأجاب عليه السّلام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بأنّهم في سعة ما لا يعلمون، أي محكوم بالطهارة حتّى يعلم خلافه، و لا يمكن</w:t>
      </w:r>
    </w:p>
    <w:p>
      <w:pPr>
        <w:pStyle w:val="BookText"/>
        <w:rPr/>
      </w:pPr>
      <w:r>
        <w:rPr>
          <w:rFonts w:ascii="Amiri" w:hAnsi="Amiri" w:eastAsia="Amiri" w:cs="Amiri"/>
          <w:color w:val="111111"/>
          <w:sz w:val="28"/>
          <w:sz w:val="28"/>
          <w:szCs w:val="28"/>
          <w:rtl w:val="true"/>
          <w:lang w:bidi="ar-SA"/>
        </w:rPr>
        <w:t>التمسّك بإطلاق السؤال و الجواب لصورة الشكّ في التذكية و عدمها، لأنّ السؤال و الجواب لم يسق لهذه الجهة، و على فرض التسليم فغايته أن يكون مفاد هذا الخبر كمفاد المطلقات الآتية من الحكم بحلّية ما لا يعلم كونه ميتة، و سيأتي أنّه لا يمكن الأخذ بإطلاقها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هذا الخبر على أنّ نفس كون الشي‌ء في أرض المسلمين مع عدم العلم بسبق يد مسلم عليه أمارة شرعية، بحيث تكون قاطعة لأصالة عدم التذكية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عمّار فهو أجنبي عمّا نحن فيه، فإنّ حلّية ما صنع في أرض الإسلام لا يلازم حلّية المطروح في أرض الإسلام، بل الظاهر منه أنّ المصنوع في أرض الإسلام من الفراء و غيره و إن كان فيها غير الإسلام يجوز استعماله و التصرّف فيه من الصلاة و غيرها، و هذا لا ينافي اعتبار أخذه من السوق أو من يد المسلم، بل الظاهر من الخبر هو كون المصنوع في أرض الإسلام الذي يباع و يشترى في أسواقهم يجوز الصلاة فيه و إن لم يعلم كون صانعه مسلما، فيكون مساق هذا الخبر مساق الأخبار الدالّة على اعتبار السوق، و أين هذا من الدلالة على اعتبار المطروح في بلاد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لم يظهر لنا دليل يدلّ على أمارية الطرح في أرض الإسلام في مقابل اليد و السوق، فالأقوى الاقتصار في مخالفة الأصل على اليد و السوق</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هنا جملة من الأخبار يظهر منها أنّ كلّ ما لم يعلم كونه ميتة فهو محكوم بالتذكية، و قد أخذ بإطلاقها بعض الأساطين، فلو تمّ هذا لكان ذلك تخصيصا لحجّية الاستصحاب، و تكون أصالة عدم التذكية ساقطة من أصلها و لو أخذ من يد كافر فضلا عن الأخذ من مجهول الحال في غير سوق المسلمين، و لكنّ الكلام في إطلاق هذه الروايات أوّلا، و في إمكان الأخذ به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أوّلا بذكر بعض الأخبار، ثمّ نعقبه بما هو المستفاد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موثّقة سماعة عن الصادق عليه السّلام سألته عن تقليد السيف في الصلاة فيه الفراء و الكيمخت،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ما لم يعلم أنّه ميتة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صحيحة الحلبي حدّثني علي بن أبي حمزة أنّ رجلا سأل أبا عبد اللّٰه عليه السّلام و أنا عنده عن الرجل يتقلّد السيف و يصلّي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الكيمخت،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الكيمخت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جلود الدوابّ منه ما يكون ذكيّا و منه ما يكون ميتة،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أنّه ميتة فلا تصلّ فيه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محمّد بن يونس أنّ أباه كتب إلى أبي الحسن عليه السّلام سأله عن الفرو و الخفّ ألبسه و أصلّي فيه و لا أعلم أنّه ذكي،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معناها أخبار </w:t>
      </w:r>
      <w:r>
        <w:rPr>
          <w:rStyle w:val="FootnoteAnchor"/>
          <w:rtl w:val="true"/>
        </w:rPr>
        <w:footnoteReference w:id="349"/>
      </w:r>
      <w:r>
        <w:rPr>
          <w:rFonts w:ascii="Amiri" w:hAnsi="Amiri" w:eastAsia="Amiri" w:cs="Amiri"/>
          <w:color w:val="111111"/>
          <w:sz w:val="28"/>
          <w:sz w:val="28"/>
          <w:szCs w:val="28"/>
          <w:rtl w:val="true"/>
          <w:lang w:bidi="ar-SA"/>
        </w:rPr>
        <w:t>أخر دلّت بإطلاقها على الحكم بالتذكية ما لم يعلم أنّه ميتة،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 عدم إمكان التمسّك بها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أن يكون جهة السؤال في جميع الأخبار الواردة في هذا الباب هو أنّه لمّا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الذمّة يبيعون و يشترون في أسواق المسلمين، و كانت العامّة تحلّ ذبائح أهل الكتاب و يعاملون معها معاملة ذبائح المسلمين، و كذلك كانت تحلّ الميتة بالدبغ، و حيث كانت الشيعة كثير التردّد</w:t>
      </w:r>
    </w:p>
    <w:p>
      <w:pPr>
        <w:pStyle w:val="BookText"/>
        <w:rPr/>
      </w:pPr>
      <w:r>
        <w:rPr>
          <w:rFonts w:ascii="Amiri" w:hAnsi="Amiri" w:eastAsia="Amiri" w:cs="Amiri"/>
          <w:color w:val="111111"/>
          <w:sz w:val="28"/>
          <w:sz w:val="28"/>
          <w:szCs w:val="28"/>
          <w:rtl w:val="true"/>
          <w:lang w:bidi="ar-SA"/>
        </w:rPr>
        <w:t>مع العامّة و مخالطون لهم و يعاملون معهم في البيع و الشراء، فمن أجل هذا أوجب الضيق على الشيعة، حيث كانوا يدخلون السوق و يشترون ما لا يعلم أنّه من ذبيحة المسلم أو ذبيحة أهل الذمّة، و كذا لم يعلم أنّه ميتة دبغ أولا، فكثر السؤال من الأئمّة عليهم السّلام، و أنّ هذه المعاملات التي تقع في الأسواق بيننا و بين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هو المعلوم من طريقتهم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حالها، و أنّه يجوز أن يعامل مع المأخوذ معاملة المذكّى أو لا، فأجابوا عليهم السّلام بعدم البأس، و أنّه يعامل معه معاملة المذكّى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فجميع ما صدر عنهم عليهم السّلام جوابا في هذه الأخبار إنّما سيق لبيان حكم المعاملات الواقعة بين الشيعة و بين أهل السوق، و عليه لا يبقى مجال لتوهّم الإطلاق فيما دلّ على حلّية ما لم يعلم كونه ميتة، بل هو منزّل على ما كان متعارفا في ذلك الزمان، و يكون مساقها مساق الأخبار الدالّة على اعتبار اليد و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فرض تسليم الإطلاق فلا بدّ من تقييده بما إذا لم يؤخذ من يد الكافر، أو من يد مجهول الحال في غير سوق المسلمين، و ذلك لصراحة بعض الأخبار بوجوب السؤال و الفحص عمّا أخذ من يد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خبر إسماعيل بن موسى عن أبيه سألت أبا الحسن عليه السّلام عن جلود الفراء يشتريها الرجل في سوق من أسواق الجبل، أ يسأل عن ذكاته إذا كان البائع مسلما غير عارف؟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أنتم أن تسألوا عنه إذا رأيتم المشركين يبيعون ذلك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هذا التصريح كيف يمكن الأخذ بإطلاق ما دلّ على حلّية ما لم يعلم كونه ميتة و لو أخذ من يد الكافر؟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فالإنصاف أنّه لا قاطع لأصالة عدم التذكية إلّا يد المسلم أو سوق المسلمين</w:t>
      </w:r>
      <w:bookmarkStart w:id="251" w:name="pg19820_206650"/>
    </w:p>
    <w:p>
      <w:pPr>
        <w:pStyle w:val="BookText"/>
        <w:rPr/>
      </w:pPr>
      <w:bookmarkEnd w:id="251"/>
      <w:r>
        <w:rPr>
          <w:rFonts w:ascii="Amiri" w:hAnsi="Amiri" w:eastAsia="Amiri" w:cs="Amiri"/>
          <w:color w:val="111111"/>
          <w:sz w:val="28"/>
          <w:sz w:val="28"/>
          <w:szCs w:val="28"/>
          <w:rtl w:val="true"/>
          <w:lang w:bidi="ar-SA"/>
        </w:rPr>
        <w:t>و لو كان المأخوذ منه مجهول الحال، لإطلاق أدلّة اعتبار السوق خرج منه ما إذا علم كفر المأخوذ منه، فتأمّل جيّدا</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3360146_2314609296"/>
      <w:bookmarkStart w:id="253" w:name="_Toc100"/>
      <w:bookmarkEnd w:id="252"/>
      <w:r>
        <w:rPr>
          <w:rtl w:val="true"/>
        </w:rPr>
        <w:t>بقي في المقام أمور ينبغي التنبيه عليها</w:t>
      </w:r>
      <w:r>
        <w:rPr>
          <w:rtl w:val="true"/>
        </w:rPr>
        <w:t>.</w:t>
      </w:r>
      <w:bookmarkEnd w:id="253"/>
    </w:p>
    <w:p>
      <w:pPr>
        <w:pStyle w:val="Heading6"/>
        <w:numPr>
          <w:ilvl w:val="5"/>
          <w:numId w:val="1"/>
        </w:numPr>
        <w:rPr/>
      </w:pPr>
      <w:bookmarkStart w:id="254" w:name="__RefHeading___Toc3360148_2314609296"/>
      <w:bookmarkStart w:id="255" w:name="_Toc101"/>
      <w:bookmarkEnd w:id="254"/>
      <w:r>
        <w:rPr>
          <w:rtl w:val="true"/>
        </w:rPr>
        <w:t>الأول</w:t>
      </w:r>
      <w:r>
        <w:rPr>
          <w:rtl w:val="true"/>
        </w:rPr>
        <w:t xml:space="preserve">: </w:t>
      </w:r>
      <w:r>
        <w:rPr>
          <w:rtl w:val="true"/>
        </w:rPr>
        <w:t>في أنّه هل يد الكافر أمارة على عدم التذكية</w:t>
      </w:r>
      <w:bookmarkEnd w:id="255"/>
    </w:p>
    <w:p>
      <w:pPr>
        <w:pStyle w:val="BookText"/>
        <w:rPr/>
      </w:pPr>
      <w:r>
        <w:rPr>
          <w:rFonts w:ascii="Amiri" w:hAnsi="Amiri" w:eastAsia="Amiri" w:cs="Amiri"/>
          <w:color w:val="111111"/>
          <w:sz w:val="28"/>
          <w:sz w:val="28"/>
          <w:szCs w:val="28"/>
          <w:rtl w:val="true"/>
          <w:lang w:bidi="ar-SA"/>
        </w:rPr>
        <w:t>كما كانت يد المسلم أمارة على التذكية، أو أنّه ليس يد الكافر أمارة على عدم التذكية، بل مجرّد كونها غير أمارة على التذكية و ممّا لا أثر لها و غير موجبة لرفع اليد عن أصالة عدم التذكية الجارية في المشكوك؟</w:t>
      </w:r>
    </w:p>
    <w:p>
      <w:pPr>
        <w:pStyle w:val="BookText"/>
        <w:rPr/>
      </w:pPr>
      <w:r>
        <w:rPr>
          <w:rFonts w:ascii="Amiri" w:hAnsi="Amiri" w:eastAsia="Amiri" w:cs="Amiri"/>
          <w:color w:val="111111"/>
          <w:sz w:val="28"/>
          <w:sz w:val="28"/>
          <w:szCs w:val="28"/>
          <w:rtl w:val="true"/>
          <w:lang w:bidi="ar-SA"/>
        </w:rPr>
        <w:t>ربّما قيل بأنّ يد الكافر أمارة على عدم التذكية كما أن يد المسلم أمارة على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استظهر ذلك من قوله عليه السّلام في خبر إسماعيل </w:t>
      </w:r>
      <w:r>
        <w:rPr>
          <w:rStyle w:val="FootnoteAnchor"/>
          <w:rtl w:val="true"/>
        </w:rPr>
        <w:footnoteReference w:id="351"/>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المشركين يبيعون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قوله عليه السّلام في خبر عمّار </w:t>
      </w:r>
      <w:r>
        <w:rPr>
          <w:rStyle w:val="FootnoteAnchor"/>
          <w:rtl w:val="true"/>
        </w:rPr>
        <w:footnoteReference w:id="352"/>
      </w:r>
      <w:r>
        <w:rPr>
          <w:rFonts w:ascii="Amiri" w:hAnsi="Amiri" w:eastAsia="Amiri" w:cs="Amiri"/>
          <w:color w:val="111111"/>
          <w:sz w:val="28"/>
          <w:sz w:val="28"/>
          <w:szCs w:val="28"/>
          <w:rtl w:val="true"/>
          <w:lang w:bidi="ar-SA"/>
        </w:rPr>
        <w:t xml:space="preserve">المتقدّم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صنع في أرض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الاستظهار من ذلك نظر واضح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الإنصاف أنّه لم يظهر من الأدلّة ما يستفاد منه أمارية يد الكافر على عدم التذكية، بل غاية ما يستفاد منها عدم الأمارية في مقابل جعل أمارية يد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الثمرة بين القولين إنّما تظهر فيما إذا اشتركا يد الكافر و يد المسلم في جلد الحيوان أو غيره، فبناء على الأمارية يقع التعارض بين الأمارتين، و نحتاج في ترجيح يد المسلم على يد الكافر إلى بعض الوجوه الاعتبارية، ككون يد المسلم أقوى أمارة من يد الكافر، و غير ذلك من الوجوه التي لا دليل على اعتبارها، و أمّا بناء على ما قلناه من عدم أمارية يد الكافر فلا تعارض في البين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قيل بظهور الثمرة أيضا فيما إذا سبقت يد الكافر على يد المسلم، فيقع</w:t>
      </w:r>
      <w:bookmarkStart w:id="256" w:name="pg19820_206651"/>
    </w:p>
    <w:p>
      <w:pPr>
        <w:pStyle w:val="BookText"/>
        <w:rPr/>
      </w:pPr>
      <w:bookmarkEnd w:id="256"/>
      <w:r>
        <w:rPr>
          <w:rFonts w:ascii="Amiri" w:hAnsi="Amiri" w:eastAsia="Amiri" w:cs="Amiri"/>
          <w:color w:val="111111"/>
          <w:sz w:val="28"/>
          <w:sz w:val="28"/>
          <w:szCs w:val="28"/>
          <w:rtl w:val="true"/>
          <w:lang w:bidi="ar-SA"/>
        </w:rPr>
        <w:t>التعارض أيضا و يقدّم يد المسلم للأقوائية و اللحوق و غير ذلك،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تمامية هذه الثمرة موقوفة على كون يد المسلم أمارة على التذكية و لو مع العلم بسبقها بيد الكافر، و سيأتي الإشكال في ذلك</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3360150_2314609296"/>
      <w:bookmarkStart w:id="258" w:name="_Toc102"/>
      <w:bookmarkEnd w:id="257"/>
      <w:r>
        <w:rPr>
          <w:rtl w:val="true"/>
        </w:rPr>
        <w:t>الأمر الثاني</w:t>
      </w:r>
      <w:r>
        <w:rPr>
          <w:rtl w:val="true"/>
        </w:rPr>
        <w:t xml:space="preserve">: </w:t>
      </w:r>
      <w:r>
        <w:rPr>
          <w:rtl w:val="true"/>
        </w:rPr>
        <w:t>في أنّ أمارية يد المسلم على التذكية هل مطلقة</w:t>
      </w:r>
      <w:bookmarkEnd w:id="258"/>
    </w:p>
    <w:p>
      <w:pPr>
        <w:pStyle w:val="BookText"/>
        <w:rPr/>
      </w:pPr>
      <w:r>
        <w:rPr>
          <w:rFonts w:ascii="Amiri" w:hAnsi="Amiri" w:eastAsia="Amiri" w:cs="Amiri"/>
          <w:color w:val="111111"/>
          <w:sz w:val="28"/>
          <w:sz w:val="28"/>
          <w:szCs w:val="28"/>
          <w:rtl w:val="true"/>
          <w:lang w:bidi="ar-SA"/>
        </w:rPr>
        <w:t>و لو مع العلم بسبق يد الكافر عليه، أو أنّها مقيّدة بما إذا لم يعلم ذلك؟</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بعض الأساطين إلى الأول، نظرا إلى إطلاق الأدلّة الدالّة على اعتبار يد المسلم، كقوله عليه السّلام في ذيل خبر إسماعيل </w:t>
      </w:r>
      <w:r>
        <w:rPr>
          <w:rStyle w:val="FootnoteAnchor"/>
          <w:rtl w:val="true"/>
        </w:rPr>
        <w:footnoteReference w:id="353"/>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رأيتم يصلّون فيه فلا تسألوا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إطلاق ذلك يقتضي اعتبار يد المسلم و لو مع العلم بأخذه من يد الكافر،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استشكل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و مال إلى عدم اعتبار يد المسلم مع العلم بسبقها بيد الكافر إلّا على وجه تأتي الإشارة إليه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الإشكال يحتاج إلى تمهيد مقدّمة، و هي أنّ الأدلّة المتكفّلة لبيان الأحكام الشرعية تارة تكون على نحو القضايا الحقيقية و مبيّنة للكبريات التي يتألّف منها الأقيسة لاستنتاج الأحكام الجزئية، كقوله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الماء قدر كرّ لم ينجّسه شي‌ء</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و أمثال ذلك، و اخرى تكون على نحو القضايا الخارجية، كما إذا سئل المعصوم عليه السّلام عن فعل شي‌ء أو ترك شي‌ء فأجاب عليه السّلام بالبأس أو عدم البأس، فإنّ هذا لا يكون على نحو الكبرى الكلّية، بل قضية خاصّة وردت في مورد خاص، و من هنا يعبّر عنها في كلمات الفقهاء بأنّها قضية في 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حقّقنا ذلك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في ذلك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كلّ ما صدر عنهم عليهم السّلام جوابا عن سؤال خاصّ يكون على نحو القضية الخارجية، بل ربّما يستفاد منه كبرى كلّية، و قد حرّرنا الضابط بينهما على وجه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في المقام مجرّد بيان أنّ الجواب يمكن أن يكون على نحو القضية الخارجية، كما أنّه يمكن أن يكون على نحو الكبرى الكلّية، فإن كان على نحو الكبرى الكلّية فلا إشكال في استفادة الإطلاق أو العموم منها لو كان في مقام البيان، و أمّا إذا كان على نحو القضية الخارجية فلا يمكن استفادة الإطلاق منها إلّا بضميمة ترك الاستفصال في الموارد التي تكون محلّا للاستفصال مع القطع بعدم خصوصية المورد، فلو لم يكن المحلّ محلا للاستفصال، أو لم يحصل القطع بعدم خصوصية المورد، لا يمكن استفادة الإطلاق من الجواب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غالب ما صدر عنهم عليهم السّلام في هذا الباب إنّما هو جواب عمّا سألوا عنه الأصحاب ممّا كانوا مبتلين به من معاملتهم مع أهل السوق الذي يكون فيهم من يستحلّ ذبائح أهل الذمّة و طهارة الميتة بالدبغ، و من المعلوم أنّ في مثل هذا لا يمكن أن يتمسّك بإطلاق الجواب، لأنّه جواب عمّا وقع في الخارج</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يمكن القول بالإطلاق من باب ترك الاستفصال، لما عرفت من استفادة الإطلاق من ترك الاستفصال إنّما يكون في المحلّ القابل للاستفصال، و من المعلوم أنّ الصحابة في ذلك الزمان لم يكونوا مبتلين بما نحن مبتلون به الآن، من حمل مال التجارة من الجلود و غيرها من بلاد الكفر إلى بلاد الإسلام، بحيث نعلم أنّ ما وقع في يد المسلم إنّما هو مسبوق بيد الكافر و حمل من بلاد الكفر إلى بلاد الإسلام، و هذا المعنى لم يكن معهودا في ذلك الزمان، فليس المقام مقام ترك</w:t>
      </w:r>
    </w:p>
    <w:p>
      <w:pPr>
        <w:pStyle w:val="BookText"/>
        <w:rPr/>
      </w:pPr>
      <w:r>
        <w:rPr>
          <w:rFonts w:ascii="Amiri" w:hAnsi="Amiri" w:eastAsia="Amiri" w:cs="Amiri"/>
          <w:color w:val="111111"/>
          <w:sz w:val="28"/>
          <w:sz w:val="28"/>
          <w:szCs w:val="28"/>
          <w:rtl w:val="true"/>
          <w:lang w:bidi="ar-SA"/>
        </w:rPr>
        <w:t>الاستفصال، فلا يمكن القول بالإطلاق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لا يمكن القول بالإطلاق بدعوى القطع بعدم الفرق بين ما نحن مبتلون به الآن من سبق يد الكافر على يد المسلم، و ما كانوا مبتلين به في ذلك الزمان من المعاملة مع من يستحلّ ذبيحة أهل الذمّة، لأنّ المأخوذ في ذلك الزمان من يد المسلم العارف أو غير العارف حيث لم يعلم كونه من ذبيحة أهل الذمّة و لم يعلم سبقه بيد الكافر، فجعل الشارع يد المسلم أمارة على التذكية، و أين هذا من المأخوذ في هذا الزمان ممّا يعلم سبقه بيد الكافر؟ فدعوى القطع بعدم الخصوصية عهدتها على مدّعيها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ما كان الصادر عنهم عليهم السّلام في هذا الباب إنّما هو جواب عن قضايا خارجية، و لم يرد في هذا الباب ما يكون كبرى كلّية يستفاد منه اعتبار يد المسلم على الإطلاق حتّى لو كانت مسبوقة بيد الكافر، و قد عرفت أنّ استفادة الإطلاق و الكبرى الكلّية من الجواب عن القضية الخارجية لا يمكن إلّا بترك الاستفصال مع القطع بعدم خصوصية للمورد، و كلاهما ممنوعان في مثل المقام كما لا يخفى، فالأقوى عدم اعتبار يد المسلم إذا كانت مسبوقة بيد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احتمل احتمالا عقلائيّا أنّ المسلم و إن أخذها من يد الكافر لكن بعد تحقيقه الحال عن تذكية المأخوذ و عدمها لكان يده بضميمة أصالة الصحة في فعل المسلم أمارة على التذكية، إلّا أنّ هذا ممّا يقطع بعدمه في هذا الزمان، للقطع بأنّ المسلمين في هذا الزمان يجلبون مال التجارة من بلاد الكفر من دون تحقيق للحال و السؤال عن التذكية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ما أفاده شيخنا الأستاذ في هذا المقام في وجه الإشكال في اعتبار يد المسلم على الإطلاق، و قد عرفت أنّ الإشكال في ذلك إنّما هو 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ابتلاء الصحابة في ذلك بما ابتلينا نحن الآن من حمل مال التجارة من بلاد</w:t>
      </w:r>
      <w:bookmarkStart w:id="259" w:name="pg19820_206654"/>
    </w:p>
    <w:p>
      <w:pPr>
        <w:pStyle w:val="BookText"/>
        <w:rPr/>
      </w:pPr>
      <w:bookmarkEnd w:id="259"/>
      <w:r>
        <w:rPr>
          <w:rFonts w:ascii="Amiri" w:hAnsi="Amiri" w:eastAsia="Amiri" w:cs="Amiri"/>
          <w:color w:val="111111"/>
          <w:sz w:val="28"/>
          <w:sz w:val="28"/>
          <w:szCs w:val="28"/>
          <w:rtl w:val="true"/>
          <w:lang w:bidi="ar-SA"/>
        </w:rPr>
        <w:t>الكفر إلى بلاد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صدر عنهم جوابا في هذا الباب إنّما يكون على نحو القضايا الخارجية و ليس لبيان الكبرى الكلّية فتأمّل جيّدا فإنّ كلا الأمرين لا يخلو عن تأمّل و ربّما يمكن استفادة الإطلاق من قوله عليه السّلام و لو لا ذلك لما قام للمسلمين سوق </w:t>
      </w:r>
      <w:r>
        <w:rPr>
          <w:rStyle w:val="FootnoteAnchor"/>
          <w:rtl w:val="true"/>
        </w:rPr>
        <w:footnoteReference w:id="355"/>
      </w:r>
      <w:r>
        <w:rPr>
          <w:rFonts w:ascii="Amiri" w:hAnsi="Amiri" w:eastAsia="Amiri" w:cs="Amiri"/>
          <w:color w:val="111111"/>
          <w:sz w:val="28"/>
          <w:sz w:val="28"/>
          <w:szCs w:val="28"/>
          <w:rtl w:val="true"/>
          <w:lang w:bidi="ar-SA"/>
        </w:rPr>
        <w:t>فتأمّل</w:t>
      </w:r>
    </w:p>
    <w:p>
      <w:pPr>
        <w:pStyle w:val="Heading6"/>
        <w:numPr>
          <w:ilvl w:val="5"/>
          <w:numId w:val="1"/>
        </w:numPr>
        <w:rPr/>
      </w:pPr>
      <w:bookmarkStart w:id="260" w:name="__RefHeading___Toc3360152_2314609296"/>
      <w:bookmarkStart w:id="261" w:name="_Toc103"/>
      <w:bookmarkEnd w:id="260"/>
      <w:r>
        <w:rPr>
          <w:rtl w:val="true"/>
        </w:rPr>
        <w:t>الأمر الثالث</w:t>
      </w:r>
      <w:r>
        <w:rPr>
          <w:rtl w:val="true"/>
        </w:rPr>
        <w:t xml:space="preserve">: </w:t>
      </w:r>
      <w:r>
        <w:rPr>
          <w:rtl w:val="true"/>
        </w:rPr>
        <w:t>هل يعتبر في أمارية يد المسلم أن يكون المسلم مستعملا للجلد أو غيره</w:t>
      </w:r>
      <w:bookmarkEnd w:id="26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لا يجوز استعمال الميتة فيه كعرضه للبيع و الشراء و الصلاة فيه و أمثال ذلك، أو أنّه يكفي مجرّد كونه في يده و تحت استيلائه و إن كان مطروحا في بيته أو دكانه؟ وجهان مبنيّان على أنّ أمارية يد المسلم على التذكية هل هي من باب أماريّتها على الملك و حيث إنّ الميتة لا تملك فيد المسلم كاشفة عن الملك الملازم للتذكية، أو أنّ أماريّتها من باب حمل فعل المسلم على الصحّة، فلو قلنا بالأول فنفس كون الجلد تحت يده و سلطانه يكفي في ترتيب آثار التذكية عليه، لأنّ نفس الاستيلاء كاشف عن الملكية الملازمة للتذكية، و إن قلنا بالثاني فلا بدّ من استعماله له على وجه لا يجوز الاستعمال لو كان ميتة حتّى تجري قاعدة حمل فعل المسلم على الصحّة، بداهة أنّه لا موضوع للقاعدة إلّا في صورة الاستعمال، فلا يكفي مجرّد كونه في داره مع عدم استعماله له في ترتيب آثار التذكية عليه </w:t>
      </w:r>
      <w:r>
        <w:rPr>
          <w:rStyle w:val="FootnoteAnchor"/>
          <w:rtl w:val="true"/>
        </w:rPr>
        <w:footnoteReference w:id="356"/>
      </w:r>
      <w:bookmarkStart w:id="262" w:name="pg19820_206655"/>
    </w:p>
    <w:p>
      <w:pPr>
        <w:pStyle w:val="BookText"/>
        <w:rPr/>
      </w:pPr>
      <w:bookmarkEnd w:id="262"/>
      <w:r>
        <w:rPr>
          <w:rFonts w:ascii="Amiri" w:hAnsi="Amiri" w:eastAsia="Amiri" w:cs="Amiri"/>
          <w:color w:val="111111"/>
          <w:sz w:val="28"/>
          <w:sz w:val="28"/>
          <w:szCs w:val="28"/>
          <w:rtl w:val="true"/>
          <w:lang w:bidi="ar-SA"/>
        </w:rPr>
        <w:t>و الأقوى هو الوجه الثاني أي كون أماريّتها من باب حمل فعل المسلم على الصحّة، لأنّ الظاهر من أدلّة الباب سؤالا و جوابا هو ما إذا كان هناك استعمال من المسلم على وجه ينافي كون ما في يده ميتة كالبيع و الشراء و 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رأيتم يصلّون فيه فلا تسألوا عنه</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و معلوم أنّ الصلاة أخذت في المقام كناية عن مطلق الاستعمال على وجه ينافي كونه ميتة، فمجرّد ثبوت جلد أو لحم بيد المسلم مع احتمال أن يكون ذلك في يده من جهة إرادة إعدامه لا استعماله لا يحكم عليه بالتذكية</w:t>
      </w:r>
      <w:r>
        <w:rPr>
          <w:rFonts w:eastAsia="Amiri" w:cs="Amiri" w:ascii="Amiri" w:hAnsi="Amiri"/>
          <w:color w:val="111111"/>
          <w:sz w:val="28"/>
          <w:szCs w:val="28"/>
          <w:rtl w:val="true"/>
          <w:lang w:bidi="ar-SA"/>
        </w:rPr>
        <w:t>.</w:t>
      </w:r>
    </w:p>
    <w:p>
      <w:pPr>
        <w:pStyle w:val="Heading6"/>
        <w:numPr>
          <w:ilvl w:val="5"/>
          <w:numId w:val="1"/>
        </w:numPr>
        <w:rPr/>
      </w:pPr>
      <w:bookmarkStart w:id="263" w:name="__RefHeading___Toc3360154_2314609296"/>
      <w:bookmarkStart w:id="264" w:name="_Toc104"/>
      <w:bookmarkEnd w:id="263"/>
      <w:r>
        <w:rPr>
          <w:rtl w:val="true"/>
        </w:rPr>
        <w:t>الأمر الرابع</w:t>
      </w:r>
      <w:r>
        <w:rPr>
          <w:rtl w:val="true"/>
        </w:rPr>
        <w:t xml:space="preserve">: </w:t>
      </w:r>
      <w:r>
        <w:rPr>
          <w:rtl w:val="true"/>
        </w:rPr>
        <w:t>لو كان الشي‌ء مسبوقا بيد المسلم و لو كان الآن بيد الكافر</w:t>
      </w:r>
      <w:bookmarkEnd w:id="264"/>
    </w:p>
    <w:p>
      <w:pPr>
        <w:pStyle w:val="BookText"/>
        <w:rPr/>
      </w:pPr>
      <w:r>
        <w:rPr>
          <w:rFonts w:ascii="Amiri" w:hAnsi="Amiri" w:eastAsia="Amiri" w:cs="Amiri"/>
          <w:color w:val="111111"/>
          <w:sz w:val="28"/>
          <w:sz w:val="28"/>
          <w:szCs w:val="28"/>
          <w:rtl w:val="true"/>
          <w:lang w:bidi="ar-SA"/>
        </w:rPr>
        <w:t>كما إذا اشتراه اليهودي من مسلم، فهل العبرة على اليد الفعلي و يحكم عليه بعدم التذكية، إمّا من جهة أمارية يد الكافر عليها و إمّا من جهة اقتضاء الأصل ذلك على الوجهين المتقدّمين، أو أنّ العبرة على اليد السابق و يحكم عليه بالتذكية إمّا مطلقا و لو قلنا بأمارية يد الكافر على عدم التذكية، و إمّا في خصوص ما إذا منعنا عن ذلك و قلنا بأنّ الموجود في يد الكافر بعد باق على أصالة عدم التذكية من دون أن تكون يده أمارة على العدم؟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الأقوى من هذه الوجوه هو الوسط أي كون العبرة على اليد السابقة و لا أثر لليد الفعلي للكافر أصلا، أمّا لو قلنا بعدم كون يد الكافر أمارة على العدم فواضح، فلأن المفروض ثبوت يد المسلم على هذا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أمارة على التذكية، و مجرّد انتقاله إلى يد الكافر التي ليس هي أمارة على العدم لا يوجب سلب الشي‌ء عمّا كان محكوما به من التذكية بمقتضى يد المسلم، و كذلك الحال لو قلنا بأمارية يد الكافر على عدم التذكية، بداهة أنّه بعد ما كان الشي‌ء بيد</w:t>
      </w:r>
      <w:bookmarkStart w:id="265" w:name="pg19820_206656"/>
    </w:p>
    <w:p>
      <w:pPr>
        <w:pStyle w:val="BookText"/>
        <w:rPr/>
      </w:pPr>
      <w:bookmarkEnd w:id="265"/>
      <w:r>
        <w:rPr>
          <w:rFonts w:ascii="Amiri" w:hAnsi="Amiri" w:eastAsia="Amiri" w:cs="Amiri"/>
          <w:color w:val="111111"/>
          <w:sz w:val="28"/>
          <w:sz w:val="28"/>
          <w:szCs w:val="28"/>
          <w:rtl w:val="true"/>
          <w:lang w:bidi="ar-SA"/>
        </w:rPr>
        <w:t>المسلم فقد حكم عليه بالتذكيّة، و ما هو مذكّى لا يمكن أن ينقلب إلى غير المذكّى، فلا يعامل معهما معاملة تعارض الأمارتين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المقام مثل تعارض أمارة الطهارة مع أمارة النجاسة، بداهة أن الظاهر يمكن أن ينقلب إلى النجاسة و النجس ينقلب إلى الطهارة و كذلك الملك يخرج عن الملكية، و هذا بخلاف المقام فإنّ المذكّى لا يصير غير المذكّى، فيد الكافر المسبوقة بيد المسلم ساقطة عن الأمارية و لا أثر لها، فتأمّل هذا في صورة سبق يد المسلم على يد الكافر، و أمّا في صورة العكس فقيه الكلام المتقدّم</w:t>
      </w:r>
      <w:r>
        <w:rPr>
          <w:rFonts w:eastAsia="Amiri" w:cs="Amiri" w:ascii="Amiri" w:hAnsi="Amiri"/>
          <w:color w:val="111111"/>
          <w:sz w:val="28"/>
          <w:szCs w:val="28"/>
          <w:rtl w:val="true"/>
          <w:lang w:bidi="ar-SA"/>
        </w:rPr>
        <w:t>.</w:t>
      </w:r>
    </w:p>
    <w:p>
      <w:pPr>
        <w:pStyle w:val="Heading6"/>
        <w:numPr>
          <w:ilvl w:val="5"/>
          <w:numId w:val="1"/>
        </w:numPr>
        <w:rPr/>
      </w:pPr>
      <w:bookmarkStart w:id="266" w:name="__RefHeading___Toc3360156_2314609296"/>
      <w:bookmarkStart w:id="267" w:name="_Toc105"/>
      <w:bookmarkEnd w:id="266"/>
      <w:r>
        <w:rPr>
          <w:rtl w:val="true"/>
        </w:rPr>
        <w:t>الأمر الخامس</w:t>
      </w:r>
      <w:r>
        <w:rPr>
          <w:rtl w:val="true"/>
        </w:rPr>
        <w:t xml:space="preserve">: </w:t>
      </w:r>
      <w:r>
        <w:rPr>
          <w:rtl w:val="true"/>
        </w:rPr>
        <w:t>في أنّ المنع عن الصلاة في الميتة هل يعمّ جميع أقسام الميتة</w:t>
      </w:r>
      <w:bookmarkEnd w:id="267"/>
    </w:p>
    <w:p>
      <w:pPr>
        <w:pStyle w:val="BookText"/>
        <w:rPr/>
      </w:pPr>
      <w:r>
        <w:rPr>
          <w:rFonts w:ascii="Amiri" w:hAnsi="Amiri" w:eastAsia="Amiri" w:cs="Amiri"/>
          <w:color w:val="111111"/>
          <w:sz w:val="28"/>
          <w:sz w:val="28"/>
          <w:szCs w:val="28"/>
          <w:rtl w:val="true"/>
          <w:lang w:bidi="ar-SA"/>
        </w:rPr>
        <w:t>ممّا كان لها نفس سائلة أو لم يكن، أو يختصّ بما إذا كانت لها نفس سائلة؟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المنع عن الصلاة فيها من جهة نجاستها، أو أنّ المنع عنها من جهة مانعية نفس الموت من دون دخل للنجاسة في ذلك، و إن اجتمعت الجهتان فيما كان لها نفس سائلة؟ وجهان بل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هو الأول أي مقصور بما إذا كان لها نفس سائلة، لما عرفت من أنّ أغلب أخبار الباب إنّما هي جوابا عن سؤالات خاصّة في موارد خاصّة كانت الصحابة مبتلين بها من شراء الجلود و الفراء و أمثال ذلك، و معلوم أنّ مثل هذه الأشياء لم يعهد صناعتها من الميتة التي ليس لها نفس سائلة، فلا إطلاق في الأدلّة تعمّ جميع أقسام الميتة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ورد في بعض الأخبار </w:t>
      </w:r>
      <w:r>
        <w:rPr>
          <w:rStyle w:val="FootnoteAnchor"/>
          <w:rtl w:val="true"/>
        </w:rPr>
        <w:footnoteReference w:id="358"/>
      </w:r>
      <w:r>
        <w:rPr>
          <w:rFonts w:ascii="Amiri" w:hAnsi="Amiri" w:eastAsia="Amiri" w:cs="Amiri"/>
          <w:color w:val="111111"/>
          <w:sz w:val="28"/>
          <w:sz w:val="28"/>
          <w:szCs w:val="28"/>
          <w:rtl w:val="true"/>
          <w:lang w:bidi="ar-SA"/>
        </w:rPr>
        <w:t>من المنع عن الصلاة في الميتة بقول مطلق فمنصرف أيضا إلى الميتة التي يعهد اتّخاذ اللّباس و غيره من جلودها و سائر أجزائها، و ذلك في الميتة التي تكون لها نفس سائلة من غير فرق في ذلك بين أن</w:t>
      </w:r>
    </w:p>
    <w:p>
      <w:pPr>
        <w:pStyle w:val="BookText"/>
        <w:rPr/>
      </w:pPr>
      <w:r>
        <w:rPr>
          <w:rFonts w:ascii="Amiri" w:hAnsi="Amiri" w:eastAsia="Amiri" w:cs="Amiri"/>
          <w:color w:val="111111"/>
          <w:sz w:val="28"/>
          <w:sz w:val="28"/>
          <w:szCs w:val="28"/>
          <w:rtl w:val="true"/>
          <w:lang w:bidi="ar-SA"/>
        </w:rPr>
        <w:t>نقول بشرطية التذكية أو مانعية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يتوهّم من أنّه بناء على شرطية التذكية لا بد من إحرازها من غير فرق بين ما كان له نفس سائلة و غيره، و عليه لا يجوز الصلاة في مطلق الميتة و إن لم يكن لها نفس سائلة لفقد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 إن قلنا بشرطية التذكية لكنّ شرطيّتها مقصورة في الحيوان الذي له نفس سائلة، فإنّ ما دلّ على اعتبار التذكية ليس إلّا صحيح ابن بكير </w:t>
      </w:r>
      <w:r>
        <w:rPr>
          <w:rStyle w:val="FootnoteAnchor"/>
          <w:rtl w:val="true"/>
        </w:rPr>
        <w:footnoteReference w:id="359"/>
      </w:r>
      <w:r>
        <w:rPr>
          <w:rFonts w:ascii="Amiri" w:hAnsi="Amiri" w:eastAsia="Amiri" w:cs="Amiri"/>
          <w:color w:val="111111"/>
          <w:sz w:val="28"/>
          <w:sz w:val="28"/>
          <w:szCs w:val="28"/>
          <w:rtl w:val="true"/>
          <w:lang w:bidi="ar-SA"/>
        </w:rPr>
        <w:t xml:space="preserve">و خبر ابن أبي حمزة </w:t>
      </w:r>
      <w:r>
        <w:rPr>
          <w:rStyle w:val="FootnoteAnchor"/>
          <w:rtl w:val="true"/>
        </w:rPr>
        <w:footnoteReference w:id="360"/>
      </w:r>
      <w:r>
        <w:rPr>
          <w:rFonts w:ascii="Amiri" w:hAnsi="Amiri" w:eastAsia="Amiri" w:cs="Amiri"/>
          <w:color w:val="111111"/>
          <w:sz w:val="28"/>
          <w:sz w:val="28"/>
          <w:szCs w:val="28"/>
          <w:rtl w:val="true"/>
          <w:lang w:bidi="ar-SA"/>
        </w:rPr>
        <w:t xml:space="preserve">، و في كليهما اعتبرت التذكية فيما كان له نفس سائلة، فإنّ الظاهر من قوله عليه السّلام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علمت أنّه ذكّي قد ذكّاه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التذكية معتبرة في الحيوان الذي يقبل الذبح، و الذبح لا يطلق إلّا فيما كان له نفس سائلة،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 الثاني يكون أظهر من ذلك،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لم يظهر من الأدلّة كون مطلق الموت مانعا و إن كان الميتة طاهرة لم يكن لها نفس سائلة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إن لم يكن أقوى هو الاقتصار في المانعية بالميتة النجسة، و عليه لا تكون عدم الميتة شرطا آخر في الصلاة، بل هو من صغريات اشتراط الطهارة في لباس المصلّي، فالأحكام المذكورة في ذلك الباب من جواز الصلاة في المشكوك مع عدم ثبوت حالة سابقة له تقتضي نجاسته، و من صحّة الصلاة في النجس إذا وقع ذلك جهلا مع عدم سبق العلم به و غير ذلك من الأحكام كلّها جارية في باب الميتة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شكّ في حيوان من حيث ثبوت نفس سائلة له و عدمه يجوز الصلاة في</w:t>
      </w:r>
      <w:bookmarkStart w:id="268" w:name="pg19820_206658"/>
    </w:p>
    <w:p>
      <w:pPr>
        <w:pStyle w:val="BookText"/>
        <w:rPr/>
      </w:pPr>
      <w:bookmarkEnd w:id="268"/>
      <w:r>
        <w:rPr>
          <w:rFonts w:ascii="Amiri" w:hAnsi="Amiri" w:eastAsia="Amiri" w:cs="Amiri"/>
          <w:color w:val="111111"/>
          <w:sz w:val="28"/>
          <w:sz w:val="28"/>
          <w:szCs w:val="28"/>
          <w:rtl w:val="true"/>
          <w:lang w:bidi="ar-SA"/>
        </w:rPr>
        <w:t>أجزائه، و كذا لو صلّى جهلا بكونه ميتة صحّت صلاته، فتأمّل جيّدا فإنّ ذلك لا يخلو عن إشكال، فإنّ من قال منّا بطهارة الميتة بالدبغ قال بعدم جواز الصلاة فيها، فيظهر من ذلك أنّ الموت بنفسه مانع عن الصلاة، و إن كان مانعيّته مقصورة بالميتة النجسة حسب ما استظهرناه من أدلّة الباب، إلّا أنّ ذلك لا يقتضي جريان أحكام الطهارة و النجاسة فيها أيضا</w:t>
      </w:r>
      <w:r>
        <w:rPr>
          <w:rFonts w:eastAsia="Amiri" w:cs="Amiri" w:ascii="Amiri" w:hAnsi="Amiri"/>
          <w:color w:val="111111"/>
          <w:sz w:val="28"/>
          <w:szCs w:val="28"/>
          <w:rtl w:val="true"/>
          <w:lang w:bidi="ar-SA"/>
        </w:rPr>
        <w:t>.</w:t>
      </w:r>
    </w:p>
    <w:p>
      <w:pPr>
        <w:pStyle w:val="Heading6"/>
        <w:numPr>
          <w:ilvl w:val="5"/>
          <w:numId w:val="1"/>
        </w:numPr>
        <w:rPr/>
      </w:pPr>
      <w:bookmarkStart w:id="269" w:name="__RefHeading___Toc3360158_2314609296"/>
      <w:bookmarkStart w:id="270" w:name="_Toc106"/>
      <w:bookmarkEnd w:id="269"/>
      <w:r>
        <w:rPr>
          <w:rtl w:val="true"/>
        </w:rPr>
        <w:t>الأمر السادس</w:t>
      </w:r>
      <w:r>
        <w:rPr>
          <w:rtl w:val="true"/>
        </w:rPr>
        <w:t xml:space="preserve">: </w:t>
      </w:r>
      <w:r>
        <w:rPr>
          <w:rtl w:val="true"/>
        </w:rPr>
        <w:t>في أنّه هل يشترط في أمارية يد المسلم على التذكية كونه غير مستحلّ للميتة بالدبغ، أو لا يشترط ذلك؟</w:t>
      </w:r>
      <w:bookmarkEnd w:id="270"/>
    </w:p>
    <w:p>
      <w:pPr>
        <w:pStyle w:val="BookText"/>
        <w:rPr/>
      </w:pPr>
      <w:r>
        <w:rPr>
          <w:rFonts w:ascii="Amiri" w:hAnsi="Amiri" w:eastAsia="Amiri" w:cs="Amiri"/>
          <w:color w:val="111111"/>
          <w:sz w:val="28"/>
          <w:sz w:val="28"/>
          <w:szCs w:val="28"/>
          <w:rtl w:val="true"/>
          <w:lang w:bidi="ar-SA"/>
        </w:rPr>
        <w:t>و قد اختلفت كلمات الأصحاب في ذلك فقد حكي من بعض عدم جواز الصلاة في المأخوذ من مستحل الميتة بالدبغ، بل زاد بعض المنع ممّن يتّهم بذلك سواء في ذلك أخبر و ضمن بالتذكية أو لا، و حكي من آخر المنع إلّا إذا أخبر بالتذكية أو ضمن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المشهور الذي عليه العمل هو الجواز مطلقا و لو علم بكونه ممّن يستحلّ الميتة بالدبغ فضلا عن المتّهم سواء في ذلك الضمان و الإخبار و عدمه، لإطلاق النصوص الواردة في الباب، بل قد عرفت أنّ تكثّر السؤال عنهم عليهم السّلام عن الشراء ممّا هو في السوق كان لأجل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وجود من يستحلّ الميتة بالدبغ</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في بعض الأخبار ما يقرب التصريح بذلك، و هو خبر إسماعيل بن موسى </w:t>
      </w:r>
      <w:r>
        <w:rPr>
          <w:rStyle w:val="FootnoteAnchor"/>
          <w:rtl w:val="true"/>
        </w:rPr>
        <w:footnoteReference w:id="361"/>
      </w:r>
      <w:r>
        <w:rPr>
          <w:rFonts w:ascii="Amiri" w:hAnsi="Amiri" w:eastAsia="Amiri" w:cs="Amiri"/>
          <w:color w:val="111111"/>
          <w:sz w:val="28"/>
          <w:sz w:val="28"/>
          <w:szCs w:val="28"/>
          <w:rtl w:val="true"/>
          <w:lang w:bidi="ar-SA"/>
        </w:rPr>
        <w:t>المتقدّم فإنّ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جلود الفراء يشتريها الرجل في سوق من أسواق الجبل، أ يسأل عن ذكاته إذا كان البائع مسلما غير عارف؟ فأجاب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السؤال إذا كان البائع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 معروفية استحلال الميتة بالدبغ عند العامّة يكون كالصريح في اعتبار يد المسلم و سوقه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ورد من أنّ عليّ بن الحسين كان ينزع الفرو المأخوذ من أرض العراق في وقت الصلاة، معلّلا بأنّ أهل العراق يستحلّون الميتة بالدباغ </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فيه دلالة على خلاف ما ذهب إليه المشهور و إن استدلّ به صاحب القول الأول، فإنّ نفس أخذه عليه السّلام و لبسه و إن كان في غير حال الصلاة دليل على أنّه ما كان يعامل معه معاملة الميتة، بداهة أنّه لو كان المأخوذ ممّن يستحلّ الميتة بالدبغ ممّا لا يحكم عليه بالتذكية و كان بحكم الميتة لما جاز لبسه و استعماله في حال من الأحوال، فنفس استعماله و لو في غير حال الصلاة أقوى شاهد على أنّه بحكم المذكّى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 ينافي نزعه في حال الصلاة، فإنّ ذلك كان للتنزيه و شدّة الاحتياط لإحراز الواقع الذي ينبغي البناء عليه لكلّ أحد فضلا عن المعصوم عليه السّلام، و الاحتياط في الموضوع لا ينافي مرتبة العصمة، فتأمّل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لا ينافي ما ذهب إليه المشهور خبر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بعض أصحابنا إلى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الفرو نشري من السوق؟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مضمونا فلا بأس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استدلّ به صاحب القول الثاني بناء على حمل الضمان على ضمان البائع، فيدلّ بمفهومه على عدم جواز الشراء عند عدم ضمان البائع ذكاته، فإنّ أقصى ما يفيده المفهوم هو ثبوت البأس عند عدم الضمان، و ذلك غير صريح و لا ظاهر في المنع عن الشراء، فلا يمكن أن يقاوم ما تقدّم من الأدلّة الصريحة على جواز الشراء من السوق و لو علم أنّ البائع كان ممّن يستحلّ الميتة بالدبغ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يستدلّ للتفصيل المزبور بما رواه عبد الرحمن 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أدخل سوق المسلمين أعني هذا الخلق الذين يدّعون الإسلام فأشتري منهم الفراء للتجارة فأقول لصاحبها هي ذكية فيقول بلى فهل يصلح لي أن أبيعها على أنّها ذكية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لا بأس أن تبيعها و تقول قد شرط الذي اشتريتها منه أنّها ذكية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أفسد ذلك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استحلال أهل العراق الميتة و يزعمون أنّ دباغ الجلد ذكاته </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 التعليل هو المنع عن الأخذ ممّن يستحلّ الميتة بالدبغ مطلقا حتّى مع الإخبار بالتذكية، غاية الأمر أنّ صدر الرواية دلّت بالصراحة على جواز الشراء عند الإخبار بالتذكية، و إن منع عن بيعها على أنّها ذكية، فيبقى صورة عدم الإخبار داخل في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التعليل إنّما سيق لأجل المنع عن بيعها على أنّها ذكية لا لأصل المنع عن الشراء، فليس في الرواية ما يدلّ على المنع عن الشراء عند عدم الإخبار، بل المتحصّل من الرواية هو أنّه حيث كان أهل العراق يستحلّون الميتة بالدبغ فليس للمشتري منهم أن يبيع ما اشتراه على أنّه ذكيّ، لأنّ ظاهر الاشتراط هو الإخبار عن الذكاة و أنّه عالم به مع أنّه لم يعلم به، فإنّ أخذه ممّن يستحلّ ذلك يوجب عدم العلم بالذكاة، و إخبار البائع الأول لا يوجب العلم به فليس للبائع الثاني الإخبار على سبيل الجزم بذكاته، و أين هذا من الدلالة على التفصيل المزبور؟</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لم يظهر لنا دليل يدلّ على خلاف ما ذهب إليه المشهور، و على تقدير ثبوته فهو مؤوّل أو مطروح، لعدم مقاومته لما تقدّم من الأدلّة الدالّة على اعتبار يد المسلم مطلقا و لو كان ممن يستحلّ الميتة بالدبغ، فالأقوى ما عليه المشهور</w:t>
      </w:r>
      <w:bookmarkStart w:id="271" w:name="pg19820_206661"/>
    </w:p>
    <w:p>
      <w:pPr>
        <w:pStyle w:val="Heading6"/>
        <w:numPr>
          <w:ilvl w:val="5"/>
          <w:numId w:val="1"/>
        </w:numPr>
        <w:rPr/>
      </w:pPr>
      <w:bookmarkStart w:id="272" w:name="__RefHeading___Toc3360160_2314609296"/>
      <w:bookmarkStart w:id="273" w:name="_Toc107"/>
      <w:bookmarkEnd w:id="271"/>
      <w:bookmarkEnd w:id="272"/>
      <w:r>
        <w:rPr>
          <w:rtl w:val="true"/>
        </w:rPr>
        <w:t>الأمر السابع</w:t>
      </w:r>
      <w:r>
        <w:rPr>
          <w:rtl w:val="true"/>
        </w:rPr>
        <w:t xml:space="preserve">: </w:t>
      </w:r>
      <w:r>
        <w:rPr>
          <w:rtl w:val="true"/>
        </w:rPr>
        <w:t>مقتضى إطلاق الأدلّة هو عدم جواز الصلاة في الميتة مطلقا،</w:t>
      </w:r>
      <w:bookmarkEnd w:id="273"/>
    </w:p>
    <w:p>
      <w:pPr>
        <w:pStyle w:val="BookText"/>
        <w:rPr/>
      </w:pPr>
      <w:r>
        <w:rPr>
          <w:rFonts w:ascii="Amiri" w:hAnsi="Amiri" w:eastAsia="Amiri" w:cs="Amiri"/>
          <w:color w:val="111111"/>
          <w:sz w:val="28"/>
          <w:sz w:val="28"/>
          <w:szCs w:val="28"/>
          <w:rtl w:val="true"/>
          <w:lang w:bidi="ar-SA"/>
        </w:rPr>
        <w:t>سواء كان ممّا تتمّ الصلاة فيه أولا، و سواء كان نعلا أو خفّا أو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ورد </w:t>
      </w:r>
      <w:r>
        <w:rPr>
          <w:rStyle w:val="FootnoteAnchor"/>
          <w:rtl w:val="true"/>
        </w:rPr>
        <w:footnoteReference w:id="365"/>
      </w:r>
      <w:r>
        <w:rPr>
          <w:rFonts w:ascii="Amiri" w:hAnsi="Amiri" w:eastAsia="Amiri" w:cs="Amiri"/>
          <w:color w:val="111111"/>
          <w:sz w:val="28"/>
          <w:sz w:val="28"/>
          <w:szCs w:val="28"/>
          <w:rtl w:val="true"/>
          <w:lang w:bidi="ar-SA"/>
        </w:rPr>
        <w:t xml:space="preserve">في </w:t>
      </w:r>
      <w:r>
        <w:rPr>
          <w:rStyle w:val="FootnoteAnchor"/>
          <w:rtl w:val="true"/>
        </w:rPr>
        <w:footnoteReference w:id="366"/>
      </w:r>
      <w:r>
        <w:rPr>
          <w:rFonts w:ascii="Amiri" w:hAnsi="Amiri" w:eastAsia="Amiri" w:cs="Amiri"/>
          <w:color w:val="111111"/>
          <w:sz w:val="28"/>
          <w:sz w:val="28"/>
          <w:szCs w:val="28"/>
          <w:rtl w:val="true"/>
          <w:lang w:bidi="ar-SA"/>
        </w:rPr>
        <w:t>بعض الأخبار من نفي البأس عن النعال و الخفاف إذا لم تكن من أرض المسلمين فمحمول أو مطروح، بداهة عدم مقاومته لمطلقات الباب، مع أنّه معارض لصريح بعض الأخبار الوارد في خصوص الخفاف من المنع عن الصلاة فيها إذا كانت من ميتة، و هو ما رواه الحلبي 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الخفاف عندنا في السوق فنشتريها فما ترى في الصلاة فيها؟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فيها حتّى يقال لك إنّما ميتة بعينها </w:t>
      </w:r>
      <w:r>
        <w:rPr>
          <w:rStyle w:val="FootnoteAnchor"/>
          <w:rtl w:val="true"/>
        </w:rPr>
        <w:footnoteReference w:id="367"/>
      </w:r>
      <w:r>
        <w:rPr>
          <w:rFonts w:ascii="Amiri" w:hAnsi="Amiri" w:eastAsia="Amiri" w:cs="Amiri"/>
          <w:color w:val="111111"/>
          <w:sz w:val="28"/>
          <w:sz w:val="28"/>
          <w:szCs w:val="28"/>
          <w:rtl w:val="true"/>
          <w:lang w:bidi="ar-SA"/>
        </w:rPr>
        <w:t xml:space="preserve">فاحتمال جواز الصلاة في الخفاف المصنوعة من الميتة ضعيف غايته، كضعف احتمال جواز الصلاة في خصوص النعال، لما ورد </w:t>
      </w:r>
      <w:r>
        <w:rPr>
          <w:rStyle w:val="FootnoteAnchor"/>
          <w:rtl w:val="true"/>
        </w:rPr>
        <w:footnoteReference w:id="368"/>
      </w:r>
      <w:r>
        <w:rPr>
          <w:rFonts w:ascii="Amiri" w:hAnsi="Amiri" w:eastAsia="Amiri" w:cs="Amiri"/>
          <w:color w:val="111111"/>
          <w:sz w:val="28"/>
          <w:sz w:val="28"/>
          <w:szCs w:val="28"/>
          <w:rtl w:val="true"/>
          <w:lang w:bidi="ar-SA"/>
        </w:rPr>
        <w:t>في عدّة من الأخبار من أنّ نعل موسى عليه السّلام الذي أمر بخلعه كان من جلد ميتة، فيظهر منه جواز لبس النعل من الميتة، و إذا جاز لبسه جاز الصلاة فيه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الضعف هو أنّه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جواز لبس ذلك في شريعة موسى عليه السّلام لا يثبت جوازه في شريعتنا، مع ما ورد </w:t>
      </w:r>
      <w:r>
        <w:rPr>
          <w:rStyle w:val="FootnoteAnchor"/>
          <w:rtl w:val="true"/>
        </w:rPr>
        <w:footnoteReference w:id="369"/>
      </w:r>
      <w:r>
        <w:rPr>
          <w:rFonts w:ascii="Amiri" w:hAnsi="Amiri" w:eastAsia="Amiri" w:cs="Amiri"/>
          <w:color w:val="111111"/>
          <w:sz w:val="28"/>
          <w:sz w:val="28"/>
          <w:szCs w:val="28"/>
          <w:rtl w:val="true"/>
          <w:lang w:bidi="ar-SA"/>
        </w:rPr>
        <w:t>من المنع عن استعمال الميتة بقول مطلق الشامل للنعل، بل لم يعلم جواز ذلك حتّى في شريعة موسى عليه السّلام، لأنّه كان لبسه و الأمر بخلعه قبل تلبّسه بمرتبة النبوّة على ما هو المحكي</w:t>
      </w:r>
      <w:r>
        <w:rPr>
          <w:rFonts w:eastAsia="Amiri" w:cs="Amiri" w:ascii="Amiri" w:hAnsi="Amiri"/>
          <w:color w:val="111111"/>
          <w:sz w:val="28"/>
          <w:szCs w:val="28"/>
          <w:rtl w:val="true"/>
          <w:lang w:bidi="ar-SA"/>
        </w:rPr>
        <w:t>.</w:t>
      </w:r>
      <w:bookmarkStart w:id="274" w:name="pg19820_206662"/>
    </w:p>
    <w:p>
      <w:pPr>
        <w:pStyle w:val="BookText"/>
        <w:rPr/>
      </w:pPr>
      <w:bookmarkEnd w:id="274"/>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 </w:t>
      </w:r>
      <w:r>
        <w:rPr>
          <w:rStyle w:val="FootnoteAnchor"/>
          <w:rtl w:val="true"/>
        </w:rPr>
        <w:footnoteReference w:id="370"/>
      </w:r>
      <w:r>
        <w:rPr>
          <w:rFonts w:ascii="Amiri" w:hAnsi="Amiri" w:eastAsia="Amiri" w:cs="Amiri"/>
          <w:color w:val="111111"/>
          <w:sz w:val="28"/>
          <w:sz w:val="28"/>
          <w:szCs w:val="28"/>
          <w:rtl w:val="true"/>
          <w:lang w:bidi="ar-SA"/>
        </w:rPr>
        <w:t>عن الحجّة عليه السّلام تكذيب ذلك، و أنّه لم يكن نعل موسى عليه السّلام من جلد الميتة، بل المراد من خلع النعل الذي أمر به اللّٰه تعالى هو خلع محبّة الأهل الذي كان في قلب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رفع اليد عن المطلقات بمثل هذا، فالأقوى عموم المنع حتّى من حمل أجزاء الميتة كما ربّما يشعر به رواية </w:t>
      </w:r>
      <w:r>
        <w:rPr>
          <w:rStyle w:val="FootnoteAnchor"/>
          <w:rtl w:val="true"/>
        </w:rPr>
        <w:footnoteReference w:id="371"/>
      </w:r>
      <w:r>
        <w:rPr>
          <w:rFonts w:ascii="Amiri" w:hAnsi="Amiri" w:eastAsia="Amiri" w:cs="Amiri"/>
          <w:color w:val="111111"/>
          <w:sz w:val="28"/>
          <w:sz w:val="28"/>
          <w:szCs w:val="28"/>
          <w:rtl w:val="true"/>
          <w:lang w:bidi="ar-SA"/>
        </w:rPr>
        <w:t>تقليد السيف المتقدّم، بناء على كون تقليد السيف من باب المحمول، لا من باب كونه ملبوسا و إلّا كان دالّا على عدم جواز الصلاة فيما لا تتمّ الصلاة فيه،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الأمر الأول من الأمور المعتبرة في لباس المصلّي</w:t>
      </w:r>
      <w:r>
        <w:rPr>
          <w:rFonts w:eastAsia="Amiri" w:cs="Amiri" w:ascii="Amiri" w:hAnsi="Amiri"/>
          <w:color w:val="111111"/>
          <w:sz w:val="28"/>
          <w:szCs w:val="28"/>
          <w:rtl w:val="true"/>
          <w:lang w:bidi="ar-SA"/>
        </w:rPr>
        <w:t>.</w:t>
      </w:r>
    </w:p>
    <w:p>
      <w:pPr>
        <w:pStyle w:val="Heading6"/>
        <w:numPr>
          <w:ilvl w:val="5"/>
          <w:numId w:val="1"/>
        </w:numPr>
        <w:rPr/>
      </w:pPr>
      <w:bookmarkStart w:id="275" w:name="__RefHeading___Toc3360162_2314609296"/>
      <w:bookmarkStart w:id="276" w:name="_Toc108"/>
      <w:bookmarkEnd w:id="275"/>
      <w:r>
        <w:rPr>
          <w:rtl w:val="true"/>
        </w:rPr>
        <w:t>الأمر الثاني</w:t>
      </w:r>
      <w:r>
        <w:rPr>
          <w:rtl w:val="true"/>
        </w:rPr>
        <w:t xml:space="preserve">: </w:t>
      </w:r>
      <w:r>
        <w:rPr>
          <w:rtl w:val="true"/>
        </w:rPr>
        <w:t>أن لا يكون من أجزاء غير مأكول اللّحم و إن ذكّي و كان قابلا للتذكية</w:t>
      </w:r>
      <w:bookmarkEnd w:id="276"/>
    </w:p>
    <w:p>
      <w:pPr>
        <w:pStyle w:val="Heading6"/>
        <w:numPr>
          <w:ilvl w:val="5"/>
          <w:numId w:val="1"/>
        </w:numPr>
        <w:rPr/>
      </w:pPr>
      <w:bookmarkStart w:id="277" w:name="__RefHeading___Toc3360164_2314609296"/>
      <w:bookmarkStart w:id="278" w:name="_Toc109"/>
      <w:bookmarkEnd w:id="277"/>
      <w:r>
        <w:rPr>
          <w:rtl w:val="true"/>
        </w:rPr>
        <w:t>اشارة</w:t>
      </w:r>
      <w:bookmarkEnd w:id="278"/>
    </w:p>
    <w:p>
      <w:pPr>
        <w:pStyle w:val="BookText"/>
        <w:rPr/>
      </w:pPr>
      <w:r>
        <w:rPr>
          <w:rFonts w:ascii="Amiri" w:hAnsi="Amiri" w:eastAsia="Amiri" w:cs="Amiri"/>
          <w:color w:val="111111"/>
          <w:sz w:val="28"/>
          <w:sz w:val="28"/>
          <w:szCs w:val="28"/>
          <w:rtl w:val="true"/>
          <w:lang w:bidi="ar-SA"/>
        </w:rPr>
        <w:t>، فإنّ التذكية فيما كان قابلا لها إنّما توجب جواز سائر الاستعمالات ما عدا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لسنا الآن في بيان ما يقبل التذكية من الحيوانات فإنّ لبيان ذلك مقاما آخر، و إن كان الأقوى قبول كلّ حيوان مأكول و غير مأكول للتذكية حتّى المسوخات، لما حكاه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ورود بعض الأدلّة على قبول بعض المسوخات للتذكية، و إذا ثبت في البعض ثبت في الكلّ لعدم القول بالفصل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ربّما يستفاد قابلية كلّ حيوان للتذكية من قوله عليه السّلام في ذيل صحيح ابن بكير </w:t>
      </w:r>
      <w:r>
        <w:rPr>
          <w:rStyle w:val="FootnoteAnchor"/>
          <w:rtl w:val="true"/>
        </w:rPr>
        <w:footnoteReference w:id="372"/>
      </w:r>
      <w:r>
        <w:rPr>
          <w:rFonts w:ascii="Amiri" w:hAnsi="Amiri" w:eastAsia="Amiri" w:cs="Amiri"/>
          <w:color w:val="111111"/>
          <w:sz w:val="28"/>
          <w:sz w:val="28"/>
          <w:szCs w:val="28"/>
          <w:rtl w:val="true"/>
          <w:lang w:bidi="ar-SA"/>
        </w:rPr>
        <w:t xml:space="preserve">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ذكّاه الذابح أو لم يذكّه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بداهة ظهوره في أنّ التذكية</w:t>
      </w:r>
      <w:bookmarkStart w:id="279" w:name="pg19820_206663"/>
    </w:p>
    <w:p>
      <w:pPr>
        <w:pStyle w:val="BookText"/>
        <w:rPr/>
      </w:pPr>
      <w:bookmarkEnd w:id="279"/>
      <w:r>
        <w:rPr>
          <w:rFonts w:ascii="Amiri" w:hAnsi="Amiri" w:eastAsia="Amiri" w:cs="Amiri"/>
          <w:color w:val="111111"/>
          <w:sz w:val="28"/>
          <w:sz w:val="28"/>
          <w:szCs w:val="28"/>
          <w:rtl w:val="true"/>
          <w:lang w:bidi="ar-SA"/>
        </w:rPr>
        <w:t>هي عبارة عن نفس الذبح و كلّ حيوان قابل للذبح، فيستفاد من ذلك كبرى كليّة و هي قابلية كلّ حيوان للتذكية إلّا ما خرج كالحشرات،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المهمّ في المقام هو البحث عن مانعية غير المأكول للصلاة</w:t>
      </w:r>
      <w:r>
        <w:rPr>
          <w:rFonts w:eastAsia="Amiri" w:cs="Amiri" w:ascii="Amiri" w:hAnsi="Amiri"/>
          <w:color w:val="111111"/>
          <w:sz w:val="28"/>
          <w:szCs w:val="28"/>
          <w:rtl w:val="true"/>
          <w:lang w:bidi="ar-SA"/>
        </w:rPr>
        <w:t>.</w:t>
      </w:r>
    </w:p>
    <w:p>
      <w:pPr>
        <w:pStyle w:val="Heading6"/>
        <w:numPr>
          <w:ilvl w:val="5"/>
          <w:numId w:val="1"/>
        </w:numPr>
        <w:rPr/>
      </w:pPr>
      <w:bookmarkStart w:id="280" w:name="__RefHeading___Toc3360166_2314609296"/>
      <w:bookmarkStart w:id="281" w:name="_Toc110"/>
      <w:bookmarkEnd w:id="280"/>
      <w:r>
        <w:rPr>
          <w:rtl w:val="true"/>
        </w:rPr>
        <w:t>و تنقيح البحث عن ذلك يستدعي رسم أمور</w:t>
      </w:r>
      <w:r>
        <w:rPr>
          <w:rtl w:val="true"/>
        </w:rPr>
        <w:t>:</w:t>
      </w:r>
      <w:bookmarkEnd w:id="281"/>
    </w:p>
    <w:p>
      <w:pPr>
        <w:pStyle w:val="Heading6"/>
        <w:numPr>
          <w:ilvl w:val="5"/>
          <w:numId w:val="1"/>
        </w:numPr>
        <w:rPr/>
      </w:pPr>
      <w:bookmarkStart w:id="282" w:name="__RefHeading___Toc3360168_2314609296"/>
      <w:bookmarkStart w:id="283" w:name="_Toc111"/>
      <w:bookmarkEnd w:id="282"/>
      <w:r>
        <w:rPr>
          <w:rtl w:val="true"/>
        </w:rPr>
        <w:t>الأول</w:t>
      </w:r>
      <w:r>
        <w:rPr>
          <w:rtl w:val="true"/>
        </w:rPr>
        <w:t xml:space="preserve">: </w:t>
      </w:r>
      <w:r>
        <w:rPr>
          <w:rtl w:val="true"/>
        </w:rPr>
        <w:t>لا إشكال و لا خلاف في مانعية غير المأكول للصلاة</w:t>
      </w:r>
      <w:bookmarkEnd w:id="283"/>
    </w:p>
    <w:p>
      <w:pPr>
        <w:pStyle w:val="BookText"/>
        <w:rPr/>
      </w:pPr>
      <w:r>
        <w:rPr>
          <w:rFonts w:ascii="Amiri" w:hAnsi="Amiri" w:eastAsia="Amiri" w:cs="Amiri"/>
          <w:color w:val="111111"/>
          <w:sz w:val="28"/>
          <w:sz w:val="28"/>
          <w:szCs w:val="28"/>
          <w:rtl w:val="true"/>
          <w:lang w:bidi="ar-SA"/>
        </w:rPr>
        <w:t>و فسادها إذا وقعت فيه، و هذا في الجملة ما قد تواترت به النصوص، إنّما الكلام في أنّ ذلك على نحو الكبرى الكلّية و أن كلّ غير مأكول لا تجوز الصلاة فيه عدا ما استثنى من الخز و السنجاب، أو ليس ذلك على نحو الكبرى الكلّية بل المانعية مقصورة بما يأكل اللّحم ممّا له ناب و مخلب؟</w:t>
      </w:r>
    </w:p>
    <w:p>
      <w:pPr>
        <w:pStyle w:val="BookText"/>
        <w:rPr/>
      </w:pPr>
      <w:r>
        <w:rPr>
          <w:rFonts w:ascii="Amiri" w:hAnsi="Amiri" w:eastAsia="Amiri" w:cs="Amiri"/>
          <w:color w:val="111111"/>
          <w:sz w:val="28"/>
          <w:sz w:val="28"/>
          <w:szCs w:val="28"/>
          <w:rtl w:val="true"/>
          <w:lang w:bidi="ar-SA"/>
        </w:rPr>
        <w:t>و لا بدّ أولا من ذكر بعض ما ورد في الباب من الأدلّة، ثم نعقبه بما هو المستفاد منها فنقول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أبي عمير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زرارة أبا عبد اللّٰه عليه السّلام عن الصلاة في الثعالب و الفنك و السنجاب و غيره من الوبر، فأخرج كتابا زعم أنّه إملاء رسول اللّٰه صلّى اللّٰه عليه و آله أنّ الصلاة في وبر كلّ شي‌ء حرام أكله فالصلاة في وبره و شعره و جلده و بوله و روثه و كلّ شي‌ء منه فاسد لا تقبل تلك الصلاة حتّى يصلّي في غيره ممّا أحلّ اللّٰه أكله،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هذا عن رسول اللّٰه صلّى اللّٰه عليه و آله فاحفظ ذلك يا زرارة، فإن كان ممّا يؤكل لحمه فالصلاة في وبره و بوله و شعره و روثه و ألبانه و كلّ شي‌ء منه جائز إذا علمت أنّه ذكّي و قد ذكّاه الذبح، و إن كان غير ذلك ممّا قد نهيت عن أكله و حرم عليك</w:t>
      </w:r>
    </w:p>
    <w:p>
      <w:pPr>
        <w:pStyle w:val="BookText"/>
        <w:rPr/>
      </w:pPr>
      <w:r>
        <w:rPr>
          <w:rFonts w:ascii="Amiri" w:hAnsi="Amiri" w:eastAsia="Amiri" w:cs="Amiri"/>
          <w:color w:val="111111"/>
          <w:sz w:val="28"/>
          <w:sz w:val="28"/>
          <w:szCs w:val="28"/>
          <w:rtl w:val="true"/>
          <w:lang w:bidi="ar-SA"/>
        </w:rPr>
        <w:t xml:space="preserve">أكله فالصلاة في كلّ شي‌ء منه فاسد ذكّاه الذبح أو لم يذكّه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جعفر بن محمّد عن آبائه في وصية النبي صلّى اللّٰه عليه و آله لعليّ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لا تصلّ في جلد ما لا يشرب لبنه و لا يؤكل لحمه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و أبا الحسن عليه السّلام عن لباس الفراء و الصلاة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فيها إلّا ما كان منه ذكيا،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الذكيّ ممّا ذكّي بالحديد؟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375"/>
      </w:r>
      <w:r>
        <w:rPr>
          <w:rFonts w:ascii="Amiri" w:hAnsi="Amiri" w:eastAsia="Amiri" w:cs="Amiri"/>
          <w:color w:val="111111"/>
          <w:sz w:val="28"/>
          <w:sz w:val="28"/>
          <w:szCs w:val="28"/>
          <w:rtl w:val="true"/>
          <w:lang w:bidi="ar-SA"/>
        </w:rPr>
        <w:t>إذا كان ممّا يؤكل لحمه،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 يؤكل لحمه من غير الغنم؟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بالسنجاب فإنّه دابّة لا تأكل اللّحم، و ليس هو ممّا نهى عنه رسول اللّٰه صلّى اللّٰه عليه و آله، إذ نهى عن كلّ ذي ناب و مخلب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محمّد بن إسماعيل بإسناده يرفعه إلى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تجوز الصلاة في شعر و وبر ما لا يؤكل لحمه، لأنّ أكثرها مسوخ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الباب روايات أخر صريحة الدلالة في المنع عن الصلاة فيما لا يؤكل لحمه إلّا أنّها واردة في موارد خاصّة كالثعلب و الأرنب و السمور و أمثال ذلك، و فيما ذكرناه غنى و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ذلك فيقع الكلام حينئذ فيما هو المستفاد منها، فنقول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مقتضى رواية ابن بكير </w:t>
      </w:r>
      <w:r>
        <w:rPr>
          <w:rStyle w:val="FootnoteAnchor"/>
          <w:rtl w:val="true"/>
        </w:rPr>
        <w:footnoteReference w:id="378"/>
      </w:r>
      <w:r>
        <w:rPr>
          <w:rFonts w:ascii="Amiri" w:hAnsi="Amiri" w:eastAsia="Amiri" w:cs="Amiri"/>
          <w:color w:val="111111"/>
          <w:sz w:val="28"/>
          <w:sz w:val="28"/>
          <w:szCs w:val="28"/>
          <w:rtl w:val="true"/>
          <w:lang w:bidi="ar-SA"/>
        </w:rPr>
        <w:t>هو عموم المنع عن كلّ ما لا يؤكل لحمه، و يستفاد</w:t>
      </w:r>
    </w:p>
    <w:p>
      <w:pPr>
        <w:pStyle w:val="BookText"/>
        <w:rPr/>
      </w:pPr>
      <w:r>
        <w:rPr>
          <w:rFonts w:ascii="Amiri" w:hAnsi="Amiri" w:eastAsia="Amiri" w:cs="Amiri"/>
          <w:color w:val="111111"/>
          <w:sz w:val="28"/>
          <w:sz w:val="28"/>
          <w:szCs w:val="28"/>
          <w:rtl w:val="true"/>
          <w:lang w:bidi="ar-SA"/>
        </w:rPr>
        <w:t xml:space="preserve">منها الملازمة بين غير المأكول و فساد الصلاة، كما أنّه يستفاد منها الملازمة بين المأكول و الصحّة، فهذه الرواية بنفسها تدلّ على كبرى كلّية، و هي صحيحة السند و معمول بها عند الأصحاب، و إن كان ابن أبي بكير في نفسه ملعونا، كما يظهر من سوء تعبيره في الرواية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أنّه إملاء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ما ذكر في حالاته من الذمّ، و على أيّ حال كونه مذموما في نفسه لا يضرّ بصحّة روايته، فلا إشكال من هذه الجهة، كما لا إشكال في دلالتها على الكبرى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مقتضى التعليل في ذيل رواية ابن أبي حمزة </w:t>
      </w:r>
      <w:r>
        <w:rPr>
          <w:rStyle w:val="FootnoteAnchor"/>
          <w:rtl w:val="true"/>
        </w:rPr>
        <w:footnoteReference w:id="379"/>
      </w:r>
      <w:r>
        <w:rPr>
          <w:rFonts w:ascii="Amiri" w:hAnsi="Amiri" w:eastAsia="Amiri" w:cs="Amiri"/>
          <w:color w:val="111111"/>
          <w:sz w:val="28"/>
          <w:sz w:val="28"/>
          <w:szCs w:val="28"/>
          <w:rtl w:val="true"/>
          <w:lang w:bidi="ar-SA"/>
        </w:rPr>
        <w:t>هو عدم المنع في خصوص ما إذا لم يكن آكل اللّحم و لم يكن له ناب و مخلب، فمقتضى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في المقام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تخصيص الكبرى الكلّية المستفاد من رواية ابن بكير بما في ذيل رواية ابن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مقتضى التعليل الوارد في ذيل رواية محمّد بن إسماعيل </w:t>
      </w:r>
      <w:r>
        <w:rPr>
          <w:rStyle w:val="FootnoteAnchor"/>
          <w:rtl w:val="true"/>
        </w:rPr>
        <w:footnoteReference w:id="380"/>
      </w:r>
      <w:r>
        <w:rPr>
          <w:rFonts w:ascii="Amiri" w:hAnsi="Amiri" w:eastAsia="Amiri" w:cs="Amiri"/>
          <w:color w:val="111111"/>
          <w:sz w:val="28"/>
          <w:sz w:val="28"/>
          <w:szCs w:val="28"/>
          <w:rtl w:val="true"/>
          <w:lang w:bidi="ar-SA"/>
        </w:rPr>
        <w:t xml:space="preserve">و هو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أكثرها مسوخ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عموم المنع أيضا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و تقريبه هو أنّ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يأكل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اشتمل على عقد إيجابي و هو جواز الصلاة فيما لا يأكل اللّحم، و عقد سلبي و هو عدم جواز الصلاة فيما يأكل اللّحم، و النسبة إنّما تلاحظ بين كلا العقدين من الإيجابي و السلبي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أكثرها مسوخ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يكون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أكثرها مسوخ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 مطلقا من التعليل الآخر، لأنّ العقد الإيجابي و السلبي يعم جميع أصناف الحيوانات، بداهة أنّه كلّ حيوان في الدنيا إمّا أن يكون آكل اللّحم و إمّا أن لا يكون، فكلّ حيوان لا بدّ و أن يكون داخلا في أحد العقدين، و هذا بخلاف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أكثرها مسوخ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مختصّ بصنف خاصّ من الحيوان و هو ما كان مسوخا، و حينئذ يكون دلالة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أكثرها مسوخ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مانعية الحيوان المسوخ و إن لم يكن أكل اللّحم أظهر لأخصّيته، و يخرج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يأكل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تقدير كون النسبة بين التعليلين بالعموم من الوجه لا بدّ أيضا من أنّه بكلا العلّتين، و ذلك لأنّه لو قصرنا المانعية بخصوص آكل اللّحم و ما كان له ناب أو مخلب يلزم أن يبقى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أكثرها مسوخ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مورد، و ذلك لأنّ المسوخ إما آكل اللّحم و إما غير آكل، فإن كان آكل اللّحم فمانعيته عن الصلاة انما يكون من جهة آكليته للحم، بمقتضى مفهوم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يأكل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جهة مسوخيته، إذ المسوخية مع كونه آكل اللّحم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لها، و إذا خرج هذا القسم من المسوخ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أكثرها مسوخ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له إلّا مورد واحد و هو المسوخ الغير الآكل، فلو خصّ المانعية بخصوص الآكل يخرج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أكثرها مسوخ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العلّية و يبقى بلا مورد و هذا ممّا لا يجوز، لأنّ كلّ عامّ بالنسبة إلى بعض موارده نص في الجملة،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كلّه على تقدير اشتمال الرواية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بناء على ما في بعض نسخ الصحاح من سقوط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التعليل حينئذ أجنبيا عن المقام كما لا يخفى وجهه على المتأمّل، فتأمّل جيّدا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فالحري هو ملاحظة النسبة</w:t>
      </w:r>
    </w:p>
    <w:p>
      <w:pPr>
        <w:pStyle w:val="BookText"/>
        <w:rPr/>
      </w:pPr>
      <w:r>
        <w:rPr>
          <w:rFonts w:ascii="Amiri" w:hAnsi="Amiri" w:eastAsia="Amiri" w:cs="Amiri"/>
          <w:color w:val="111111"/>
          <w:sz w:val="28"/>
          <w:sz w:val="28"/>
          <w:szCs w:val="28"/>
          <w:rtl w:val="true"/>
          <w:lang w:bidi="ar-SA"/>
        </w:rPr>
        <w:t>بين التعليلين و ما يستفاد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تكون النسبة بينهما هي العموم من وجه، فإنّ مقتضى التعليل في رواية ابن أبي حمزة </w:t>
      </w:r>
      <w:r>
        <w:rPr>
          <w:rStyle w:val="FootnoteAnchor"/>
          <w:rtl w:val="true"/>
        </w:rPr>
        <w:footnoteReference w:id="382"/>
      </w:r>
      <w:r>
        <w:rPr>
          <w:rFonts w:ascii="Amiri" w:hAnsi="Amiri" w:eastAsia="Amiri" w:cs="Amiri"/>
          <w:color w:val="111111"/>
          <w:sz w:val="28"/>
          <w:sz w:val="28"/>
          <w:szCs w:val="28"/>
          <w:rtl w:val="true"/>
          <w:lang w:bidi="ar-SA"/>
        </w:rPr>
        <w:t xml:space="preserve">هو علّية عدم آكل اللّحم و لم يكن له ناب و مخلب للجواز سواء كان من المسوخ أو لم يكن، و مقتضى التعليل في رواية محمّد بن إسماعيل </w:t>
      </w:r>
      <w:r>
        <w:rPr>
          <w:rStyle w:val="FootnoteAnchor"/>
          <w:rtl w:val="true"/>
        </w:rPr>
        <w:footnoteReference w:id="383"/>
      </w:r>
      <w:r>
        <w:rPr>
          <w:rFonts w:ascii="Amiri" w:hAnsi="Amiri" w:eastAsia="Amiri" w:cs="Amiri"/>
          <w:color w:val="111111"/>
          <w:sz w:val="28"/>
          <w:sz w:val="28"/>
          <w:szCs w:val="28"/>
          <w:rtl w:val="true"/>
          <w:lang w:bidi="ar-SA"/>
        </w:rPr>
        <w:t>هي علّية المسوخ سواء كان ذي ناب و مخلب أو لم يكن، فيقع التعارض بينهما في المسوخ الذي لم يكن له ناب و مخلب، فإنّ مقتضى التعليل في رواية ابن أبي حمزة هو جواز الصلاة فيه، و مقتضى التعليل في رواية محمّد بن إسماعيل هو عدم جواز الصلاة فيه، هذا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من المعلوم أنّ دلالة ذيل رواية ابن أبي حمزة على انحصار علّة المنع في آكل اللّحم ممّا كان له ناب و مخلب إنّما هو بالإطلاق، إذ ليست العلّية بنفسها موضوعة للعلّة المنحصرة، بل الانحصار إنّما يستفاد من الإطلاق و عدم ذكر علّة أخرى، و هذا بخلاف دلالة ذيل رواية محمّد بن إسماعيل، فإنّها تدلّ على علّية</w:t>
      </w:r>
      <w:bookmarkStart w:id="284" w:name="pg19820_206667"/>
    </w:p>
    <w:p>
      <w:pPr>
        <w:pStyle w:val="BookText"/>
        <w:rPr/>
      </w:pPr>
      <w:bookmarkEnd w:id="284"/>
      <w:r>
        <w:rPr>
          <w:rFonts w:ascii="Amiri" w:hAnsi="Amiri" w:eastAsia="Amiri" w:cs="Amiri"/>
          <w:color w:val="111111"/>
          <w:sz w:val="28"/>
          <w:sz w:val="28"/>
          <w:szCs w:val="28"/>
          <w:rtl w:val="true"/>
          <w:lang w:bidi="ar-SA"/>
        </w:rPr>
        <w:t>المسوخية بالنصوصية، فلا بدّ من رفع اليد عن إطلاق ما في رواية ابن أبي حمزة و عدم دلالته على الانحصار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فيتحصّل من مجموع الذيلين علّية كلّ من المسوخية و كون الحيوان ذي ناب و مخلب للمنع و عدم جواز الصلاة في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ثبت المنع عن المسوخ و إن لم يكن ذي ناب و مخلب فيثبت في غير المسوخ أيضا ممّا حرم أكله، لأنّ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أكثرها مسوخ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لعموم المنع، و أنّ المنع عن غير المأكول بجميع أقسامه إنّما هو من جهة أكثرية المسوخ فيها، فمقتضى هذا التعليل هو عموم المنع لكلّ ما لا يؤكل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الظاهر أن يكون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أكثرها مسوخ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للتشريع لا علّة للحكم، و من المعلوم أنّ الحكم في باب علل التشريع لا يدور مدارها بل يطّرد و لو في غير موردها، و عليه يرتفع التعارض بين العلّتين أيضا، فإنّ التعليل في ذيل رواية ابن أبي حمزة </w:t>
      </w:r>
      <w:r>
        <w:rPr>
          <w:rStyle w:val="FootnoteAnchor"/>
          <w:rtl w:val="true"/>
        </w:rPr>
        <w:footnoteReference w:id="384"/>
      </w:r>
      <w:r>
        <w:rPr>
          <w:rFonts w:ascii="Amiri" w:hAnsi="Amiri" w:eastAsia="Amiri" w:cs="Amiri"/>
          <w:color w:val="111111"/>
          <w:sz w:val="28"/>
          <w:sz w:val="28"/>
          <w:szCs w:val="28"/>
          <w:rtl w:val="true"/>
          <w:lang w:bidi="ar-SA"/>
        </w:rPr>
        <w:t xml:space="preserve">إنّما يكون علّة للحكم، و في ذيل رواية محمّد بن إسماعيل </w:t>
      </w:r>
      <w:r>
        <w:rPr>
          <w:rStyle w:val="FootnoteAnchor"/>
          <w:rtl w:val="true"/>
        </w:rPr>
        <w:footnoteReference w:id="385"/>
      </w:r>
      <w:r>
        <w:rPr>
          <w:rFonts w:ascii="Amiri" w:hAnsi="Amiri" w:eastAsia="Amiri" w:cs="Amiri"/>
          <w:color w:val="111111"/>
          <w:sz w:val="28"/>
          <w:sz w:val="28"/>
          <w:szCs w:val="28"/>
          <w:rtl w:val="true"/>
          <w:lang w:bidi="ar-SA"/>
        </w:rPr>
        <w:t>إنّما يكون علّة للتشريع</w:t>
      </w:r>
      <w:r>
        <w:rPr>
          <w:rFonts w:eastAsia="Amiri" w:cs="Amiri" w:ascii="Amiri" w:hAnsi="Amiri"/>
          <w:color w:val="111111"/>
          <w:sz w:val="28"/>
          <w:szCs w:val="28"/>
          <w:rtl w:val="true"/>
          <w:lang w:bidi="ar-SA"/>
        </w:rPr>
        <w:t>.</w:t>
      </w:r>
    </w:p>
    <w:p>
      <w:pPr>
        <w:pStyle w:val="Heading6"/>
        <w:numPr>
          <w:ilvl w:val="5"/>
          <w:numId w:val="1"/>
        </w:numPr>
        <w:rPr/>
      </w:pPr>
      <w:bookmarkStart w:id="285" w:name="__RefHeading___Toc3360170_2314609296"/>
      <w:bookmarkStart w:id="286" w:name="_Toc112"/>
      <w:bookmarkEnd w:id="285"/>
      <w:r>
        <w:rPr>
          <w:rtl w:val="true"/>
        </w:rPr>
        <w:t>الأمر الثاني</w:t>
      </w:r>
      <w:r>
        <w:rPr>
          <w:rtl w:val="true"/>
        </w:rPr>
        <w:t>:</w:t>
      </w:r>
      <w:bookmarkEnd w:id="28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ما ثبت عموم المنع عن كلّ حيوان غير مأكول اللّحم سواء في ذلك السباع و غيره، فهل يختصّ المنع بخصوص ما إذا كان له نفس سائلة كما استظهرنا ذلك في مانعية الميتة، أو يعمّ المنع لكلّ حيوان و إن لم يكن له نفس سائلة؟ مقتضى إطلاقات أدلّة الباب هو عموم المنع لكلّ 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يقاس المقام بما تقدّم في الميتة، فإنّ في باب الميتة حيث إنّ ما دلّ على المنع عنها إنّما كان غالبا جوابا عمّا فرضه السائل من الجلود و الفراء و غيره، و لم يعهد أخذ مثل ذلك ممّا لا نفس له، فكان المنع عنها منصرفا إلى ذلك، لأنّ نجاسة الميتة هي التي كانت مرتكزة في الأذهان، و ذلك هو الذي أوجب السؤال عن المشكوك أخذه من الميتة، فالمنع عن الميتة مقصور بالميتة النجسة و هي التي تكون لها نفس سائلة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بخلاف المقام فإنّ قوله عليه السّلام في صحيح ابن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الصلاة في وبر كلّ شي‌ء حرام أكله </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يشمل كلّ حيوان محرّم الأكل و إن لم يكن له نفس سائلة، و كذلك قوله صلّى اللّٰه عليه و آله لعليّ في 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جلد ما لا يشرب لبنه و لا يؤكل لحمه</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يعمّ كلّ 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انصراف ذلك إلى خصوص ما كان له نفس سائلة ممّا لا شاهد عليها، خصوصا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حرام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الصحيحة، فإنّ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للعموم فيعمّ جميع أصناف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إن كان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للجميع إلّا أنّ قوله عليه السّلام في ذيل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ذكّاه الذابح أو لم يذكّه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تخصيص ذلك العموم بما إذا كان تذكيته بالذبح، و ذلك مقصور بما إذا كان للحيوان نفس سائلة، بداهة أنّ تذكية ما لا نفس له ليس بالذبح</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 يصلح للتخصيص، فإنّ المقسم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ذكّاه الذابح أو لم يذكّه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الحيوان القابل للتذكية بالذبح و عدمه، فما لا نفس له</w:t>
      </w:r>
    </w:p>
    <w:p>
      <w:pPr>
        <w:pStyle w:val="BookText"/>
        <w:rPr/>
      </w:pPr>
      <w:r>
        <w:rPr>
          <w:rFonts w:ascii="Amiri" w:hAnsi="Amiri" w:eastAsia="Amiri" w:cs="Amiri"/>
          <w:color w:val="111111"/>
          <w:sz w:val="28"/>
          <w:sz w:val="28"/>
          <w:szCs w:val="28"/>
          <w:rtl w:val="true"/>
          <w:lang w:bidi="ar-SA"/>
        </w:rPr>
        <w:t xml:space="preserve">خارج عن المقسم و غير متعرّض له في هذا التقسيم، إلّا أنّ ذلك لا يوجب خروجه عن عموم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شي‌ء حرام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الذبح في الرواية إنّما يكون كناية عن مطلق ما يتحقّق به التذكية لا خصوص فري الأوداج، و إنّما كان التعبير بالذبح لأنّ غالب ما يتحقّق به التذكية هو الذبح، و حينئذ يصير المعنى أنّ كلّ ما حرم أكله فالصلاة فيه فاسدة سواء ذكّي بما يذكّى به أو لم يذكّ و حينئذ يعمّ ما لا نفس له لأنّ ما لا نفس له له تذكية، غايته أنّ تذكيته ليس بالذبح بل بالخروج من الماء مثلا كما في 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العموم هو عموم المنع لكلّ 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بل يدلّ عليه استثناء خصوص الخزّ مع كونه ممّا لا نفس له، بناء على ما ذكره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الحيوانات البحرية كلّها ممّا لا نفس لها إلّا التمساح، و حينئذ يكون استثناء الخزّ مع كونه بحريّا لا نفس له دليلا على عموم المنع لكلّ حيوان،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يعمّ ما كان غير قابل للأكل لعدم لحم فيه كالقمل و البراغيث و الزنبور و أمثال ذلك، فإنّ الموضوع في غالب الأدلّة هو ما لا يؤكل لحمه، فما لا لحم له خارج عنها، و ما في بعض الأدلّة من التعبير بحرمة الأكل كما في صحيح ابن بكير </w:t>
      </w:r>
      <w:r>
        <w:rPr>
          <w:rStyle w:val="FootnoteAnchor"/>
          <w:rtl w:val="true"/>
        </w:rPr>
        <w:footnoteReference w:id="388"/>
      </w:r>
      <w:r>
        <w:rPr>
          <w:rFonts w:ascii="Amiri" w:hAnsi="Amiri" w:eastAsia="Amiri" w:cs="Amiri"/>
          <w:color w:val="111111"/>
          <w:sz w:val="28"/>
          <w:sz w:val="28"/>
          <w:szCs w:val="28"/>
          <w:rtl w:val="true"/>
          <w:lang w:bidi="ar-SA"/>
        </w:rPr>
        <w:t>فالمراد منه أيضا ما حرم أكل لحمه لانصرافه إلى ذلك، بل ربّما يستدلّ على الجواز بالسيرة القطعية و غير ذلك كما لا يخفى على المتتبّع، فالظاهر خروج ما لا لحم له عن عنوان الأدلّة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الظاهر خروج الإنسان عنه أيضا لانصرافه إلى غير الإنسان، فلا بأس بالصلاة مصاحبا لشعر الإنسان و ريقه، و يدلّ على ذلك ما في الصحيح كتبت إلى</w:t>
      </w:r>
    </w:p>
    <w:p>
      <w:pPr>
        <w:pStyle w:val="BookText"/>
        <w:rPr/>
      </w:pPr>
      <w:r>
        <w:rPr>
          <w:rFonts w:ascii="Amiri" w:hAnsi="Amiri" w:eastAsia="Amiri" w:cs="Amiri"/>
          <w:color w:val="111111"/>
          <w:sz w:val="28"/>
          <w:sz w:val="28"/>
          <w:szCs w:val="28"/>
          <w:rtl w:val="true"/>
          <w:lang w:bidi="ar-SA"/>
        </w:rPr>
        <w:t xml:space="preserve">أبي الحسن عليه السّلام هل يجوز الصلاة في ثوب يكون فيه شعر من شعر الإنسان و أظفاره من قبل أن ينفضه و يلقيه عنه؟ فوقّع بالجواز </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يدلّ على ذلك ما ورد من جواز وصل المرأة شعر غيرها بشعرها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أنّ الإنسان خارج عن عنوان الأدلّة، و عليه لو فرض نسج ثوب من شعر الإنسان فلا بأس بلبسه و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عموم المنع لما كان محرّم الأكل بالعارض كالموطوء و الجلال يأتي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الحيوان الذي يتّخذ منه اللّباس و غيره، و قد عرفت مقدار المانعية من حيث عموم الحكم لكلّ حيوان محرّم الأكل و عدم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مقدار المانعية من حيث ما يتّخذ من الحيوان من اللّباس و غيره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عموم المنع لكلّ لباس تتمّ الصلاة فيه سواء كان ساترا أو لم يكن، فلو كانت جبّته الملبوسة فوق الساتر متّخذة من غير المأكول فالصلاة فيها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في عموم الحكم لكلّ ما تتمّ الصلاة فيه، إنّما الكلام في عموم الحكم لما لا تتمّ الصلاة فيه كالتكّة و الجورب و القلنسوة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صحيحة ابن بكير </w:t>
      </w:r>
      <w:r>
        <w:rPr>
          <w:rStyle w:val="FootnoteAnchor"/>
          <w:rtl w:val="true"/>
        </w:rPr>
        <w:footnoteReference w:id="390"/>
      </w:r>
      <w:r>
        <w:rPr>
          <w:rFonts w:ascii="Amiri" w:hAnsi="Amiri" w:eastAsia="Amiri" w:cs="Amiri"/>
          <w:color w:val="111111"/>
          <w:sz w:val="28"/>
          <w:sz w:val="28"/>
          <w:szCs w:val="28"/>
          <w:rtl w:val="true"/>
          <w:lang w:bidi="ar-SA"/>
        </w:rPr>
        <w:t xml:space="preserve">هو عموم المنع لذلك أيضا، فإنّ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شي‌ء حرام أكله فالصلاة في وبره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بإطلاقه شامل لما لا تتمّ الصلاة فيه بعد صدق كونه صلّى فيه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ما ورد في خصوص الجورب و التكّة من المنع إذا كانت من وبر</w:t>
      </w:r>
    </w:p>
    <w:p>
      <w:pPr>
        <w:pStyle w:val="BookText"/>
        <w:rPr/>
      </w:pPr>
      <w:r>
        <w:rPr>
          <w:rFonts w:ascii="Amiri" w:hAnsi="Amiri" w:eastAsia="Amiri" w:cs="Amiri"/>
          <w:color w:val="111111"/>
          <w:sz w:val="28"/>
          <w:sz w:val="28"/>
          <w:szCs w:val="28"/>
          <w:rtl w:val="true"/>
          <w:lang w:bidi="ar-SA"/>
        </w:rPr>
        <w:t xml:space="preserve">ابن بكير على ما لا يتأتى فيه الظرفية الحقيقية من ذكر الروث و اللّبن، بداهة أنّ الروث و اللّبن سواء كان في ثوب المصلّي أو بدنه لا يكون إلّا كون الصلاة معه لا فيه، مع أنّ الإمام عليه السّلام جعل مساق الروث و اللّبن مساق اللّباس و عبّر في الجميع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التجأ بعض الأعلام إلى جعل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المصاحبة و المعية، و على ذلك بنى عدم جواز الصلاة في الشعر الملقاة و في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ردّه في الجواهر </w:t>
      </w:r>
      <w:r>
        <w:rPr>
          <w:rStyle w:val="FootnoteAnchor"/>
          <w:rtl w:val="true"/>
        </w:rPr>
        <w:footnoteReference w:id="391"/>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ثبوت الروث و اللّبن في الرواية لا يوجب رفع اليد عمّا يقتضيه ظاهر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الظرفية و جعلها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ما ذكر في الرواية من الوبر و الشعر و الجلد، إذ جعل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هذه الأمور بلا موجب، لإمكان تحقّق معنى الظرفية فيها كالصلاة في الثوب المعمول من الوبر أو الشعر أو الجلد، غايته أنّ في خصوص الروث و اللّبن لا بدّ من التصرّف بعد عدم إمكان إبقاء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بمعناها من الظرفيّة فيهما لعدم تحقّق معنى الظرفية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التصرّف كما يكون بجعل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يمكن أن يكون المراد من الصلاة في اللّبن و الروث الصلاة في الثوب المتلطّخ بهما، فتكون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بمعناها من الظرفية في جميع ما ذكر في الرواية، غايته أنّ في خصوص اللّبن و الروث يحتاج إلى تجوّز في الكلام، و من هنا استشكل في الجواهر </w:t>
      </w:r>
      <w:r>
        <w:rPr>
          <w:rStyle w:val="FootnoteAnchor"/>
          <w:rtl w:val="true"/>
        </w:rPr>
        <w:footnoteReference w:id="392"/>
      </w:r>
      <w:r>
        <w:rPr>
          <w:rFonts w:ascii="Amiri" w:hAnsi="Amiri" w:eastAsia="Amiri" w:cs="Amiri"/>
          <w:color w:val="111111"/>
          <w:sz w:val="28"/>
          <w:sz w:val="28"/>
          <w:szCs w:val="28"/>
          <w:rtl w:val="true"/>
          <w:lang w:bidi="ar-SA"/>
        </w:rPr>
        <w:t>في مانعية الشعر الملقاة و في المحمول، لعدم شمول الأدلّة لهما بعد عدم جريان الظرفية فيهما، هذا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الإنصاف أنّه لا يمكن المساعدة على ما في الجواهر </w:t>
      </w:r>
      <w:r>
        <w:rPr>
          <w:rStyle w:val="FootnoteAnchor"/>
          <w:rtl w:val="true"/>
        </w:rPr>
        <w:footnoteReference w:id="393"/>
      </w:r>
      <w:r>
        <w:rPr>
          <w:rFonts w:ascii="Amiri" w:hAnsi="Amiri" w:eastAsia="Amiri" w:cs="Amiri"/>
          <w:color w:val="111111"/>
          <w:sz w:val="28"/>
          <w:sz w:val="28"/>
          <w:szCs w:val="28"/>
          <w:rtl w:val="true"/>
          <w:lang w:bidi="ar-SA"/>
        </w:rPr>
        <w:t>من إبقاء كلمة</w:t>
      </w:r>
    </w:p>
    <w:p>
      <w:pPr>
        <w:pStyle w:val="BookText"/>
        <w:rPr/>
      </w:pPr>
      <w:r>
        <w:rPr>
          <w:rFonts w:ascii="Amiri" w:hAnsi="Amiri" w:eastAsia="Amiri" w:cs="Amiri"/>
          <w:color w:val="111111"/>
          <w:sz w:val="28"/>
          <w:sz w:val="28"/>
          <w:szCs w:val="28"/>
          <w:rtl w:val="true"/>
          <w:lang w:bidi="ar-SA"/>
        </w:rPr>
        <w:t>الأرانب، كما في خبر عليّ بن مهزيار كتب إليه إبراهيم بن عقبة عندنا جوارب و تكك تعمل من وبر الأرانب، فهل تجوز الصلاة في وبر الأرانب من غير ضرورة و لا تقية؟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الصلاة فيها </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أنّه لا فرق بين وبر الأرانب و غيرها و لا بين التكّة و القلنسوة، فالأقوى عموم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خبر ابن عبد الجبّار </w:t>
      </w:r>
      <w:r>
        <w:rPr>
          <w:rStyle w:val="FootnoteAnchor"/>
          <w:rtl w:val="true"/>
        </w:rPr>
        <w:footnoteReference w:id="395"/>
      </w:r>
      <w:r>
        <w:rPr>
          <w:rFonts w:ascii="Amiri" w:hAnsi="Amiri" w:eastAsia="Amiri" w:cs="Amiri"/>
          <w:color w:val="111111"/>
          <w:sz w:val="28"/>
          <w:sz w:val="28"/>
          <w:szCs w:val="28"/>
          <w:rtl w:val="true"/>
          <w:lang w:bidi="ar-SA"/>
        </w:rPr>
        <w:t>من جواز الصلاة في القلنسوة و التكّة إذا كانت من وبر الأرانب فلا بدّ من حمله على التقية أو طرحه، لعدم مقاومته للأدلّة الدالّة بالإطلاق و بالخصوص على عموم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ذكر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نفس خبر ابن عبد الجبّار ما يظهر منه أنّ الحكم كان لأجل التقية، فإنّ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محمّد عليه السّلام هل يصلي في قلنسوة عليها وبر ما لا يؤكل لحمه أو تكّة حرير أو تكّة من وبر الأرانب؟</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الصلاة في الحرير المحض و إن كان الوبر ذكيّا حلّت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نسبة التذكية إلى نفس الوبر يشعر </w:t>
      </w:r>
      <w:r>
        <w:rPr>
          <w:rStyle w:val="FootnoteAnchor"/>
          <w:rtl w:val="true"/>
        </w:rPr>
        <w:footnoteReference w:id="396"/>
      </w:r>
      <w:r>
        <w:rPr>
          <w:rFonts w:ascii="Amiri" w:hAnsi="Amiri" w:eastAsia="Amiri" w:cs="Amiri"/>
          <w:color w:val="111111"/>
          <w:sz w:val="28"/>
          <w:sz w:val="28"/>
          <w:szCs w:val="28"/>
          <w:rtl w:val="true"/>
          <w:lang w:bidi="ar-SA"/>
        </w:rPr>
        <w:t>بالتقية، فتأمّل فإنّ في الأشعار ما لا يخفى، و على أيّ حال الأقوى ما عليه المعظم من عموم الحكم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الشعر الملقاة على لباس المصلّي أو بدنه و في حكم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الشعر الملقاة فالظاهر أيضا عدم جواز الصلاة معها، و ذلك 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في أخبار الباب و إن كانت ظاهرة في الظرفية على نحو تكون الصلاة واقعة في الشي‌ء نحو ثبوت الشي‌ء في المكان أو الزمان، و هذا المعنى من الظرفية مفقود في الشعر الملقاة على الثوب أو البدن، لعدم كون الصلاة واقعة فيه بل معه، إلّا أنّه لا بدّ من رفع اليد عمّا يقتضيه الظاهر الأولي من الظرفية، من جهة اشتمال موثّقة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الروث و اللّبن على معناها الأولي من الظرفية الحقيقية، و التجوّز في خصوص اللّبن و الروث بعد ما ذكر الجميع في الرواية على مساق واحد، كما لا يمكن المساعدة على ما أفاده بعض الأعلام من جعل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خروج عمّا تقتضيه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إبقاء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معناها من الظرفية، و لكنّ ذكر الروث و اللّبن في الرواية يكون قرينة على أنّ المراد من الظرفية ليس هو معناها الأولي الظاهر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ثبوت الشي‌ء في المكان أو الزمان، بل المراد منها معنى أوسع من ذلك بحيث يشمل مثل اللّبن و الروث الواقع على بدن المصلّي أو لباسه و يصدق أنّه صلّى فيهما و لو بنحو من التوسعة في الظرفية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من التوسعة موجود في الشعر الملقاة على لباس المصلّي بل على بدنه، بل و كذا المحمول إذا كان مع المصلّي بلا واسطة وعاء كما إذا كان في جيب المصلّي، و أمّا لو كان في وعاء كما إذا فرض جعل بعض أجزاء ما لا يؤكل لحمه في قارورة أو وعاء آخر و كانت القارورة مع المصلّي فصدق الظرفية على مثل هذا المحمول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أدلّة الباب و إن اشتملت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في الظرفية إلّا أنّه لا محيص عن القول بالتوسعة في الظرفية على نحو يعمّ الشعر الملقاة على اللّباس و البدن و المحمول بلا واسطة، فإنّ في الجميع يصحّ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من التسامح و التوسعة، و الشاهد على ذلك إطلاق الظرفية في مثل الروث و اللّبن الذي لا يكون ذلك إلّا بعد التوسعة في معنى الظرفية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المحمول مع الواسطة جميع مراتب الظرفية مفقود، و إنّما الظرفية تكون في الوعاء المشتمل على المحمول،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في قارورة فيها عظم ما لا يؤكل مثلا،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في عظم ما لا يؤكل، و هذا بخلاف ما إذا كان العظم مع</w:t>
      </w:r>
    </w:p>
    <w:p>
      <w:pPr>
        <w:pStyle w:val="BookText"/>
        <w:rPr/>
      </w:pPr>
      <w:r>
        <w:rPr>
          <w:rFonts w:ascii="Amiri" w:hAnsi="Amiri" w:eastAsia="Amiri" w:cs="Amiri"/>
          <w:color w:val="111111"/>
          <w:sz w:val="28"/>
          <w:sz w:val="28"/>
          <w:szCs w:val="28"/>
          <w:rtl w:val="true"/>
          <w:lang w:bidi="ar-SA"/>
        </w:rPr>
        <w:t>المصلّي بلا واسطة لصدق الظرفية فيه، و 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في عظم ما لا يؤكل، هذا حاصل ما أفاده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 فتأمّل فيه فإنّه لا يخلو عن تأمّل خصوصا في التفرقة بين قسمي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الظاهر عموم المنع للشعر الملقاة على لباس المصلّي لصدق الظرفية على مثل ذلك كما تقدّم فيشمله الإطلاقات، مضافا إلى خصوص خبر الهمداني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على ثوبي الوبر و الشعر ممّا لا يؤكل لحمه من غير تقية و لا ضرورة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الصلاة فيه </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تضعيف الجواهر </w:t>
      </w:r>
      <w:r>
        <w:rPr>
          <w:rStyle w:val="FootnoteAnchor"/>
          <w:rtl w:val="true"/>
        </w:rPr>
        <w:footnoteReference w:id="398"/>
      </w:r>
      <w:r>
        <w:rPr>
          <w:rFonts w:ascii="Amiri" w:hAnsi="Amiri" w:eastAsia="Amiri" w:cs="Amiri"/>
          <w:color w:val="111111"/>
          <w:sz w:val="28"/>
          <w:sz w:val="28"/>
          <w:szCs w:val="28"/>
          <w:rtl w:val="true"/>
          <w:lang w:bidi="ar-SA"/>
        </w:rPr>
        <w:t>سنده ممّا لا وجه له بعد ما كان معمولا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معارض بما في رواية ابن عبد الجبّار </w:t>
      </w:r>
      <w:r>
        <w:rPr>
          <w:rStyle w:val="FootnoteAnchor"/>
          <w:rtl w:val="true"/>
        </w:rPr>
        <w:footnoteReference w:id="399"/>
      </w:r>
      <w:r>
        <w:rPr>
          <w:rFonts w:ascii="Amiri" w:hAnsi="Amiri" w:eastAsia="Amiri" w:cs="Amiri"/>
          <w:color w:val="111111"/>
          <w:sz w:val="28"/>
          <w:sz w:val="28"/>
          <w:szCs w:val="28"/>
          <w:rtl w:val="true"/>
          <w:lang w:bidi="ar-SA"/>
        </w:rPr>
        <w:t xml:space="preserve">المتقدّمة، فإنّ قوله عليه السّلام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الوبر ذكيّا حلّت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عمّا سأله السائل من التكّة المعمولة من وبر الأرانب و من القلنسوة التي عليها وبر ما لا يؤكل، و المعلوم أنّه لا فرق بين الوبر الملقى على القلنسوة و بين الوبر الملقى على الثوب كمعلومية عدم الفرق بين الوبر و الشعر فيكون معارضا لرواية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عبد الجبّار قد اشتملت على جزءين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الصلاة في القلنسوة الملقى عليها وبر ما لا يؤكل لحمه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جوار الصلاة في التكّة المعمولة من وبر الأرانب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الجزءين له معارض بعد إلقاء الخصوصية عن القلنسوة و الوبر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الجزء الأول فهو معارض برواية الهمداني حيث دلّت على المنع عن الصلاة في الشعر الملقاة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الجزء الثاني فهو معارض برواية ابن مهزيار </w:t>
      </w:r>
      <w:r>
        <w:rPr>
          <w:rStyle w:val="FootnoteAnchor"/>
          <w:rtl w:val="true"/>
        </w:rPr>
        <w:footnoteReference w:id="400"/>
      </w:r>
      <w:r>
        <w:rPr>
          <w:rFonts w:ascii="Amiri" w:hAnsi="Amiri" w:eastAsia="Amiri" w:cs="Amiri"/>
          <w:color w:val="111111"/>
          <w:sz w:val="28"/>
          <w:sz w:val="28"/>
          <w:szCs w:val="28"/>
          <w:rtl w:val="true"/>
          <w:lang w:bidi="ar-SA"/>
        </w:rPr>
        <w:t xml:space="preserve">المتقدّمة، حيث دلّت على المنع عن الصلاة في التكك المعمولة من وبر الأرانب، فيكون المقام نظير العامّ المخصّص بمخصّصين المستوعبين لأفراد العام، و يدور الأمر بين الأخذ بالعام و طرح المخصّصين أو الأخذ بالمخصّصين و طرح العام، و المتعيّن في المقام هو طرح العام، لما تقدّم من عدم عمل المعظم برواية ابن عبد الجبّار </w:t>
      </w:r>
      <w:r>
        <w:rPr>
          <w:rStyle w:val="FootnoteAnchor"/>
          <w:rtl w:val="true"/>
        </w:rPr>
        <w:footnoteReference w:id="401"/>
      </w:r>
      <w:r>
        <w:rPr>
          <w:rFonts w:ascii="Amiri" w:hAnsi="Amiri" w:eastAsia="Amiri" w:cs="Amiri"/>
          <w:color w:val="111111"/>
          <w:sz w:val="28"/>
          <w:sz w:val="28"/>
          <w:szCs w:val="28"/>
          <w:rtl w:val="true"/>
          <w:lang w:bidi="ar-SA"/>
        </w:rPr>
        <w:t>، مع أنّ فيها شائبة التقية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حكم ما استثناه المعظم من جواز الصلاة في الخزّ و السنجاب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السنجاب فقد نسب إلى المشهور استثناؤه لدلالة جملة من الأخبار على جواز الصلاة فيه المعلّلة بعضها بأنّه لا يأكل اللّحم </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يظهر من بعض الأخبار حلّية أكل لحمه أيضا، كما في رواية ابن أبي حمزة </w:t>
      </w:r>
      <w:r>
        <w:rPr>
          <w:rStyle w:val="FootnoteAnchor"/>
          <w:rtl w:val="true"/>
        </w:rPr>
        <w:footnoteReference w:id="403"/>
      </w:r>
      <w:r>
        <w:rPr>
          <w:rFonts w:ascii="Amiri" w:hAnsi="Amiri" w:eastAsia="Amiri" w:cs="Amiri"/>
          <w:color w:val="111111"/>
          <w:sz w:val="28"/>
          <w:sz w:val="28"/>
          <w:szCs w:val="28"/>
          <w:rtl w:val="true"/>
          <w:lang w:bidi="ar-SA"/>
        </w:rPr>
        <w:t xml:space="preserve">بناء على بعض النسخ من إسقاط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لكنّ الظاهر عدم ثبوت قول معتدّ به بين الأصحاب في حلّية لحمه و إن قالوا بجواز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أشكل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لبعض الأصحاب في جواز الصلاة فيه، نظرا إلى ورود بعض الأخبار </w:t>
      </w:r>
      <w:r>
        <w:rPr>
          <w:rStyle w:val="FootnoteAnchor"/>
          <w:rtl w:val="true"/>
        </w:rPr>
        <w:footnoteReference w:id="404"/>
      </w:r>
      <w:r>
        <w:rPr>
          <w:rFonts w:ascii="Amiri" w:hAnsi="Amiri" w:eastAsia="Amiri" w:cs="Amiri"/>
          <w:color w:val="111111"/>
          <w:sz w:val="28"/>
          <w:sz w:val="28"/>
          <w:szCs w:val="28"/>
          <w:rtl w:val="true"/>
          <w:lang w:bidi="ar-SA"/>
        </w:rPr>
        <w:t>في المنع عنه، و عدم ثبوت شهر القدماء التي تكون هي العبرة في كسر الأخبار و جبرها في العمل بأخبار المجوّزة، مع احتمال التقية فيها، فتأمّل جيّدا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الخزّ فالظاهر قيام الإجماع على استثنائه وبرا على ما هو المحكي، و إن نقل</w:t>
      </w:r>
    </w:p>
    <w:p>
      <w:pPr>
        <w:pStyle w:val="BookText"/>
        <w:rPr/>
      </w:pPr>
      <w:r>
        <w:rPr>
          <w:rFonts w:ascii="Amiri" w:hAnsi="Amiri" w:eastAsia="Amiri" w:cs="Amiri"/>
          <w:color w:val="111111"/>
          <w:sz w:val="28"/>
          <w:sz w:val="28"/>
          <w:szCs w:val="28"/>
          <w:rtl w:val="true"/>
          <w:lang w:bidi="ar-SA"/>
        </w:rPr>
        <w:t xml:space="preserve">الخلاف بالنسبة إلى جلده و لكن خلاف ضعيف لا يعتدّ به، فالأقوى جواز الصلاة في وبره و جلده لدلالة جملة من الأخبار </w:t>
      </w:r>
      <w:r>
        <w:rPr>
          <w:rStyle w:val="FootnoteAnchor"/>
          <w:rtl w:val="true"/>
        </w:rPr>
        <w:footnoteReference w:id="405"/>
      </w:r>
      <w:r>
        <w:rPr>
          <w:rFonts w:ascii="Amiri" w:hAnsi="Amiri" w:eastAsia="Amiri" w:cs="Amiri"/>
          <w:color w:val="111111"/>
          <w:sz w:val="28"/>
          <w:sz w:val="28"/>
          <w:szCs w:val="28"/>
          <w:rtl w:val="true"/>
          <w:lang w:bidi="ar-SA"/>
        </w:rPr>
        <w:t>على ذلك من غير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كون هذا الخزّ المعروف في هذا الزمان غير الخزّ الذي كان يعمل منه الألبسة في عصر الأئمّة عليهم السّلام و ما تأخّر عنه إلى ما قبل زمان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الخزّ الذي كان في ذلك العصر كان ينسج من وبره الألبسة الفاخرة التي كانت تباع بأغلى القيم، و هذا الخزّ المعروف في هذا الزمان ممّا لا يمكن أن يعمل من نفس وبره منفصلا عن جلده شي‌ء أصلا و ما في الجواهر </w:t>
      </w:r>
      <w:r>
        <w:rPr>
          <w:rStyle w:val="FootnoteAnchor"/>
          <w:rtl w:val="true"/>
        </w:rPr>
        <w:footnoteReference w:id="406"/>
      </w:r>
      <w:r>
        <w:rPr>
          <w:rFonts w:ascii="Amiri" w:hAnsi="Amiri" w:eastAsia="Amiri" w:cs="Amiri"/>
          <w:color w:val="111111"/>
          <w:sz w:val="28"/>
          <w:sz w:val="28"/>
          <w:szCs w:val="28"/>
          <w:rtl w:val="true"/>
          <w:lang w:bidi="ar-SA"/>
        </w:rPr>
        <w:t>من التمسّك على اتّحاد هذا الخزّ للخزّ السابق بأصالة عدم النقل منظور فيه، لأنّه إن أريد من أصالة العدم أصالة عدم نقل معنى ذلك الخزّ الذي كان في السابق فهو ممّا لا يثبت كون هذا الخزّ الموجود في هذا الزمان هو ذلك الخزّ، و إن أريد من أصالة عدم النقل على نحو القهقراء فهو ليس بحجّة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هذا يشكل الصلاة في هذا الخزّ إن ثبت كونه من محرّم الأكل، و إلّا فالجواز مبني على الجواز في المشكوك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يعتبر في الخزّ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جواز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خالصا، فلا يجوز في المغشوش منه بوبر الأرانب و الثعالب و غير ذلك ممّا لا يجوز الصلاة فيه منفردا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تعيين معنى الخلوص و أنّه هل هو عبارة عن عدم خلطه بشي‌ء مطلقا و لو كان الغشّ قليلا جدّا بحيث لا يراه العرف غشّا، أو أنّه ليس الأمر كذلك فلا بأس بالغشّ القليل الذي لا يراه العرف غشّا، وجهان مبنيّان على أنّ الخلوص هل هو عند العرف معنى يجامع الغشّ القليل جدّا بحيث لا ينافي ذلك مع ما هو حقيقة معناه المرتكز في ذهن العرف، نظير مفهوم الماء الصادق حقيقة بما له</w:t>
      </w:r>
      <w:bookmarkStart w:id="287" w:name="pg19820_206677"/>
    </w:p>
    <w:p>
      <w:pPr>
        <w:pStyle w:val="BookText"/>
        <w:rPr/>
      </w:pPr>
      <w:bookmarkEnd w:id="287"/>
      <w:r>
        <w:rPr>
          <w:rFonts w:ascii="Amiri" w:hAnsi="Amiri" w:eastAsia="Amiri" w:cs="Amiri"/>
          <w:color w:val="111111"/>
          <w:sz w:val="28"/>
          <w:sz w:val="28"/>
          <w:szCs w:val="28"/>
          <w:rtl w:val="true"/>
          <w:lang w:bidi="ar-SA"/>
        </w:rPr>
        <w:t>من المعنى على الماء المغشوش بقليل من التراب، أو أنّ الخلوص هو عبارة عن الخلوص الحقيقي بمعناه الساذج الخالص من كلّ شي‌ء، و أنّ إطلاق العرف الخالص على ما كان الغشّ قليلا من باب التسامح من حيث إنّ الغشّ لا يراه غشّا، نظير الزيادة و النقيصة القليلة في التحديدات كالكرّ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الخلوص هو المعنى الأول فلا ينافيه الغشّ القليل، و إن كان المعنى الثاني فالغشّ القليل ينافيه، و أنّه لا عبرة بتسامح العرف و إطلاق الخالص عليه، كما لا عبرة بإطلاق الكرّ على ما نقص منه قليلا، و حيث قلنا بأنّ هذا الخزّ غير الخزّ المستثنى في الأخبار فلا طائل في تنقيح معنى الخلوص و أنّ أيّ المعنيين صحيح، فإنّه لا موضوع لهذا البحث حينئذ 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ربّما استثنى بعض تبعا لبعض الأخبار </w:t>
      </w:r>
      <w:r>
        <w:rPr>
          <w:rStyle w:val="FootnoteAnchor"/>
          <w:rtl w:val="true"/>
        </w:rPr>
        <w:footnoteReference w:id="407"/>
      </w:r>
      <w:r>
        <w:rPr>
          <w:rFonts w:ascii="Amiri" w:hAnsi="Amiri" w:eastAsia="Amiri" w:cs="Amiri"/>
          <w:color w:val="111111"/>
          <w:sz w:val="28"/>
          <w:sz w:val="28"/>
          <w:szCs w:val="28"/>
          <w:rtl w:val="true"/>
          <w:lang w:bidi="ar-SA"/>
        </w:rPr>
        <w:t>الحواصل و السمور و الفنك، و لكنّ الظاهر ذهاب المشهور على خلافه و معارضة أخبار المجوّزة لصراحة جملة من الأخبار الدالّة على المنع، فلا بدّ من حمل أخبار الجواز على التقية</w:t>
      </w:r>
      <w:r>
        <w:rPr>
          <w:rFonts w:eastAsia="Amiri" w:cs="Amiri" w:ascii="Amiri" w:hAnsi="Amiri"/>
          <w:color w:val="111111"/>
          <w:sz w:val="28"/>
          <w:szCs w:val="28"/>
          <w:rtl w:val="true"/>
          <w:lang w:bidi="ar-SA"/>
        </w:rPr>
        <w:t>.</w:t>
      </w:r>
    </w:p>
    <w:p>
      <w:pPr>
        <w:pStyle w:val="Heading6"/>
        <w:numPr>
          <w:ilvl w:val="5"/>
          <w:numId w:val="1"/>
        </w:numPr>
        <w:rPr/>
      </w:pPr>
      <w:bookmarkStart w:id="288" w:name="__RefHeading___Toc3360172_2314609296"/>
      <w:bookmarkStart w:id="289" w:name="_Toc113"/>
      <w:bookmarkEnd w:id="288"/>
      <w:r>
        <w:rPr>
          <w:rtl w:val="true"/>
        </w:rPr>
        <w:t>الأمر الثالث</w:t>
      </w:r>
      <w:r>
        <w:rPr>
          <w:rtl w:val="true"/>
        </w:rPr>
        <w:t xml:space="preserve">: </w:t>
      </w:r>
      <w:r>
        <w:rPr>
          <w:rtl w:val="true"/>
        </w:rPr>
        <w:t>في تحقيق الحال في شرطية المأكولية أو مانعية غير المأكولية</w:t>
      </w:r>
      <w:bookmarkEnd w:id="289"/>
    </w:p>
    <w:p>
      <w:pPr>
        <w:pStyle w:val="Heading6"/>
        <w:numPr>
          <w:ilvl w:val="5"/>
          <w:numId w:val="1"/>
        </w:numPr>
        <w:rPr/>
      </w:pPr>
      <w:bookmarkStart w:id="290" w:name="__RefHeading___Toc3360174_2314609296"/>
      <w:bookmarkStart w:id="291" w:name="_Toc114"/>
      <w:bookmarkEnd w:id="290"/>
      <w:r>
        <w:rPr>
          <w:rtl w:val="true"/>
        </w:rPr>
        <w:t>اشارة</w:t>
      </w:r>
      <w:bookmarkEnd w:id="29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 ينبغي أولا من تمهيد مقدّمة ربّما يظهر منها فساد بعض ما قيل في المقام، و هي أنّه قد حقّق في محلّه من أنّ الشرطية و الجزئية و المانعية و السببية غير قابلة لأن تنالها بأنفسها يد الجعل، سواء في ذلك شرطية التكليف أو شرطية المكلّف به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السرّ في ذلك واضح، فإنّ ما هو فعل الآمر و الصادر عنه في مقام التشريع ليس إلّا تصوّر عدّة أمور تكون موافقة لغرضه و قيام المصلحة بها، و بعد ذلك يجمعها في قالب الطلب و ينشئها على طبق ما تصوّره، فعند ذلك ينتزع من القيود الوجودية الجزئية و الشرطية على اختلاف بينهما في كيفية الاعتبار من جعل الشي‌ء داخلا في الماهية بحيث يتألّف منه و من غيره المركّب فيكون جزء، و من جعله خارجا عنها على نحو التقيّد داخل و القيد خارج فيكون شرطا، و ينتزع من القيود العدمية المانعية، و إلّا فنفس الشرطية و المانعية و الجزئية ليس لها ما بحذاء في وعاء، و ليس لها ثبوت و تحقّق لا في عالم التكوين و لا في عالم الاعتبار و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تكون الشرطية و أخواتها أسوأ حالا من وجوب المقدّمة اللازم من وجوب ذيها، فإنّ وجوب المقدّمة أمر ثابت في عالم الاعتبار و متصوّر في عالم التشريع و تتعلّق بها إرادة آمرية، غاية الأمر إرادة تبعية تترشح من إرادة ذيها و خطابها لازم خطاب ذيها، و هذا بخلاف الشرطية و ما شابهها فإنّها أمور انتزاعية صرفة غير متأصّلة في عالم الاعتبار، و غير متعلّقة لإرادة أصلا و لو بإرادة تبعية، و ليس لها نحو ثبوت و تحقّق لا في عالم التصوّر السابق على الجعل و لا في عالم الجعل و الإنشاء، لما عرفت من أنّ الثابت في عالم التصوّر ليس إلّا لحاظ أمور متعدّدة متباينة يجمعها قيام المصلحة بها و موافقتها للغرض، ثمّ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يجعلها في معرض الإنشاء و قالب الطلب</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عالم التصوّر لم يتصوّر إلّا ذات الشرط و الجزء من حيث دخله في الغرض و نفس المانع من حيث منعه عنه، لا شرطية الشرط و جزئية الجزء و مانعية المانع، فإنها لم يقع التصوّر عليها و لم تدخل في عالم اللّحاظ، بل المتصوّر و الملحوظ هو</w:t>
      </w:r>
    </w:p>
    <w:p>
      <w:pPr>
        <w:pStyle w:val="BookText"/>
        <w:rPr/>
      </w:pPr>
      <w:r>
        <w:rPr>
          <w:rFonts w:ascii="Amiri" w:hAnsi="Amiri" w:eastAsia="Amiri" w:cs="Amiri"/>
          <w:color w:val="111111"/>
          <w:sz w:val="28"/>
          <w:sz w:val="28"/>
          <w:szCs w:val="28"/>
          <w:rtl w:val="true"/>
          <w:lang w:bidi="ar-SA"/>
        </w:rPr>
        <w:t>ذوات هذه الأشياء، و عند ذلك تنتزع الشرطية و الجزئية و المانعية عن المتصوّر، ففي عالم التصوّر ليس لهذه الأشياء ما بحذاء و لم يكن لها تحقّق، فإذا لم يكن لها في عالم التصوّر نحو ثبوت و تحقّق ففي عالم الجعل و الإنشاء تكون أيضا كذلك، بداهة أنّ الجعل و الإنشاء إنّما يكون على طبق المتصوّر، و لا يعقل أن يتحقّق في عالم الجعل شي‌ء ليس له تحقّق في عالم التصوّر، ففي عالم الجعل أيضا ليس للشرطية و أخواتها نحو ثبوت و تحقّق فلا يتعلّق بها جعل، بل لو فرض أنّ بعد الجعل ألف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هذا الشي‌ء جزء للمجعول أو شرطا له فهو غير قابل لأن يصير جزء أو شرطا له إلّا بالنسخ و تغيير المجعول عمّا جعل، و ذلك واضح إلى النهاية فلا حاجة إلى إطالة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عرفت أنّ منشأ انتزاع الشرطية غير منشأ انتزاع المانعية، فإنّ منشأ انتزاع الشرطية إنّما هو تعلّق الطلب بالخصوصية الوجودية التي لها دخل في تحقّق الملاك، و هذا بخلاف منشأ انتزاع المانعية فإنّه ليس هو إلّا عبارة عن اعتبار عدمه في المتعلّق من جهة مضادّة وجوده لتحقّق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فيقع الكلام حينئذ في إمكان الجمع في الجعل بين ما هو منشأ انتزاع شرطية أحد الضدّين و مانعية الآخر، بحيث يكون وجود أحد الضدّين شرطا و الآخر مانعا،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عدم إمكان ذلك، و أنّه من المستحيل أن يكون لوجود أحد الضدّين دخل في الملاك و المصلحة مع مانعية الضدّ الآخر عن تحقّق الملاك، و كذلك من المستحيل أيضا جعل أحد الضدّين شرطا و الآخر مانعا، و كذلك من المستحيل أيضا ثبوت أثر و تحقّق فائدة في الجمع بين شرطية أحدهما و مانعية الآخر، فالجمع بينهما من المستحيل في جميع هذه العوالم الثلاثة من عالم الملاك و الجعل و الأثر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تفصيل ذلك هو أنّه لا إشكال في تقدّم رتبة الشرط على وجود المانع كتقدّم</w:t>
      </w:r>
    </w:p>
    <w:p>
      <w:pPr>
        <w:pStyle w:val="BookText"/>
        <w:rPr/>
      </w:pPr>
      <w:r>
        <w:rPr>
          <w:rFonts w:ascii="Amiri" w:hAnsi="Amiri" w:eastAsia="Amiri" w:cs="Amiri"/>
          <w:color w:val="111111"/>
          <w:sz w:val="28"/>
          <w:sz w:val="28"/>
          <w:szCs w:val="28"/>
          <w:rtl w:val="true"/>
          <w:lang w:bidi="ar-SA"/>
        </w:rPr>
        <w:t>رتبة المقتضي على وجود الشرط، فإنّ المانع هو الذي يزاحم المقتضي في تأثيره و يصادم أثره، فرتبة وجود المانع متأخّر عن وجود المقتضي، إذ مع عدم المقتضي لا معنى لمانعية المانع و كان وجوده كعدمه، و لا يستند عدم الشي‌ء إلى وجود المانع بل يستند إلى عدم وجود مقتضيه، لأنّ انتفاء الشي‌ء إنّما يكون بانتفاء أول جزء علّته و ليس هو إلّا المقتضي، فمع عدم المقتضي لا معنى لإطلاق المانع على الشي‌ء كما يشاهد ذلك بالوجدان، فإنّ مع عدم وجود النار في المكان المقتضية للإحراق لا يصحّ إطلاق المانع على البلل الموجود في المكان إلّا على نحو التعليق و الاشتراط، و ذلك بمكان من الوضوح لا حاجة إلى إطالة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تأخّر رتبة وجود المانع عن وجود المقتضي فلا محالة يكون رتبة وجوده متأخّرا عن رتبة وجود ما هو شرط لتأثير المقتضي، لما عرفت من أنّ المانع هو ما صادم تأثير المقتضي و زاحم رشحه و إفاضته الوجود لمعلوله، فلا بدّ أولا من وجود المقتضي بما له من الشرائط المعتبرة في تأثيره حتّى تصل النوبة إلى المانع، و إلّا فمع عدم وجود الشرط لا يستند عدم الشي‌ء إلّا إلى عدم شرطه لا على وجود مانعة، فإنّ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و عدمه سيّان بعد عدم وجود ما هو الشرط لتأثير المقتضي، كما هو واضح أيضا إلى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ظهر تأخّر رتبة وجود المانع عن رتبة وجود الشرط فلا محالة يكون رتبة عدم المانع متأخرا أيضا عن وجود الشرط، لأنّ عدم المانع هو القيد الأخير لوجود العلّة التامّة المستتبعة لوجود المعلول، فلا محالة يكون متأخّرا في الرتبة عن وجود المقتضي و الشرط كما لا يخفى</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كان الشرط في العلل التكوينية مقدّما في الرتبة عن المانع، كان الشرط الشرعي من حيث دخله في الملاك و كشفه عن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أصول 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 في الرتبة عن دخل عدم المانع في الملاك</w:t>
      </w:r>
    </w:p>
    <w:p>
      <w:pPr>
        <w:pStyle w:val="BookText"/>
        <w:rPr/>
      </w:pPr>
      <w:r>
        <w:rPr>
          <w:rFonts w:ascii="Amiri" w:hAnsi="Amiri" w:eastAsia="Amiri" w:cs="Amiri"/>
          <w:color w:val="111111"/>
          <w:sz w:val="28"/>
          <w:sz w:val="28"/>
          <w:szCs w:val="28"/>
          <w:rtl w:val="true"/>
          <w:lang w:bidi="ar-SA"/>
        </w:rPr>
        <w:t>و ما هو مصلحة الحكم، و ذلك لأنّ دخل الشروط و عدم الموانع الشرعية في الملاكات إنّما هو من الأمور الواقعية التكوينية، و لا يكون ذلك بتصرّف شرعي و جعل مولوي، بداهة أنّ مدخلية شي‌ء في الملاك و تسبّب الملاك عنه أو عدم التسبّب من الأمور الواقعية التكوينية و قد كشف الشارع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مدخلية الشروط و عدم الموانع الشرعية في الملاكات من الأمور الواقعية التكوينية، كان من المستحيل أن يكون لوجود أحد الضدّين دخل في تحقّق الملاك و شرط لثبوته، مع مدخلية عدم الضدّ الآخر في ثبوت الملاك أيضا بحيث يكون وجوده مانعا، بداهة أنّه عند وجوده لا يكون عدم الملاك مستندا إليه حتّى يكون مانعا، لأنّ وجوده مساوق لعدم الضدّ الآخر لاستحالة اجتماع الضدّين في الوجود، فإذا ساوق وجوده لعدم الآخر المفروض شرطيته في الملاك كان عدم الملاك مستندا إلى عدم شرطه لا إلى وجود هذا الضدّ المفروض مانعيته، لما تقدّم من تقدّم رتبة الشرط على وجود المانع، فإذا لم يكن عدم الملاك مستندا إلى وجوده لم يكن لعدمه دخل في الملاك 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حيث كان وجود أحد الضدّين دائما مساوقا لعدم الآخر فلا يعقل أن يكون وجود أحد الضدّين شرطا في تحقّق الملاك مع كون الضدّ الآخر مانعا عنه، لأنّه عند وجود الضدّ المفروض كونه مانعا لا يكون عدم تحقّق الملاك من أجل وجوده و مستندا إليه، بل يكون من أجل انعدام الضدّ الآخر الذي يكون وجوده شرطا في الملاك السابق وجوده في الرتبة عن وجود المانع كما تقدّم، فلا يصلح أن يكون وجود هذا الضدّ مانعا، فلا يكون لعدمه دخل في الملاك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استحالة اجتماع شرطية أحد الضدّين مع مانعية الآخر في الملاك و المصلحة المبتنية عليها الأحكام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استحالة اجتماعهما في الجعل فمضافا إلى لزوم خلوّ أحد الجعلين عن</w:t>
      </w:r>
    </w:p>
    <w:p>
      <w:pPr>
        <w:pStyle w:val="BookText"/>
        <w:rPr/>
      </w:pPr>
      <w:r>
        <w:rPr>
          <w:rFonts w:ascii="Amiri" w:hAnsi="Amiri" w:eastAsia="Amiri" w:cs="Amiri"/>
          <w:color w:val="111111"/>
          <w:sz w:val="28"/>
          <w:sz w:val="28"/>
          <w:szCs w:val="28"/>
          <w:rtl w:val="true"/>
          <w:lang w:bidi="ar-SA"/>
        </w:rPr>
        <w:t>الملاك، و هو مناف للأصول العدلية من تبعية الأحكام للملاكات، يلزم لغوية جعل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يكون من باب تحصيل الحاصل، لأنّه بنفس جعل أحد الضدّين شرطا يكون الآخر مانعا، فهو منجعل قهرا لاستحالة اجتماع الضدّين في الوجود، فلا يعقل استقلال الجعل بالنسبة إلى كلّ منهما، لأنّ جعل المانع بعد جعل شرطية أحد الضدّين يكون من قبيل جعل ما هو حاصل، لما عرفت من أنّ مانعية الضدّ و تقيّد المطلوب بعدمه لازم جعل شرطية الضدّ الآخر، و حيث كان وجود الشرط مقدّما في الرتبة على وجود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يكون تصوّر الشرط في مقام الجعل مقدّما على جعل المانع، فيكون رتبة جعل الشرط سابقة عن جعل المانع، و إذا كان الأمر كذلك يكون جعل مانعية أحد الضدّين بعد جعل شرطية الآخر تحصيلا للحاصل، لأنّه منجعل بنفس جعل شرطية الضدّ الآخر السابق في الرتبة عليه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استحالة اجتماعهما في الأثر فهو أيضا أوضح من أن يخفى، لأنّه بعد جعل شرطية أحد الضدّين لا يعقل أن يترتّب أثر عملي على جعل مانعية الآخر، لأنّ وجود أحد الضدّين دائما ملازم مع عدم الآخر، و عليه يكون الانبعاث عن الجعل المتكفّل لشرطية أحد الضدّين هو بنفسه انبعاثا عن إيجاد الضدّ الآخر المفروض مانعيّته، كما أنّ عصيان خطاب الشرط يكون باتحاد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يترتّب بعد جعل أحد الضدّين شرطا أثر عملي من إطاعة و عصيان على جعل مانعية الضدّ الآخر، لأنّ إطاعته و عصيانه إنّما هو بإطاعة و عصيان الشرط السابق رتبة عليه، و الأثر المترتّب على الجعل ليس إلّا الإطاعة و العصيان، فإذا انتفيا انتفى الجعل كما هو واضح</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ظهر لك استحالة الجمع بين شرطية أحد الضدّين و مانعية الآخر ملاكا</w:t>
      </w:r>
    </w:p>
    <w:p>
      <w:pPr>
        <w:pStyle w:val="BookText"/>
        <w:rPr/>
      </w:pPr>
      <w:r>
        <w:rPr>
          <w:rFonts w:ascii="Amiri" w:hAnsi="Amiri" w:eastAsia="Amiri" w:cs="Amiri"/>
          <w:color w:val="111111"/>
          <w:sz w:val="28"/>
          <w:sz w:val="28"/>
          <w:szCs w:val="28"/>
          <w:rtl w:val="true"/>
          <w:lang w:bidi="ar-SA"/>
        </w:rPr>
        <w:t>و خطابا و أثرا بما لا مزيد عليه، فلو قام هناك دليل على شرطية أحد الضدّين، و قام دليل آخر على مانعية الضدّ الآخر، كان الدليلان متعارضين و لا بدّ من إعمال باب المعارضة عليهما، فإنّ الضابط في باب التعارض هو التنافي و امتناع ثبوت مدلولي الدليلين في نفس الأمر، سواء كان ذلك من أجل مناقضة نفس الدليلين كما في أكرم زيدا و لا تكرم زيدا، أو كان من أجل قيام الإجماع و الضرورة على وحدة المجعول في الواقع، مع أنّ كلّا من الدليلين متكفّل لجعل مغاير لما تكفّله الآخر من الجعل، كما في مسألة وجوب صلاة الظهر و الجمعة، فإنّه مع قطع النظر عن الإجماع الخارجي القائم على وحدة الفريضة في يوم الجمعة لم يكن بين الدليلين تعارض، بل كان اللازم الأخذ بكلا مدلوليهما من وجوب الظهر و الجمعة، و لكن بعد قيام الإجماع على ذلك يعامل مع كلّ من الدليلين معاملة التعارض، أو كان من أجل استحالة أن تنالهما معا يد الجعل، كما فيما نحن فيه من شرطية أحد الضدّين و مانعية الآخر، فإنّ في جميع هذه الأقسام الثلاثة يعامل مع الدليلين معاملة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فساد ما ربّما ينسب إلى بعض من عدم معاملة التعارض مع الدليلين الدالّ أحدهما على شرطية أحد الضدّين و الآخر على مانعية الضدّ الآخر، بل لا بدّ من الأخذ بكلّ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الفساد واضح بعد ما عرفت من استحالة الجمع بينهما، و عليه لا محيص من معاملة التعارض مع مثل هذين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كلّه فلا بدّ حينئذ من ملاحظة أدلّة الباب، و ما يستفاد منها من شرطية المأكولية للصلاة أو مانعية الغير المأكولية،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أخبار الباب على طوائف</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النهي عن الصلاة في غير المأكول، و هي عدّة من الأخبار ربّما</w:t>
      </w:r>
    </w:p>
    <w:p>
      <w:pPr>
        <w:pStyle w:val="BookText"/>
        <w:rPr/>
      </w:pPr>
      <w:r>
        <w:rPr>
          <w:rFonts w:ascii="Amiri" w:hAnsi="Amiri" w:eastAsia="Amiri" w:cs="Amiri"/>
          <w:color w:val="111111"/>
          <w:sz w:val="28"/>
          <w:sz w:val="28"/>
          <w:szCs w:val="28"/>
          <w:rtl w:val="true"/>
          <w:lang w:bidi="ar-SA"/>
        </w:rPr>
        <w:t>تصل حدّ الاستفاضة، كما يظهر للناظر في أدلّة الباب من الأدلّة العامّة و الخاصّة الواردة في المنع عن الصلاة في مثل الثعالب و الأرانب و السمور و الفنك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ظهور هذه الطائفة في مانعية غير المأكول ممّا لا يكاد يخفى، لما عرفت من أنّ منشأ انتزاع المانعية إنّما هو النواهي الغيرية الدالّة على تقيّد المطلوب بعدم تخصّصه بالخصوصية الكذائية من غير المأكول و الحرير 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عدم جواز الصلاة في غير المأكول، كما في خبر الهمداني </w:t>
      </w:r>
      <w:r>
        <w:rPr>
          <w:rStyle w:val="FootnoteAnchor"/>
          <w:rtl w:val="true"/>
        </w:rPr>
        <w:footnoteReference w:id="409"/>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الطائفة أيضا كسابقها في الدلالة على المانعية كما لا يخفى، لأنّ المراد من الجواز و عدم الجواز في أخبار الباب ليس هو الجواز و عدم الجواز التكليفي، بل المراد الوضعي منه المساوق لعدم ترتّب الأثر و عدم المضي، في مقابل الجواز بمعنى المضي و ترتب الأثر، و ظاهر أنّ عدم ترتّب الأثر و عدم المضي للصلاة الواقعة في غير المأكول إنّما هو من جهة خروج الفرد المتخصّص به عن صلاحية الانطباق على المطلوب، و ليس ذلك إلّا من جهة مانعية غير المأكول عن انطباق المتخصّص به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فساد الصلاة الواقعة في غير المأكول، و هي أيضا ظاهرة في المانعية، لأنّ الفساد أيضا عبارة عن عدم انطباقه على المطلوب و هو معنى المانعية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التعليلات الواردة في الباب من أكثرية المسوخ و آكلية اللّحم، و هذا أيضا يدلّ على المانعية، لأنّ التعليل بذلك يدلّ على أنّ المنع عن غير المأكول لملاك مسوخية الأكثر أو آكلية اللّحم، فهو تعليل بما هو ملاك المنع</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الطوائف كلّها يدلّ على المانعية، و لم نعثر في أدلّة الباب على</w:t>
      </w:r>
    </w:p>
    <w:p>
      <w:pPr>
        <w:pStyle w:val="BookText"/>
        <w:rPr/>
      </w:pPr>
      <w:r>
        <w:rPr>
          <w:rFonts w:ascii="Amiri" w:hAnsi="Amiri" w:eastAsia="Amiri" w:cs="Amiri"/>
          <w:color w:val="111111"/>
          <w:sz w:val="28"/>
          <w:sz w:val="28"/>
          <w:szCs w:val="28"/>
          <w:rtl w:val="true"/>
          <w:lang w:bidi="ar-SA"/>
        </w:rPr>
        <w:t xml:space="preserve">ما يدلّ على الشرطية، سوى ما قيل من ظهور روايتي ابن أبي حمزة </w:t>
      </w:r>
      <w:r>
        <w:rPr>
          <w:rStyle w:val="FootnoteAnchor"/>
          <w:rtl w:val="true"/>
        </w:rPr>
        <w:footnoteReference w:id="410"/>
      </w:r>
      <w:r>
        <w:rPr>
          <w:rFonts w:ascii="Amiri" w:hAnsi="Amiri" w:eastAsia="Amiri" w:cs="Amiri"/>
          <w:color w:val="111111"/>
          <w:sz w:val="28"/>
          <w:sz w:val="28"/>
          <w:szCs w:val="28"/>
          <w:rtl w:val="true"/>
          <w:lang w:bidi="ar-SA"/>
        </w:rPr>
        <w:t xml:space="preserve">و ابن بكير </w:t>
      </w:r>
      <w:r>
        <w:rPr>
          <w:rStyle w:val="FootnoteAnchor"/>
          <w:rtl w:val="true"/>
        </w:rPr>
        <w:footnoteReference w:id="411"/>
      </w:r>
      <w:r>
        <w:rPr>
          <w:rFonts w:ascii="Amiri" w:hAnsi="Amiri" w:eastAsia="Amiri" w:cs="Amiri"/>
          <w:color w:val="111111"/>
          <w:sz w:val="28"/>
          <w:sz w:val="28"/>
          <w:szCs w:val="28"/>
          <w:rtl w:val="true"/>
          <w:lang w:bidi="ar-SA"/>
        </w:rPr>
        <w:t>في شرطية المأكول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و أبا الحسن عليه السّلام عن لباس الفراء و الصلاة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فيها إلّا فيما كان منه ذكيّا،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الذكي ما ذكّي بالحديد؟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إذا كان ممّا يؤكل لحمه،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يؤكل لحمه من غير الغنم؟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بالسنجاب فإنّه دابّة لا تأكل اللّحم، و ليس هو ممّا نهى عنه رسول اللّٰه صلّى اللّٰه عليه و آله، إذ نهى عن كلّ ذي ناب و مخلب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 يؤكل لحمه من غير الغنم؟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412"/>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هذه الرواية قد استدلّ بها من قال بالشرطية، و لكنّ الاستدلال بها على الشرطية يتوقّف على أن يكون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ممّا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إلى صدر الرواية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فيما كان منه ذكيّا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قيدا له، فيصير المعنى حينئذ لا تصلّ إلّا في الذكي ممّا يؤكل لحمه، و يستفاد منه الشرطية من جهة تعلّق الطلب بأمر وجودي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لو كان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تتمّة الجواب عن قول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 الذكي ما ذكّي بالحديد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الرواية حينئذ أجنبية عن الدلالة على شرطية المأكول،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أو ليس الذكي ما ذكّي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مستأنفة مشتملة على سؤال و جواب أجنبي عن باب الصلاة، فكأنّ</w:t>
      </w:r>
    </w:p>
    <w:p>
      <w:pPr>
        <w:pStyle w:val="BookText"/>
        <w:rPr/>
      </w:pPr>
      <w:r>
        <w:rPr>
          <w:rFonts w:ascii="Amiri" w:hAnsi="Amiri" w:eastAsia="Amiri" w:cs="Amiri"/>
          <w:color w:val="111111"/>
          <w:sz w:val="28"/>
          <w:sz w:val="28"/>
          <w:szCs w:val="28"/>
          <w:rtl w:val="true"/>
          <w:lang w:bidi="ar-SA"/>
        </w:rPr>
        <w:t xml:space="preserve">السائل بعد ما سمع جواب الإمام عليه السّلام عن مسألة الصلاة في الفراء من أنّه يجوز الصلاة فيها إذا كانت ذكية، أراد أن يعلم الذكي فسأل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 الذكي ما ذكّي بالحديد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الإمام عليه السّلام بأنّه ليس مجرّد تذكية الحيوان بالحديد يكون ذكيّا، بل يعتبر أن يكون الحيوان الذي يرد عليه التذكية ممّا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استدلّ من قال بعدم قبول غير مأكول اللّحم للتذكية، و عليه لا بدّ من رفع اليد عن هذا الذيل لمعارضته لعدّة من الأخبار الصريحة الصحيحة الدالّة على قبول غير مأكول اللّحم للتذكية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ممّا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تتمّة الجواب عن السؤال الثاني فتكون الرواية بمعزل عن الدلالة على شرطية المأكولية، و إنّما هو أمر آخر لا بدّ من رفع اليد عنه بما دلّ على قبول المسوخ و غيره للتذكية، و يكون الجواب عن السؤال الأول مجرّد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فيها إلّا فيما كان منه ذكيّا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يدلّ على شرطية المأكولية، بل أقصاه أنّه يدلّ على اشتراط التذكية في لباس المصلّي إذا كان بما يعتبر فيه التذكية كالجلد و أمثاله ممّا تحلّه الحياة، لا مثل الوبر، و الشعر ممّا لا يعتبر فيه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ممّا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تتمّة الجواب عن السؤال الثاني لا تقييدا للجواب الأول، لأنّ الفصل بين الجواب الأول و قيده بسؤال و جواب أجنبي بعيد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دلّ على قبول محلّل الأكل من المسوخ و غيره يكون قرينة على رجوع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تقييد الجواب الأول، فتأمّل فإنّ أقصاه على اعتبار المأكولية في خصوص ما تحلّه الحياة كما ذكرناه في الهامش</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كلّه مع قطع النظر عمّا في ذيل الرواية، فإنّه بناء على ما في بعض</w:t>
      </w:r>
    </w:p>
    <w:p>
      <w:pPr>
        <w:pStyle w:val="BookText"/>
        <w:rPr/>
      </w:pPr>
      <w:r>
        <w:rPr>
          <w:rFonts w:ascii="IRNazanin" w:hAnsi="IRNazanin" w:eastAsia="IRNazanin"/>
          <w:color w:val="111111"/>
          <w:sz w:val="28"/>
          <w:sz w:val="28"/>
          <w:szCs w:val="28"/>
          <w:rtl w:val="true"/>
          <w:lang w:bidi="fa-IR"/>
        </w:rPr>
        <w:t xml:space="preserve">النسخ </w:t>
      </w:r>
      <w:r>
        <w:rPr>
          <w:rStyle w:val="FootnoteAnchor"/>
          <w:rtl w:val="true"/>
        </w:rPr>
        <w:footnoteReference w:id="414"/>
      </w:r>
      <w:r>
        <w:rPr>
          <w:rFonts w:ascii="Amiri" w:hAnsi="Amiri" w:eastAsia="Amiri" w:cs="Amiri"/>
          <w:color w:val="111111"/>
          <w:sz w:val="28"/>
          <w:sz w:val="28"/>
          <w:szCs w:val="28"/>
          <w:rtl w:val="true"/>
          <w:lang w:bidi="ar-SA"/>
        </w:rPr>
        <w:t xml:space="preserve">من ثبوت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لا يؤكل لحمه من غير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نفس الذيل دليلا على مانعية غير المأكول، فإنّ قوله عليه السّلام في آخر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هو ممّا نهى عنه رسول اللّٰه صلّى اللّٰه عليه و آله إذ نهى عن كلّ ذي ناب و مخلب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أقوى شاهدا على أنّ الأصل في باب الصلاة هو نهي النبي صلّى اللّٰه عليه و آله عن غير المأكول، فتكون المانعية هو الأصل في هذا الباب، و يكون التعبير في الصدر بالمأكولية من باب صحّة التعبير على اعتبار انتفاء أحد الضدّين بوجود الضدّ الآخر، من دون أن يكون خصوصية لوجوده حتّى يستفاد منه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بناء على خلوّ السؤال عن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الذيل أيضا أجنبيّا عن باب الصلاة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 أنّ استفادة الشرطية من هذه الرواية في غاية الإشكال، و على تقدير الاستفادة فلا يمكن مقاومتها مع الأدلّة العامّة و الخاصّة الدالّة على المانعية، مع ما فيها من الصراحة و التعليل،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ابن بكير فهي ما رواه ابن أبي عمير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زرارة أبا عبد اللّٰه عن الصلاة في الثعالب و الفنك و السنجاب و غيره من الوبر، فأخرج كتابا زعم أنّه إملاء رسول اللّٰه أنّ الصلاة في وبر كلّ شي‌ء حرام أكله فالصلاة في وبره و شعره و جلده و بوله و روثه و كلّ شي‌ء منه فاسد لا تقبل تلك الصلاة حتّى يصلي في غيره ممّا أحلّ اللّٰه أكله </w:t>
      </w:r>
      <w:r>
        <w:rPr>
          <w:rStyle w:val="FootnoteAnchor"/>
          <w:rtl w:val="true"/>
        </w:rPr>
        <w:footnoteReference w:id="415"/>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استدلّ بهذه الرواية أيضا على شرطية التذكية، حيث يستفاد من قوله</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يصلّي في غيره ممّا أحل اللّٰه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صحّة الصلاة على القيد الوجودي و هو وقوعها في محلّل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يتوقّف الاستدلال بالرواية على الشرطية على جعل الجملة الفعلية و 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 تلك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مستأنفة سيقت للتأسيس و بيان حكم مستقلّ، لا للتأكيد و توضيحا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فالصلاة في وبره و شعره و جلده و بوله و روثه و كلّ شي‌ء منه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بداهة أنّه لو كانت الجملة مسوقة للتأكيد كانت الرواية من جملة الأدلّة الدالّة على المانعية لا الشرطية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يتوقّف الاستدلال بها على الشرطية على أن تكون الجملة الفعلية ناظرة إلى الصلاة قبل وقوعها في الخارج و قبل صدورها من المكلّف، و أمّا لو كانت الجملة ناظرة إلى الصلاة بعد وقوعها، و بيان أنّ الصلاة الواقعة في غير ما أحلّ اللّٰه أكله فاسدة و لا تجزي حتّى يصلّيها في غيره، و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أحلّ اللّٰه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لبعض أفراد الغير الذي يعتبر أن يوقع الصلاة فيه بداهة أنّه للغير أفراد منه القطن و الكتّان و منه ما أحل اللّٰه أكله من أجزاء الحيوان، فإذا كانت الجملة ناظرة إلى الصلاة بعد وقوعها فأقصى ما تدلّ عليه الجملة حينئذ هي فساد الصلاة الواقعة في محرّم الأكل و لا بدّ من إعادتها في غيره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معلوم أنّه لا يعتبر أن يكون الغير هو خصوص محلّل الأكل، لقيام الضرورة على جواز الصلاة في القطن و الكتّان، فلا بدّ من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أحلّ اللّٰه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بعض أفراد الغير لا أن يكون قيدا لذلك الغير، فإنّه لو كان قيدا لذلك الغير كان ظاهره اعتبار وقوع الصلاة في محلّل الأكل، بحيث لا تجوز الصلاة في غيره قط كما هو الشأن في جميع الشرائط الوجودية للصلاة، فإنّ معنى اعتبار وقوع الصلاة في الطاهر هو عدم جوازها في غيره، و لذا يجب عليه تحصيل الطاهر مهما أمكن، فلو كان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أحلّ اللّٰه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لكان اللّازم هو اعتبار وقوع الصلاة فيه</w:t>
      </w:r>
    </w:p>
    <w:p>
      <w:pPr>
        <w:pStyle w:val="BookText"/>
        <w:rPr/>
      </w:pPr>
      <w:r>
        <w:rPr>
          <w:rFonts w:ascii="Amiri" w:hAnsi="Amiri" w:eastAsia="Amiri" w:cs="Amiri"/>
          <w:color w:val="111111"/>
          <w:sz w:val="28"/>
          <w:sz w:val="28"/>
          <w:szCs w:val="28"/>
          <w:rtl w:val="true"/>
          <w:lang w:bidi="ar-SA"/>
        </w:rPr>
        <w:t>بحيث يلزم عليه تحصيله، و هذا مخالف للضرورة بداهة جواز الصلاة في القطن و الكتّان و من هنا كان للقائل بالشرطية الالتزام بأحد الأمرين، إمّا بالالتزام بأنّ ما هو الشرط في الصلاة هو أحد الخصوصيات الوجودية من القطن و الكتّان و المأكول و غيرها، و إمّا بالالتزام بأنّ في خصوص ما إذا كان اللّباس من الحيوان يشترط فيه خصوصية وجودية من كونه من مأكول اللّحم، و يكون جواز الصلاة في القطن و الكتّان من باب السالبة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حيث كان الالتزام الأول بلا موجب و لم يقم عليه دليل التزم بعض من قال بالشرطية إلى الثاني،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مقصور بما إذا كان اللّباس من أجزاء الحيوان، و يكون الجواز بالنسبة إلى غير ذلك من باب السالبة بانتفاء الموضوع، مع أنّ السلب بانتفاء الموضوع خلاف القضايا المتداولة في العلوم، فإنّ الأصل في السلب أن يكون بانتفاء المحمول، و سيأتي الإشارة إليه في طيّ المباحث الآتية إن شاء 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السلب بانتفاء الموضوع خلاف الظاهر، و لا يصار إليه إلّا من باب اللابدّية كما في المقام، بناء على قيام الدليل القطعي على شرطية المأكول، إلّا أنّ الشأن في قيام الدليل على ذلك</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لم يقم في المقام دليل على ذلك، لما عرفت من أنّ دلالة رواية ابن بكير </w:t>
      </w:r>
      <w:r>
        <w:rPr>
          <w:rStyle w:val="FootnoteAnchor"/>
          <w:rtl w:val="true"/>
        </w:rPr>
        <w:footnoteReference w:id="416"/>
      </w:r>
      <w:r>
        <w:rPr>
          <w:rFonts w:ascii="Amiri" w:hAnsi="Amiri" w:eastAsia="Amiri" w:cs="Amiri"/>
          <w:color w:val="111111"/>
          <w:sz w:val="28"/>
          <w:sz w:val="28"/>
          <w:szCs w:val="28"/>
          <w:rtl w:val="true"/>
          <w:lang w:bidi="ar-SA"/>
        </w:rPr>
        <w:t xml:space="preserve">على الشرطية يتوقّف على جعل الجملة الفعلية للتأسّي، و كونها ناظرة إلى الصلاة قبل وقوعها، و 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أحلّ اللّٰه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للغير لا بيانا لأحد أفراده، و في جميع هذه المقدّمات الثلاثة نظر، و على تقدير التسليم فغايته تعارض الصدر مع الذيل، فإن صدر الرواية ظاهر في المانعية و ذيلها ظاهر في الشرطية،</w:t>
      </w:r>
      <w:bookmarkStart w:id="292" w:name="pg19820_206690"/>
    </w:p>
    <w:p>
      <w:pPr>
        <w:pStyle w:val="BookText"/>
        <w:rPr/>
      </w:pPr>
      <w:bookmarkEnd w:id="292"/>
      <w:r>
        <w:rPr>
          <w:rFonts w:ascii="Amiri" w:hAnsi="Amiri" w:eastAsia="Amiri" w:cs="Amiri"/>
          <w:color w:val="111111"/>
          <w:sz w:val="28"/>
          <w:sz w:val="28"/>
          <w:szCs w:val="28"/>
          <w:rtl w:val="true"/>
          <w:lang w:bidi="ar-SA"/>
        </w:rPr>
        <w:t>فيتعارضان و تسقط هذه الرواية عن صلاحية التمسّك بها على كلا الطرفين من الشرطية و المانعية، و يبقى في المقام أدلّة المانعية الصريحة المعلّلة سالمة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الباب مطبقة على المانعية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فيقع الكلام حينئذ في أنّ المانعية المستفادة من الأدلّة هل هي المانعية المطلقة الواقعية التي لا دخل للعلم و الجهل بها، أو أنّ مانعيّتها مقصورة بصورة العلم بالموضوع؟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مانعية غير المأكول من الموانع الواقعية، أو من الموانع العلمية كالنجاسة، بحيث لو صلّى في غير المأكول جهلا كانت صلاته واقعا صحيحة، و هذا بخلاف ما لو كانت المانعية واقعية فإنّ مقتضى القاعدة الأولية بطلان الصلاة إلّا أن يقوم دليل على الإجزاء؟</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قيل بأنّ المانعية في المقام علميّة لا واقعية،</w:t>
      </w:r>
    </w:p>
    <w:p>
      <w:pPr>
        <w:pStyle w:val="Heading6"/>
        <w:numPr>
          <w:ilvl w:val="5"/>
          <w:numId w:val="1"/>
        </w:numPr>
        <w:rPr/>
      </w:pPr>
      <w:bookmarkStart w:id="293" w:name="__RefHeading___Toc3360176_2314609296"/>
      <w:bookmarkStart w:id="294" w:name="_Toc115"/>
      <w:bookmarkEnd w:id="293"/>
      <w:r>
        <w:rPr>
          <w:rtl w:val="true"/>
        </w:rPr>
        <w:t>و أقصى ما يمكن أن يستدلّ به على ذلك أحد أمور</w:t>
      </w:r>
      <w:r>
        <w:rPr>
          <w:rtl w:val="true"/>
        </w:rPr>
        <w:t>:</w:t>
      </w:r>
      <w:bookmarkEnd w:id="294"/>
    </w:p>
    <w:p>
      <w:pPr>
        <w:pStyle w:val="Heading6"/>
        <w:numPr>
          <w:ilvl w:val="5"/>
          <w:numId w:val="1"/>
        </w:numPr>
        <w:rPr/>
      </w:pPr>
      <w:bookmarkStart w:id="295" w:name="__RefHeading___Toc3360178_2314609296"/>
      <w:bookmarkStart w:id="296" w:name="_Toc116"/>
      <w:bookmarkEnd w:id="295"/>
      <w:r>
        <w:rPr>
          <w:rtl w:val="true"/>
        </w:rPr>
        <w:t>الأول</w:t>
      </w:r>
      <w:r>
        <w:rPr>
          <w:rtl w:val="true"/>
        </w:rPr>
        <w:t xml:space="preserve">: </w:t>
      </w:r>
      <w:r>
        <w:rPr>
          <w:rtl w:val="true"/>
        </w:rPr>
        <w:t>هو دعوى أخذ العلم في مداليل الألفاظ وضعا و انصرافا</w:t>
      </w:r>
      <w:r>
        <w:rPr>
          <w:rtl w:val="true"/>
        </w:rPr>
        <w:t>.</w:t>
      </w:r>
      <w:bookmarkEnd w:id="296"/>
    </w:p>
    <w:p>
      <w:pPr>
        <w:pStyle w:val="BookText"/>
        <w:rPr/>
      </w:pPr>
      <w:r>
        <w:rPr>
          <w:rFonts w:ascii="Amiri" w:hAnsi="Amiri" w:eastAsia="Amiri" w:cs="Amiri"/>
          <w:color w:val="111111"/>
          <w:sz w:val="28"/>
          <w:sz w:val="28"/>
          <w:szCs w:val="28"/>
          <w:rtl w:val="true"/>
          <w:lang w:bidi="ar-SA"/>
        </w:rPr>
        <w:t>و هذه الدعوى بمكان من الغرابة و الفساد، بداهة أنّ لفظ الخمر و الخلّ و المأكول و غير المأكول لم يوضع إلّا لنفس الخمر و الخلّ الواقعي من دون دخل للعلم و الجهل به، و لا وجه لانصرافه إلى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الدعوى ممّا لا يمكن المساعدة عليها، و كانت في هذا الزمان من الدعاوي المهجورة</w:t>
      </w:r>
      <w:r>
        <w:rPr>
          <w:rFonts w:eastAsia="Amiri" w:cs="Amiri" w:ascii="Amiri" w:hAnsi="Amiri"/>
          <w:color w:val="111111"/>
          <w:sz w:val="28"/>
          <w:szCs w:val="28"/>
          <w:rtl w:val="true"/>
          <w:lang w:bidi="ar-SA"/>
        </w:rPr>
        <w:t>.</w:t>
      </w:r>
    </w:p>
    <w:p>
      <w:pPr>
        <w:pStyle w:val="Heading6"/>
        <w:numPr>
          <w:ilvl w:val="5"/>
          <w:numId w:val="1"/>
        </w:numPr>
        <w:rPr/>
      </w:pPr>
      <w:bookmarkStart w:id="297" w:name="__RefHeading___Toc3360180_2314609296"/>
      <w:bookmarkStart w:id="298" w:name="_Toc117"/>
      <w:bookmarkEnd w:id="297"/>
      <w:r>
        <w:rPr>
          <w:rtl w:val="true"/>
        </w:rPr>
        <w:t>الثاني</w:t>
      </w:r>
      <w:r>
        <w:rPr>
          <w:rtl w:val="true"/>
        </w:rPr>
        <w:t xml:space="preserve">: </w:t>
      </w:r>
      <w:r>
        <w:rPr>
          <w:rtl w:val="true"/>
        </w:rPr>
        <w:t>دعوى دلالة رواية عبد الرحمن على ذلك</w:t>
      </w:r>
      <w:bookmarkEnd w:id="29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 سألت أبا عبد اللّٰه عليه السّلام عن رجل يصلّي و في ثوبه عذرة من إنسان أو سنور أو كلب، أ يعيد صلاته؟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لم يعلم فلا يعيد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الدلالة هو أنّه لا إشكال في عدم الفرق بين أجزاء غير المأكول من الأجزاء النجسة و غيرها في المانعية، بل مانعية الأجزاء النجسة تكون أشدّ و أولى، فإذا كانت مانعية عذرة الكلب و السنور مقصورة بصورة العلم حسب ما دلّت عليه الرواية حيث حكم الإمام عليه السّلام فيها بعدم الإعادة عند الجهل، فمانعية غير العذرة من سائر أجزاء السنور و الكلب يكون أولى بقصرها بصورة العلم،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عليك أنّ الاستدلال بهذه الرواية على قصر المانعية بصورة العلم يتوقّف على دعوى عدم الفرق بين الصلاة الواقعة في غير المأكول باعتقاد عدم وقوعها فيه أو الغفلة عن ذلك، و بين الصلاة مع الشكّ في المأكولية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دلّت على عدم إعادة الصلاة عند وقوعها في غير المأكول جهلا بزعم أنّه من المأكول أو الغفلة عن ذلك، و أين هذا ممّا نحن فيه من جواز إيقاع الصلاة في المشكوك كونه من المأكول جوازا واقعيّا، بحيث لا يضرّ انكشاف الخلاف لو صلّى فيه و الحال هذه، و يكون من قبيل انقلاب الموضوع إلى موضوع آخر؟</w:t>
      </w:r>
    </w:p>
    <w:p>
      <w:pPr>
        <w:pStyle w:val="BookText"/>
        <w:rPr/>
      </w:pPr>
      <w:r>
        <w:rPr>
          <w:rFonts w:ascii="Amiri" w:hAnsi="Amiri" w:eastAsia="Amiri" w:cs="Amiri"/>
          <w:color w:val="111111"/>
          <w:sz w:val="28"/>
          <w:sz w:val="28"/>
          <w:szCs w:val="28"/>
          <w:rtl w:val="true"/>
          <w:lang w:bidi="ar-SA"/>
        </w:rPr>
        <w:t>فهذه الرواية أجنبية عمّا نحن فيه، بل لو قلنا فيما نحن فيه بالجواز من جهة اقتضاء الأصول العملية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المختار و سيأتي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الإجزاء عند انكشاف الخلاف بعد الصلاة يحتاج إلى دليل آخر غير هذه الرواية، فإنّ هذه الرواية قد تضمّنت للإجزاء و عدم الإعادة بقيدين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انكشاف الخلاف بعد وقوع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إيقاع الصلاة في غير المأكول بزعم أنّه من المأكول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نحن فيه من جواز إيقاع الصلاة مع الشكّ في المأكولية قبل الصلاة جوازا واقعيّا يكون كلا القيدين اللذين اعتبرا في الرواية منتفيا، و لو قلنا بالجواز الظاهري حسب ما تقتضيه الأصول العملية مع الشكّ في المأكولية قبل الصلاة،</w:t>
      </w:r>
    </w:p>
    <w:p>
      <w:pPr>
        <w:pStyle w:val="BookText"/>
        <w:rPr/>
      </w:pPr>
      <w:r>
        <w:rPr>
          <w:rFonts w:ascii="Amiri" w:hAnsi="Amiri" w:eastAsia="Amiri" w:cs="Amiri"/>
          <w:color w:val="111111"/>
          <w:sz w:val="28"/>
          <w:sz w:val="28"/>
          <w:szCs w:val="28"/>
          <w:rtl w:val="true"/>
          <w:lang w:bidi="ar-SA"/>
        </w:rPr>
        <w:t>كان عند انكشاف الخلاف القيد الثاني اللذين اعتبرا في الرواية منتفيا، فلا بدّ من التماس دليل آخر يدلّ على الإجزاء و عدم الإعادة عند انكشاف الخلاف، بناء على جواز الصلاة في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الرواية لا تدلّ لا على أصل الجواز في المشكوك، و لا على عدم الإعادة عند انكشاف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الصلاة الواقعة في غير المأكول مع الجهل به مشتملة على المصلحة و ما هو ملاك الحكم، كما يكشف عنه هذه الرواية الدالّة على الإجزاء و عدم الإعادة، فما المانع من إيقاع الصلاة مع الجهل بالمأكولية و لو شكّا، لأنّه على فرض كون المشكوك من غير المأكول واقعا لا يضرّ باشتمال الصلاة على المصلحة و ما هو ملاك الأمر؟ فهذه الرواية دليل على اشتمال الصلاة على المصلحة و إن وقعت في غير المأكول جهلا، من غير فرق بين أقسام الجهل من الغفلة و اعتقاد المأكولية و الشكّ فيها، فإنّ العبرة بعدم العلم بغير المأكولية كما هو مفروض الرواية، و عدم العلم متحقّق في جميع أقسام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الرواية و إن دلّت على اشتمال الصلاة الواقعة في غير المأكول جهلا على المصلحة و الملاك، إلّا أنّ مجرّد اشتمال الصلاة الواقعة امتثالا للأمر الواقعي المتعلّق بها على المصلحة لا يلازم اشتمال الصلاة على المصلحة مع الشكّ في المأكولية قبل فعلها، فإنّه لو قام الدليل على أنّ الشي‌ء الواقع في مرحلة امتثال المأمور به الذي هو متأخّر عن رتبة الأمر و في طوله مشتمل على ما هو مصلحة المأمور به في هذا الحال و بهذا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بوصف وقوعه امتثالا عمّا هو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التعدّي عنه و القول بأنّ ذلك الشي‌ء قبل وقوعه بوصف الامتثال مشتملا على المصلحة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قام دليل آخر على اشتمال الشي‌ء و لو قبل وقوعه بوصف الامتثال على المصلحة لكان الأمر كما ذكر، إلّا أنّ الشأن في قيام الدليل على ذلك، فإنّه</w:t>
      </w:r>
      <w:bookmarkStart w:id="299" w:name="pg19820_206693"/>
    </w:p>
    <w:p>
      <w:pPr>
        <w:pStyle w:val="BookText"/>
        <w:rPr/>
      </w:pPr>
      <w:bookmarkEnd w:id="299"/>
      <w:r>
        <w:rPr>
          <w:rFonts w:ascii="Amiri" w:hAnsi="Amiri" w:eastAsia="Amiri" w:cs="Amiri"/>
          <w:color w:val="111111"/>
          <w:sz w:val="28"/>
          <w:sz w:val="28"/>
          <w:szCs w:val="28"/>
          <w:rtl w:val="true"/>
          <w:lang w:bidi="ar-SA"/>
        </w:rPr>
        <w:t>لم يقم دليل على اشتمال الصلاة في مشكوك المأكولية على الملاك قبل إيقاعها، حتّى يقال بالتخيير بين وقوع الصلاة في المأكول و وقوعها في مشكوك المأكولية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إنّما تدلّ على اشتمال الصلاة الواقعة في غير المأكول جهلا امتثالا لأمرها على المصلحة، و هذا لا يلازم اشتمال الصلاة في مشكوك المأكولية قبل إيقاعها بوصف الامتثال على المصلحة، حتّى يقال بأنّ المانعية في المقام علمية لا واقعية</w:t>
      </w:r>
      <w:r>
        <w:rPr>
          <w:rFonts w:eastAsia="Amiri" w:cs="Amiri" w:ascii="Amiri" w:hAnsi="Amiri"/>
          <w:color w:val="111111"/>
          <w:sz w:val="28"/>
          <w:szCs w:val="28"/>
          <w:rtl w:val="true"/>
          <w:lang w:bidi="ar-SA"/>
        </w:rPr>
        <w:t>.</w:t>
      </w:r>
    </w:p>
    <w:p>
      <w:pPr>
        <w:pStyle w:val="Heading6"/>
        <w:numPr>
          <w:ilvl w:val="5"/>
          <w:numId w:val="1"/>
        </w:numPr>
        <w:rPr/>
      </w:pPr>
      <w:bookmarkStart w:id="300" w:name="__RefHeading___Toc3360182_2314609296"/>
      <w:bookmarkStart w:id="301" w:name="_Toc118"/>
      <w:bookmarkEnd w:id="300"/>
      <w:r>
        <w:rPr>
          <w:rtl w:val="true"/>
        </w:rPr>
        <w:t>الثالث</w:t>
      </w:r>
      <w:r>
        <w:rPr>
          <w:rtl w:val="true"/>
        </w:rPr>
        <w:t xml:space="preserve">: </w:t>
      </w:r>
      <w:r>
        <w:rPr>
          <w:rtl w:val="true"/>
        </w:rPr>
        <w:t>دعوى اختصاص أدلّة الباب بصورة العلم بغير المأكولية</w:t>
      </w:r>
      <w:r>
        <w:rPr>
          <w:rtl w:val="true"/>
        </w:rPr>
        <w:t>.</w:t>
      </w:r>
      <w:bookmarkEnd w:id="301"/>
    </w:p>
    <w:p>
      <w:pPr>
        <w:pStyle w:val="BookText"/>
        <w:rPr/>
      </w:pPr>
      <w:r>
        <w:rPr>
          <w:rFonts w:ascii="Amiri" w:hAnsi="Amiri" w:eastAsia="Amiri" w:cs="Amiri"/>
          <w:color w:val="111111"/>
          <w:sz w:val="28"/>
          <w:sz w:val="28"/>
          <w:szCs w:val="28"/>
          <w:rtl w:val="true"/>
          <w:lang w:bidi="ar-SA"/>
        </w:rPr>
        <w:t>و قد نسبت هذه الدعوى إلى المحقق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يظهر وجه اختصاص الأدلّة بذلك بعد عدم أخذ قيد العلم فيها، اللّٰهم إلّا أن يكون غرضه من أدلّة الباب هي الرواية المتقدّمة، و قد عرفت أنّها أجنبية عن الدلالة على ذلك</w:t>
      </w:r>
      <w:r>
        <w:rPr>
          <w:rFonts w:eastAsia="Amiri" w:cs="Amiri" w:ascii="Amiri" w:hAnsi="Amiri"/>
          <w:color w:val="111111"/>
          <w:sz w:val="28"/>
          <w:szCs w:val="28"/>
          <w:rtl w:val="true"/>
          <w:lang w:bidi="ar-SA"/>
        </w:rPr>
        <w:t>.</w:t>
      </w:r>
    </w:p>
    <w:p>
      <w:pPr>
        <w:pStyle w:val="Heading6"/>
        <w:numPr>
          <w:ilvl w:val="5"/>
          <w:numId w:val="1"/>
        </w:numPr>
        <w:rPr/>
      </w:pPr>
      <w:bookmarkStart w:id="302" w:name="__RefHeading___Toc3360184_2314609296"/>
      <w:bookmarkStart w:id="303" w:name="_Toc119"/>
      <w:bookmarkEnd w:id="302"/>
      <w:r>
        <w:rPr>
          <w:rtl w:val="true"/>
        </w:rPr>
        <w:t>الرابع</w:t>
      </w:r>
      <w:r>
        <w:rPr>
          <w:rtl w:val="true"/>
        </w:rPr>
        <w:t xml:space="preserve">: </w:t>
      </w:r>
      <w:r>
        <w:rPr>
          <w:rtl w:val="true"/>
        </w:rPr>
        <w:t>دعوى عدم إطلاق أدلّة الباب بحيث يعمّ صورة العلم و الجهل</w:t>
      </w:r>
      <w:r>
        <w:rPr>
          <w:rtl w:val="true"/>
        </w:rPr>
        <w:t>.</w:t>
      </w:r>
      <w:bookmarkEnd w:id="303"/>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رواية ابن بكير </w:t>
      </w:r>
      <w:r>
        <w:rPr>
          <w:rStyle w:val="FootnoteAnchor"/>
          <w:rtl w:val="true"/>
        </w:rPr>
        <w:footnoteReference w:id="418"/>
      </w:r>
      <w:r>
        <w:rPr>
          <w:rFonts w:ascii="Amiri" w:hAnsi="Amiri" w:eastAsia="Amiri" w:cs="Amiri"/>
          <w:color w:val="111111"/>
          <w:sz w:val="28"/>
          <w:sz w:val="28"/>
          <w:szCs w:val="28"/>
          <w:rtl w:val="true"/>
          <w:lang w:bidi="ar-SA"/>
        </w:rPr>
        <w:t>و أمثالها في غاية القوّة من الإطلاق، و لم يظهر لنا في سائر أبواب الفقه إطلاق أقوى من إطلاق أدلّة الباب</w:t>
      </w:r>
      <w:r>
        <w:rPr>
          <w:rFonts w:eastAsia="Amiri" w:cs="Amiri" w:ascii="Amiri" w:hAnsi="Amiri"/>
          <w:color w:val="111111"/>
          <w:sz w:val="28"/>
          <w:szCs w:val="28"/>
          <w:rtl w:val="true"/>
          <w:lang w:bidi="ar-SA"/>
        </w:rPr>
        <w:t>.</w:t>
      </w:r>
    </w:p>
    <w:p>
      <w:pPr>
        <w:pStyle w:val="Heading6"/>
        <w:numPr>
          <w:ilvl w:val="5"/>
          <w:numId w:val="1"/>
        </w:numPr>
        <w:rPr/>
      </w:pPr>
      <w:bookmarkStart w:id="304" w:name="__RefHeading___Toc3360186_2314609296"/>
      <w:bookmarkStart w:id="305" w:name="_Toc120"/>
      <w:bookmarkEnd w:id="304"/>
      <w:r>
        <w:rPr>
          <w:rtl w:val="true"/>
        </w:rPr>
        <w:t>الخامس</w:t>
      </w:r>
      <w:r>
        <w:rPr>
          <w:rtl w:val="true"/>
        </w:rPr>
        <w:t xml:space="preserve">: </w:t>
      </w:r>
      <w:r>
        <w:rPr>
          <w:rtl w:val="true"/>
        </w:rPr>
        <w:t>دعوى قصر القيدية المستفادة من الخطابات الغيرية بصورة العلم</w:t>
      </w:r>
      <w:r>
        <w:rPr>
          <w:rtl w:val="true"/>
        </w:rPr>
        <w:t>.</w:t>
      </w:r>
      <w:bookmarkEnd w:id="305"/>
    </w:p>
    <w:p>
      <w:pPr>
        <w:pStyle w:val="BookText"/>
        <w:rPr/>
      </w:pPr>
      <w:r>
        <w:rPr>
          <w:rFonts w:ascii="Amiri" w:hAnsi="Amiri" w:eastAsia="Amiri" w:cs="Amiri"/>
          <w:color w:val="111111"/>
          <w:sz w:val="28"/>
          <w:sz w:val="28"/>
          <w:szCs w:val="28"/>
          <w:rtl w:val="true"/>
          <w:lang w:bidi="ar-SA"/>
        </w:rPr>
        <w:t>و هذه الدعوى أيضا نسبت إلى المحقّق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مرجع هذه الدعوى إلى دعويين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أنّ الخطابات الغيرية المسوقة لبيان الشرطية و المانعية مشروطة بكلّ ما يشترط به الخطاب النفسي من الوجوبي و التحريمي، فكلّ شرط اعتبر في حسن الخطاب النفسي فهو معتبر في حسن الخطاب الغيري أيضا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أنّ العلم بالموضوع من شرائط حسن الخطاب، كما أنّ القدرة على المتعلّق من شرائط حسن الخطاب، و لذا نسب إلى بعض الأعلام اشتراط</w:t>
      </w:r>
    </w:p>
    <w:p>
      <w:pPr>
        <w:pStyle w:val="BookText"/>
        <w:rPr/>
      </w:pPr>
      <w:r>
        <w:rPr>
          <w:rFonts w:ascii="Amiri" w:hAnsi="Amiri" w:eastAsia="Amiri" w:cs="Amiri"/>
          <w:color w:val="111111"/>
          <w:sz w:val="28"/>
          <w:sz w:val="28"/>
          <w:szCs w:val="28"/>
          <w:rtl w:val="true"/>
          <w:lang w:bidi="ar-SA"/>
        </w:rPr>
        <w:t xml:space="preserve">القيدية المستفادة من الأوامر الغيرية بالقدرة عليها، بحيث إنّه إذا عجز عنها فالقيدية ساقطة، و يجب الإتيان بالمقيّد خاليا عن القيد، من دون أن يكون العجز عن القيد موجبا لسقوط المقيّد أيضا كما هو كذلك فيما إذا استفيدت القيدية من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بالطهور</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حيث إنّ العجز عن الطهور موجب لسقوط الصلاة أيضا بحسب القاعدة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بخلاف القيدية المستفادة من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فيما لا 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ذلك من الخطابات الغيرية، فإنّ الخطاب الغيري كالخطاب النفسي حسنه مشروط بالقدرة على متعلّقه، فإذا عجز عن متعلّقه فالخطاب ساقط و القيدية المستفادة منه تستتبعه في السقوط و حينئذ لا موجب لسقوط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المحقّق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 العلم على القدرة، و جعل العلم أيضا من شرائط حسن الخطاب كالقدرة، و لعلّ الذي أوقعه في هذا هو عدّ العلم من الشرائط العامّة كالقدرة، فكلّ خطاب مشروط بالقدرة فهو مشروط بالعلم أيضا، و عليه يكون المانعية المستفادة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غير 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مقصورة بصورة العلم بغير المأكولية،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عليك ما في هذه الدعوى من المناقشة من وجوه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تقدير تسليم هذه الدعوى و الغضّ عمّا سيأتي، فأقصى ما تقتضيه هذه الدعوى هو قصر المانعية المستفادة من الخطابات الغيرية الواردة في أدلّة الباب بصورة العلم بالموضوع، و أمّا المانعية المستفادة من الوضع كقوله عليه السّلام في رواية ابن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فالصلاة فيه فاسدة</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و أمثال ذلك فلا يمكن</w:t>
      </w:r>
    </w:p>
    <w:p>
      <w:pPr>
        <w:pStyle w:val="BookText"/>
        <w:rPr/>
      </w:pPr>
      <w:r>
        <w:rPr>
          <w:rFonts w:ascii="Amiri" w:hAnsi="Amiri" w:eastAsia="Amiri" w:cs="Amiri"/>
          <w:color w:val="111111"/>
          <w:sz w:val="28"/>
          <w:sz w:val="28"/>
          <w:szCs w:val="28"/>
          <w:rtl w:val="true"/>
          <w:lang w:bidi="ar-SA"/>
        </w:rPr>
        <w:t>قصرها بصورة العلم، فإنّه لا يكون هناك خطاب حتّى يقال باشتراط حسنه بصورة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اعتبار القدرة في الأوامر الغيرية و جعلها من شرائط حسن الخطاب الغيري كالخطاب النفسي ممّا لا وجه له، بعد ما كان الخطاب الغيري في باب متعلّقات التكاليف كالخطاب الغيري في باب الوضع و الأسباب إنّما يكون لمحض الإرشاد و بيان مدخلية القيد في تحقّق الملاك في المقيّد، فليس فيه جهة بعث و مولوية حتّى يكون حسنه مشروطا بالقدرة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 تسليم الفرق بين الخطاب الغيري في باب متعلّقات التكاليف و الخطاب الغيري في باب الأسباب و الوضع، و أنّ الخطاب الغيري في الأول له جهة مولوية و بعث، فمن المعلوم أنّ جهة المولوية المستفادة من الخطاب إنّما هو من جهة تعلّق الطلب المولوي بالمركّب من هذا القيد المستفاد من الخطاب الغيري، و من سائر الأجزاء و القيود الأخر المستفادة من الخطابات الأخر، و إلّا فنفس هذا القيد لم يتعلّق به خطاب مولوي مستقلّ، و إلّا كان واجبا مستقلا و خرج عن كونه قيدا، فليس هناك إلّا خطاب واحد مستقل مولوي، و القدرة المعتبرة في حسن الخطاب إنّما هي القدرة على جميع المقيّد مع القيود، فاللّازم هو سقوط أصل الخطاب المولوي عند العجز عن متعلّقه و لو بواسطة العجز عن بعض قيوده، و قد أطلنا الكلام في ذلك في التنبيه الثاني من تنبيهات مبحث الاشتغال في الأصول فراجع</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قياس العلم على القدرة و جعله من شرائط حسن الخطاب مما لا وجه له، و مجرّد عدّ العلم كالقدرة من الشرائط العامّة لا دلالة له على كون العلم من شرائط حسن الخطاب، بل شرطية العلم يختلف مع القدرة، فإنّ القدرة من شرائط حسن الخطاب لقبح تكليف العاجز عقلا، و أمّا العلم فإنّما هو من شرائط</w:t>
      </w:r>
      <w:bookmarkStart w:id="306" w:name="pg19820_206696"/>
    </w:p>
    <w:p>
      <w:pPr>
        <w:pStyle w:val="BookText"/>
        <w:rPr/>
      </w:pPr>
      <w:bookmarkEnd w:id="306"/>
      <w:r>
        <w:rPr>
          <w:rFonts w:ascii="Amiri" w:hAnsi="Amiri" w:eastAsia="Amiri" w:cs="Amiri"/>
          <w:color w:val="111111"/>
          <w:sz w:val="28"/>
          <w:sz w:val="28"/>
          <w:szCs w:val="28"/>
          <w:rtl w:val="true"/>
          <w:lang w:bidi="ar-SA"/>
        </w:rPr>
        <w:t>تنجّز الخطاب كما لا يخفى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اختصاص القيدية المستفادة من أدلّة الباب بصورة العلم بالموضوع ممّا لا وجه لها</w:t>
      </w:r>
      <w:r>
        <w:rPr>
          <w:rFonts w:eastAsia="Amiri" w:cs="Amiri" w:ascii="Amiri" w:hAnsi="Amiri"/>
          <w:color w:val="111111"/>
          <w:sz w:val="28"/>
          <w:szCs w:val="28"/>
          <w:rtl w:val="true"/>
          <w:lang w:bidi="ar-SA"/>
        </w:rPr>
        <w:t>.</w:t>
      </w:r>
    </w:p>
    <w:p>
      <w:pPr>
        <w:pStyle w:val="Heading6"/>
        <w:numPr>
          <w:ilvl w:val="5"/>
          <w:numId w:val="1"/>
        </w:numPr>
        <w:rPr/>
      </w:pPr>
      <w:bookmarkStart w:id="307" w:name="__RefHeading___Toc3360188_2314609296"/>
      <w:bookmarkStart w:id="308" w:name="_Toc121"/>
      <w:bookmarkEnd w:id="307"/>
      <w:r>
        <w:rPr>
          <w:rtl w:val="true"/>
        </w:rPr>
        <w:t>السادس</w:t>
      </w:r>
      <w:r>
        <w:rPr>
          <w:rtl w:val="true"/>
        </w:rPr>
        <w:t xml:space="preserve">: </w:t>
      </w:r>
      <w:r>
        <w:rPr>
          <w:rtl w:val="true"/>
        </w:rPr>
        <w:t>دعوى دلالة إطلاقات أدلّة جواز الصلاة في كلّ لباس على جواز الصلاة في المشكوك</w:t>
      </w:r>
      <w:bookmarkEnd w:id="308"/>
    </w:p>
    <w:p>
      <w:pPr>
        <w:pStyle w:val="BookText"/>
        <w:rPr/>
      </w:pPr>
      <w:r>
        <w:rPr>
          <w:rFonts w:ascii="Amiri" w:hAnsi="Amiri" w:eastAsia="Amiri" w:cs="Amiri"/>
          <w:color w:val="111111"/>
          <w:sz w:val="28"/>
          <w:sz w:val="28"/>
          <w:szCs w:val="28"/>
          <w:rtl w:val="true"/>
          <w:lang w:bidi="ar-SA"/>
        </w:rPr>
        <w:t>، و القدر الخارج منها هو صورة العلم يكون اللّباس من غير المأكول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يظهر لنا بعد دليل يدلّ على جواز الصلاة في كلّ لباس و لو بالإطلاق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الخارج عن تحت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عنوان غير المأكول الواقعي، فيكون التمسّك بالإطلاقات على جواز الصلاة في المشكوك من باب التمسّك بالعام في الشبهة المصداقية، و قد تبيّن في محلّه فساد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أنّه لا محيص عن القول بأنّ المانعية في المقام هي المانعية الواقعية التي لا يتفاوت الحال فيها بين العلم بالموضوع و الجهل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فالذي ينبغي تحريره في المقام هو تحرير مرجع الشبهة، و أنّه عند الشكّ في المأكولية و عدمها هل الأصل العملي يقتضي جواز الصلاة في المشكوك، أو أنّ الأصل العملي يقتضي عدم جواز الصلاة فيه؟ و تعيين الأصل الجاري في الشبهة و أنّه أي أصل يجري و أي أصل لا يجري؟</w:t>
      </w:r>
    </w:p>
    <w:p>
      <w:pPr>
        <w:pStyle w:val="BookText"/>
        <w:rPr/>
      </w:pPr>
      <w:r>
        <w:rPr>
          <w:rFonts w:ascii="Amiri" w:hAnsi="Amiri" w:eastAsia="Amiri" w:cs="Amiri"/>
          <w:color w:val="111111"/>
          <w:sz w:val="28"/>
          <w:sz w:val="28"/>
          <w:szCs w:val="28"/>
          <w:rtl w:val="true"/>
          <w:lang w:bidi="ar-SA"/>
        </w:rPr>
        <w:t>و قبل الخوض في ذلك ينبغي تمهيد مقدّمة، و هي أنّه كلامنا في تحرير مرجع الشبهة في المشكوك إنّما هو بعد الفراغ عن جريان البراءة في باب الارتباطيّات في متعلّقات التكاليف، سواء قلنا بالبراءة العقلية و الشرعية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مختار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أو قلنا بالبراءة الشرعية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مختارنا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إلّا فلو قلنا في باب الارتباطيات بالاشتغال و عدم جريان البراءة الشرعية</w:t>
      </w:r>
    </w:p>
    <w:p>
      <w:pPr>
        <w:pStyle w:val="BookText"/>
        <w:rPr/>
      </w:pPr>
      <w:r>
        <w:rPr>
          <w:rFonts w:ascii="Amiri" w:hAnsi="Amiri" w:eastAsia="Amiri" w:cs="Amiri"/>
          <w:color w:val="111111"/>
          <w:sz w:val="28"/>
          <w:sz w:val="28"/>
          <w:szCs w:val="28"/>
          <w:rtl w:val="true"/>
          <w:lang w:bidi="ar-SA"/>
        </w:rPr>
        <w:t>و العقلية فيها فينهدم أساس تحرير الأصل في المقام، و لم يبق محلّ للتكلّم عن الأصل الجاري في المشكوك، بداهة أنّه لو قلنا عند دوران الأمر بين الأقل و الأكثر في باب متعلّقات التكاليف بالاشتغال و الرجوع إلى الشكّ في الامتثال، فيكون القول بالاشتغال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تردّد الموضوع الخارجي بين المأكولية 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يرجع إلى الأقل و الأكثر في باب موضوعات 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سنوضّحه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و رجوع الشبهة في المقام إلى الشكّ في الامتثال أشدّ، لأنّ بعض من قال بالبراءة عند دوران الأمر بين الأقل و الأكثر في باب متعلّقات التكاليف الارتباطية قال بالاشتغال في المقام، بتخيّل الفرق بين دوران الأمر بين الأقل و الأكثر في متعلّقات التكاليف، و بين دوران الأمر بينهما في موضوعات 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كلامنا في المقام إنّما هو بعد تسليم البراءة في باب الارتباطيّات عند دوران المتعلّق بين الأقل و الأكثر، حتّى يتمحّض الكلام في المقام في بيان تحقّق الفرق بين ما نحن فيه، و بين باب متعلّقات التكاليف، و عدم تحقّق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هذا على ذكر منك حتّى لا تشكل علينا في أثناء تحرير الأصل الجاري في المشكوك بما يرجع إلى إنكار جريان البراءة في باب الارتباطيّات عند تردّد متعلّق التكليف بين الأقل 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أيضا أن يعلم أنّ السرّ في جريان البراءة في الارتباطيّات ليس إلّا أنّ وجود الارتباطية كعدمها، و أنّ ما هو مناط جريان البراءة في التكاليف الاستقلالية عند دورانها بين الأقل 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كالدين المردّد بين أن يكون عشرة دراهم أو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بعينه جار في التكاليف الارتباطية أيضا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المناط في جريان البراءة في الاستقلاليّات ليس إلّا من جهة الشكّ في تعلّق التكليف بالأكثر، و في الارتباطيّات أيضا كذلك، فإنّ التكليف فيها و إن</w:t>
      </w:r>
      <w:bookmarkStart w:id="309" w:name="pg19820_206699"/>
    </w:p>
    <w:p>
      <w:pPr>
        <w:pStyle w:val="BookText"/>
        <w:rPr/>
      </w:pPr>
      <w:bookmarkEnd w:id="309"/>
      <w:r>
        <w:rPr>
          <w:rFonts w:ascii="Amiri" w:hAnsi="Amiri" w:eastAsia="Amiri" w:cs="Amiri"/>
          <w:color w:val="111111"/>
          <w:sz w:val="28"/>
          <w:sz w:val="28"/>
          <w:szCs w:val="28"/>
          <w:rtl w:val="true"/>
          <w:lang w:bidi="ar-SA"/>
        </w:rPr>
        <w:t>كان واحدا إلّا أنّه حيث كان منبسطا على أجزاء متعلّقه و شرائطه فكان لكلّ واحد من الأجزاء و الشرائط حظّ من ذلك التكليف و حصّة يخصّه، فإذا شكّ في وجوب شي‌ء جزء كان أو شرطا أو مانعا كان باعتبار ماله من الحصّة شكّ في التكليف، فتشمله أدلّة البراءة العقلية و الشرعية بناء على مسلك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خصوص البراءة الشرعية بناء على ما هو المختار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w:t>
      </w:r>
    </w:p>
    <w:p>
      <w:pPr>
        <w:pStyle w:val="Heading6"/>
        <w:numPr>
          <w:ilvl w:val="5"/>
          <w:numId w:val="1"/>
        </w:numPr>
        <w:rPr/>
      </w:pPr>
      <w:bookmarkStart w:id="310" w:name="__RefHeading___Toc3360190_2314609296"/>
      <w:bookmarkStart w:id="311" w:name="_Toc122"/>
      <w:bookmarkEnd w:id="310"/>
      <w:r>
        <w:rPr>
          <w:rtl w:val="true"/>
        </w:rPr>
        <w:t>الكلام في تحرير الأصل الجاري في المشكوك يقع في مقامات ثلاث</w:t>
      </w:r>
      <w:r>
        <w:rPr>
          <w:rtl w:val="true"/>
        </w:rPr>
        <w:t>:</w:t>
      </w:r>
      <w:bookmarkEnd w:id="311"/>
    </w:p>
    <w:p>
      <w:pPr>
        <w:pStyle w:val="Heading6"/>
        <w:numPr>
          <w:ilvl w:val="5"/>
          <w:numId w:val="1"/>
        </w:numPr>
        <w:rPr/>
      </w:pPr>
      <w:bookmarkStart w:id="312" w:name="__RefHeading___Toc3360192_2314609296"/>
      <w:bookmarkStart w:id="313" w:name="_Toc123"/>
      <w:bookmarkEnd w:id="312"/>
      <w:r>
        <w:rPr>
          <w:rtl w:val="true"/>
        </w:rPr>
        <w:t>اشارة</w:t>
      </w:r>
      <w:bookmarkEnd w:id="31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تنقيح جريان أصالة البراءة العامّة للشبهات الوجوبية و التحريمية و الحكمية و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تنقيح جريان أصالة الحلّ المختصّة بالشبهات التحريمية الموضوعية، أو تعمّ الحكمية أيضا على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الاستصحاب، و أنّه هل يمكن أن يكون المشكوك مجرى للاستصحاب بعد الفراغ عن كونه مجرى أصالة البراءة و أصالة الحلّ</w:t>
      </w:r>
      <w:r>
        <w:rPr>
          <w:rFonts w:eastAsia="Amiri" w:cs="Amiri" w:ascii="Amiri" w:hAnsi="Amiri"/>
          <w:color w:val="111111"/>
          <w:sz w:val="28"/>
          <w:szCs w:val="28"/>
          <w:rtl w:val="true"/>
          <w:lang w:bidi="ar-SA"/>
        </w:rPr>
        <w:t>.</w:t>
      </w:r>
    </w:p>
    <w:p>
      <w:pPr>
        <w:pStyle w:val="Heading6"/>
        <w:numPr>
          <w:ilvl w:val="5"/>
          <w:numId w:val="1"/>
        </w:numPr>
        <w:rPr/>
      </w:pPr>
      <w:bookmarkStart w:id="314" w:name="__RefHeading___Toc3360194_2314609296"/>
      <w:bookmarkStart w:id="315" w:name="_Toc124"/>
      <w:bookmarkEnd w:id="314"/>
      <w:r>
        <w:rPr>
          <w:rtl w:val="true"/>
        </w:rPr>
        <w:t>أمّا الكلام في المقام الأول</w:t>
      </w:r>
      <w:r>
        <w:rPr>
          <w:rtl w:val="true"/>
        </w:rPr>
        <w:t xml:space="preserve">: </w:t>
      </w:r>
      <w:r>
        <w:rPr>
          <w:rtl w:val="true"/>
        </w:rPr>
        <w:t>و هو في بيان جريان أصالة البراءة في المشكوك فتنقيحه يستدعي رسم أمور</w:t>
      </w:r>
      <w:r>
        <w:rPr>
          <w:rtl w:val="true"/>
        </w:rPr>
        <w:t>:</w:t>
      </w:r>
      <w:bookmarkEnd w:id="315"/>
    </w:p>
    <w:p>
      <w:pPr>
        <w:pStyle w:val="Heading6"/>
        <w:numPr>
          <w:ilvl w:val="5"/>
          <w:numId w:val="1"/>
        </w:numPr>
        <w:rPr/>
      </w:pPr>
      <w:bookmarkStart w:id="316" w:name="__RefHeading___Toc3360196_2314609296"/>
      <w:bookmarkStart w:id="317" w:name="_Toc125"/>
      <w:bookmarkEnd w:id="316"/>
      <w:r>
        <w:rPr>
          <w:rtl w:val="true"/>
        </w:rPr>
        <w:t>الأول</w:t>
      </w:r>
      <w:r>
        <w:rPr>
          <w:rtl w:val="true"/>
        </w:rPr>
        <w:t xml:space="preserve">: </w:t>
      </w:r>
      <w:r>
        <w:rPr>
          <w:rtl w:val="true"/>
        </w:rPr>
        <w:t>أنّ الأحكام الشرعية بعد ما كان لا محيص عن تعلّقها بفعل المكلّف،</w:t>
      </w:r>
      <w:bookmarkEnd w:id="317"/>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كان تحت قدرته و اختياره و ما هو فاعله و الصادر عنه، فإمّا أن لا يكون لها تعلّق بموضوع خارجي كالصلاة مثلا، حيث إنّ أجزاءها ليست إلّا أفعالا و أقوالا صادرة عن المكلّف من دون أن يكون تعلّق بموضوع خارجي، و كذا الكلام في الغناء و أمثال ذلك في المتعلّقات سواء كانت معروضة لحكم وجوبي أو لحكم تحريمي، و إمّا أن يكون لها تعلّق بموضوع خارجي، كوجوب إكرام العالم و حرمة شرب الخمر، و أمثال ذلك من التكاليف الوجوبية و التحريمية التي لها تعلّق</w:t>
      </w:r>
    </w:p>
    <w:p>
      <w:pPr>
        <w:pStyle w:val="BookText"/>
        <w:rPr/>
      </w:pPr>
      <w:r>
        <w:rPr>
          <w:rFonts w:ascii="Amiri" w:hAnsi="Amiri" w:eastAsia="Amiri" w:cs="Amiri"/>
          <w:color w:val="111111"/>
          <w:sz w:val="28"/>
          <w:sz w:val="28"/>
          <w:szCs w:val="28"/>
          <w:rtl w:val="true"/>
          <w:lang w:bidi="ar-SA"/>
        </w:rPr>
        <w:t>و ربط بموضوع خارجي، سواء كان الموضوع من الموضوعات التي يمكن للمكلّف إيجادها في الخارج و يجعلها في عالم الأعيان كالخمر مثلا، فإنه يمكن أن يوجده المكلّف في الخارج بأن يصنع و يعمل من التمر و الزبيب خمرا، أو كان من الموضوعات التي لا يمكن للمكلّف إيجادها في الخارج كحرمة وطء الام مثلا، إذ لا يعقل للمكلّف إيجاد ما تكون أمّا له، و كوجوب استقبال القبلة و أمثال ذلك من الموضوعات الخارجة عن تحت قدرة المكلّف و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على كلّ حال ما هو متعلّق التكليف و المخاطب به لا بدّ و أن يكون أمرا اختياريا للمكلّف، بحيث يمكن أن ينبعث عنه و يحرّك عضلاته نحوه، ففي مثل حرمة وطء الام ما هو متعلّق الحرمة و مورد التكليف ليس إلّا وقوع الوطء على الام، و أمّا كون المرأة اما فهذا غير قابل لتعلّق التكليف به، و كذلك وجوب الصلاة عند الزوال فإنّ ما هو مورد التكليف ليس إلّا إيقاع الصلاة عند تحقّق الزوال، و أمّا زواليّة الزوال و كون هذا الوقت زوالا فهو ممّا ليس تحت قدرة المكلّف و اختياره، و لا يمكن تعلّق التكليف به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التكليف إمّا أن يكون وجوديّا بمعنى أن يكون المطلوب هو وجود الشي‌ء، كالصلاة و الحجّ و إكرام العالم و أمثال ذلك، و إمّا ان يكون عدميّا بمعنى أن يكون المطلوب عدم تحقّق الشي‌ء في الخارج و عدم صدوره عن المكلّف، كالغناء و الغيبة و شرب الخمر 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منهما إمّا أن يكون له تعلّق بموضوع خارجي كإكرام العالم و شرب الخمر و أمثال ذلك، و إمّا أن لا يكون له تعلّق بموضوع خارجي كالصلاة و الغناء و أمثال ذلك</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 كان له تعلّق بموضوع خارجي فإمّا أن يكون الموضوع من الموضوعات التي يمكن للمكلّف إيجادها في الخارج كالخمر و العالم بناء على</w:t>
      </w:r>
      <w:bookmarkStart w:id="318" w:name="pg19820_206701"/>
    </w:p>
    <w:p>
      <w:pPr>
        <w:pStyle w:val="BookText"/>
        <w:rPr/>
      </w:pPr>
      <w:bookmarkEnd w:id="318"/>
      <w:r>
        <w:rPr>
          <w:rFonts w:ascii="Amiri" w:hAnsi="Amiri" w:eastAsia="Amiri" w:cs="Amiri"/>
          <w:color w:val="111111"/>
          <w:sz w:val="28"/>
          <w:sz w:val="28"/>
          <w:szCs w:val="28"/>
          <w:rtl w:val="true"/>
          <w:lang w:bidi="ar-SA"/>
        </w:rPr>
        <w:t>إمكان جعل الشخص عالما، و إمّا أن لا يمكن كالأم و القبلة و الوقت و أمثال ذلك</w:t>
      </w:r>
      <w:r>
        <w:rPr>
          <w:rFonts w:eastAsia="Amiri" w:cs="Amiri" w:ascii="Amiri" w:hAnsi="Amiri"/>
          <w:color w:val="111111"/>
          <w:sz w:val="28"/>
          <w:szCs w:val="28"/>
          <w:rtl w:val="true"/>
          <w:lang w:bidi="ar-SA"/>
        </w:rPr>
        <w:t>.</w:t>
      </w:r>
    </w:p>
    <w:p>
      <w:pPr>
        <w:pStyle w:val="Heading6"/>
        <w:numPr>
          <w:ilvl w:val="5"/>
          <w:numId w:val="1"/>
        </w:numPr>
        <w:rPr/>
      </w:pPr>
      <w:bookmarkStart w:id="319" w:name="__RefHeading___Toc3360198_2314609296"/>
      <w:bookmarkStart w:id="320" w:name="_Toc126"/>
      <w:bookmarkEnd w:id="319"/>
      <w:r>
        <w:rPr>
          <w:rtl w:val="true"/>
        </w:rPr>
        <w:t>الأمر الثاني</w:t>
      </w:r>
      <w:r>
        <w:rPr>
          <w:rtl w:val="true"/>
        </w:rPr>
        <w:t xml:space="preserve">: </w:t>
      </w:r>
      <w:r>
        <w:rPr>
          <w:rtl w:val="true"/>
        </w:rPr>
        <w:t>ما كان من التكليف الذي له تعلّق و ربط بموضوع خارجي</w:t>
      </w:r>
      <w:bookmarkEnd w:id="320"/>
    </w:p>
    <w:p>
      <w:pPr>
        <w:pStyle w:val="BookText"/>
        <w:rPr/>
      </w:pPr>
      <w:r>
        <w:rPr>
          <w:rFonts w:ascii="Amiri" w:hAnsi="Amiri" w:eastAsia="Amiri" w:cs="Amiri"/>
          <w:color w:val="111111"/>
          <w:sz w:val="28"/>
          <w:sz w:val="28"/>
          <w:szCs w:val="28"/>
          <w:rtl w:val="true"/>
          <w:lang w:bidi="ar-SA"/>
        </w:rPr>
        <w:t>، ففي عالم التصوّر و الثبوت يمكن أن يكون الملاك و المصلحة، التي اقتضت إنشاء الحكم و تشريعه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يثبت و يتحقّق بعد تحقّق الموضوع و وجوده في الخارج، بحيث يكون وجود الموضوع خارجا من شرائط تحقّق الملاك بحيث لا ملاك و لا مصلحة مع عدم تحقّقه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القدرة فإن أخذت شرطا شرعا في لسان الدليل،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قدرت فافعل كذا فهي أيضا لها دخل في تحقّق الملاك، إذ لو لم يكن لها دخل في ذلك لكان أخذها في لسان الدليل لغوا، لاستقلال العقل بقبح تكليف العاجز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بأنّه لا مانع من أخذها في لسان الدليل مع استقلال العقل باعتبارها في التكليف، و أيّ ملازمة بين القدرة المأخوذة في لسان الدليل من أن يكون لها دخل في تحقّق الملاك، أو أيّ مانع من بيان الشارع ما يستقلّ به العقل فاسد جدّا، فإنّ الظاهر في كلّ ما أخذ في لسان الدليل أن يكون أخذه من باب أنّ بيانه من وظيفة الشارع و ما هو شأن المولى في مقام إعمال المولوية، و القدرة إذا أخذت في لسان الدليل فالظاهر يقتضي أن يكون أخذها من جهة أنّ من وظيفته بيانها، و القدرة المعتبرة عقلا في التكليف ليس من وظيفة الشارع بما أنّه شارع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نفس أخذ القدرة في لسان الدليل يستكشف أنّها غير القدرة المعتبرة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لا محالة يكون لها دخل في تحقّق الملاك، لأنّ مع عدم دخلها في الملاك يكون اعتبارها في الدليل لغوا و عبثا كما لا يخفى</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هنا فرقا بين القدرة العقلية المعتبرة في التكليف و بين القدرة الشرعية</w:t>
      </w:r>
    </w:p>
    <w:p>
      <w:pPr>
        <w:pStyle w:val="BookText"/>
        <w:rPr/>
      </w:pPr>
      <w:r>
        <w:rPr>
          <w:rFonts w:ascii="Amiri" w:hAnsi="Amiri" w:eastAsia="Amiri" w:cs="Amiri"/>
          <w:color w:val="111111"/>
          <w:sz w:val="28"/>
          <w:sz w:val="28"/>
          <w:szCs w:val="28"/>
          <w:rtl w:val="true"/>
          <w:lang w:bidi="ar-SA"/>
        </w:rPr>
        <w:t>المأخوذة في لسان الدليل، فإنّ المعتبر في تحقّق القدرة الشرعية هو أن يكون المكلّف قادرا على الشي‌ء عرفا، بحيث يعدّ عند العرف أنّه قادر في مقابل العجز العرفي، فلو توقّف تحقّق المأمور به خارجا على مقدّمات بعيدة المسافة بحيث يعدّ في العرف أنّه عاجز، لكان المأمور به ساقطا عنه إذا قيّد بالقدرة في لسان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القدرة العقلية المعتبرة في التكليف، فإنّ المعتبر فيها هو إمكان تحقّق الشي‌ء من المكلّف و لو بمقدّمات بعيدة المسافة، لأنّ العقل إنّما اعتبر القدرة من حيث قبح تكليف العاجز، فمع عدم عجزه تكوينا يجب عليه فعل المأمور به، و هذا بخلاف القدرة الشرعية، فإنّ أخذها في لسان الدليل تكون كسائر القيود المعتبرة في الدليل التي يرجع في مداليلها إلى العرف، و العرف ربّما لا يرى الشخص قادرا مع كونه قادرا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إذا أخذت في لسان الدليل يستكشف منها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دخلها في الملاك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عرفية، و أمّا إذا لم تؤخذ في لسان الدليل فلا إشكال في اعتبارها عقلا من جهة قبح تكليف العاجز من دون أن يكون لها دخل في الملاك، بل مع تمامية الملاك ربّما يكون الشخص عاجزا فيسقط عنه التكليف، لكن لا لسقوط ملاكه بل لعجزه كما في جميع موارد التزاحم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يبقى في المقام إشكال، و هو أنّه لم لا يجوز أن يكون للقدرة العقلية دخل في الملاك أيضا؟ و مجرّد عدم أخذها في لسان الدليل لا يكشف عن عدم دخلها في الملاك، إذ من الممكن أن تكون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كالبلوغ 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لها دخل في تحقّق الملاك، غاية الأمر أنّ الشارع اكتفى عن بيانها بواسطة استقلال العقل باعتبارها، و هذا بخلاف البلوغ فإنّ العقل لا يرى قبحا في تكليف غير البالغ، فمن أجل ذلك اعتبره الشارع، و هذا بخلاف القدرة فإنّ اعتبارها من المستقلات</w:t>
      </w:r>
    </w:p>
    <w:p>
      <w:pPr>
        <w:pStyle w:val="BookText"/>
        <w:rPr/>
      </w:pPr>
      <w:r>
        <w:rPr>
          <w:rFonts w:ascii="Amiri" w:hAnsi="Amiri" w:eastAsia="Amiri" w:cs="Amiri"/>
          <w:color w:val="111111"/>
          <w:sz w:val="28"/>
          <w:sz w:val="28"/>
          <w:szCs w:val="28"/>
          <w:rtl w:val="true"/>
          <w:lang w:bidi="ar-SA"/>
        </w:rPr>
        <w:t>العقلية الضرورية فاكتفى الشارع ببيان العقل، و على كلّ حال لا طريق لإثبات القول بأنّ القدرة العقلية ممّا لا دخل لها في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هذا يشكل الأمر في مسألة تصحيح العبادة في باب التزاحم، سواء قلنا بالخطاب الترتّبي أم لم نقل، فإنّ الخطاب الترتّبي مبنيّ على تحقّق الملاك، كما أنّ من أنكر الترتّب و صحّح العبادة إنّما هو من أجل ذلك مع أنّه لا طريق لنا إلى إحراز الملاك، فإنّ الملاكات إنّما يستكشف من الخطابات بناء على أصول العدلية، و بعد سقوط الخطاب لأجل التزاحم و عدم القدرة لا سبيل إلى العلم بالملاك حتّى يقال بصحّة العبادة بالملاك أو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قد خرجنا عمّا هو المقصود في المقام و لكنّ الكلام يجرّ الكلام، فظهر أنّ الشرائط الراجعة إلى نفس المكلّف ممّا لها دخل في تحقّق الملاك غير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موضوع التكليف و الشرائط الراجعة إليه فيمكن أن يكون أيضا لتحقّقه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له من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في تحقّق الملاك، بحيث لا ملاك واقعا مع عدم تحقّقه خارجا، و عليه يتفرّع أنّه لا حكم واقعا إلّا بعد تحقّق الموضوع لتبعية الحكم الملاك، و عليه يتفرّع أيضا امتناع الشرط المتأخّر، لأنّ معنى الشرط أن يكون له دخل في تحقّق الموضوع بحيث لا موضوع واقعا مع عدم تحقّق شرطه، كما أنّ شرائط المكلّف من البلوغ و العقل ممّا لها دخل في تحقّق عنوان المكلّف، فإذا لم يكن الموضوع ثابتا و لو لفقدان شرطه كان الحكم منتفيا واقعا، إذ لا يعقل تحقّق الحكم مع عدم موضوعه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أيضا أن لا يكون لوجود الموضوع دخل في تحقّق الملاك و المصلحة المقتضية للحكم، بل كان الملاك ثابتا و لو مع عدم الموضوع، غاية الأمر أنّه مع عدم تحقّق الموضوع خارجا و عدم قدرة المكلّف على إيجاده الحكم المستتبع للملاك</w:t>
      </w:r>
    </w:p>
    <w:p>
      <w:pPr>
        <w:pStyle w:val="BookText"/>
        <w:rPr/>
      </w:pPr>
      <w:r>
        <w:rPr>
          <w:rFonts w:ascii="Amiri" w:hAnsi="Amiri" w:eastAsia="Amiri" w:cs="Amiri"/>
          <w:color w:val="111111"/>
          <w:sz w:val="28"/>
          <w:sz w:val="28"/>
          <w:szCs w:val="28"/>
          <w:rtl w:val="true"/>
          <w:lang w:bidi="ar-SA"/>
        </w:rPr>
        <w:t>يسقط من جهة انتفاء القدرة على امتثاله من دون سقوط الملاك، بل الملاك مع بقائه على ملاكيّته يفوت من المكلّف كسائر الملاكات التي تفوت من المكلّف من جهة عجزه عن استيفائها، و هذا بخلاف القسم الأول و هو ما كان لتحقّق الموضوع دخل في الملاك، فإنّ مع عدم وجود الموضوع خارجا لا ملاك واقعا حتّى يوجب فواته عن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التكليف إذا كان له ربط بموضوع خارجي، سواء كان ممّا يمكن للمكلّف إيجاده كالخمر أم لا كالوقت و القبلة و أمثال ذلك، لا يخلو حال الموضوع من أحد أمرين لا ثالث لهما، فإنّه إمّا أن يكون للموضوع دخل في تحقّق الملاك، و إمّا أن لا يكون، فإن كان له دخل فلا محالة يكون الحكم مشروطا بوجود الموضوع، و السرّ في ذلك هو تبعية الحكم للملاك، و إن لم يكن له دخل فلا محالة يكون الحكم مطلقا غير مشروط بوجود الموضوع هذا في عالم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عالم الإثبات ففي التكاليف العدمية التحريمية طرّا تكون من القسم الأول، أي ما كان لوجود الموضوع دخل في تحقّق الملاك و المفسدة المقتضية للنهي، بداهة أنّ الخمر إذا لم يكن موجودا في الخارج فلا معنى لتحقق المفسدة في شربه و لا معنى للنهي عنه، إذ الخمر الذي لا وجود له في الخارج يكون الشرب منتركا بنفسه، فالمنهي عنه ليس إلّا الخمر الموجود، و عليه يكون التكليف مشروطا بوجود موضوعه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يمكن أن يكون التكليف بالنسبة إليه مطلقا بحيث يجب على المكلّف إيجاد الخمر مقدّمة لترك شربه، بل معنى لا تشرب الخمر إنّما هو قضية مشروطة، أي إذا وجد الخمر فلا تشربه، ففي التكاليف العدمية دائما يكون التكليف مشروطا بوجود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التكاليف الوجودية المطلوب منها الوجود فكلا القسمين يمكن فيها، فإنّ في مثل قوله أكرم عالما أو صلّ في المسجد يمكن أن يكون لوجود العالم و المسجد دخل في تحقّق ملاك وجوب الصلاة، فيكون التكليف بالنسبة إليه مشروطا فلا يجب الإكرام و الصلاة عند عدم وجود العالم و المسجد، و لا يجب على المكلّف إيجادهما و لو مع تمكّنه منه، و يمكن أيضا أن لا يكون لوجود الموضوع دخل في الملاك بأن كان ملاك أكرم العالم و الصلاة في المسجد ثابتا و لو مع عدم وجودهما، و عليه يكون التكليف بالنسبة إلى الموضوع مطلقا و يجب على المكلّف إيجاده مع عدم وجوده و تمكّنه منه كسائر مقدّمات الواجب المطلق، ففي طرف الأوامر كلّ من القسمين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القضية هو أن يكون التكليف بالنسبة إلى وجود الموضوع مطلقا، إلّا أن يعلم من خصوصية المقام خلافه، فإنّه بعد ما لم يؤخذ وجود الموضوع في القضية شرطا، و قال بقول مطلق أكرم العالم و صل في المسجد، و لم يقل إذا وجد عالم فأكرمه و إذا وجد المسجد فصلّ فيه، فالظاهر يقتضي أن لا يكون التكليف مشروطا بأزيد ممّا يعتبره العقل في مطلق التكليف من القدرة على الامتثال و إيجاد المتعلّق، فإذا تمكّن المكلّف من إكرام العالم و الصلاة في المسجد و لو بإيجاد العالم و المسجد، لكان اللازم بمقتضى إطلاق القضية و عدم أخذ الموضوع فيها مفروض الوجود، هو وجوب الإكرام و الصلاة و لو ببناء المسجد و إيجاد العالم إذا مكن له ذلك</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إطلاق القضية في طرف الأوامر إذا كان المطلوب هو صرف وجود الشي‌ء لا مطلق الوجود، كما في مثل أكرم عالما و توضأ بالماء و صلّ في المسجد و أمثال ذلك، هو أن لا يكون التكليف مشروطا بأزيد ممّا يستقلّ به العقل في جميع التكاليف من القدرة على الامتثال، فإذا تمكّن المكلّف من إكرام</w:t>
      </w:r>
    </w:p>
    <w:p>
      <w:pPr>
        <w:pStyle w:val="BookText"/>
        <w:rPr/>
      </w:pPr>
      <w:r>
        <w:rPr>
          <w:rFonts w:ascii="Amiri" w:hAnsi="Amiri" w:eastAsia="Amiri" w:cs="Amiri"/>
          <w:color w:val="111111"/>
          <w:sz w:val="28"/>
          <w:sz w:val="28"/>
          <w:szCs w:val="28"/>
          <w:rtl w:val="true"/>
          <w:lang w:bidi="ar-SA"/>
        </w:rPr>
        <w:t>العالم و الوضوء بالماء و الصلاة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بخلق الموضوع و إيجاده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اللازم هو امتثال التكليف، إلّا أن تقوم قرينة من حال أو مقال على اشتراط التكليف بصورة وجود الموضوع و فرض تحقّقه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الفرق بين باب الأوامر و النواهي، و أنّ في باب الأوامر يمكن أن لا يكون التكليف مشروطا بوجود الموضوع إذا كان المطلوب صرف الوجود، و أمّا في باب النواهي فدائما التكليف يكون مشروطا بوجود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 فرقا آخر بين باب الأوامر و النواهي، و هو أنّه في باب النواهي لا يمكن أن يكون المطلوب صرف الوجود، بل دائما يكون المطلوب فيها هو عدم الوجود و السلب الكلّي الذي هو نقيض صرف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باب الأوامر فإنّ كون المطلوب فيها هو صرف الوجود بمكان من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ذلك هو أنّه لمّا كان المطلوب في طرف النهي عدم الشي‌ء، و عدم الشي‌ء لا يمكن إلّا بانعدام جميع ما يفرض للشي‌ء من الوجودات العرضية و الطولية، فلا بدّ من أن يكون المتعلّق في النهي مطلق الوجود الساري في جميع الموجودات، مثلا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الفاسق و لا تكرم فاسقا أو لا تكرم الفسّاق فالمطلوب هو ترك إكرام مطلق الفاسق في أيّ وجود فرض له، و لا معنى لأن يكون المطلوب هو ترك إكرام الفاسق على نحو صرف الوجود بأن يكون إكرام فاسق ما متعلّق النهي، و هذا بخلاف باب الأوامر فإنّه لمّا كان المطلوب فيها وجود الشي‌ء و الشي‌ء يوجد بأول وجوده، فيمكن أن يكون متعلّق الطلب هو أول الوجود لا مطلق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طرف الأوامر يمكن أن يكون المطلوب على أحد وجوه أربعة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المطلوب في طرف المتعلّق و الموضوع صرف الوجود، بأن يكون المقصود من قول أكرم عالما هو وقوع صرف وجود الإكرام على صرف وجود العالم</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المطلوب مطلق الوجود على نحو العام الاستغراقي، بأن يكون المطلوب كلّ فرد فرد من الإكرام على كل فرد فرد من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المطلوب مطلق الوجود على نحو العامّ المجموعي، بأن يكون الملحوظ هو مجموع أفراد الإكرام مع مجموع أفراد العالم، و يكون المجموع من حيث المجموع مطلوبا واحدا تعلّق الأمر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المطلوب هو الطبيعة السارية في جميع الأفراد على نحو وجودها السعي، و هذا القسم مشترك مع القسم الثالث في الأثر، و إنّما التفاوت بالتعبير فإنّه تارة يرد الحكم على نفس الطبيعة السارية، و اخرى يرد الحكم على أفرادها بعد ملاحظتها على نحو العام المجموعي، هذا في طرف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طرف النهي فأقسامه أيضا أربعة، فإنّه تارة يرد النهي عن الشي‌ء باعتبار مطلق وجوده على نحو العام الاستغراقي، بأن يكون المطلوب في مثل لا تشرب الخمر هو ترك كلّ فرد فرد من أفراد الشرب لكلّ فرد فرد من أفراد الخمر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 يكون المطلوب هو ترك مجموع أفراد الشرب لمجموع أفراد الخمر على نحو العام المجموعي، بمعنى أن يكون المطلوب عموم السلب لا سلب العموم، أي يكون متعلّق النهي هو ترك مجموع أفراد الخمر، لا على نحو يكون كلّ وجود منه مبغوضا على حدة و له إطاعة و عصيان، حتّى يرجع إلى القسم الأول و هو العام الاستغراقي، و لا على نحو يكون المبغوض مجموع الموجودات بوصف المجموع على نحو سلب العموم، حتّى يكون فعل البعض مع ترك البعض غير مبغوض، كما في مثل قوله لا تأكل كلّ رمّانة في البستان، حيث يكون المقصود من النهي هو أكل جميع الرمّانات التي في البستان، بل على نحو يكون النهي عن المجموع بأن يريد أن لا يتحقّق منه فرد في الخارج، بحيث لو تحقّق فرد منه في الخارج كان عصيانا</w:t>
      </w:r>
    </w:p>
    <w:p>
      <w:pPr>
        <w:pStyle w:val="BookText"/>
        <w:rPr/>
      </w:pPr>
      <w:r>
        <w:rPr>
          <w:rFonts w:ascii="Amiri" w:hAnsi="Amiri" w:eastAsia="Amiri" w:cs="Amiri"/>
          <w:color w:val="111111"/>
          <w:sz w:val="28"/>
          <w:sz w:val="28"/>
          <w:szCs w:val="28"/>
          <w:rtl w:val="true"/>
          <w:lang w:bidi="ar-SA"/>
        </w:rPr>
        <w:t>للخطاب و كانت الأفراد الأخر غير متعلّقة للنهي، كما في مثل النذر فإنّه لو نذر ترك شرب التتن كان المقصود منه هو أن لا يتحقّق الشرب منه في الخارج، بحيث لو عصى و شرب فبأول وجوده يتحقّق الحنث و تلزمه الكفارة فله أيضا أن يشرب سائر الأفراد، إلّا أن يكون نذره تعلّق بترك كلّ فرد فرد منه مستقلا على نحو العام الاستغراقي، فإنّه في شرب كلّ فرد حينئذ يتحقّق حنث و كفّارة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النهي على الطبيعة السارية، بمعنى أن يكون المقصود هو عدم تحقّق الطبيعة خارجا، و هذا مشترك أثره مع القسم الثاني و هو ما إذا كان على نحو العام المجموعي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النهي في التكاليف العدمية من قبيل القضية المعدولة المحمول، بأن يكون المقصود من النهي هو أن لا يكون الشخص شارب الخمر بمعنى عدم اتّصافه بهذا الوصف،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لا شارب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بتقريب آخر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ما هو الصادر عن المكلّف و ما هو فعله مباشرة في التكاليف العدمية ليس إلّا ترك الشرب لآحاد الممكنة شربها، فإنّ ما هو فعل المكلّف ليس إلّا ترك هذا الخمر و هذا الخمر و هكذا ترك كلّ فرد فرد من أفراد الخمر، ثمّ بعد ذلك يتولّد من آحاد هذه التروك السلب المجموعي و أنّه تارك للمجموع، ثمّ بعد ذلك يتولّد أيضا عنوان آخر و هو اتّصاف الشخص بأنّه لا شارب الخمر، فهذه مراتب ثلاث مترتّبة في التولّد و الانتزاع، فأول ما يوجد من المكلّف هو ترك الآحاد، ثمّ بعد ذلك يتحقّق ترك المجموع، ثمّ بعد ذلك يتّصف الشخص بأنّه صار لا شارب الخمر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المراتب الثلاث كلّها قابلة لتعلّق التكليف العدمي بها، فإنّه تارة يكون التكليف بما هو الصادر عن المكلّف بالمباشرة فيكون التكليف حينئذ</w:t>
      </w:r>
      <w:bookmarkStart w:id="321" w:name="pg19820_206709"/>
    </w:p>
    <w:p>
      <w:pPr>
        <w:pStyle w:val="BookText"/>
        <w:rPr/>
      </w:pPr>
      <w:bookmarkEnd w:id="321"/>
      <w:r>
        <w:rPr>
          <w:rFonts w:ascii="Amiri" w:hAnsi="Amiri" w:eastAsia="Amiri" w:cs="Amiri"/>
          <w:color w:val="111111"/>
          <w:sz w:val="28"/>
          <w:sz w:val="28"/>
          <w:szCs w:val="28"/>
          <w:rtl w:val="true"/>
          <w:lang w:bidi="ar-SA"/>
        </w:rPr>
        <w:t>انحلاليّا، بمعنى أنّه يكون لكلّ فرد فرد من أفراد الخمر خطاب يخصّه، و له إطاعة و عصيان لا ربط له بالخطاب الوارد على الفرد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يتعلّق التكليف بالعنوان المتولّد من ترك الآحاد و هو ترك المجموع، فيكون التكليف واحدا و خطابا فاردا يتعلّق بالمجموع، و عصيانه يكون بأول وجود شرب فرد من الخمر، و كانت الأفراد الأخر حينئذ لا طاعة و لا 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يتعلّق التكليف بالأمر المتولّد من ترك المجموع، و هو كون الشخص لا شارب الخمر على نحو القضية المعدولة المحمول، و هذا بخلاف القسمين الأولين فإنّ القضية من السالبة المحصّلة</w:t>
      </w:r>
      <w:r>
        <w:rPr>
          <w:rFonts w:eastAsia="Amiri" w:cs="Amiri" w:ascii="Amiri" w:hAnsi="Amiri"/>
          <w:color w:val="111111"/>
          <w:sz w:val="28"/>
          <w:szCs w:val="28"/>
          <w:rtl w:val="true"/>
          <w:lang w:bidi="ar-SA"/>
        </w:rPr>
        <w:t>.</w:t>
      </w:r>
    </w:p>
    <w:p>
      <w:pPr>
        <w:pStyle w:val="Heading6"/>
        <w:numPr>
          <w:ilvl w:val="5"/>
          <w:numId w:val="1"/>
        </w:numPr>
        <w:rPr/>
      </w:pPr>
      <w:bookmarkStart w:id="322" w:name="__RefHeading___Toc3360200_2314609296"/>
      <w:bookmarkStart w:id="323" w:name="_Toc127"/>
      <w:bookmarkEnd w:id="322"/>
      <w:r>
        <w:rPr>
          <w:rtl w:val="true"/>
        </w:rPr>
        <w:t>الأمر الثالث</w:t>
      </w:r>
      <w:r>
        <w:rPr>
          <w:rtl w:val="true"/>
        </w:rPr>
        <w:t>:</w:t>
      </w:r>
      <w:bookmarkEnd w:id="323"/>
    </w:p>
    <w:p>
      <w:pPr>
        <w:pStyle w:val="BookText"/>
        <w:rPr/>
      </w:pPr>
      <w:r>
        <w:rPr>
          <w:rFonts w:ascii="Amiri" w:hAnsi="Amiri" w:eastAsia="Amiri" w:cs="Amiri"/>
          <w:color w:val="111111"/>
          <w:sz w:val="28"/>
          <w:sz w:val="28"/>
          <w:szCs w:val="28"/>
          <w:rtl w:val="true"/>
          <w:lang w:bidi="ar-SA"/>
        </w:rPr>
        <w:t>بعد ما عرفت الأقسام المتصوّرة في طرف الأوامر و في طرف النواهي يقع الكلام حينئذ فيما هو الأصل من هذه الأقسام، و أنّ الأصل في طرف التكاليف الوجودية و في باب الأوامر أن يكون المطلوب هو صرف الوجود، أو أنّ الأصل يقتضي أن يكون المطلوب مطلق الوجود؟ ففي مثل أكرم أو صلّ في المسجد يقتضي الأصل الاكتفاء بصرف وجود إكرام العالم، أو أن الأصل يقتضي إكرام مطلق وجوده بأقسامه المتقدّمة؟</w:t>
      </w:r>
    </w:p>
    <w:p>
      <w:pPr>
        <w:pStyle w:val="BookText"/>
        <w:rPr/>
      </w:pPr>
      <w:r>
        <w:rPr>
          <w:rFonts w:ascii="Amiri" w:hAnsi="Amiri" w:eastAsia="Amiri" w:cs="Amiri"/>
          <w:color w:val="111111"/>
          <w:sz w:val="28"/>
          <w:sz w:val="28"/>
          <w:szCs w:val="28"/>
          <w:rtl w:val="true"/>
          <w:lang w:bidi="ar-SA"/>
        </w:rPr>
        <w:t>و كذا الكلام في طرف النهي و التكاليف العدمية، هل الأصل يقتضي أن يكون التكليف فيها انحلاليّا، أو يكون كلّ فرد يوجد في الخارج من أفراد الموضوع مستتبعا لفرد من الخطاب يخصّه، أو أنّ الأصل لا يقتضي ذلك؟</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هذا الأمر يقع في أنّ طبع الأمر و التكليف الوجودي، هل يقتضي أن يكون المطلوب منه صرف الوجود، بحيث يكتفي في مقام الامتثال بأول الوجود، و كان الوجود الثاني من باب الامتثال عقيب</w:t>
      </w:r>
    </w:p>
    <w:p>
      <w:pPr>
        <w:pStyle w:val="BookText"/>
        <w:rPr/>
      </w:pPr>
      <w:r>
        <w:rPr>
          <w:rFonts w:ascii="Amiri" w:hAnsi="Amiri" w:eastAsia="Amiri" w:cs="Amiri"/>
          <w:color w:val="111111"/>
          <w:sz w:val="28"/>
          <w:sz w:val="28"/>
          <w:szCs w:val="28"/>
          <w:rtl w:val="true"/>
          <w:lang w:bidi="ar-SA"/>
        </w:rPr>
        <w:t>الامتثال، أو أنّ طبع الأمر يقتضي مطلق الوجود على نحو العام الاستغراقي أو المجموعي أو الطبيعة السارية؟</w:t>
      </w:r>
    </w:p>
    <w:p>
      <w:pPr>
        <w:pStyle w:val="BookText"/>
        <w:rPr/>
      </w:pPr>
      <w:r>
        <w:rPr>
          <w:rFonts w:ascii="Amiri" w:hAnsi="Amiri" w:eastAsia="Amiri" w:cs="Amiri"/>
          <w:color w:val="111111"/>
          <w:sz w:val="28"/>
          <w:sz w:val="28"/>
          <w:szCs w:val="28"/>
          <w:rtl w:val="true"/>
          <w:lang w:bidi="ar-SA"/>
        </w:rPr>
        <w:t>و كذا يقع الكلام في أنّ طبع النهي و التكاليف العدمية، هل يقتضي الانحلالية بحيث يكون كلّ فرد من أفراد الموضوع له خطاب و طاعة و عصيان، أو أنّ طبع النهي يقتضي السلب الكلّي على نحو العام المجموعي، أو يقتضي السلب على نحو المعدولة المحمول؟</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التضادّ و المقابلة بين الأمر و النهي هو أن يكون المطلوب في كلّ منهما نقيض ما هو المطلوب في الآخر، فلو كان المطلوب في طرف الأمر صرف الوجود كان اللازم بمقتضى المقابلة أن يكون المطلوب في طرف النهي هو السلب الكلّي على نحو العام المجموعي، بحيث يتحقّق العصيان بأول الوجود من دون أن يكون للوجودات الأخر طاعة و عصيان، كما كان الأمر في طرف الأمر بالعكس و أنّ الإطاعة تتحقّق بأول الوجود من دون أن يكون للوجودات الأخر طاعة و 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المطلوب في طرف الأمر صرف الوجود كان اللازم أن يكون المطلوب في طرف النهي السلب الكلّي، لأنّ نقيض الموجبة الجزئية السالبة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المطلوب في طرف الأمر مطلق الوجود على نحو العام الاستغراقي كان مقتضى المقابلة أن يكون المطلوب في طرف النهي العام الانحلالي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ما تقتضيه المقابلة بين الأمر و النهى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الأصل و ما هو طبع الأمر و النهي لا يقتضي ذلك، بل يقتضي أن يكون المطلوب في طرف الأمر صرف الوجود، و في طرف النهي انحلاليّا و يكون لكلّ فرد من أفراد الخمر خطاب يخصّه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طرف الأمر فاقتضاؤه صرف الوجود واضح، فإنّ طلب إيجاد الطبيعة</w:t>
      </w:r>
    </w:p>
    <w:p>
      <w:pPr>
        <w:pStyle w:val="BookText"/>
        <w:rPr/>
      </w:pPr>
      <w:r>
        <w:rPr>
          <w:rFonts w:ascii="Amiri" w:hAnsi="Amiri" w:eastAsia="Amiri" w:cs="Amiri"/>
          <w:color w:val="111111"/>
          <w:sz w:val="28"/>
          <w:sz w:val="28"/>
          <w:szCs w:val="28"/>
          <w:rtl w:val="true"/>
          <w:lang w:bidi="ar-SA"/>
        </w:rPr>
        <w:t>لا يقتضي أزيد من نقض العدم و تحقّق وجود الطبيعة في الخارج، و هذا المعنى يحصل بأول وجود للطبيعة، فلو كان المقصود إيجاد كلّ فرد فرد من الطبيعة على نحو العام الاستغراقي أو المجموعي لكان اللازم هو اعتبار قيد زائد في متعلّق الأمر و مئونة أخرى غير تعلّق الطلب بنفس الطبيعة، فتعلّق الأمر بنفس الطبيعة بنفسه و بطبعه لا يقتضي أزيد من صرف الوجود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طرف النهي فقد عرفت أنّ محتملاته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النهي من باب أخذ القضية على نحو المعدولة المحمول، بأن يكون النهي عن شرب الخمر مثلا باعتبار ما يتولّد من الترك الخارجي، و يكون المقصود منه هو كون الشخص لا شارب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الاحتمال في باب النواهي و التكاليف العدمية ساقط من أصله، فإنّ الظاهر في باب النواهي هو أن يكون النهي عن الشي‌ء لأجل أنّ لوجود المنهي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شرب الخمر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مفسدة، من دون أن يكون في عدم الشرب مصلحة بحيث يكون نفس العدم بما هو عدم مطلوبا و يلاحظ معنى اسميّا و يتعلّق الطلب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القضية المعدولة المحمول إنّما يكون نفس العدم محمولا و ملحوظا معنى اسميّا، فلو كان معنى قوله لا تشرب الخمر هو صيرورة الشخص لا شارب الخمر فمعناه أنّ نفس اتّصاف الشخص بهذا العدم بما هو عدم مطلوب و محبوب من دون أن يكون في شرب الخمر مفسدة، و يكون النهي عن الشرب إنّما هو لأجل كون ترك آحاد الشرب مقدّمة لتحقّق ذلك العدم في الخارج، 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ما يقتضيه النهي، لما عرفت من أنّ ظاهر النهي عن الشي‌ء ثبوتا إنّما هو لأجل أنّ في وجود ذلك مفسدة اقتضت النهي عنه، هذا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خلاف ظاهر الدليل، فإنّ الظاهر من قوله لا تشرب الخمر هو عدم</w:t>
      </w:r>
    </w:p>
    <w:p>
      <w:pPr>
        <w:pStyle w:val="BookText"/>
        <w:rPr/>
      </w:pPr>
      <w:r>
        <w:rPr>
          <w:rFonts w:ascii="Amiri" w:hAnsi="Amiri" w:eastAsia="Amiri" w:cs="Amiri"/>
          <w:color w:val="111111"/>
          <w:sz w:val="28"/>
          <w:sz w:val="28"/>
          <w:szCs w:val="28"/>
          <w:rtl w:val="true"/>
          <w:lang w:bidi="ar-SA"/>
        </w:rPr>
        <w:t>إيجاد الشرب في الخارج، فلو كان المقصود هو عدم اتّصاف الشخص بشرب الخمر كان حقّ التعبير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لا شارب الخمر، لا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الاحتمال في باب التكاليف العدمية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الباب احتمالان آخران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المقصود من النهي هو السلب الكلّي على نحو العام المجموعي، بأن يكون معنى قوله لا تشرب الخمر هو ترك مجموع أفراد الخمر من حيث المجموع، بأن كان هناك خطاب واحد تعلّق بالمجموع و يكون عصيانه بوجود أول فرد من شرب الخمر، من دون أن يكون للباقي طاعة و عصيان كما كان في النذر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الاحتمال و إن كان ربّما يعيّنه مقابلة النهي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أيضا خلاف الظاهر، فإنّ الظاهر من قوله لا تشرب الخمر هو أن يكون مطلق وجود شرب الخمر مبغوضا، سواء في ذلك الوجود الأول و الثاني و الثالث و هكذا، لا أن يكون المبغوض هو أول الوجود كما هو لازم معنى السلب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المقصود في النهي هو السلب الكلّي على نحو المجموع يحتاج إلى عناية زائدة عن تعلّق النهي بنفس الطبيعة، و هي أخذ مجموع وجودات الطبيعة أمرا و يلاحظها بلحاظ فأرد ثمّ ينهى عنها بما أنّها أمر واحد، و هذا خلاف ظاهر توجّه النهي على نفس الطبيعة، فإنّ ظاهره أن يكون لكلّ وجود من الطبيعة مفسدة لا ربط لها بالآخر</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الانحلالية، و أنّ في باب النواهي يكون لكلّ وجود يفرض للطبيعة خطاب برأسه و طاعة و عصيان يخصّه، و هذا الخطاب لا تحقّق له إلّا بعد تحقّق الفرد خارجا، لما عرفت من أنّ في باب التكاليف</w:t>
      </w:r>
      <w:bookmarkStart w:id="324" w:name="pg19820_206713"/>
    </w:p>
    <w:p>
      <w:pPr>
        <w:pStyle w:val="BookText"/>
        <w:rPr/>
      </w:pPr>
      <w:bookmarkEnd w:id="324"/>
      <w:r>
        <w:rPr>
          <w:rFonts w:ascii="Amiri" w:hAnsi="Amiri" w:eastAsia="Amiri" w:cs="Amiri"/>
          <w:color w:val="111111"/>
          <w:sz w:val="28"/>
          <w:sz w:val="28"/>
          <w:szCs w:val="28"/>
          <w:rtl w:val="true"/>
          <w:lang w:bidi="ar-SA"/>
        </w:rPr>
        <w:t>العدمية الانحلالية يكون لوجود الموضوع دخل في تحقّق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التكاليف الوجودية الانحلالية يكون الأمر كذلك أيضا، إذ الظاهر من قوله أكرم كلّ عالم أن يكون لوجود العالم في الخارج دخل في تحقّق ما هو مناط الحكم، و يلزمه قهرا تبعية الحكم لوجود الموضوع، فلازم الانحلالية أن يكون الحكم مشروطا بوجود الموضوع، كما أنّ لازم صرف الوجود عكس ذلك، و أنّ الظاهر في مثل قوله أكرم عالما هو أن لا يكون التكليف مشروطا بأزيد ممّا يقتضيه العقل من القدرة على الامتثال كما تقدّم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باب النواهي هو أن يكون التكليف انحلاليّا إلّا أن تقوم قرينة على خلاف ذلك، و يلزمه قهرا اشتراط التكليف بوجود الموضوع، و أنّ الأصل في باب الأوامر أن يكون المطلوب صرف الوجود و عدم اشتراطه بتحقّق الموضوع إلّا أن تقوم قرينة على خلاف ذلك</w:t>
      </w:r>
      <w:r>
        <w:rPr>
          <w:rFonts w:eastAsia="Amiri" w:cs="Amiri" w:ascii="Amiri" w:hAnsi="Amiri"/>
          <w:color w:val="111111"/>
          <w:sz w:val="28"/>
          <w:szCs w:val="28"/>
          <w:rtl w:val="true"/>
          <w:lang w:bidi="ar-SA"/>
        </w:rPr>
        <w:t>.</w:t>
      </w:r>
    </w:p>
    <w:p>
      <w:pPr>
        <w:pStyle w:val="Heading6"/>
        <w:numPr>
          <w:ilvl w:val="5"/>
          <w:numId w:val="1"/>
        </w:numPr>
        <w:rPr/>
      </w:pPr>
      <w:bookmarkStart w:id="325" w:name="__RefHeading___Toc3360202_2314609296"/>
      <w:bookmarkStart w:id="326" w:name="_Toc128"/>
      <w:bookmarkEnd w:id="325"/>
      <w:r>
        <w:rPr>
          <w:rtl w:val="true"/>
        </w:rPr>
        <w:t>الأمر الرابع</w:t>
      </w:r>
      <w:r>
        <w:rPr>
          <w:rtl w:val="true"/>
        </w:rPr>
        <w:t>:</w:t>
      </w:r>
      <w:bookmarkEnd w:id="326"/>
    </w:p>
    <w:p>
      <w:pPr>
        <w:pStyle w:val="BookText"/>
        <w:rPr/>
      </w:pPr>
      <w:r>
        <w:rPr>
          <w:rFonts w:ascii="Amiri" w:hAnsi="Amiri" w:eastAsia="Amiri" w:cs="Amiri"/>
          <w:color w:val="111111"/>
          <w:sz w:val="28"/>
          <w:sz w:val="28"/>
          <w:szCs w:val="28"/>
          <w:rtl w:val="true"/>
          <w:lang w:bidi="ar-SA"/>
        </w:rPr>
        <w:t>بعد ما عرفت الانقسامات المتصوّرة في طرف الأمر و النهي، يقع الكلام حينئذ في بيان حال الشكّ، و أنّه في أي مورد يرجع الشكّ إلى الشكّ في التكليف، و في أي مورد يرجع الشكّ إلى الشكّ في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بيان ذلك لا بدّ من بيان ما هو الضابط في رجوع الشكّ إلى أحد القسمين، فنقول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ضابط الشكّ في التكليف هو أن يرجع الشكّ إلى مرحلة فعل الآمر و ما هو الصادر عنه في مقام أمره و تحقّق الطلب منه، ففي كلّ مرحلة يرجع الشكّ إلى مرحلة أصل الطلب، و لو باعتبار سعة دائرة الطلب و ضيقه يكون الشكّ شكّا في التكليف، و ضابط الشكّ في الامتثال هو أن يرجع الشكّ إلى الشكّ في تحقّق الفعل و الترك المطالب به، مع تبيّن التكليف و ما هو الصادر عن الآمر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أنّه لو لم يكن للتكليف تعلّق و ربط بموضوع خارجي، بل كان هناك تكليف و متعلّق فقط فالشبهة المصداقية لا يمكن تحقّقها فيه، سواء في ذلك التكاليف الوجودية و العدمية، بداهة أنّه بعد تبيّن مفهوم التكليف و مفهوم التعلّق، و أنّ التكليف هو الوجوب و الحرمة و المتعلّق هو الصلاة و الغناء، و علم معنى الصلاة و الغناء، لا يمكن أن يشكّ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صدور المتعلّق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يفعله و أنّ هذا المشغول به 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بعد الفعل يمكن أن يشكّ في فعله السابق، و الذي فعله في السابق هل هو صلاة أو غناء، و لكنّ هذا الشكّ في التكاليف الوجودية يرجع إلى الشكّ في الامتثال إن لم يكن هناك مثل قاعدة الفراغ التي تثبت الامتثال و في التكاليف التحريمية ممّا لا أثر له بداهة أنّه لا أثر للشكّ في أنّه هل صدر منّي غناء أو لم يصدر و على تقدير فرض الأثر فأصالة عدم صدور الغناء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تحقّق الشبهة المصداقية في باب متعلّقات 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فيما إذا كان نفس الفعل الصادر عن المكلّف ابتداء متعلّق التكليف، و أمّا إذا كان الفعل الصادر عن المكلّف محصّلا و سببا لما هو متعلّق التكليف فتطرّق الشبهة المصداقية فيه بمكان من الإمكان، بداهة أنّه يمكن الشكّ في أنّ هذا الذي يفعله هل هو محصّل لما هو المكلّف به أو غير محصّل، و كلّما رجع الشكّ إلى المحصّل كان مجرى للاشتغال، لرجوع الشكّ إلى الشكّ في الامتثال و الخروج عن الفعل و الترك المطالب به، سواء كان ذلك في التكاليف الوجودية أو العدمية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التكاليف الوجودية فرجوع الشكّ إلى الشكّ في الامتثال واضح، كما في باب الطهارة الحدثية و الخبثية على وجه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التكاليف العدمية فكذلك أيضا على ما اختاره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لو نهى عن إحراق زيد فالتكليف بحرمة الإحراق بعد العلم به قد تنجّز على المكلّف، فلو شككت في الإلقاء الكذائي هل هو محصّل للإحراق أو لا، كان اللازم بمقتضى تنجز التكليف بحرمة الإحراق هو التجنّب عن مثل هذا الإلقاء المشكوك محصّليّته، و ذلك لرجوع الشكّ فيه إلى الشكّ في العصيان، لا إلى الشكّ في التكليف بداهة العلم بالتكليف و المتعلّق كليهما، فالشكّ في ذلك لا يرجع إلى الشكّ في أحدهما، بل إلى الشكّ في تحقّق العصيان بمثل هذا الإلقاء المحتمل كونه محصّلا للإحراق، و الشكّ في تحقّق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كالشكّ في تحقّق 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مجاري البراءة، لأنّ مجرى البراءة منحصر في الشكّ في التكليف لا في محصّله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محصّلية الإلقاء الكذائي للإحراق لا بدّ له من رافع و مؤمّن عقلي أو شرعي، و المفروض انتفاء المؤمّن العقلي و الشرعي في مثله، لعدم جريان قبح العقاب بلا بيان، و عدم جريان رفع ما لا يعلمون، لما عرفت من أنّ مورد البراءة الشرعية و العقلية منحصر بما إذا كان الشكّ في أصل التكليف لا في محصّله،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لم يكن للتكليف تعلّق بموضوع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له تعلّق بذلك، فيختلف حال الشكّ حسب اختلاف التكاليف الوجودية و العدميّة بأقسامها المتقدّمة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التكليف وجوديّا، و كان المطلوب منه صرف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الأصل في التكاليف الوجودية على ما 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أنّ الظاهر من مثل قوله أكرم عالما هو أن لا يكون التكليف مشروطا بأزيد ممّا يشترط العقل في جميع التكاليف من القدرة على الامتثال، و لازمة أن لا يكون الملاك و التكليف مشروطا بوجود العالم، فاللازم حينئذ هو وجوب تحصيل العالم ليكرمه، و على تقدير الشكّ في وجود العالم أو القدرة على إيجاده فاللازم هو الفحص حتّى يعلم بعدم القدرة</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رجع الشكّ إلى ناحية القدرة العقلية، فمن حيث عدم دخلها في الملاك العقل يستقل بوجوب الفحص و يحكم بذلك حكما طريقيّا، نعم لو كانت القدرة شرطا شرعيّا فمن حيث دخلها في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الشكّ فيها شكّا في أصل التكليف، فلا يجب الفحص حينئذ إذا كان الشكّ فيه من أجل الشبهة الموضوعية كما فيما نحن فيه، إلّا أن يقوم دليل من الخارج على وجوب الفحص، أو كان الخطاب المشروط بالقدرة يقتضي الفحص، لأنّه كانت القدرة المأخوذة في الخطاب شرعا ممّا لا يمكن العلم بها بحسب العادة إلّا في الفحص كما في الاستطاعة الحجيّة، فإنّ العلم بحصولها لا يمكن عادة إلّا بالفحص عن مقدار المالية و ما يملكه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السرّ في فتوى المشهور بوجوب الفحص عن الاستطاعة مع أنّ القاعدة لا تقتضي ذلك، لما عرفت من أنّه كلّما كان الشكّ في أصل تحقّق ما هو شرط التكليف و كان له دخل في الملاك كان مرجعه إلى أصل التكليف، و أصالة البراءة تنفي وجوب الفحص إذا كانت الشبهة 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التكاليف الوجودية إذا لم يكن الملاك و التكليف مشروطا بوجود الموضوع، كان اللازم هو وجوب الفحص عن تحقّق الموضوع و القدرة عليه، و قد عرفت أنّ عدم اشتراط الملاك و التكليف بوجود الموضوع ممّا يقتضيه إطلاق الخطاب إذا كان المطلوب منه صرف الوجود كما هو مقتضى طبع الأمر و الأصل فيه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كان الملاك و التكليف مشروطا بوجود الموضوع، كما إذا قام دليل من الخارج على ذلك، كان مقتضى القاعدة عند الشكّ فيه عدم وجوب الفحص و البراءة عنه، إلّا أن يقوم دليل على وجوب ذلك، أو كان الخطاب بنفسه يقتضيه، كما في بلوغ المال حدّ الاستطاعة في الحجّ، و حدّ النصاب في</w:t>
      </w:r>
    </w:p>
    <w:p>
      <w:pPr>
        <w:pStyle w:val="BookText"/>
        <w:rPr/>
      </w:pP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التكاليف الوجودية المطلوب منها صرف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التكاليف الوجودية المطلوب منها مطلقة، فإن كان ذلك على نحو الانحلاليّة بأن كان لكلّ موضوع يوجد في الخارج خطاب مستقل، كما في مثل أكرم العلماء إذا كان على نحو العموم الاستغراقي، فرجوع الشكّ إلى الشكّ في التكليف عند الشكّ في وجود الموضوع واضح، بداهة أنّه لو شكّ في عالمية زيد مثلا كان الشكّ في ذلك مستلزما للشكّ في وجوب إكرامه، لأنّه على تقدير أن يكون عالما كان له خطاب مستقل برأسه، فيرجع الشكّ إلى الشكّ في أصل التكليف، و واضح أنّه من مجاري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المطلوب مطلق الوجود على نحو العام المجموعي، فهو و إن لم يكن هناك إلّا خطاب واحد و تكليف فأرد، إلّا أنّه لا إشكال في أنّه يختلف سعة و ضيقا حسب ما يوجد من أفراد الموضوع خارجا، بداهة أنّه لو لم يوجد من أفراد العلماء إذا اعتبر على نحو المجموعي إلّا مائة، كان سعة التكليف بمقدار المائة و له تعلّق بهذه الجملة، و لو زاد على المائة واحد اتّسعت دائرة التكليف و كان له تعلّق أيضا بذلك الواحد، و هكذا تتّسع دائرة التكليف حسب اتّساع أفراد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شكّ في عالمية زيد مثلا فهو و إن لم يكن له خطاب مستقلّ على تقدير كونه عالما إلّا أنّه ممّا يوجب سعة دائرة التكليف، فالشكّ فيه شكّ في مقدار التكليف، و بالأخرة يرجع الشكّ إلى الشكّ في وجوب إكرام زيد، و يكون مجرى البراءة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التكاليف الوجودية، و قد عرفت حال الشكّ فيها بأقسامه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التكاليف العدمية فقد عرفت أنّه ليس فيها ما يكون المطلوب منه صرف الوجود، فما ذكرناه في التكاليف الوجودية عند الشكّ في وجود الموضوع إذا كان المطلوب منه صرف الوجود ساقط في التكاليف العدمية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الاحتمالات الأخر جارية فيها أيضا مع زيادة احتمال آخر في خصوصها، و هو ما إذا كان المطلوب من التكليف العدمي العنوان المتولّد من الترك الخارجي و هو كون الشخص لا شارب الخمر، و قد عرفت أنّ هذا خلاف ما يقتضيه ظاهر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قام دليل على أنّ المطلوب من النهي هو ذلك فلا محيص حينئذ من ترك جميع ما يحتمل كونه خمرا، لأنّ الترك الخارجي يكون حينئذ محصّلا لذلك العنوان، فلا بدّ من القطع بحصول العنوان الذي يكون هو المطلوب، و القطع بحصول ذلك لا يتحقّق إلّا بترك جميع أفراد الخمر المعلومة و المشكوكة، بداهة أنّ شرب مشكوك الخمرية ملازم للشكّ في حصول العنوان، و الشكّ فيه يرجع إلى الشكّ في الامتثال كما هو أوضح من أن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احتمالان آخران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النهي على نحو الانحلاليّة، بأن يكون لكلّ فرد من أفراد الخمر خطاب يخصّه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على نحو المجموعية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فيهما عند الشكّ في الموضوع الكلام في التكاليف الوجودية بعينه، و أنّه يكون من مجاري البراءة فلا نعيده، لكنّه قد عرفت أنّ الأصل في باب الأوامر هو أن يكون على نحو صرف الوجود، و أنّ الأصل في باب النواهي أن يكون على نحو الانحلاليّة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التكاليف الوجودية و العدمية الاستقلالية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التكاليف الوجودية و العدمية الارتباطية التي هي المقصود بالأصالة للبحث عنها هنا، و إنّما ذكرنا حال الاستقلالية تبعا، فمجمل القول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الأقسام المتصوّرة في التكاليف الاستقلالية متصوّرة في التكاليف الارتباطية أيضا، فإنّ منها ما لا يكون له تعلّق بموضوع خارجي كالركوع و السجود و التكفير و قول آمين و غير ذلك من الخطابات الغيرية الوجودية و العدمية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يكون له تعلّق بموضوع خارجي، و هذا على قسمين لأنّه إمّا أن يتعلّق به تكليف وجودي</w:t>
      </w:r>
    </w:p>
    <w:p>
      <w:pPr>
        <w:pStyle w:val="BookText"/>
        <w:rPr/>
      </w:pPr>
      <w:r>
        <w:rPr>
          <w:rFonts w:ascii="Amiri" w:hAnsi="Amiri" w:eastAsia="Amiri" w:cs="Amiri"/>
          <w:color w:val="111111"/>
          <w:sz w:val="28"/>
          <w:sz w:val="28"/>
          <w:szCs w:val="28"/>
          <w:rtl w:val="true"/>
          <w:lang w:bidi="ar-SA"/>
        </w:rPr>
        <w:t>كالاستقبال و الطهور و أمثال ذلك، و إمّا أن يتعلّق به تكليف عدمي كلبس الحرير و غير المأكول 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التكليف وجوديّا و كان المطلوب منه صرف الوجود، كما هو الشأن في جميع التكاليف الوجودية الارتباطية، فعند الشكّ في تحقّق الموضوع و القدرة عليه يجب الفحص كالتكاليف الاستقلالية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السرّ فيما اشتهر في الألسن من أنّ الشرط يجب إحرازه و لا يكفي الشكّ في حصوله، لأنّ التكليف المتعلّق بالشرط يكون وجوديّا و المطلوب منه صرف الوجود، فلا بدّ عند الشكّ فيه من الفحص إلى أن يعلم بتعذّره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التكليف عدميّا كما في باب الموانع التي هي محلّ البحث في المقام، فينبغي أولا أن يتكلّم فيما هو منشأ انتزاع المانعية ثبوتا و إثباتا،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ما عرفت من أنّ رتبة تحقّق المانع و وجوده إنّما هو بعد وجود المقتضي بما له من الشرائط و الأجزاء، فلا إشكال في أنّ منشأ انتزاع المانعية بالنسبة إلى الملاكات و المصالح و المفاسد التي تبتني عليها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أصول 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أمرا واقعيّا تكوينيّا، كما أنّ مقتضيات الملاكات بما لها من الأجزاء و الشرائط تكون أمورا واقعية تكوينية، من دون أن يكون لها تعلّق بجعل شرعي و لا مساس لها بالشارع في عالم شارعيّته و جعله الأحكام، بل هي كسائر الأمور التكوينية الواقعية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شأن موانع الملاكات كذلك فعند الشكّ في تحقّق المانع عن الملاك يرجع الشكّ في الحقيقة إلى الشكّ في حصول الملاك، فلو كانت الملاكات داخلة في حيّز التكليف و متعلّقة للطلب لكان الأصل عند الشكّ في المانع عن الملاك هو الاشتغال و الاحتياط، لما عرفت من أنّ الشكّ في المانع يرجع إلى الشكّ في حصول الملاك الذي فرض تعلّق الطلب به، و كلّما رجع الشكّ إلى</w:t>
      </w:r>
    </w:p>
    <w:p>
      <w:pPr>
        <w:pStyle w:val="BookText"/>
        <w:rPr/>
      </w:pPr>
      <w:r>
        <w:rPr>
          <w:rFonts w:ascii="Amiri" w:hAnsi="Amiri" w:eastAsia="Amiri" w:cs="Amiri"/>
          <w:color w:val="111111"/>
          <w:sz w:val="28"/>
          <w:sz w:val="28"/>
          <w:szCs w:val="28"/>
          <w:rtl w:val="true"/>
          <w:lang w:bidi="ar-SA"/>
        </w:rPr>
        <w:t>الشكّ في المحصّل يكون الأصل فيه هو الاشتغال و الاحتياط لا البراءة كما تبيّن في محلّه،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بعد ما بيّنا في محلّه و أوضحنا أنّ الملاكات غير داخلة في حيّز الطلب و لم يتعلّق بها أمر أصلا، و ليست من المسبّبات التوليدية لفعل المكلّف، بل ليس الفعل إلّا مقدّمة إعدادية لحصولها كان الشكّ في حصول المانع منها ممّا لا أثر له، و لا ينفع في شي‌ء من المقامات، و لا يمنع عن جريان البراءة في متعلّقات 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بداهة أنّه في جميع موارد تردّد الواجب بين الأقلّ و الأكثر يرجع الشكّ فيها إلى الشكّ في حصول الملاك بالأقلّ، فلو كان الشكّ في حصول الملاك يمنع عن جريان البراءة في المتعلّق لكان اللازم هو القول بالاحتياط في جميع موارد تردّد الأمر بين الأقل 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يكون هدما لما أسّسناه في أول البحث، من أنّ التكلّم فيما نحن فيه إنّما هو بعد الفراغ عن جريان البراءة في الأقل و الأكثر الارتباطي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البناء على أنّ الملاكات لم تكن لازمة التحصيل و لم يتعلّق بها طلب و لا أمر، بل إنّما تكون عللا و دواعي للأمر و التكليف، كان الشكّ في حصول المانع منها ممّا لا أثر له و لا يترتّب عليه شي‌ء، فالحريّ إنّما هو ملاحظة منشأ انتزاع المانعية في باب التكاليف، و في باب متعلّقاتها، و في باب موضوعاتها، و في باب الوضع و الأسباب، كموانع باب العقود و الإيقاعات،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مانعا عن التكليف الذي هو فعل اختياري للآمر و المكلّف بالكسر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مانعا عن متعلّق التكليف و المأمور به الذي هو فعل اختياري للمأمور و المكلّف بالفتح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مانعا عن تحقّق ما هو موضوع التكليف، و هذا أيضا يرجع إلى المانعية عن التكليف، بداهة اشتراط التكليف بالموضوع فالمانع عن الموضوع مانع عن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مانعا عن تحقّق المسبّب الذي هو المجعول الشرعي في باب الوضع و الأسباب، كموانع تحقّق الملكية و الزوجية و أمثال ذلك من المجعولات الشرعية الإمضائية، فهذه جملة أقسام 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عرفت سابقا أنّ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كالسببية و الشرطية و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تنالها يد الجعل، بل المجعول إنّما هو منشأ انتزاع هذه الأمور، فاعلم أنّ منشأ انتزاع المانعية للمأمور به و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ثبوتا إلّا تحقّق تخصّص المأمور به و تقيّده في عالم الجعل و التشريع بعدم ما فرض كونه مانعا، بداهة أنّ الإهمال النفس الأمري في عالم تحقّق الإرادة و الجعل ممّا لا يعقل بالنسبة إلى الجاعل الملتفت، ففي عالم الثبوت و الواقع لا محيص إمّا من لحاظ تقيّد المأمور به بعدم الشي‌ء، و إمّا من لحاظه مطلقا بالنسبة إلى وجوده و عدمه، و لا يمكن أن يكون لا هذا و لا ذاك، و إلّا لزم الإهمال الواقعي الذي عرفت استحالته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مقام تأليف الماهية و تشريعها إمّا أن يلاحظها الشارع مقيّدة بأمر وجودي، و إمّا أن يلاحظها مقيّدة بأمر عدمي، و إمّا أن يلاحظها مطلقة، و لا رابع لهذه الأقسام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اختلاف اللحاظ بحسب هذه الأقسام إنّما يكون من أجل اختلاف الماهية بحسب انطباق الملاك عليها، فتارة يكون الملاك منطبقا عليها مطلقا بالنسبة إلى الانقسامات اللاحقة لها، و اخرى لا ينطبق الملاك عليها إلّا على وجه خاصّ من انضمام أمر وجودي إليها أو عدمي، و من المعلوم أنّ الجاعل لا بدّ في مقام اللّحاظ و الجعل من ملاحظة الماهية على الوجه الذي ينطبق عليها الملاك، و إلّا كان ذلك</w:t>
      </w:r>
    </w:p>
    <w:p>
      <w:pPr>
        <w:pStyle w:val="BookText"/>
        <w:rPr/>
      </w:pPr>
      <w:r>
        <w:rPr>
          <w:rFonts w:ascii="Amiri" w:hAnsi="Amiri" w:eastAsia="Amiri" w:cs="Amiri"/>
          <w:color w:val="111111"/>
          <w:sz w:val="28"/>
          <w:sz w:val="28"/>
          <w:szCs w:val="28"/>
          <w:rtl w:val="true"/>
          <w:lang w:bidi="ar-SA"/>
        </w:rPr>
        <w:t>نقضا لغرضه و مفوّتا لمقصوده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لاحظ الماهية مطلقة غير مقيّدة بأمر وجودي أو عدمي، فلا يعقل بعد ذلك جعل شي‌ء جزء لها أو شرطا أو مانعا، إلّا أن يكون غير ملتفت إلى أنّ الشي‌ء الفلاني شرط أو مانع، و إلّا لا يعقل أن يلاحظ الشخص الملتفت إلى الجهات الواقعية الماهية المطلقة و بعد ذلك يلاحظ شيئا آخر جزء لها أو مانعا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لاحظها مقيّدة بأمر وجودي، فذلك الأمر الوجودي إمّا أن يكون جزء لها أو شرطا على اختلاف بينهما في كيفية اللّحاظ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لاحظها مقيّدة بأمر عدمي فذلك الأمر العدمي يكون مانعا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عالم اللحاظ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ذلك لا بدّ للجاعل و الشارع من تشريع الماهية و جعلها على طبق لحاظها، فكما أنّ في عالم اللحاظ ليس له لحاظ شي‌ء آخر جزء أو شرطا أو مانعا بعد لحاظ الماهية مطلقة، فكذلك بعد الجعل و التشريع أن يجعل أمرا شرطا أو مانعا عن مجعوله إلّا على سبيل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 عوالم ثلاثة، عالم الملاك و عالم اللحاظ و عالم الجعل و التشريع، و منشأ انتزاع الجزئية و الشرطية و المانعية في كلّ من هذه العوالم الثلاثة مختلف، فإنّ منشأ انتزاع هذه الأمور في عالم الملاك قد عرفت أنّه أمر واقعي تكويني، و قد تقدّم أنّ الشكّ في تحقّق المنشأ و حصوله في هذا العالم ممّا لا أثر له بعد عدم كون الملاكات داخلة في حيّز الطلب و التكليف</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منشأ انتزاع هذه الأمور في عالم اللحاظ إنّما هو عبارة عن لحاظ الطبيعة إمّا مقيدة بأمر وجودي أو بأمر عدمي، و الجزء و الشرط و المانع في هذا العالم أيضا ممّا لا أثر له، بداهة أنّ عالم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الجعل و التشريع على طبقه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لا أثر له و لا إطاعة له و لا 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الإطاعة و العصيان و الأثر إنّما تترتّب على عالم الجعل و التشريع الذي هو عالم التكليف، و منشأ انتزاع المانعية و الشرطية و الجزئية في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عالم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جعل الطبيعة و تقييدها و تخصيصها بأمر وجودي أو عدمي، فمن تقيّدها بأمر وجودي تنتزع عنه الجزئية و الشرطية، و من تقيّدها بأمر عدمي تنتزع عنه المانعية، فلو لا تقيّد الماهية في عالم التشريع بعدم ذلك الذي فرض كونه مانعا عن تحقّق المأمور به، لا يمكن بعد ذلك أن يصير شي‌ء مانعا عنه، و لا يعقل جعله ثانيا إلّا على طريق النسخ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انتزاع المانعية للمأمور به ليس إلّا تقيّد المأمور به في عالم الجعل و التشريع بعدم الشي‌ء، كما أنّ منشأ انتزاع المانعية في باب الوضع و الأسباب ليس هو إلّا عبارة عن تقيّد المسبّب الذي هو المجعول الشرعي في باب الأسباب، كالملكية و الزوجية و أمثال ذلك بعدم المانع، و هكذا الحال في موانع التكليف ليس المنشأ إلّا عبارة عن اشتراط التكليف و تقيّده بعدم المانع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بحسب عالم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بحسب عالم الإثبات فالنواهي الغيرية الواردة دالّة بمدلولها المطابقي على ذلك التقيّد النفس الأمري، كما أنّ الأوامر الغيرية الواردة دالّة بمدلولها المطابقي على التقيّد النفس الأمري أيضا، غايته أنّ النواهي تدلّ على التقيّد بالعدم الذي هو مساوق لمانعية الشي‌ء، و الأوامر تدلّ على التقيّد بالوجود الذي هو مساوق لجزئية الشي‌ء أو شرطيّته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اركع أو اسجد أو صلّ مستقبلا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جزئية الركوع و السجود و شرطية الاستقبال، و يكشف عن تقيّد الصلاة ثبوتا في مقام الجعل و التشريع بالركوع و السجود و الاستقبال، و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p>
    <w:p>
      <w:pPr>
        <w:pStyle w:val="BookText"/>
        <w:rPr/>
      </w:pPr>
      <w:r>
        <w:rPr>
          <w:rFonts w:ascii="Amiri" w:hAnsi="Amiri" w:eastAsia="Amiri" w:cs="Amiri"/>
          <w:color w:val="111111"/>
          <w:sz w:val="28"/>
          <w:sz w:val="28"/>
          <w:szCs w:val="28"/>
          <w:rtl w:val="true"/>
          <w:lang w:bidi="ar-SA"/>
        </w:rPr>
        <w:t>لا 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مانعية الحرير و ما لا يؤكل، و يكشف عن تقيّد الصلاة ثبوتا بعدم وقوعها في الحرير و فيما لا يؤكل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 المحتملات التي ذكرناها في النواهي الاستقلالية بعينها جارية في النواهي الغيرية، فإنّ النهي الغيري يمكن أن يكون له تعلّق بموضوع خارجي، كالنهي عن الصلاة فيما لا يؤكل و في الحرير، و يمكن أن لا يكون له تعلّق بموضوع خارجي، كالنهي عن قول آمين و التكتّف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كان له تعلّق بموضوع خارجي يمكن ثبوتا أن يكون المطلوب منه هو العنوان المترتّب و السبب التوليدي الحاصل من ترك ما تعلّق به النهي، بأن يكون المطلوب من النهي عن الصلاة فيما لا يؤكل هو اتّصاف الصلاة بعدم وقوعها فيه، و كون المصلّي متّصفا بأنّه غير لابس له، بحيث يكون المقصود هو المعنى النعتي الحاصل من ترك لبس أفراد غير المأكول، فتكون القضية حينئذ من الموجبة المعدولة المحمول و تخرج عن السالبة المحصّلة، كما إذا كان المطلوب في النواهي الاستقلالية مثل لا تشرب الخمر هو كون الشخص غير متّصف بكونه شارب الخمر، و أنّه يعتبر أن لا يكون شارب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المطلوب من النهي الغيري المتعلّق بموضوع خارجي هو السلب الكلّي على نحو العام المجموعي، بأن يكون المقصود من النهي عن الصلاة فيما لا يؤكل هو تركها في مجموع أفراد ما لا يؤكل، بحيث كان هناك نهي واحد و مطلوب فأرد تعلّق بمجموع الأفراد، فيكون المانع هو مجموع الأفراد على نحو عموم السلب لا سلب العموم، بحيث لو صلّى في فرد ممّا لا يؤكل اضطرارا فقد خرجت لأفراد الأخر عن المانعية و تعلّق النهي بها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يكون المطلوب من النهي الغيري هو السلب الكلّي على نحو الانحلالية، بحيث يكون لكلّ فرد من أفراد ما لا يؤكل خطاب يخصّه، و يتعدّد</w:t>
      </w:r>
    </w:p>
    <w:p>
      <w:pPr>
        <w:pStyle w:val="BookText"/>
        <w:rPr/>
      </w:pPr>
      <w:r>
        <w:rPr>
          <w:rFonts w:ascii="Amiri" w:hAnsi="Amiri" w:eastAsia="Amiri" w:cs="Amiri"/>
          <w:color w:val="111111"/>
          <w:sz w:val="28"/>
          <w:sz w:val="28"/>
          <w:szCs w:val="28"/>
          <w:rtl w:val="true"/>
          <w:lang w:bidi="ar-SA"/>
        </w:rPr>
        <w:t>المانع حسب تعدّد أفراده في الخارج، و تكون الصلاة مقيّدة بعدم وقوعها في كلّ واحد من الأفراد، و يتعدّد القيد حسب تعدّد الأفراد كتعدّد الخطابات الاستقلالية حسب تعدّد أفراد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المحتملات في النواهي الغيرية هي بعينها المحتملات في النواهي الاستقلالية، و قد عرفت أنّ المحتملات في النواهي الاستقلالية ثلاثة ففي النواهي الغيرية أيضا كذلك، هذا بحسب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بحسب الاستظهار فما استظهرناه في النواهي الاستقلالية، من كون المطلوب فيها بحسب ما يقتضيه ظاهر الدليل كونه على نحو الانحلاليّة، لا السلب الكلّي على نحو العام المجموعي، و لا الموجبة المعدولة المحمول، بعينه مستظهر في النواهي الغيرية، و أنّ الأصل فيها أيضا الانحلاليّة، و حينئذ يكون الشكّ في تحقّق الموضوع الخارجي شكّا في التكليف، كما تقدّم وجهه في النواهي الاستقلالية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بيان ذلك، هو أنّه لا إشكال في أنّ الظاهر من أدلّة الباب، من مثل قول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الصلاة فيما لا يؤكل</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خصوصا الأخبار المعلّلة بالمسوخية و غيرها، هو أنّ جهة المنع إنّما هي لأجل خصوصية قائمة في غير المأكول أوجبت المنع عن الصلاة فيه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المعنى ينافي كونه من باب الموجبة المعدولة المحمول، فإنّه لو كان المطلوب بالنهي هو كون الصلاة متّصفة بكونها لا فيما يؤكل لحمه، بحيث يكون نفس هذا العدم النعتي تمام المطلوب و المصلحة قائمة به، لكان اللازم هو ملاحظة العدم معنى استقلاليا، و تكون الخصوصية الموجبة لعدم صحّة الصلاة فيما لا يؤكل قائمة بنفس هذا العدم، من دون أن يكون في الحيوان الغير المأكول خصوصية</w:t>
      </w:r>
    </w:p>
    <w:p>
      <w:pPr>
        <w:pStyle w:val="BookText"/>
        <w:rPr/>
      </w:pPr>
      <w:r>
        <w:rPr>
          <w:rFonts w:ascii="Amiri" w:hAnsi="Amiri" w:eastAsia="Amiri" w:cs="Amiri"/>
          <w:color w:val="111111"/>
          <w:sz w:val="28"/>
          <w:sz w:val="28"/>
          <w:szCs w:val="28"/>
          <w:rtl w:val="true"/>
          <w:lang w:bidi="ar-SA"/>
        </w:rPr>
        <w:t>أوجبت المنع عن الصلاة فيه، بل كانت الخصوصية قائمة بذلك الوصف العدمي القائم بالصلاة عند ترك الصلاة فيما لا يؤكل، بحيث تدور الصحّة و الفساد مدار تحقّق ذلك الوصف و عدمه، حتّى لو فرض محالا أنّ المكلّف ترك الصلاة في جميع أفراد ما لا يؤكل، و لم يتحقّق ذلك الوصف العدمي للصلاة، لكانت الصلاة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الفرض و إن كان محالا، لأنّ ترك الصلاة في جميع أفراد ما لا يؤكل ملازم لتحقّق العنوان العدمي للصلاة، فإنّ ذلك العنوان من قبيل المسبّب التوليدي لذلك الترك، كما عرفت وجهه في النواهي الاستقلالية، إلّا أنّ التفكيك بين المتلازمين ممّا يوجب تقريب المطلب و تسجيله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كون المطلوب هو الصلاة لا فيما يؤكل على نحو القضية المعدولة المحمول، هو كون الخصوصية المستتبعة للصحّة و الفساد قائمة بنفس ذلك العدم، من دون أن يكون لأفراد غير المأكول دخل في ذلك، و لا خصوصية فيها توجب المنع عن الصلاة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ظواهر الأدلّة، من كون المنع إنّما هو من أجل خصوصية قائمة في نفس الحيوان التي أوجبت حرمة أكله و عدم جواز الصلاة فيه، كما يشهد لذلك التعليل بالمسوخية و غيرها، فالمطلوب في باب النواهي الغيرية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ما يقتضيه ظاهر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إلّا ترك الصلاة في أفراد ما لا يؤكل لاتّصاف الصلاة بالترك، بحيث لو فرض أيضا محالا ترك المكلّف الصلاة في جميع أفراد ما لا يؤكل، و لكن لم يتحقّق ذلك الوصف العدمي للصلاة، لمّا كان ذلك مخلّا بالصحّة أصلا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فاحتمال أن يكون المطلوب من النهي عن الصلاة فيما لا يؤكل، هو اتّصاف الصلاة بكونها لا فيما يؤكل لحمه على نحو المعدولة المحمول ساقط من أصله، و لا ينبغي الإصغاء إليه</w:t>
      </w:r>
    </w:p>
    <w:p>
      <w:pPr>
        <w:pStyle w:val="BookText"/>
        <w:rPr/>
      </w:pPr>
      <w:r>
        <w:rPr>
          <w:rFonts w:ascii="Amiri" w:hAnsi="Amiri" w:eastAsia="Amiri" w:cs="Amiri"/>
          <w:color w:val="111111"/>
          <w:sz w:val="28"/>
          <w:sz w:val="28"/>
          <w:szCs w:val="28"/>
          <w:rtl w:val="true"/>
          <w:lang w:bidi="ar-SA"/>
        </w:rPr>
        <w:t>بقي احتمالان آخران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المطلوب من النهي هو ترك الصلاة في أفراد ما لا يؤكل على نحو العام المجموعي، بحيث يكون هناك مطلوب واحد و قيد فأرد للصلاة، و هو عدم وقوعها في مجموع أفراد ما لا يؤكل من حيث المجموع على نحو السلب الكلّي، نظير من نذر ترك أفراد شرب الدخان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المطلوب من النهي هو ترك الصلاة في كلّ فرد فرد من أفراد ما لا يؤكل على نحو العموم الانحلالي، بحيث يكون كلّ فرد من أفراد ما لا يؤكل متعلّقا للنهي الغيري استقلالا، و يكون عدم كلّ فرد فرد قيدا للصلاة، فتتعدّد القيدية حسب تعدّد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في النواهي الاستقلالية أنّ الأصل فيها الانحلاليّة، و الظاهر من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انحلال الخطاب بالنسبة إلى كلّ فرد فرد من أفراد الخمر، بحيث يكون لكلّ فرد خطاب يخصّه، فهل الأمر في النواهي الغيرية أيضا كذلك، أو أنّ الأصل فيها أن يكون النهي على نحو العام المجموعي؟</w:t>
      </w:r>
    </w:p>
    <w:p>
      <w:pPr>
        <w:pStyle w:val="BookText"/>
        <w:rPr/>
      </w:pPr>
      <w:r>
        <w:rPr>
          <w:rFonts w:ascii="Amiri" w:hAnsi="Amiri" w:eastAsia="Amiri" w:cs="Amiri"/>
          <w:color w:val="111111"/>
          <w:sz w:val="28"/>
          <w:sz w:val="28"/>
          <w:szCs w:val="28"/>
          <w:rtl w:val="true"/>
          <w:lang w:bidi="ar-SA"/>
        </w:rPr>
        <w:t>ربّما يتوهّم أنّ المطلوب فيما نحن فيه لا بدّ و أن يكون على نحو السلب الكلّي لا العام الانحلالي، و ذلك لأنّه لا إشكال في عدم حصول قيد الصلاة، و ما هو المطلوب من النهي عن الصلاة فيما لا يؤكل، إلّا بترك الصلاة في مجموع أفراد ما لا يؤكل، فامتثال النهي عن الصلاة فيما لا يؤكل لا يتحقّق إلّا بالتحرّز و التجنّب عن جميع أفراد ما لا يؤكل، 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يستقيم إلّا بأن يكون المطلوب فيما نحن فيه هو السلب الكلّي لا الانحلالي</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لا إشكال في أنّه لو صلّى في أحد أفراد ما لا يؤكل لا تكون سائر الأفراد مانعة، لأنّ المسبوق بمثله لا يؤثّر، و هذا يكشف عن بطلان الانحلاليّة، لأنّه لو كان المطلوب بالنهي هو الانحلاليّة لكان اللازم اتّصاف كلّ فرد فرد من أفراد غير المأكول بالمانعية، كاتّصاف كلّ فرد فرد من أفراد الخمر بالحرمة،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عليك فساد هذا التوهّم، فإنّ عدم حصول القيد للصلاة إلّا بترك جميع أفراد غير المأكول لا يكشف عن كون المطلوب بالنهي هو السلب الكلّي، بل عدم حصول ذلك إنّما هو من لوازم الارتباطية، حيث إنّ الارتباطية بين أجزاء الصلاة و شرائطها و موانعها تقتضي عدم تحقّق المطلوب من الصلاة إلّا بوجدانها لجميع ما اعتبر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 من أنّه لو صلّى في أحد أفراد غير المأكول تخرج سائر الأفراد عن كونها مانعة، و هذا ينافي الانحلاليّة، ففساده غنيّ عن البيان، فإنّ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نقضا أنّه لو صلّى مع فقدان بعض أجزاء الصلاة أو شرائطها، أو صلّى مع مانع آخر غير ما لا يؤكل كالحرير مثلا، فلا إشكال في أنّ غير المأكول لا يتّصف بالمانعية، فإنّه لو صلّى في ألف من غير المأكول لا يؤثّر في الفساد، بعد ما كانت الصلاة واقعة على غير ما اعتبر فيها من الأجزاء و الشرائط و الموانع، فمجرّد خروج سائر الأفراد عن المانعية إذا كانت الصلاة واقعة في فرد ممّا لا يؤكل لا يكشف عن كون القيد أخذ على نحو السلب الكلّي أو الانحلالي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مانعية غير المأكول لم تؤخذ قيدا لأفراد الصلاة، حتّى يقال بأنّ الفرد من الصلاة الواقع في فرد من غير المأكول يوجب خروج سائر الأفراد عن المانعية، بل القيد إنّما اعتبر قيدا للطبيعة، فلو فرض أنّه صلّى ألف فرد من الصلاة في غير المأكول، لا يوجب خروج غير المأكول عن المانعية، و بعد باق على مانعيّته للطبيعة، و الأفراد الواقعة من الصلاة خارجة عن صحّة انطباقها على الطبيعة المأمور بها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فرض أنّه اضطرّ إلى الصلاة في فرد من غير المأكول، بحيث يوجب سقوط القيد عن القيدية، فحينئذ لو قال أحد بأنّه بعد اضطراره إلى لبس فرد من أفراد غير المأكول يجوز لبس سائر الأفراد، و لا تضرّ بصحّة الصلاة، لكشف ذلك</w:t>
      </w:r>
    </w:p>
    <w:p>
      <w:pPr>
        <w:pStyle w:val="BookText"/>
        <w:rPr/>
      </w:pPr>
      <w:r>
        <w:rPr>
          <w:rFonts w:ascii="Amiri" w:hAnsi="Amiri" w:eastAsia="Amiri" w:cs="Amiri"/>
          <w:color w:val="111111"/>
          <w:sz w:val="28"/>
          <w:sz w:val="28"/>
          <w:szCs w:val="28"/>
          <w:rtl w:val="true"/>
          <w:lang w:bidi="ar-SA"/>
        </w:rPr>
        <w:t>عن أنّ القيد إنّما أخذ على نحو السلب الكلّي، حيث جواز لبس سائر الأفراد الغير المضطرّ إليها ينافي الانحلاليّة، و أنّ كلّ فرد من أفراد غير المأكول مانع مستقلّ و تعلّق النهي الغيري به بحياله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الشأن في جواز ذلك، فإنّ الظاهر تسالم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الاقتصار على المضطرّ إليه و لا يجوز لبس الزائد، و هذا التسالم يكشف عن الانحلاليّة لا السلب الكلّي، كما لا يخفى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أنّ ما تخيّل وجها لأن يكون النهي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فيما لا 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السلب الكلّي ليس بجيّد، و الأقوى أنّ النهي فيما نحن فيه إنّما يكون على نحو الانحلاليّة، و أنّ كلّ فرد من أفراد غير المأكول يكون مانعا بحياله و تعلّق به النهي الغيري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تندرج الشبهة في مجاري البراءة، فإذا شكّ في شي‌ء أنّه من غير المأكول من جهة الشبهة المصداقية يكون الشكّ شكّا في التكليف، و يكون من باب دوران المتعلّق بين الأقل و الأكثر، بداهة أنّ الانحلاليّة توجب تعدّد القيد و النهي حسب ما يوجد من أفراد غير المأكول في الخارج، فالشكّ في فرد يوجب الشكّ في النهي و التقيّد زائدا عمّا علم من الأفراد المعلومة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على تقدير التنزّل و تسليم كون النهي على نحو السلب الكلّي لا الانحلالي، فالشبهة أيضا مندرجة في مجاري البراءة، ضرورة أنّه بناء على السلب الكلّي و إن كان النهي واحدا و القيد فاردا، إلّا أنّه لا إشكال في اتّساع دائرة متعلّق النهي و القيد حسب سعة ما يوجد من أفراد غير المأكول، و أنّ كلّ ما يوجد في الخارج من أفراده يوجب زيادة المتعلّق و توسعة في ناحية القيد، و هذا المقدار يكفي في اندراج الشبهة في مجاري البراءة، كما عرفت وجهه في التكاليف الاستقلالية، بداهة أنّه بناء على هذا أيضا يرجع الشكّ فيه إلى الشكّ في التكليف لا الشكّ في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أن يكون النهي عن الصلاة فيما لا يؤكل انحلاليّا، و أنّ كلّ فرد فرد من أفراد ما لا يؤكل قد تعلّق به نهي، و كان موردا للتكليف مستقلا بحيث يتعلّق بكلّ فرد يوجد في الخارج فرد من الخطاب لا ربط له بخطاب المتعلّق الآخر، يكون اندراج الشبهة في مجاري البراءة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يكن النهي عن الصلاة فيما لا يؤكل انحلاليّا و كان على نحو السلب الكلّي، فهو و إن كان خلاف ظاهر النهي إلّا أنّه مع ذلك تكون الشبهة مجرى للبراءة، لرجوع الشكّ في الفرد المشتبه إلى الشكّ في سعة التكليف و القيد، فإنّه لو كان الفرد المشتبه من غير المأكول واقعا لكان ذلك يوجب سعة دائرة النهي و القيد المستفاد منه، فالشكّ في الفرد يلازم الشكّ في تعلّق النهي به، و كلّما رجع الشكّ إلى الشكّ في تعلّق النهي يرجع إلى البراءة، لما عرفت من الضابط بين رجوع الشبهة إلى الشكّ في التكليف و رجوعها إلى الشكّ في الامتثال، و أنّه كلّما رجعت الشبهة إلى ناحية الطلب و ما هو فعل الآمر و المكلّف بالكسر فتكون الشبهة من مجاري البراءة في غير الشكّ في المحصّل، و كلّما رجعت الشبهة إلى تحقّق الفعل أو الترك المطالب به كانت الشبهة من مجاري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نحن فيه على كلا التقديرين، سواء كان النهي انحلاليّا أو كان مجموعيّا، يكون الشكّ في الفرد المشتبه من باب الشكّ في التكليف و تردّد المتعلّق بين الأقل 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أنّه بناء على الانحلاليّة يرجع الشكّ إلى الشكّ في أصل تعلّق الخطاب المستقل في الفرد المشتبه، و بناء على المجموعية يرجع الشكّ إلى دخول الفرد المشتبه تحت دائرة الخطاب الواحد المتعلّق بمجموع الأفراد</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المطلوب بالنهي هو العدم النعتي، و الوصف المسبّب من ترك الصلاة في آحاد غير المأكول، لكان الشكّ حينئذ مندرجا في مجاري الاشتغال، لرجوع الشكّ إلى الشكّ في تحقّق ذلك الوصف العدمي المطالب به، لما عرفت من</w:t>
      </w:r>
    </w:p>
    <w:p>
      <w:pPr>
        <w:pStyle w:val="BookText"/>
        <w:rPr/>
      </w:pPr>
      <w:r>
        <w:rPr>
          <w:rFonts w:ascii="Amiri" w:hAnsi="Amiri" w:eastAsia="Amiri" w:cs="Amiri"/>
          <w:color w:val="111111"/>
          <w:sz w:val="28"/>
          <w:sz w:val="28"/>
          <w:szCs w:val="28"/>
          <w:rtl w:val="true"/>
          <w:lang w:bidi="ar-SA"/>
        </w:rPr>
        <w:t>أنّه لو كان المطلوب بالنهي هو العدم النعتي على نحو الموجبة المعدولة المحمول، لكان ترك أفراد غير المأكول محصّلا لذلك العدم، و يدور أمر المحصّل حينئذ بين الأقل و الأكثر، و كلّما رجع الشكّ إلى باب المحصّل فالأصل فيه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النواهي الغيرية و النواهي الاستقلالية، فكما أنّ الأصل في النواهي الاستقلالية هو الانحلاليّة، و يكون الشكّ في الفرد المشتبه شكّا في أصل التكليف، فكذلك الأمر في النواهي الغيرية و كما أنّ المطلوب في باب النواهي الاستقلالية، لو كان على نحو السلب الكلّي و العام المجموعي، كان الشكّ أيضا راجعا إلى الشكّ في التكليف من حيث سعة دائرة التكليف و ضيقه، فكذلك الحال في النواهي الغيرية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أنّ المطلوب في باب النواهي الاستقلالية لو كان على نحو الموجبة المعدولة المحمول لكان الشكّ راجعا إلى الشكّ في الامتثال، فكذلك الحال في النواهي الغيرية حذو النعل بالنعل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المختار عندنا من مانعية غير المأكول، كما تقدّم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شرطية المأكول، فهو و إن كان خلاف ظاهر الأدلّة إلّا أنّه يختلف حكم الشكّ فيه، فإنّه بناء على المانعية قد عرفت أنّه لا محيص عن القول بالبراءة إلّا على تقدير تقدّم، و قد عرفت أنّ ذلك التقدير خلاف ظاهر أدلّة الباب</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بناء على الشرطية، فإن قلنا بأنّ شرطية المأكول مقصورة بما إذا كان اللباس من حيوان، بحيث لو كان اللباس من غير الحيوان كانت الشرطية منتفية من باب عدم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الوجه في ذلك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اللازم حينئذ عند الشكّ في المأكولية مع العلم بأنّ اللّباس متّخذ من الحيوان هو الاحتياط، للشكّ في تحقّق ما هو الشرط، و الشكّ في الشرط يستدعي الشكّ في تحقق المشروط و هو الصلاة، فيرجع الشكّ إلى الشكّ في تحقّق الامتثال و الخروج عن</w:t>
      </w:r>
    </w:p>
    <w:p>
      <w:pPr>
        <w:pStyle w:val="BookText"/>
        <w:rPr/>
      </w:pPr>
      <w:r>
        <w:rPr>
          <w:rFonts w:ascii="Amiri" w:hAnsi="Amiri" w:eastAsia="Amiri" w:cs="Amiri"/>
          <w:color w:val="111111"/>
          <w:sz w:val="28"/>
          <w:sz w:val="28"/>
          <w:szCs w:val="28"/>
          <w:rtl w:val="true"/>
          <w:lang w:bidi="ar-SA"/>
        </w:rPr>
        <w:t>عهدة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شكّ في اتّخاذ اللّباس من الحيوان أو غيره من القطن و الكتّان، و على تقدير كونه من الحيوان فيشكّ في كونه مأكولا أو غيره، لكان اللازم حتّى على القول بالشرطية هو الرجوع إلى البراءة، لأنّ مرجع الشكّ في الفرض أيضا إلى اتّساع سعة دائرة الشرطية بحيث تشمل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العلم بشرطية المأكول لا يلازم القول بالاشتغال، فإنّ شرطية المأكول حسب الفرض مقصورة بما إذا كان اللّباس من الحيوان، فلو علم كون اللّباس من الحيوان كان اللازم هو تحصيل العلم بكونه من المأكول قضية للشرطية، و أمّا لو شكّ كونه من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جريان البراءة للشكّ في تحقّق موضوع ما هو الشرط، و هو كون اللّباس من الحيوان، فيرجع الشكّ إلى الشكّ في اشتراط المأكولية في هذا اللّباس، فإنّه على تقدير كونه من الحيوان يشترط فيه المأكولية، و كلّما رجع الشكّ إلى الشكّ في الاشتراط فالأصل البراءة عنه،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بأنّ الشرط ليس هو خصوص المأكولية، بل هو أحد خصوصيات الوجودية من القطن و الكتّان و منها المأكولية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الوجه في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اللازم في الفرض المذكور هو القول بالاشتغال، للشكّ في تحقّق تلك الخصوصية الوجودية التي كانت شرطا في صحّة الصلاة، لاحتمال كون اللّباس من حيوان غير مأكول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من جميع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مانعية غير المأكول كما أطبقت عليها روايات </w:t>
      </w:r>
      <w:r>
        <w:rPr>
          <w:rStyle w:val="FootnoteAnchor"/>
          <w:rtl w:val="true"/>
        </w:rPr>
        <w:footnoteReference w:id="423"/>
      </w:r>
      <w:r>
        <w:rPr>
          <w:rFonts w:ascii="Amiri" w:hAnsi="Amiri" w:eastAsia="Amiri" w:cs="Amiri"/>
          <w:color w:val="111111"/>
          <w:sz w:val="28"/>
          <w:sz w:val="28"/>
          <w:szCs w:val="28"/>
          <w:rtl w:val="true"/>
          <w:lang w:bidi="ar-SA"/>
        </w:rPr>
        <w:t xml:space="preserve">الباب، و بناء على انحلاليّة القيد، و أنّ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فيما</w:t>
      </w:r>
    </w:p>
    <w:p>
      <w:pPr>
        <w:pStyle w:val="BookText"/>
        <w:rPr/>
      </w:pPr>
      <w:r>
        <w:rPr>
          <w:rFonts w:ascii="Amiri" w:hAnsi="Amiri" w:eastAsia="Amiri" w:cs="Amiri"/>
          <w:color w:val="111111"/>
          <w:sz w:val="28"/>
          <w:sz w:val="28"/>
          <w:szCs w:val="28"/>
          <w:rtl w:val="true"/>
          <w:lang w:bidi="ar-SA"/>
        </w:rPr>
        <w:t>لا 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ينحلّ إلى نواهي متعدّدة حسب تعدّد أفراد ما لا يؤكل في الخارج، و يكون لكلّ فرد فرد من أفراده خطاب يخصّه و يتعلّق به بعد وجوده، كما هو الشأن في كلّ خطاب تعلّق بموضوع خارجي على نحو الانحلاليّة، كان محلّ الكلام و هو ما إذا اشتبه الشي‌ء في كونه من المأكول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مندرجا في موارد تردّد متعلّق التكليف بين الأقل و الأكثر، من جهة الشبهة المصداقية و الموضوعية، بداهة أنّه بناء على المانعية و الانحلاليّة يرجع الشكّ في المورد المشتبه إلى الشكّ في تعلّق التكليف و الخطاب الغيري بهذا الفرد من اللّباس، و أنّه هل ورد عليه خطاب لا تصلّ فيه أو لم يرد، بعد العلم بورود الخطاب و توجّه التكليف بالنهي عن الصلاة فيما علم كونه من غير المأكول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ما نحن فيه مثل ما إذا شكّ في خمرية مائع من جهة الشبهة الموضوعية، فكما أنّ الشكّ في الخمرية يستلزم الشكّ في تعلّق النهي به، لأنّ نسبة الموضوع إلى الحكم نسبة العلّة إلى المعلول، و الشكّ في العلّة يلازم الشكّ في المعلول، فكذلك بعينه فيما نحن فيه، سوى أنّ الخطاب في مثل لا تشرب الخمر استقلالي، و الخطاب فيما نحن فيه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سنشير إلى أنّ الفرق ليس بفارق فيما هو المناط في جريان البراءة في الشبهات الموضوعية في التكاليف الاستقلالية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بناء على انحلالية الخطاب</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بناء على عدم الانحلاليّة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المطلوب في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فيما لا 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أمر واحد، و يكون للصلاة قيد فأرد و هو عدم وقوعها في مجموع أفراد ما لا يؤكل، لا أنّها مقيّدة، بعدم وقوعها في كلّ فرد فرد، حتّى تتعدّد القيدية حسب تعدّد الأفراد كما هو لازم الانحلاليّة، بل ليس هناك إلّا نهي واحد و قيد فأرد تعلّق بمجموع الأفراد على نحو السلب الكلّي، بحيث لا يختلف النهي و الخطاب و القيد، زادت الأفراد في الخارج أو نقصت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زيادة الأفراد</w:t>
      </w:r>
    </w:p>
    <w:p>
      <w:pPr>
        <w:pStyle w:val="BookText"/>
        <w:rPr/>
      </w:pPr>
      <w:r>
        <w:rPr>
          <w:rFonts w:ascii="Amiri" w:hAnsi="Amiri" w:eastAsia="Amiri" w:cs="Amiri"/>
          <w:color w:val="111111"/>
          <w:sz w:val="28"/>
          <w:sz w:val="28"/>
          <w:szCs w:val="28"/>
          <w:rtl w:val="true"/>
          <w:lang w:bidi="ar-SA"/>
        </w:rPr>
        <w:t>و نقصانها يوجب التوسعة و الضيق في دائرة متعلّق النهي و القيد، كما لو نذر انه لا يشرب ماء الدجلة مثلا، فإنّ زيادة ماء الدجلة أو نقصانه لا يوجب تعدّد النذر، و لا تعدّد النهي الجائي من قبل الوفاء بالنذر، بل الزيادة و النقيصة إنّما توجب سعة دائرة المنذور و ضيقه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إن كان خلاف ما يقتضيه ظاهر النهي الذي له تعلّق بموضوع خارجي، حيث عرفت أنّ الأصل الأولي في باب النواهي المتعلّقة بالموضوعات الخارجية هو الانحلاليّة، من غير فرق بين الاستقلالية و الغيرية، و أنّ ما تخيّل من أنّ النهي الغيري في مثل لا تصلّ فيما لا يؤكل لا يمكن أن يكون مفاده الانحلاليّة لأحد الوجهين المتقدّمين، فقد عرفت ضعفه، و أنّ ما ذكر من الوجهين لا يصلح فارقا بين النواهي الاستقلالية و الغيرية، و لا يوجب انقلاب الأصل الأولي عمّا هو عليه، إلّا أنّه بناء عليه أيضا يرجع الشكّ في المورد المشتبه إلى تردّد متعلّق التكليف بين الأقل 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غايته أنّه بناء على الانحلاليّة يرجع الشكّ في المورد المشتبه إلى الشكّ في أصل وجود النهي عنه و تقيّد الصلاة بعدم الوقوع فيه، و هذا بخلاف الوجه الأخير، فإنّ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إلى الشكّ في تعلّق ذلك النهي المقطوع وجوده بهذا المشتبه، و اتّساع دائرة القيدية بعدم الوقوع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يرجع الشكّ إلى الشكّ في متعلّق التكليف و تردّده بين الأقل و الأكثر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بناء على أن يكون المطلوب في مثل لا تصلّ فيما لا يؤكل هو النعت العدمي على نحو الموجبة معدولة محمولها، و هو اتّصاف الصلاة بعدم وقوعها فيما لا يؤكل، و أنّ المطلوب هو الصلاة لا فيما لا يؤكل، فيخرج المورد المشتبه عن كونه متعلّقا للتكليف و النهي لا استقلالا و لا ضمنا و تبعا، بل يكون متعلّق النهي حقيقة هو ذلك النعت العدمي المسبّب التوليدي من ترك الصلاة في آحاد أفراد ما لا يؤكل، فيكون ترك الأفراد محصّلا لذلك المطلوب، و يرجع الشكّ في المورد</w:t>
      </w:r>
    </w:p>
    <w:p>
      <w:pPr>
        <w:pStyle w:val="BookText"/>
        <w:rPr/>
      </w:pPr>
      <w:r>
        <w:rPr>
          <w:rFonts w:ascii="Amiri" w:hAnsi="Amiri" w:eastAsia="Amiri" w:cs="Amiri"/>
          <w:color w:val="111111"/>
          <w:sz w:val="28"/>
          <w:sz w:val="28"/>
          <w:szCs w:val="28"/>
          <w:rtl w:val="true"/>
          <w:lang w:bidi="ar-SA"/>
        </w:rPr>
        <w:t>المشتبه إلى تردّد محصّل متعلّق التكليف بين الأقل و الأكثر لا تردّد نفس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نظر المشهور على ما نسب إليهم من ذهابهم إلى المنع عن الصلاة في المشكوك و مصيرهم إلى الاحتياط إلى هذا الوجه، و أنّهم فهموا من النهي عن الصلاة فيما لا يؤكل هو أنّ المطلوب النعت العدمي، من دون أن تكون الأفراد متعلّقة للنهي،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عرفت أنّه لا يمكن المصير إلى هذا الوجه، لأنّ الظاهر من الأدلّة، خصوصا المعلّلة منها، هو كون الخصوصية و المفسدة التي أوجبت المنع عن الصلاة فيما لا يؤكل قائمة بنفس أفراد ما لا يؤكل، فتكون نفس الأفراد متعلّقة للنهي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دوران متعلّق التكليف بين الأقل و الأكثر من جهة الشبهة الموضوعية، كدوران المتعلّق بين الأقل و الأكثر من جهة الشبهة الحكمية كفقد النصّ و إجماله، و نحن بعد ما بيّنّا و أوضحنا أنّ دوران الأمر بين الأقل و الأكثر من جهة الشبهة الحكمية يكون مجرى للبراءة الشرعية لا العقلية، فكذلك دوران المتعلّق بينهما من جهة الشبهة الموضوعية من غير فرق بينهما أصلا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توهّم أنّ مورد الرجوع إلى البراءة العقلية و الشرعية إنّما هو فيما إذا شكّ في شي‌ء يكون بيانه من وظيفة الشارع، و ما هو جاعله و الصادر عنه في مقام التشريع، بداهة أنّ حكم العقل بقبح العقاب بلا بيان إنّما هو فيما إذا كان البيان من وظيفة الشارع، و 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فيما إذا شكّ في مجعول شرعي يكون وضعه و رفعه بيد الشارع، و هذا المعنى لا يجري في الشبهات الموضوعية، لأنّه ليس من وظيفة الشارع بيان حال الموضوع الخارجي و أنّ اللّباس من مأكول اللّحم أو غيره، بل ليس وظيفة الشارع إلّا بيان الأحكام، و أنّ حكم المأكول و غير المأكول ما هو، و المفروض أنّه علمنا حكم المأكول و غيره، و أنّه لا يجوز الصلاة في غير المأكول، فما هو من وظيفة الشارع بيانه قد علمناه، و الشكّ إنّما هو واقع فيما</w:t>
      </w:r>
    </w:p>
    <w:p>
      <w:pPr>
        <w:pStyle w:val="BookText"/>
        <w:rPr/>
      </w:pPr>
      <w:r>
        <w:rPr>
          <w:rFonts w:ascii="Amiri" w:hAnsi="Amiri" w:eastAsia="Amiri" w:cs="Amiri"/>
          <w:color w:val="111111"/>
          <w:sz w:val="28"/>
          <w:sz w:val="28"/>
          <w:szCs w:val="28"/>
          <w:rtl w:val="true"/>
          <w:lang w:bidi="ar-SA"/>
        </w:rPr>
        <w:t>لا يكون من وظيفة الشارع بيانه، فلا محلّ للبراءة العقلية و الشرعية في الشبهات الموضوعية فاسد جدّا، بداهة أنّه ليس المناط في البراءة العقلية و الشرعية أن يكون المشكوك من وظيفة الشارع بيانه، و إلّا كان اللازم عدم جريان البراءة في الشبهات الحكمية أيضا عند إجمال النصّ، كما لو تردّد الغناء المحرّم بين أن يكون هو مطلق مدّ الصوت و ترجيعه، أو ذلك مع كونه مطربا، بداهة أنّه ليس من وظيفة الشارع بيان معنى الغناء، بل معناه موكول إلى اللّغة و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مناط البراءة العقلية ليس إلّا قبح العقاب على الواقع المجهول الذي لم يصل إلى المكلّف بأحد أسباب وصوله من العلم به أو قيام الطريق عليه، ضرورة أنّ الانبعاث عن البعث المولوي إنّما يكون بوجوده العلمي لا بوجوده الواقعي، فإنّ الانبعاث عن الوجود الواقعي مع عدم وجوده العلمي من المحالات الأولية كما لا يخفى، فإذا كان الانبعاث يحتاج إلى الوجود العلمي فما لم يعلم بالبعث، و لم يصل إلى المكلّف بأحد أسباب وصوله كان العقاب عليه قبيحا عقلا، سواء صدر البعث عن الشارع واقعا أو لم يصدر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يقال بأنّ مورد البراءة العقلية إنّما هو فيما إذا كان صادرا عن الشارع واقعا و لم يصل إلى المكلّف، و أمّا إذا لم يصدر من الشارع واقعا و كان ممّا سكت اللّٰه عنه فليس قبح العقاب على مثل هذا من باب قبح العقاب بلا بيان، بل قبح العقاب على مثل هذا إنّما هو لأجل أنّ وظيفة الشارعية ما تمّت، إذ لا معنى للعقاب عن شي‌ء لا واقع له و لا مجعول للشارع</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 حكم العقل بقبح العقاب من غير بيان إنّما هو لأجل أنّ الانبعاث يحتاج إلى الوصول، فما لم يصل الحكم الشرعي بما اعتبر فيه كان العقاب عليه قبيحا، و إن كان في الواقع صادرا عن الشارع بما له من القيود و تمّت وظيفته، لما عرفت من أنّ مجرّد تمامية وظيفة الشارع مع عدم وصول البعث إلى</w:t>
      </w:r>
      <w:bookmarkStart w:id="327" w:name="pg19820_206737"/>
    </w:p>
    <w:p>
      <w:pPr>
        <w:pStyle w:val="BookText"/>
        <w:rPr/>
      </w:pPr>
      <w:bookmarkEnd w:id="327"/>
      <w:r>
        <w:rPr>
          <w:rFonts w:ascii="Amiri" w:hAnsi="Amiri" w:eastAsia="Amiri" w:cs="Amiri"/>
          <w:color w:val="111111"/>
          <w:sz w:val="28"/>
          <w:sz w:val="28"/>
          <w:szCs w:val="28"/>
          <w:rtl w:val="true"/>
          <w:lang w:bidi="ar-SA"/>
        </w:rPr>
        <w:t>المكلّف غير مصحّح للعقاب، هذا في البراءة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البراءة الشرعية فمناط جريانها إنّما هو الشكّ في أمر كان بيد الشارع رفعه و وضعه، و كان في رفعه المنّة و التوسعة على العباد، فكلّما حصل الشكّ في مثل هذا تجري البراءة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ما عرفت من انحلاليّة النهي، و أنّ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فيما لا 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ينحلّ إلى نواهي متعدّدة، حسب تعدّد أفراد الخمر و غير المأكول في الخارج، و يستتبع كلّ فرد خطاب مستقلّ يخصّه لا ربط له بخطاب الفرد الآخر، يحتاج الوصول و الوجود العملي لمثل هذا النهي إلى أمرين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 العلم بالكبرى، و هي حرمة أفراد الخمر و غير المأكول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بالصغرى، و هي كون هذا الشي‌ء خمرا أو غير 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وصل هذان الأمران جميعا كان البعث المولوي و النهي منجّزا، و يجب الخروج عن عهدته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في أحد الأمرين أو كليهما كان البعث غير تامّ في الباعثية، و تجري البراءة العقلية فيه و كذلك البراءة الشرعية، فإنّه بعد ما كان لكلّ فرد خطاب يخصّه فالشكّ في تحقّق الفرد في الخارج شكّ في تحقّق ذلك الخطاب و هو أمر مجهول، أمر وضعه و رفعه بيد الشارع، و في رفعه المنّة فتجري البراءة الشرعية فيه، هذا في الشبهات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الشبهات الحكمية إذا كان من جهة إجمال النصّ، فالكلام فيها الكلام في الشبهات الموضوعية إشكالا و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الإشكال و الجواب مطّرد أيضا في الشبهات التحريمية و الوجوبية، و قد استقصينا البحث عن ذلك في الأصول،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بيان كون الشبهة من مجاري أصالة البراءة</w:t>
      </w:r>
      <w:r>
        <w:rPr>
          <w:rFonts w:eastAsia="Amiri" w:cs="Amiri" w:ascii="Amiri" w:hAnsi="Amiri"/>
          <w:color w:val="111111"/>
          <w:sz w:val="28"/>
          <w:szCs w:val="28"/>
          <w:rtl w:val="true"/>
          <w:lang w:bidi="ar-SA"/>
        </w:rPr>
        <w:t>.</w:t>
      </w:r>
    </w:p>
    <w:p>
      <w:pPr>
        <w:pStyle w:val="Heading6"/>
        <w:numPr>
          <w:ilvl w:val="5"/>
          <w:numId w:val="1"/>
        </w:numPr>
        <w:rPr/>
      </w:pPr>
      <w:bookmarkStart w:id="328" w:name="__RefHeading___Toc3360204_2314609296"/>
      <w:bookmarkStart w:id="329" w:name="_Toc129"/>
      <w:bookmarkEnd w:id="328"/>
      <w:r>
        <w:rPr>
          <w:rtl w:val="true"/>
        </w:rPr>
        <w:t>المقام الثاني في توضيح كون الشبهة من مجاري أصالة الحلّ</w:t>
      </w:r>
      <w:bookmarkEnd w:id="329"/>
    </w:p>
    <w:p>
      <w:pPr>
        <w:pStyle w:val="Heading6"/>
        <w:numPr>
          <w:ilvl w:val="5"/>
          <w:numId w:val="1"/>
        </w:numPr>
        <w:rPr/>
      </w:pPr>
      <w:bookmarkStart w:id="330" w:name="__RefHeading___Toc3360206_2314609296"/>
      <w:bookmarkStart w:id="331" w:name="_Toc130"/>
      <w:bookmarkEnd w:id="330"/>
      <w:r>
        <w:rPr>
          <w:rtl w:val="true"/>
        </w:rPr>
        <w:t>اشارة</w:t>
      </w:r>
      <w:bookmarkEnd w:id="331"/>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قام الدليل</w:t>
      </w:r>
    </w:p>
    <w:p>
      <w:pPr>
        <w:pStyle w:val="BookText"/>
        <w:rPr/>
      </w:pPr>
      <w:r>
        <w:rPr>
          <w:rFonts w:ascii="Amiri" w:hAnsi="Amiri" w:eastAsia="Amiri" w:cs="Amiri"/>
          <w:color w:val="111111"/>
          <w:sz w:val="28"/>
          <w:sz w:val="28"/>
          <w:szCs w:val="28"/>
          <w:rtl w:val="true"/>
          <w:lang w:bidi="ar-SA"/>
        </w:rPr>
        <w:t xml:space="preserve">على اعتبارها بالخصوص، و نطقت بها عدّة من الروايات، كرواية مسعدة بن صدقه </w:t>
      </w:r>
      <w:r>
        <w:rPr>
          <w:rStyle w:val="FootnoteAnchor"/>
          <w:rtl w:val="true"/>
        </w:rPr>
        <w:footnoteReference w:id="424"/>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اختصاصها بالشبهات الموضوعية أو تعمّ الشبهات الحكمية أيضا كلام ذكرنا تفصيله في الأصول،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الأشبه اختصاصها بالشبهات الموضوعية، لأنّ الظاهر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فيه حلال و حرام فهو لك حلال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أخذ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منقسما إلى القسمين فعلا، بحيث يكون له فعلا قسم حلال و قسم حرام، و إن كان التقسيم باعتبار نوعه و صنفه بأن يكون نوع منه حلالا و نوع منه حراما، كالحيوان المنقسم إلى الأرنب المحرّم الأكل و الغنم المحلّل الأكل، و ذلك إنّما يكون في الموضوعات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رواية مسعدة خصوصا الأمثلة المذكورة فيها هو اختصاص أصالة الحلّ بالشبهات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فقد تمسّك بأصالة الحلّ لجواز الصلاة في المشكوك جملة من الأساطين، ببيان أنّ الشكّ في جواز الصلاة في المشكوك مسبّب عن الشكّ في حلّية الحيوان المأخوذ منه اللّباس، و بعد جريان أصالة الحلّ في الحيوان يرتفع الشكّ المسبّبي، كما هو الشأن في كلّ شكّ سببي و مسبّبي، و لا يتوقّف جريان أصالة الحلّ في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اللّحم محلّا للابتلاء فعلا، بل لو فرض أنّ لحم الحيوان كان خارجا عن مورد الابتلاء كانت أصالة الحلّ في الحيوان جارية، باعتبار جواز الصلاة في المأخوذ منه، و يكفي في جريان الأصل هذا المقدار من الأثر، فمجرّد خروج لحم الحيوان عن مورد الابتلاء غير مانع عن جريان الأصل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لا يمنع عن جريان أصالة الحلّ جريان أصالة عدم التذكية في</w:t>
      </w:r>
    </w:p>
    <w:p>
      <w:pPr>
        <w:pStyle w:val="BookText"/>
        <w:rPr/>
      </w:pPr>
      <w:r>
        <w:rPr>
          <w:rFonts w:ascii="Amiri" w:hAnsi="Amiri" w:eastAsia="Amiri" w:cs="Amiri"/>
          <w:color w:val="111111"/>
          <w:sz w:val="28"/>
          <w:sz w:val="28"/>
          <w:szCs w:val="28"/>
          <w:rtl w:val="true"/>
          <w:lang w:bidi="ar-SA"/>
        </w:rPr>
        <w:t>الحيوان، على تقدير الشكّ فيها بناء على أخذ قابلية المحلّ جزء للتذكية، و تردّد الحيوان المأخوذ منه اللّباس بين كونه قابل للتذكية أو غير قابل، فإنّ أصالة عدم التذكية على تقدير جريانها إنّما تنفع بالنسبة إلى الأجزاء التي تحلّها الحياة، و أمّا بالنسبة إلى الصوف و الوبر و الشعر و غيرها من الأجزاء التي لا تحلّها الحياة فأصالة عدم التذكية ممّا لا أثر لها، و لا تمنع عن جريان أصالة الحلّ في الحيوان بالنسبة إلى أثر جواز الصلاة في مثل الوبر و الصوف، نعم بالنسبة إلى الأجزاء التي تحلّها الحياة تكون أصالة الحلّ محكومة بأصالة عدم التذكية في مورد جريانها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توهّم مانعا عن جريان أصالة الحلّ غير مانع، لا خروج اللّحم عن محلّ الابتلاء، و لا جريان أصالة عدم التذكية في الحيوان، لأنّه يكفي في جريان الأصل مجرّد ترتّب أثر شرعي عليه، و لو كان ذلك الأثر جواز الصلاة في وبره و صوفه، فالخروج عن محلّ الابتلاء لا يصلح للمانعية، كما أن أصالة عدم التذكية لا تصلح للمانعية بالنسبة إلى الأجزاء التي لا تحلّها الحياة،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لا يستقيم الاستدلال بأصالة الحلّ الجارية في الحيوان لجواز الصلاة في المأخوذ منه بالبيان المتقدّم، و ذلك لأنّ اللّباس المشكوك تارة يكون منشأ الشكّ فيه من جهة الشكّ بين أخذه من الحيوان المحلّل أو من الحيوان المحرّم المعلوم كلّ منهما و الممتاز في الخارج عن الآخر، كما أنّه لو فرض أنّ هناك غنما معلوم الحلّية و أرنبا معلوم الحرمة، و شكّ في أخذ الصوف مثلا من الغنم أو الأرنب، و هذا هو الغالب في اللّباس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يكون الشكّ فيه من جهة الشكّ في المأخوذ منه، و تردّده بين كونه محلّل الأكل أو محرّمة، كما لو فرض أنّ هناك حيوانا علم أخذ الصوف منه، و لكن تردّد الحيوان بين المحلّل و المحرّم سواء كانت الشبهة حكمية أو موضوعية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منشأ الشكّ من قبيل القسم الأول فلا مجال لتوهّم جريان أصالة</w:t>
      </w:r>
    </w:p>
    <w:p>
      <w:pPr>
        <w:pStyle w:val="BookText"/>
        <w:rPr/>
      </w:pPr>
      <w:r>
        <w:rPr>
          <w:rFonts w:ascii="Amiri" w:hAnsi="Amiri" w:eastAsia="Amiri" w:cs="Amiri"/>
          <w:color w:val="111111"/>
          <w:sz w:val="28"/>
          <w:sz w:val="28"/>
          <w:szCs w:val="28"/>
          <w:rtl w:val="true"/>
          <w:lang w:bidi="ar-SA"/>
        </w:rPr>
        <w:t>الحلّ في الحيوان، حتّى يكون موجبا لرفع الشك المسبّبي من جواز الصلاة في صوفه مثلا، و ذلك لأنّه ليس هناك حيوان مشكوك الحلّية و الحرمة حتّى تجري أصالة الحلّ فيه، بل المفروض أنّ أحد الحيوانين معلوم الحلّية و الآخر معلوم الحرمة، فالشكّ ليس راجعا إلى المأخوذ منه و هو الحيوان حتّى تجري أصالة الحلّ فيه، بل الشكّ راجع إلى مرحلة الأخذ، و أنّ الصوف من أي من الحيوانين 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الشكّ في الأخذ يستلزم الشكّ في المأخوذ منه قهرا، و بهذا الاعتبار يكون المأخوذ منه مجرى لأصالة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جدّا، فإنّه إن أريد من استلزام الشكّ في الأخذ الشكّ في المأخوذ منه تحقّق الشكّ في المأخوذ منه الخارجي، المعلوم حلّية أحدها و حرمة الآخر، فدعوى الاستلزام ممنوعة جدّا، و كيف يعقل الشكّ في المأخوذ منه الخارجي مع العلم بحلّية أحدها و حرمة الآخر؟</w:t>
      </w:r>
    </w:p>
    <w:p>
      <w:pPr>
        <w:pStyle w:val="BookText"/>
        <w:rPr/>
      </w:pPr>
      <w:r>
        <w:rPr>
          <w:rFonts w:ascii="Amiri" w:hAnsi="Amiri" w:eastAsia="Amiri" w:cs="Amiri"/>
          <w:color w:val="111111"/>
          <w:sz w:val="28"/>
          <w:sz w:val="28"/>
          <w:szCs w:val="28"/>
          <w:rtl w:val="true"/>
          <w:lang w:bidi="ar-SA"/>
        </w:rPr>
        <w:t>و إن أريد من الاستلزام مع قطع النظر عن المأخوذ منه الخارجي، بأن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الشخص الآن شاكّ في أنّ المأخوذ منه هذا الصوف حلال أو حرام، و لو باعتبار الشكّ في نحو الأخذ مع قطع النظر عن أنّ المأخوذ منه الخارجي لا ترديد فيه، بل يلاحظ نفس هذا المفهوم المنتزع عن لحاظ الاتّصاف باتّخاذ هذا الصوف منه، و يغمض العين و يقطع النظر عن الخارج، فالاستلزام و إن كان صحيحا إلّا أنّ هذا مجرّد مفهوم و محض تصوّر لا واقع له، و لا يمكن جريان أصالة الحلّ بهذا الاعتبار المبني على المغالطة و عدم ثبوت واقع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فالإنصاف أنّ في هذا القسم من الشكّ لا مجرى لأصالة الحلّ أصلا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القسم الآخر، و هو ما إذا كان الشكّ في الصوف من جهة الشكّ في حلّية الحيوان المأخوذ منه و حرمته، فهو و إن كان أصالة الحلّ قاضية بحلّية الحيوان المشتبه، إذا ترتّب على الحلّية أثر شرعي يمكن إحرازه بأصالة الحلّ، و لو كان ذلك الأثر جواز الصلاة في أجزائه، إلّا أنّه مع ذلك لا جدوى لأصالة الحلّ فيما نحن فيه</w:t>
      </w:r>
      <w:bookmarkStart w:id="332" w:name="pg19820_206741"/>
    </w:p>
    <w:p>
      <w:pPr>
        <w:pStyle w:val="BookText"/>
        <w:rPr/>
      </w:pPr>
      <w:bookmarkEnd w:id="332"/>
      <w:r>
        <w:rPr>
          <w:rFonts w:ascii="Amiri" w:hAnsi="Amiri" w:eastAsia="Amiri" w:cs="Amiri"/>
          <w:color w:val="111111"/>
          <w:sz w:val="28"/>
          <w:sz w:val="28"/>
          <w:szCs w:val="28"/>
          <w:rtl w:val="true"/>
          <w:lang w:bidi="ar-SA"/>
        </w:rPr>
        <w:t>و بيان ذلك هو أنّه يعتبر في كلّ شكّ سببي و مسبّبي أن يكون بين الشكّ السببي و المسبّبي ترتّب و طولية، و أن يكون ذلك الترتّب شرعي لا عادي أو عقلي، و أن يكون الأصل الجاري في الشكّ السببي رافعا لموضوع الشكّ المسبّبي و هادما له، كما في الشكّ في طهارة المغسول بماء مشكوك الطهارة و النجاسة، حيث إنّ أصالة الطهارة في الماء يوجب رفع الشكّ في نجاسة المغسول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رفع الشكّ المسبّبي عند جريان الأصل في الشكّ السببي اجتماع هذه القيود الثلاثة، فلو انتفى أحد هذه القيود، إمّا بأن لا يكون بينهما ترتّب، أو كان ذلك الترتّب عاديّا أو عقليّا، أو كان الأصل الجاري في الشكّ السببي غير رافع للشكّ المسبّبي، كان الشكّ المسبّبي باقيا على حاله، و الأصل الجاري في الشكّ السببي ممّا لا فائدة له بالنسبة إلى الشكّ المسبّبي</w:t>
      </w:r>
      <w:r>
        <w:rPr>
          <w:rFonts w:eastAsia="Amiri" w:cs="Amiri" w:ascii="Amiri" w:hAnsi="Amiri"/>
          <w:color w:val="111111"/>
          <w:sz w:val="28"/>
          <w:szCs w:val="28"/>
          <w:rtl w:val="true"/>
          <w:lang w:bidi="ar-SA"/>
        </w:rPr>
        <w:t>.</w:t>
      </w:r>
    </w:p>
    <w:p>
      <w:pPr>
        <w:pStyle w:val="Heading6"/>
        <w:numPr>
          <w:ilvl w:val="5"/>
          <w:numId w:val="1"/>
        </w:numPr>
        <w:rPr/>
      </w:pPr>
      <w:bookmarkStart w:id="333" w:name="__RefHeading___Toc3360208_2314609296"/>
      <w:bookmarkStart w:id="334" w:name="_Toc131"/>
      <w:bookmarkEnd w:id="333"/>
      <w:r>
        <w:rPr>
          <w:rtl w:val="true"/>
        </w:rPr>
        <w:t>إذا عرفت ذلك فنقول</w:t>
      </w:r>
      <w:r>
        <w:rPr>
          <w:rtl w:val="true"/>
        </w:rPr>
        <w:t xml:space="preserve">: </w:t>
      </w:r>
      <w:r>
        <w:rPr>
          <w:rtl w:val="true"/>
        </w:rPr>
        <w:t>إنّ الحكم المترتّب على ما يحلّ أكله و ما لا يحلّ، كعدم جواز الصلاة في أجزائه و جوازها، يمكن أن يكون على أحد وجوه ثلاث</w:t>
      </w:r>
      <w:r>
        <w:rPr>
          <w:rtl w:val="true"/>
        </w:rPr>
        <w:t>.</w:t>
      </w:r>
      <w:bookmarkEnd w:id="334"/>
    </w:p>
    <w:p>
      <w:pPr>
        <w:pStyle w:val="Heading6"/>
        <w:numPr>
          <w:ilvl w:val="5"/>
          <w:numId w:val="1"/>
        </w:numPr>
        <w:rPr/>
      </w:pPr>
      <w:bookmarkStart w:id="335" w:name="__RefHeading___Toc3360210_2314609296"/>
      <w:bookmarkStart w:id="336" w:name="_Toc132"/>
      <w:bookmarkEnd w:id="335"/>
      <w:r>
        <w:rPr>
          <w:rtl w:val="true"/>
        </w:rPr>
        <w:t>الأول</w:t>
      </w:r>
      <w:r>
        <w:rPr>
          <w:rtl w:val="true"/>
        </w:rPr>
        <w:t xml:space="preserve">: </w:t>
      </w:r>
      <w:r>
        <w:rPr>
          <w:rtl w:val="true"/>
        </w:rPr>
        <w:t>أن يكون الحلّية و الحرمة أخذت في موضوع الدليل لمجرّد المعرّفية إلى الذوات التي يحلّ أكلها أو يحرم</w:t>
      </w:r>
      <w:bookmarkEnd w:id="336"/>
    </w:p>
    <w:p>
      <w:pPr>
        <w:pStyle w:val="BookText"/>
        <w:rPr/>
      </w:pPr>
      <w:r>
        <w:rPr>
          <w:rFonts w:ascii="Amiri" w:hAnsi="Amiri" w:eastAsia="Amiri" w:cs="Amiri"/>
          <w:color w:val="111111"/>
          <w:sz w:val="28"/>
          <w:sz w:val="28"/>
          <w:szCs w:val="28"/>
          <w:rtl w:val="true"/>
          <w:lang w:bidi="ar-SA"/>
        </w:rPr>
        <w:t xml:space="preserve">، من الغنم و الأرنب و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بحيث لا يكون لوصف الحلّية و الحرمة دخل في ترتّب ذلك الحكم، من جواز الصلاة في أجزائه و عدم جوازها، و حينئذ يكون جواز الصلاة فيما يؤكل و عدم جوازها فيما لا يؤكل في عرض حلّية الأكل و حرمته معروضان لذات الحيوان من دون أن يكون بينهما ترتّب و طولية، بل كانا معلولين لعلّة ثالثة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الوجه لا جدوى لأصالة الحلّ القاضية بحلّية الحيوان، و لا يترتّب عليها جواز الصلاة في أجزائه، إذ لا سببية و مسبّبية بين الحكمين و لا بين الشكّين، فأصالة الحلّ في الحيوان لا يوجب جواز الصلاة فيه، لأنّ إثبات أحد المتلازمين بالأصل لا يوجب إثبات اللازم الآخر، إلّا على القول بالأصل المثبت كما لا يخفى</w:t>
      </w:r>
      <w:r>
        <w:rPr>
          <w:rFonts w:eastAsia="Amiri" w:cs="Amiri" w:ascii="Amiri" w:hAnsi="Amiri"/>
          <w:color w:val="111111"/>
          <w:sz w:val="28"/>
          <w:szCs w:val="28"/>
          <w:rtl w:val="true"/>
          <w:lang w:bidi="ar-SA"/>
        </w:rPr>
        <w:t>.</w:t>
      </w:r>
      <w:bookmarkStart w:id="337" w:name="pg19820_206742"/>
    </w:p>
    <w:p>
      <w:pPr>
        <w:pStyle w:val="Heading6"/>
        <w:numPr>
          <w:ilvl w:val="5"/>
          <w:numId w:val="1"/>
        </w:numPr>
        <w:rPr/>
      </w:pPr>
      <w:bookmarkStart w:id="338" w:name="__RefHeading___Toc3360212_2314609296"/>
      <w:bookmarkStart w:id="339" w:name="_Toc133"/>
      <w:bookmarkEnd w:id="337"/>
      <w:bookmarkEnd w:id="338"/>
      <w:r>
        <w:rPr>
          <w:rtl w:val="true"/>
        </w:rPr>
        <w:t>الوجه الثاني</w:t>
      </w:r>
      <w:r>
        <w:rPr>
          <w:rtl w:val="true"/>
        </w:rPr>
        <w:t xml:space="preserve">: </w:t>
      </w:r>
      <w:r>
        <w:rPr>
          <w:rtl w:val="true"/>
        </w:rPr>
        <w:t>أن يكون الحلّية و الحرمة أخذت في موضوع الدليل للعنوانية،</w:t>
      </w:r>
      <w:bookmarkEnd w:id="339"/>
    </w:p>
    <w:p>
      <w:pPr>
        <w:pStyle w:val="BookText"/>
        <w:rPr/>
      </w:pPr>
      <w:r>
        <w:rPr>
          <w:rFonts w:ascii="Amiri" w:hAnsi="Amiri" w:eastAsia="Amiri" w:cs="Amiri"/>
          <w:color w:val="111111"/>
          <w:sz w:val="28"/>
          <w:sz w:val="28"/>
          <w:szCs w:val="28"/>
          <w:rtl w:val="true"/>
          <w:lang w:bidi="ar-SA"/>
        </w:rPr>
        <w:t>بأن يكون لوصفي الحلّية و الحرمة دخل في جواز الصلاة و عدمه، و يكونا موضوعين لذلك، لكن لا مطلق الحلّية و الحرمة، بل الحلّية و الحرمة العارضان لذوات الحيوانات في حدّ أنفسها، المحفوظان عند طروّ ما يوجب الرخصة فعلا أو المنع، كالحلّية الموضوعة للحم الغنم، و الحرمة الموضوعة للحم الأرانب، بداهة أنّ الحلّية الموضوعة للحم الغنم لا تنافي عروض المنع الشرعي عن أكله في مورد، كما إذا كان مغصوبا، فإنّ الغنم مع كونه مغصوبا محلّل الأكل في حدّ ذاته، بمعنى أنّ الغنم خلق مأكول اللّحم، كما أنّ حرمة لحم الأرانب لا تنافي الرخصة الشرعية في أكله، كما إذا كان في المخمصة، فإنّه مع ذلك الأرنب خلق غير مأكول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الحلّية و الحرمة الذاتيّان العارضة للحيوان موضوعا لجواز الصلاة في أجزائه و عدم جوازها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الوجه يكون الشكّ في جواز الصلاة في المشكوك مسبّبا عن الشكّ في حلّية الحيوان و حرمته، لأنّ المفروض أنّ حلّية الحيوان و حرمته صار موضوعا لجواز الصلاة في أجزائه و عدم جوازها، فيكون الشكّ في الجواز مسبّبا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مع ذلك لا جدوى لجريان أصالة الحلّ في الحيوان لإحراز جواز الصلاة في أجزائه، فإنّ مفاد أصالة الحلّ ليس إلّا الحلّية الفعلية و الرخصة في المشكوك بما أنّه مشكوك، من دون أن تكون محرزة لحال الحيوان و أنّه من محلّل الأكل أو محرّمة، إذ ليست أصالة الحلّ من الأصول التنزيلية المحرزة المتكفّلة لإلغاء أحد طرفي الشكّ و الأخذ بالآخر كالاستصحاب، بل أصالة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كأصالة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عملي موضوع لمجرّد البناء على أحد طرفي المشكوك بما أنّه مشكوك</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فالحكم الظاهري المجعول بأصالة الحلّ يكون من سنخ الواقعي المجعول في حال الاضطرار، فكما أنّ الرخصة الواقعية المجعولة في حال المخمصة لا توجب صيرورة</w:t>
      </w:r>
      <w:bookmarkStart w:id="340" w:name="pg19820_206743"/>
    </w:p>
    <w:p>
      <w:pPr>
        <w:pStyle w:val="BookText"/>
        <w:rPr/>
      </w:pPr>
      <w:bookmarkEnd w:id="340"/>
      <w:r>
        <w:rPr>
          <w:rFonts w:ascii="Amiri" w:hAnsi="Amiri" w:eastAsia="Amiri" w:cs="Amiri"/>
          <w:color w:val="111111"/>
          <w:sz w:val="28"/>
          <w:sz w:val="28"/>
          <w:szCs w:val="28"/>
          <w:rtl w:val="true"/>
          <w:lang w:bidi="ar-SA"/>
        </w:rPr>
        <w:t>الحيوان محلّل الأكل في حدّ ذاته، فكذلك الرخصة الظاهرية المجعولة بأصالة الحلّ، و حينئذ يكون الشكّ في جواز الصلاة في المشكوك المسبّب عن الشكّ في الحلّية و الحرمة بالمعنى المتقدّم بعد باق على حاله، و الأصل الجاري في ناحية السبب لا يوجب رفع الشكّ المسبّبي</w:t>
      </w:r>
      <w:r>
        <w:rPr>
          <w:rFonts w:eastAsia="Amiri" w:cs="Amiri" w:ascii="Amiri" w:hAnsi="Amiri"/>
          <w:color w:val="111111"/>
          <w:sz w:val="28"/>
          <w:szCs w:val="28"/>
          <w:rtl w:val="true"/>
          <w:lang w:bidi="ar-SA"/>
        </w:rPr>
        <w:t>.</w:t>
      </w:r>
    </w:p>
    <w:p>
      <w:pPr>
        <w:pStyle w:val="Heading6"/>
        <w:numPr>
          <w:ilvl w:val="5"/>
          <w:numId w:val="1"/>
        </w:numPr>
        <w:rPr/>
      </w:pPr>
      <w:bookmarkStart w:id="341" w:name="__RefHeading___Toc3360214_2314609296"/>
      <w:bookmarkStart w:id="342" w:name="_Toc134"/>
      <w:bookmarkEnd w:id="341"/>
      <w:r>
        <w:rPr>
          <w:rtl w:val="true"/>
        </w:rPr>
        <w:t>الوجه الثالث</w:t>
      </w:r>
      <w:r>
        <w:rPr>
          <w:rtl w:val="true"/>
        </w:rPr>
        <w:t xml:space="preserve">: </w:t>
      </w:r>
      <w:r>
        <w:rPr>
          <w:rtl w:val="true"/>
        </w:rPr>
        <w:t>أن يكون الحلّية و الحرمة الفعليّان موضوعين لجواز الصلاة و عدمه</w:t>
      </w:r>
      <w:bookmarkEnd w:id="342"/>
    </w:p>
    <w:p>
      <w:pPr>
        <w:pStyle w:val="BookText"/>
        <w:rPr/>
      </w:pPr>
      <w:r>
        <w:rPr>
          <w:rFonts w:ascii="Amiri" w:hAnsi="Amiri" w:eastAsia="Amiri" w:cs="Amiri"/>
          <w:color w:val="111111"/>
          <w:sz w:val="28"/>
          <w:sz w:val="28"/>
          <w:szCs w:val="28"/>
          <w:rtl w:val="true"/>
          <w:lang w:bidi="ar-SA"/>
        </w:rPr>
        <w:t>، بأن يكون تمام الموضوع لجواز الصلاة في أجزاءه هو الرخصة في أكل لحمه فعلا، بحيث يدور جواز الصلاة و عدمه مدار هذه الرخصة و الحلّية الفعلية، فكلّما حلّ أكل لحم الحيوان جاز الصلاة في أجزائه، و كلّما حرم لا تجوز الصلاة في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الوجه تكون أصالة الحلّ في الحيوان عند الشكّ فيه مجدية، و رافعة للشكّ المسبّبي، و موجبة لجواز الصلاة في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تمهّد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الواضح أنّه لم تؤخذ الحلّية و الحرمة بالمعنى الأخير موضوعا لجواز الصلاة في أجزاء الحيوان، حتّى يقال بجريان أصالة الحلّ في طرف الحيوان، ليترتّب عليه جواز الصلاة في أجزائه قضية للسببية و المسبّبية، إذ أدلّة الباب بين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رتّب الحكم بعدم جواز الصلاة على نفس الأنواع و الذوات المحرّمة، كالأرانب و الثعالب و 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 هذه الطائفة لا مساس لها لحديث السببية و المسبّبية، إذ لم يعلّق الحكم فيها على حرمة الأكل حتّى يتوهّم ذلك، بل تكون حرمة الأكل و عدم جواز الصلاة في عرض واحد، يعرضان للحيوان باعتبار ما له من الخصوصية كالمسوخية، كما ورد التعليل بذلك في بعض الأخبار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رتّب الحكم بعدم جواز الصلاة على عنوان ما لا يؤكل</w:t>
      </w:r>
    </w:p>
    <w:p>
      <w:pPr>
        <w:pStyle w:val="BookText"/>
        <w:rPr/>
      </w:pPr>
      <w:r>
        <w:rPr>
          <w:rFonts w:ascii="Amiri" w:hAnsi="Amiri" w:eastAsia="Amiri" w:cs="Amiri"/>
          <w:color w:val="111111"/>
          <w:sz w:val="28"/>
          <w:sz w:val="28"/>
          <w:szCs w:val="28"/>
          <w:rtl w:val="true"/>
          <w:lang w:bidi="ar-SA"/>
        </w:rPr>
        <w:t>و ما هو حرام اكله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الطائفة ممّا لا يمكن إنكار ظهورها في دخل حرمة الأكل في الحكم بعدم جواز الصلاة في أجزاء الحيوان، إذ ظاهر كلّ وصف أخذ في عنوان الدليل أن يكون لذلك الوصف دخل في ترتّب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حمله على المعرّفية خلاف الظاهر خصوصا التفريع الوارد في موثّقة ابن بكير </w:t>
      </w:r>
      <w:r>
        <w:rPr>
          <w:rStyle w:val="FootnoteAnchor"/>
          <w:rtl w:val="true"/>
        </w:rPr>
        <w:footnoteReference w:id="425"/>
      </w:r>
      <w:r>
        <w:rPr>
          <w:rFonts w:ascii="Amiri" w:hAnsi="Amiri" w:eastAsia="Amiri" w:cs="Amiri"/>
          <w:color w:val="111111"/>
          <w:sz w:val="28"/>
          <w:sz w:val="28"/>
          <w:szCs w:val="28"/>
          <w:rtl w:val="true"/>
          <w:lang w:bidi="ar-SA"/>
        </w:rPr>
        <w:t xml:space="preserve">، فإنّ الظاهر من قوله عليه السّلام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شي‌ء حرام أكله فالصلاة في وبره و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عدم جواز الصلاة متفرّعا على حرمة الأكل و مترتّبا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هذه الطائفة في سببية الوصف ممّا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مع ذلك يمكن أن يحمل الوصف فيها على المعرّفية بقرينة الطائفة الأولى، إذ لا شبهة في أظهرية الطائفة الأولى، باعتبار اشتمالها على التعليل بأنّ أكثرها مسوخ، و لا مانع من رفع اليد عن ظهور الطائفة الثانية، و حمل الوصف فيها على المعرّفية لمكان أظهرية الطائفة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التسليم و القول بأنّ لوصف الحرمة دخلا في ترتّب الحكم بعدم جواز الصلاة في أجزائه، فغاية ما يمكن تسليمه هو أن يكون لوصف الحرمة بالمعنى الثاني دخل في الحكم، و هو الحرمة الذاتية المجعولة لذوات الأشياء في حدّ أنفسها، لا الحرمة بالمعنى الثالث التي هي عبارة عن المنع الفعلي، فإنّ الظاهر من الحرمة و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الموصوفة بهما محرّمات الأنواع و محلّلاتها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الحرمة و الحلّية الذاتية، لا الحرمة و الحلّية الفعلية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على تقدير تسليم عدم ظهورها في ذلك، فلا محيص للفقيه من حملها على ذلك، بداهة أنّه لو لم يحمل على ذلك، و قلنا بأنّ الحلّية و الحرمة الفعليين</w:t>
      </w:r>
    </w:p>
    <w:p>
      <w:pPr>
        <w:pStyle w:val="BookText"/>
        <w:rPr/>
      </w:pPr>
      <w:r>
        <w:rPr>
          <w:rFonts w:ascii="Amiri" w:hAnsi="Amiri" w:eastAsia="Amiri" w:cs="Amiri"/>
          <w:color w:val="111111"/>
          <w:sz w:val="28"/>
          <w:sz w:val="28"/>
          <w:szCs w:val="28"/>
          <w:rtl w:val="true"/>
          <w:lang w:bidi="ar-SA"/>
        </w:rPr>
        <w:t>موضوعان لعدم جواز الصلاة و جوازها، كان اللازم هو الحكم بجواز الصلاة في أجزاء ما اضطرّ إلى أكله للمخمصة من الأرانب و الثعالب، و عدم جواز الصلاة في الغنم المغصوب أو المحلوف ترك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بالضرورة فلما كان هذا التالي الباطل لا بدّ من حمل الحلّية و الحرمة على الحلّية و الحرمة العارضين لذوات الأشياء، و عليه كان جريان أصالة الحلّ في الحيوان ممّا لا يثمر في رفع الشكّ المسبّبي من جواز الصلاة في أجزائه، لما عرفت من أنّ الحلّية الثابتة بأصالة الحلّ إنّما هي الحلّية الفعلية و الرخصة في أكل اللّحم، و جواز الصلاة و عدم جوازها لم يترتّب على هذه الحلّية، بل على الحلّية الذاتية العارضة لذوات الأنواع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ذكرناه أنّه لا يترتّب على جريان أصالة الحلّ في الحيوان جواز الصلاة في أجزائه، و أنّ حديث السببية و المسبّبية ممّا لا مساس لها في المقام، إمّا لعدم السببيّة و المسببيّة، كما إذا كانت حلّية الأكل و جواز الصلاة كلاهما معروضين لذات الحيوان في عرض واحد، و إمّا لعدم الجدوى في السببية و المسبّبية بناء على ترتّب جواز الصلاة على الحلّية الواقعية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ظهر أيضا أنّه لو قلنا بأصالة الحرمة عند الشكّ في حلّية الحيوان و حرمته، إمّا لكون الأصل في اللّحوم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w:t>
      </w:r>
      <w:r>
        <w:rPr>
          <w:rStyle w:val="FootnoteAnchor"/>
          <w:rtl w:val="true"/>
        </w:rPr>
        <w:footnoteReference w:id="426"/>
      </w:r>
      <w:r>
        <w:rPr>
          <w:rFonts w:ascii="Amiri" w:hAnsi="Amiri" w:eastAsia="Amiri" w:cs="Amiri"/>
          <w:color w:val="111111"/>
          <w:sz w:val="28"/>
          <w:sz w:val="28"/>
          <w:szCs w:val="28"/>
          <w:rtl w:val="true"/>
          <w:lang w:bidi="ar-SA"/>
        </w:rPr>
        <w:t>عن المحقّق و الشهيد الثانيين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حصر المحلّلات في الطيّبات في قوله تعالى أُحِلَّ لَكُمُ الطَّيِّبٰاتُ </w:t>
      </w:r>
      <w:r>
        <w:rPr>
          <w:rStyle w:val="FootnoteAnchor"/>
          <w:rtl w:val="true"/>
        </w:rPr>
        <w:footnoteReference w:id="427"/>
      </w:r>
      <w:r>
        <w:rPr>
          <w:rFonts w:ascii="Amiri" w:hAnsi="Amiri" w:eastAsia="Amiri" w:cs="Amiri"/>
          <w:color w:val="111111"/>
          <w:sz w:val="28"/>
          <w:sz w:val="28"/>
          <w:szCs w:val="28"/>
          <w:rtl w:val="true"/>
          <w:lang w:bidi="ar-SA"/>
        </w:rPr>
        <w:t>، يوجب انقلاب الأصل في المطعومات، و أنّ الأصل فيها الحرمة كما هو الشأن في كلّ حكم علّق على أمر وجودي، حيث يلزم إحرازه في ترتّب ذلك الحكم على ما هو المعروف بينهم، و إمّا لكون الأصل في كلّ شبهة تحريمية هو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الأخباريّون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مفاد أصالة الحرمة حينئذ إلّا عكس</w:t>
      </w:r>
    </w:p>
    <w:p>
      <w:pPr>
        <w:pStyle w:val="BookText"/>
        <w:rPr/>
      </w:pPr>
      <w:r>
        <w:rPr>
          <w:rFonts w:ascii="Amiri" w:hAnsi="Amiri" w:eastAsia="Amiri" w:cs="Amiri"/>
          <w:color w:val="111111"/>
          <w:sz w:val="28"/>
          <w:sz w:val="28"/>
          <w:szCs w:val="28"/>
          <w:rtl w:val="true"/>
          <w:lang w:bidi="ar-SA"/>
        </w:rPr>
        <w:t>مفاد أصالة الحلّ، و لا يترتّب عليها عدم جواز الصلاة في أجزاء الحيوان و إن حرم أكل لحمه، لأنّ حرمة أكل لحمه المدلول عليه بأصالة الحرمة لا يصيّره محرّم الأكل ذاتا، بل هي كالحرمة الواقعية المجعولة في حال الغصب، و المفروض أنّ عدم جواز لصلاة مترتّب على الحرمة الذاتية لا الحرمة العرضية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رفع المانعية جريان أصالة الحلّ في الحيوان المتّخذ منه اللّباس، كما لا يكفي في ثبوت المانعية جريان أصالة الحرمة فيه بناء على أنّ الأصل فيه الحرمة، و كذا لا يكفي في رفع المانعية جريان أصالة الحلّ من جهة الحرمة الذاتية أو الحرمة التشريعية في الصلاة في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 الحرمة الذاتية ممّا لا ينبغي توهّمها في الصلاة فيما لا يؤكل و غيره من سائر القيود المعتبرة في صحّة الصلاة سوى الطهارة الحدثية، إمّا مطلقا أو في خصوص الحيض، و إن كان الأقوى أنّ الطهارة الحدثية مطلقا على حدّ سائر القيود ممّا لا حرمة ذاتية للصلاة عند اختلالها، و على كلّ حال لا مجرى لأصالة الحلّ في رفع الحرمة الذاتية، لأنّ الصلاة فيما لا يؤكل ممّا يقطع بعدم حرمتها الذاتية، فالمشكوك من أنّه ممّا لا يؤكل لا يشكّ في حرمته الذاتية و حلّيته، حتّى تجري فيه أصالة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التسليم و القول بحرمة الصلاة ذاتا عند فعلها فيما لا يؤكل، فمع ذلك لا يجدي أصالة الحلّ في رفع المانعية، فإنّ غاية ما يثبت بأصالة الحلّ هو عدم الحرمة الذاتية و حلّية الصلاة في المشكوك، و أمّا كون هذه الصلاة ممّا تنطبق على المأمور به فمما لا يمكن إثباته بأصالة الحلّ إلّا على القول بالأصل المثبت، فيبقى الشكّ في الخروج عن عهدة التكليف باقيا على حاله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الثاني فلأنّ بمجرّد الشكّ في المشروعية ممّا يقطع بعدم المشروعية، و لا يبقى مجال لأصالة الحلّ بناء على ما هو التحقيق من أنّ حرمة التشريع لا تدور</w:t>
      </w:r>
    </w:p>
    <w:p>
      <w:pPr>
        <w:pStyle w:val="BookText"/>
        <w:rPr/>
      </w:pPr>
      <w:r>
        <w:rPr>
          <w:rFonts w:ascii="Amiri" w:hAnsi="Amiri" w:eastAsia="Amiri" w:cs="Amiri"/>
          <w:color w:val="111111"/>
          <w:sz w:val="28"/>
          <w:sz w:val="28"/>
          <w:szCs w:val="28"/>
          <w:rtl w:val="true"/>
          <w:lang w:bidi="ar-SA"/>
        </w:rPr>
        <w:t>مدار عدم المشروعية الواقعية، بل حكم العقل بقبح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المستتبع بقاعدة الملازمة لحكم الشارع بحرمته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مترتّب على الأعم من القطع بعدم المشروعية الواقعية و الظنّ و الشكّ بجامع واحد، بحيث يكون تمام الموضوع لحكم العقل هو عدم إحراز المشروعية، فبمجرّد عدم إحراز المشروعية يتحقّق تمام ما هو موضوع حكم العقل بقبح الاستناد و التشريع، فلا يبقى مجال للشكّ حتّى يتشبّث بذيل أصالة الحلّ للحلّية 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بناء على هذا لا يمكن التشبّث بأصالة عدم المشروعية لإثبات الحرمة التشريعية فيما كان الحالة السابقة عدم المشروعية، لا في مثل المقام من الشكّ في انطباق الصلاة في المشكوك على ما هو المأمور به الثابت تشريعه قطعا، فإنّ في مثل هذا لا مجال للاستصحاب من جهة انتفاء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فيما كان حالته السابقة عدم المشروعية فلا يمكن جريان الاستصحاب لإثبات عدم المشروعية النفس الأمرية، لما عرفت من أنّ الأثر الذي يراد ترتّبه بالاستصحاب من الحرمة التشريعية غير مرتّب على عدم المشروعية النفس الأمرية، بل الأثر مترتّب على عدم إحراز المشروعية، و هذا حاصل بنفس الشكّ وجدانا و متحقّق تكوينا، و ما كان حاصلا بنفس الشكّ تكوينا لا يمكن أن تناله يد التعبّد، لأنّه تحصيل للحاصل، بل أردأ أنحائه، لأنّه يرجع إلى إحراز ما هو محرز بالوجدان بالتعبّد</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كان حرمة التشريع لا تدور مدار عدم المشروعية الواقعية، بل كان تمام الموضوع الواقعي لحرمة التشريع هو عدم إحراز المشروعية، فبنفس الشكّ بالمشروعية يقطع بعدم المشروعية، و لا مجال لأصالة الحلّ في إثبات المشروعية، و لا لأصالة عدم المشروعية في إثبات عدم المشروعية فيما كان الحالة السابقة عدم المشروعية كالحجّية مثلا، و أمّا في مثل المقام من الشكّ في الانطباق</w:t>
      </w:r>
    </w:p>
    <w:p>
      <w:pPr>
        <w:pStyle w:val="BookText"/>
        <w:rPr/>
      </w:pPr>
      <w:r>
        <w:rPr>
          <w:rFonts w:ascii="Amiri" w:hAnsi="Amiri" w:eastAsia="Amiri" w:cs="Amiri"/>
          <w:color w:val="111111"/>
          <w:sz w:val="28"/>
          <w:sz w:val="28"/>
          <w:szCs w:val="28"/>
          <w:rtl w:val="true"/>
          <w:lang w:bidi="ar-SA"/>
        </w:rPr>
        <w:t>فأصالة عدم المشروعية ممّا لا مجرى له من أصله، لانتفاء الحالة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ما هو التحقيق عندنا من أنّ تمام الموضوع لقبح التشريع هو عدم العلم بالمشروعية الثابت عند القطع بالعدم و الشكّ و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الاحتمال الآخر من أنّ حكم العقل بقبح التشريع إنّما هو مترتّب على عدم المشروعية الواقعية، و كان حكمه بقبح التشريع عند الشكّ في المشروعية من أجل التحرّز عن الوقوع فيما هو الموضوع الواقعي، لا لقبح التشريع و هو عدم المشروعية الواقعية، فيكون حكمه في صورة الشكّ لمحض الطريقية، كحكمه بقبح التصرّف في المال المشكوك كونه لنفسه أو لغيره، فإنّ القبيح العقلي إنّما هو التصرّف في مال الغير، لا فيما شكّ كونه مال الغير، و لكن مع ذلك يقبح التصرّف في المال المشكوك مخافة للوقوع في القبيح الواقعي، فلأصالة عدم المشروعية مجال، لأنّ المفروض أنّ الحرمة التشريعية مترتّبة على عدم المشروعية الواقعية لا على عدم العلم بها، و الشكّ في المشروعية لا يلازم ما هو الموضوع للحرمة من العدم الواقعي، و إن استقلّ العقل بالحرمة عند الشكّ من باب الطريقية، فالأصل الموضوعي المحرز لعدم المشروعية الواقعية جار و حاكم على الحكم الطريقي العقلي، كما في مثل قاعدة الطهارة و استصحابها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مع ذلك أصالة الحلّ لا تجري، لأنّ أصالة الحلّ ليست من الأصول الموضوعية المحرزة للواقع، بل إنّما هي قاعدة مضروبة لغرض الشكّ مع حفظ الشكّ، و الحكم الطريقي العقلي بقبح التشريع عند الشكّ المستتبع بقاعدة الملازمة حكم طريقي شرعي بحرمته يكون هادما لموضوع أصالة الحلّ و رافعا له، لأنّ بمجرّد الشكّ في المشروعية يحكم العقل و الشرع بقبح و حرمة التشريع، فلا يبقى شكّ حتّى يتشبّث بذيل أصالة الحلّ، لأن جريانها موقوف على انحفاظ الشكّ، و مع هذا الحكم العقلي الطريقي لا انحفاظ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يقاس أصالة الحلّ بأصالة عدم</w:t>
      </w:r>
      <w:bookmarkStart w:id="343" w:name="pg19820_206749"/>
    </w:p>
    <w:p>
      <w:pPr>
        <w:pStyle w:val="BookText"/>
        <w:rPr/>
      </w:pPr>
      <w:bookmarkEnd w:id="343"/>
      <w:r>
        <w:rPr>
          <w:rFonts w:ascii="Amiri" w:hAnsi="Amiri" w:eastAsia="Amiri" w:cs="Amiri"/>
          <w:color w:val="111111"/>
          <w:sz w:val="28"/>
          <w:sz w:val="28"/>
          <w:szCs w:val="28"/>
          <w:rtl w:val="true"/>
          <w:lang w:bidi="ar-SA"/>
        </w:rPr>
        <w:t>المشروعية حيث قلنا بجريانها، فإنّ أصالة العدم من الأصول التنزيلية المحرزة للواقع الموجبة لإلقاء الشكّ و الأخذ بأحد الطرفين على أنّه هو الواقع، فأصالة العدم يكون موجبا لرفع الشكّ في المشروعية و محرزا لعدمها الواقعية، و معها لا يبقى شكّ في المشروعية حتّى يتشبّث بذيل الحكم العقلي الطريقي بقبح الإقدام على ما لا يؤمن معه من الوقوع في التشريع الواقعي، و أين هذا من أصالة الحلّ؟ فإنّ موضوع أصالة الحلّ إنّما هو الشكّ في الحلّية و الحرمة، و الشكّ في المشروعيّة و إن كان مستتبعا للشكّ في حرمة التعبّد به و حلّيته، إلّا أنّه بنفس الشكّ في المشروعية العقل يستقلّ بقبح التعبّد به الملازم لحكم الشارع بحرمته، فلا تصل النوبة إلى أصالة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حكم العقل بقبح التعبّد إنّما هو الشكّ في المشروعية، و موضوع أصالة الحلّ إنّما هو الشكّ في الحلّية و الحرمة المسبّبية عن الشكّ في المشروعية، و بعد جريان الأصل السببي و هو حكم العقل بقبح التعبّد عند الشكّ لا يبقى مجال للأصل المسبّبي </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أصالة الحلّ</w:t>
      </w:r>
      <w:r>
        <w:rPr>
          <w:rFonts w:eastAsia="Amiri" w:cs="Amiri" w:ascii="Amiri" w:hAnsi="Amiri"/>
          <w:color w:val="111111"/>
          <w:sz w:val="28"/>
          <w:szCs w:val="28"/>
          <w:rtl w:val="true"/>
          <w:lang w:bidi="ar-SA"/>
        </w:rPr>
        <w:t>.</w:t>
      </w:r>
    </w:p>
    <w:p>
      <w:pPr>
        <w:pStyle w:val="Heading6"/>
        <w:numPr>
          <w:ilvl w:val="5"/>
          <w:numId w:val="1"/>
        </w:numPr>
        <w:rPr/>
      </w:pPr>
      <w:bookmarkStart w:id="344" w:name="__RefHeading___Toc3360216_2314609296"/>
      <w:bookmarkStart w:id="345" w:name="_Toc135"/>
      <w:bookmarkEnd w:id="344"/>
      <w:r>
        <w:rPr>
          <w:rtl w:val="true"/>
        </w:rPr>
        <w:t>فتحصّل من جميع ما ذكرنا</w:t>
      </w:r>
      <w:r>
        <w:rPr>
          <w:rtl w:val="true"/>
        </w:rPr>
        <w:t xml:space="preserve">: </w:t>
      </w:r>
      <w:r>
        <w:rPr>
          <w:rtl w:val="true"/>
        </w:rPr>
        <w:t>أنّه لو كان الشكّ في انطباق المشكوك على المأمور به</w:t>
      </w:r>
      <w:bookmarkEnd w:id="34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في مثل المقام، فلا أصالة الحلّ تجري و لا أصالة عدم المشروعية، سواء قلنا بأنّ موضوع قبح التشريع هو عدم المشروعية الواقعية، أو قلنا بأنّ موضوعه هو عدم العلم بالمشروعية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جريان أصالة الحلّ، فلأنّ بمجرّد الشكّ يستقلّ العقل بقبح التشريع من باب الطريقية بناء على الأول، و من باب الموضوعية بناء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جريان أصالة عدم المشروعية، فلأنّ</w:t>
      </w:r>
    </w:p>
    <w:p>
      <w:pPr>
        <w:pStyle w:val="BookText"/>
        <w:rPr/>
      </w:pPr>
      <w:r>
        <w:rPr>
          <w:rFonts w:ascii="Amiri" w:hAnsi="Amiri" w:eastAsia="Amiri" w:cs="Amiri"/>
          <w:color w:val="111111"/>
          <w:sz w:val="28"/>
          <w:sz w:val="28"/>
          <w:szCs w:val="28"/>
          <w:rtl w:val="true"/>
          <w:lang w:bidi="ar-SA"/>
        </w:rPr>
        <w:t>الانطباق و عدم الانطباق ممّا لا يكون له حالة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الشكّ في أصل المشروعية كالشكّ في الحجّية و أمثال ذلك، فإن قلنا بأنّ الموضوع لحكم العقل و الشرع بقبح التشريع و حرمته يدور مدار عدم المشروعية النفس الأمرية، و أنّ حكمه عند الشكّ في المشروعية بقبح الاستناد و التشريع لمحض الطريقية، فأصالة عدم المشروعية تجري، و لكنّ أصالة الحلّ لا تجري أيضا، و أمّا لو قلنا بأنّ قبح التشريع لا يدور مدار عدم المشروعية النفس الأمرية، بل يدور مدار عدم إحراز المشروعية، فلا أصالة الحلّ تجري و لا أصالة عدم المشروعية، لتحقّق تمام الموضوع للقبح العقلي بنفس الشكّ وجدانا و حاصل تكوينا، و لا يمكن التعبّد بما هو محرز بالوجدان و حاصل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ينتقض بما إذا قامت أمارة معتبرة على عدم تشريع شي‌ء، فلأنّ لازم هذا البيان هو عدم حجّية مثل هذه الأمارة، لأنّ المؤدّى حاصل بنفس الشكّ، فلا يمكن التعبّد بما هو حاصل و إن كان ذلك بالأمارة، و ذلك لعدم أخذ الشكّ في موضوع حجّية الأمارة، و إنّما كان الشكّ موردا لها من باب لغوية جعل الطريق على القاطع بذي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في تحقّق موضوع الأمارة الشكّ، و إنّما المعتبر هو تحقّق أثر و فائدة على مؤدّاها، و يكفي في الأثر ثبوت عدم المشروعية النفس الأمرية مع لوازمه و ملزوماته المثبتة، و أين هذا من الاستصحاب الذي أخذ الشكّ في موضوعه؟ فتأمّل جيّدا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فقد ظهر لك أنّه لا مجال للتشبّث بأصالة الحلّ لرفع الشكّ في المشروعية، لعدم تحقّق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و أغمضنا عن جميع ما تقدّم، فغاية ما يترتّب على أصالة الحلّ هو جواز الاستناد و فعل الصلاة في المشكوك مستندا إلى الشارع، و مجرّد ثبوت هذا لا يكفي في رفع المانعية و انطباق الصلاة في المشكوك على المأمور به إلّا على القول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التمسّك بهذا الأصل مبنيّا على شي‌ء من هذه الوجوه، و إنّما بناء الاستدلال على إجرائه في نفس الشكّ في المانعية، من حيث رجوع الشكّ في ذلك إلى الشكّ في حلية الصلاة فيه و حرمته حقيقة، باعتبار منشأ انتزاع المانعية الذي هو عبارة عن تقيّد المطلوب بعدم وقوع الصلاة فيه، على ما أسلفنا الكلام فيه، فكما أن القيدية تساوق الحرمة فكذلك عدم القيدية يساوق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الحلّية و الحرمة حلّية و حرمة واقعية كان معناهما ثبوت التقيّد و عدمه واقعا، 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الحلية و الحرمة حلّية و حرمة ظاهرية كان معناهما ثبوت التقيّد و عدمه ظاهرا، و يترتّب على الحلّية الظاهرية في المقام الصحّة و الإجزاء، كما يترتّب عليها في التكاليف الاستقلالية النفسية جواز الفعل و إباحة المنافع المقصود فيها يحكم عليه بالحلّية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فيه حلال 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الموصول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كان فيه حلال 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نفس الموضوعات الخارجية المردّدة بين الحلال و الحرام، كما هو الظاهر من لفظة الشي‌ء، و التمثيل بالثوب في رواية مسعدة </w:t>
      </w:r>
      <w:r>
        <w:rPr>
          <w:rStyle w:val="FootnoteAnchor"/>
          <w:rtl w:val="true"/>
        </w:rPr>
        <w:footnoteReference w:id="429"/>
      </w:r>
      <w:r>
        <w:rPr>
          <w:rFonts w:ascii="Amiri" w:hAnsi="Amiri" w:eastAsia="Amiri" w:cs="Amiri"/>
          <w:color w:val="111111"/>
          <w:sz w:val="28"/>
          <w:sz w:val="28"/>
          <w:szCs w:val="28"/>
          <w:rtl w:val="true"/>
          <w:lang w:bidi="ar-SA"/>
        </w:rPr>
        <w:t xml:space="preserve">، و ورود الموصول بعد السؤال عن الجبن في رواية عبد اللّٰه بن سليمان </w:t>
      </w:r>
      <w:r>
        <w:rPr>
          <w:rStyle w:val="FootnoteAnchor"/>
          <w:rtl w:val="true"/>
        </w:rPr>
        <w:footnoteReference w:id="430"/>
      </w:r>
      <w:r>
        <w:rPr>
          <w:rFonts w:ascii="Amiri" w:hAnsi="Amiri" w:eastAsia="Amiri" w:cs="Amiri"/>
          <w:color w:val="111111"/>
          <w:sz w:val="28"/>
          <w:sz w:val="28"/>
          <w:szCs w:val="28"/>
          <w:rtl w:val="true"/>
          <w:lang w:bidi="ar-SA"/>
        </w:rPr>
        <w:t xml:space="preserve">و إمّا أن يراد من الشي‌ء أو الموصول نفس الأفعال المشتبهة من حيث أنفسها، أو باعتبار تعلّق الأفعال بموضوعاتها المشتبهة فإن كان المراد من الشي‌ء و الموصول هو نفس الموضوعات الخارجية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 و الحرمة المعنى الوضعي، الثابت لنفس الموضوعات الخارجية باعتبار تعلّق أفعال المكلّفين بها، إذ لا معنى لحلّية الموضوع أو حرمته في نفسه و حدّ</w:t>
      </w:r>
    </w:p>
    <w:p>
      <w:pPr>
        <w:pStyle w:val="BookText"/>
        <w:rPr/>
      </w:pPr>
      <w:r>
        <w:rPr>
          <w:rFonts w:ascii="Amiri" w:hAnsi="Amiri" w:eastAsia="Amiri" w:cs="Amiri"/>
          <w:color w:val="111111"/>
          <w:sz w:val="28"/>
          <w:sz w:val="28"/>
          <w:szCs w:val="28"/>
          <w:rtl w:val="true"/>
          <w:lang w:bidi="ar-SA"/>
        </w:rPr>
        <w:t>ذاته، بل إنّما يتّصف بالحلّية و الحرمة باعتبار تعلّق فعل المكلّف به، لكن لا على أن يكون واسطة في العروض بأن تكون الحلّية و الحرمة عارضين أولا و بالذات لنفس الفعل، و كان اتّصاف الموضوع بهما بالعرض و المجاز، حتّى يحتاج إلى تقدير المضاف في قولك الخمر حرام من نحو الشرب و الاستعمال و أمثال ذلك، فإنّ ذلك إنّما يكون على تقدير كون الحلّية و الحرمة الحلّية و الحرمة الاقتضائية لا الحلّية و الحرمة الوضعية، فإنّ الحلّية و الحرمة الوضعية إنّما يتّصف بهما نفس الموضوع الخارجي حقيقة، غايته أنّه لا بما هو هو بل باعتبار تعلّق فعل المكلّف به، بحيث يكون الفعل واسطة في الثبوت و مصحّحا لعروض الحلّية و الحرمة على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من الشي‌ء أو الموصول نفس الأفعال، لا بمعنى إرادة خصوص الأفعال التي ليس لها تعلّق بموضوع خارجي، حتّى يكون أصالة الحلّ أجنبية عن المقام و أمثاله ممّا كان الشكّ من جهة التردّد في الموضوع الخارجي، إذ إرادة خصوص الفعل بقيد عدم تعلّقه بموضوع خارجي ممّا لا شاهد عليها، بل المراد الأفعال بمعناها الأعم، أي سواء كان لها تعلّق بموضوع خارجي أو لم يكن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الشي‌ء في لسان الدليل، إمّا أن يكون الأفعال سواء كان لها تعلّق بموضوع خارجي أو لم يكن، و إمّا أن يكون المراد منها خصوص الموضوعات باعتبار تعلّق الفعل به، و إمّا أن يراد منه خصوص الفعل الذي له تعلّق بموضوع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القسمين الأخيرين من حيث نفسها، أو باعتبار تعلّقها بموضوعاتها المشتبهة، فيكون المراد من الحلّية و الحرمة حينئذ المعنى الاقتضائي العارض لأفعال المكلّفين، فعلى الأول يختصّ جريان هذا الأصل بما إذا كان الشكّ في الحلّية و الحرمة مستندا إلى تردّد موضوع خارجي بين الأمرين، و على الثاني لا يختصّ بذلك، بل يعمّ ما إذا كان الشكّ فيهما مستندا إلى تردّد المكلّف بين من يحلّ له الفعل أو يحرم كالخنثى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أنّه لا يعتبر في جريان هذا الأصل من أن تكون الحرمة المحتملة الذي يراد نفيها بهذا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ثبوتها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عارضة للشي‌ء من جميع الجهات، بأن يكون الشي‌ء، حراما بقول مطلق لا منفعة محلّلة له أصلا، بل يكفي في جريان هذا الأصل كون الشي‌ء محتمل الحرمة من جهة خاصّة، و إن كان له منفعة محلّلة قطعية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في الجهة المحتملة تحريمها أن تكون من الجهات المقصودة من الشي‌ء ممّا يعدّ عند العرف منفعة له، فالجهة النادرة التي لا يعتني بها العقلاء خارجة عن مجاري هذا الأصل، كما لو فرض أن جميع منافع الشي‌ء المقصودة منه محلّلة قطعا، و كان هناك جهة نادرة غير مقصودة يحتمل حرمتها، فإنّ في مثل هذا 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الشي‌ء محتمل الحلّ و الحرمة بحيث يوصف الشي‌ء بهما حتّى يدخل في مجاري هذا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للشي‌ء جهة مقصودة عند العرف، و منفعة معتنى بها عند العقلاء و احتمل حرمتها، 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الشي‌ء محتمل الحلّ و الحرمة، و لا يحتاج في جريان هذا الأصل تردّد الشي‌ء بينهما من جميع الجهات، و لا إشكال أنّ الصلاة في الشي‌ء من الجهات المعتنى بها عند العرف و المنافع المقصودة عند العقلاء، فلو تردّد الشي‌ء بين حلية الصلاة فيه و حرمتها يدخل في مجاري هذا الأصل، و إن لم تكن الجهات الأخر من مجاريه، كما إذا كانت مقطوعة الحلّية أو الحرمة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لا مجال لتوهّم اختصاص هذا الأصل بما إذا كان المنع و الحرمة المحتملة في موضوع أصالة الحلّ حكما نفسيّا و خطابا مستقلا ناشئا عن المبغوضية الذاتية، حتّى يختصّ موضوع أصالة الحلّ بالتكاليف الاستقلالية و الشبهات النفسية التحريمية، بل يعمّ ما إذا كان المنع و الحرمة من جهة القيدية و المنع عن وقوع الصلاة فيه، فإنّ الملاك في اتّصاف الشي‌ء بالحرمة الشرعية هو تعلّق</w:t>
      </w:r>
      <w:bookmarkStart w:id="346" w:name="pg19820_206754"/>
    </w:p>
    <w:p>
      <w:pPr>
        <w:pStyle w:val="BookText"/>
        <w:rPr/>
      </w:pPr>
      <w:bookmarkEnd w:id="346"/>
      <w:r>
        <w:rPr>
          <w:rFonts w:ascii="Amiri" w:hAnsi="Amiri" w:eastAsia="Amiri" w:cs="Amiri"/>
          <w:color w:val="111111"/>
          <w:sz w:val="28"/>
          <w:sz w:val="28"/>
          <w:szCs w:val="28"/>
          <w:rtl w:val="true"/>
          <w:lang w:bidi="ar-SA"/>
        </w:rPr>
        <w:t>التكليف العدمي به، سواء كان مطلوبا لنفسه كما في التكاليف الاستقلالية، أو مطلوبا لغيره كما في التكاليف الغيرية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معنى الحرمة الشرعية إلّا عبارة عن المنع عن الشي‌ء في الشريعة، و حرمان العباد عنه، و كونه واقعا في حيّز التكليف العدمي، من دون دخل الاستقلالية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الخمر حرام شرعا، و واقع في حيّز التكليف العدمي، و حرم العباد عنه من جهة شربه، أو حرم العباد عن نفس شربه على الوجهين المتقدّمين، من أنّ المراد من الشي‌ء هو نفس الموضوعات باعتبار تعلّق أفعال العباد بها، أو الأفعال المتعلّقة بالموضوعات، فكذلك وقوع الصلاة في غير المأكول أو الحرير حرام شرعا، و واقعا في حيّز التكليف العدمي، و حرم العباد عنه باعتبار إيقاع الصلاة فيه، أو حرم العباد عن إيقاع الصلاة فيه على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أنّ المائع المردّد بين الخلّ و الخمر مردّد بين الحلال و الحرام باعتبار تعلّق الشرب به، أو تردّد نفس الشرب بينهما، فكذلك الصوف المردّد بين ما قيّدت الصلاة بعدم الوقوع فيه و ما رخّص إيقاعها فيه مردّد بين الحلال و الحرام حقيقة، و مندرج تحت موضوع هذا الأصل بحسب حاقّ معنى الحلّ 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أنّ مرجع جريان أصالة الحلّ في المائع المردّد إلى ترخيص ظاهري فكذلك مرجع جريان أصالة الحلّ في الصوف المردّد إلى ترخيص ظاهري من جهة إيقاع الصلاة فيه، و مرجع الترخيص في الصوف إلى إطلاق المطلوب و عدم تقيّده بعدم الوقوع فيه، و لازم ذلك هو الصحّة و الإجزاء الظاهري</w:t>
      </w:r>
      <w:r>
        <w:rPr>
          <w:rFonts w:eastAsia="Amiri" w:cs="Amiri" w:ascii="Amiri" w:hAnsi="Amiri"/>
          <w:color w:val="111111"/>
          <w:sz w:val="28"/>
          <w:szCs w:val="28"/>
          <w:rtl w:val="true"/>
          <w:lang w:bidi="ar-SA"/>
        </w:rPr>
        <w:t>.</w:t>
      </w:r>
    </w:p>
    <w:p>
      <w:pPr>
        <w:pStyle w:val="Heading6"/>
        <w:numPr>
          <w:ilvl w:val="5"/>
          <w:numId w:val="1"/>
        </w:numPr>
        <w:rPr/>
      </w:pPr>
      <w:bookmarkStart w:id="347" w:name="__RefHeading___Toc3360218_2314609296"/>
      <w:bookmarkStart w:id="348" w:name="_Toc136"/>
      <w:bookmarkEnd w:id="347"/>
      <w:r>
        <w:rPr>
          <w:rtl w:val="true"/>
        </w:rPr>
        <w:t>و بالجملة</w:t>
      </w:r>
      <w:r>
        <w:rPr>
          <w:rtl w:val="true"/>
        </w:rPr>
        <w:t xml:space="preserve">: </w:t>
      </w:r>
      <w:r>
        <w:rPr>
          <w:rtl w:val="true"/>
        </w:rPr>
        <w:t>الاستدلال بأصالة الحلّ لجواز الصلاة في المشكوك يتركّب من مقدّمات ثلاث</w:t>
      </w:r>
      <w:r>
        <w:rPr>
          <w:rtl w:val="true"/>
        </w:rPr>
        <w:t>.</w:t>
      </w:r>
      <w:bookmarkEnd w:id="348"/>
    </w:p>
    <w:p>
      <w:pPr>
        <w:pStyle w:val="Heading6"/>
        <w:numPr>
          <w:ilvl w:val="5"/>
          <w:numId w:val="1"/>
        </w:numPr>
        <w:rPr/>
      </w:pPr>
      <w:bookmarkStart w:id="349" w:name="__RefHeading___Toc3360220_2314609296"/>
      <w:bookmarkStart w:id="350" w:name="_Toc137"/>
      <w:bookmarkEnd w:id="349"/>
      <w:r>
        <w:rPr>
          <w:rtl w:val="true"/>
        </w:rPr>
        <w:t>الأولى</w:t>
      </w:r>
      <w:r>
        <w:rPr>
          <w:rtl w:val="true"/>
        </w:rPr>
        <w:t xml:space="preserve">: </w:t>
      </w:r>
      <w:r>
        <w:rPr>
          <w:rtl w:val="true"/>
        </w:rPr>
        <w:t>رجوع الشكّ في مانعية المشتبه إلى الشكّ في منع الشارع</w:t>
      </w:r>
      <w:bookmarkEnd w:id="350"/>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إيقاع</w:t>
      </w:r>
    </w:p>
    <w:p>
      <w:pPr>
        <w:pStyle w:val="BookText"/>
        <w:rPr/>
      </w:pPr>
      <w:r>
        <w:rPr>
          <w:rFonts w:ascii="Amiri" w:hAnsi="Amiri" w:eastAsia="Amiri" w:cs="Amiri"/>
          <w:color w:val="111111"/>
          <w:sz w:val="28"/>
          <w:sz w:val="28"/>
          <w:szCs w:val="28"/>
          <w:rtl w:val="true"/>
          <w:lang w:bidi="ar-SA"/>
        </w:rPr>
        <w:t>الصلاة فيه أو ترخيصه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رجوع الشكّ إلى ذلك موقوف على ما مهّدناه سابقا و أوضحناه، من أنّ منشأ انتزاع المانعية هو تقيّد المطلوب بعدم الوقوع فيما فرض كونه مانعا و وقوع ذلك في حيّز التكليف العدمي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بهذه المقدّمة يخرج الشكّ في الأجزاء و الشرائط عن موضوع هذا الأصل، إذ منشأ انتزاع الجزئية و الشرطية ليس هو إلّا عبارة عن تقيّد المطلوب بالوقوع فيه أو معه، فهو واقع في حيّز التكليف الوجودي لا العدمي،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 عن موضوع أصالة الحلّ، فإنّ موضوع أصالة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تردّد الفعل أو الموضوع الخارجي بين الممنوع عنه شرعا و بين المرخّص فيه، و أين ذلك ممّا كان التردّد من جهة وقوعه في حيّز التكليف العدمي؟ 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الأجزاء و الشرائط أجنبي عن اندراجه في موضوع هذا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تقيّد المطلوب بعدم وقوعه في شي‌ء عبارة عن منع مولوي عن إيقاعه في ذلك الشي‌ء، كما أنّ عدم التقييد و إطلاق المطلوب بالنسبة إلى القطن و الكتّان مثلا عبارة عن الرخصة الشرعية المقابلة للمنع المذكور، و كلّ من هاتين الجهتين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رجوع التقييد إلى المنع المولوي فهو واضح بعد الانحلاليّة، و وقوع كلّ واحد من أفراد ما لا يؤكل مثلا في حيّز التكليف العدمي، و المنع المولوي عن إيقاع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منعنا الانحلاليّة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المطلوب هو المعنى البسيط المنتزع عن عدم وقوع المطلوب في آحاد ما لا يؤكل على نحو السالبة معدولة محمولها، كانت الشبهة فيما نحن فيه أجنبية عن مجاري هذا الأصل، إذ مرجع ذلك إلى تقيّد المطلوب بأمر وجودي على نحو تقيّده بالأجزاء و الشرائط، و قد عرفت من أنّه كلّما رجع الشكّ إلى التكليف الوجودي كان خارجا عن مجاري أصالة الحلّ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الجهة الثانية، و هي رجوع عدم التقييد و الإطلاق إلى الترخيص الشرعي</w:t>
      </w:r>
    </w:p>
    <w:p>
      <w:pPr>
        <w:pStyle w:val="BookText"/>
        <w:rPr/>
      </w:pPr>
      <w:r>
        <w:rPr>
          <w:rFonts w:ascii="Amiri" w:hAnsi="Amiri" w:eastAsia="Amiri" w:cs="Amiri"/>
          <w:color w:val="111111"/>
          <w:sz w:val="28"/>
          <w:sz w:val="28"/>
          <w:szCs w:val="28"/>
          <w:rtl w:val="true"/>
          <w:lang w:bidi="ar-SA"/>
        </w:rPr>
        <w:t>الذي هو أمر وجودي لا محض اللاحكمية، فلأنّ الإطلاق إنّما هو عبارة عن إرسال المولى، و إرخاء عنان العباد فيما تساوى وجود الشي‌ء و عدمه في عالم اللبّ و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من الإطلاق يساوق الترخيص و الحلّ و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فدعوى أنّ الترخيص و الإباحة و الحلّية لا يساوق الإطلاق و عدم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 جدّا، بل الإطلاق كالترخيص أيضا أمر وجودي و أحدهما مساوق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ينافي ما قلناه في باب المطلق و المقيّد من أنّ التقابل بين الإطلاق و التقييد تقابل العدم و الملكة لا تقابل التضادّ، فإنّ ما قلناه في ذلك الباب إنّما هو الإطلاق و التقييد الموصوفان بهما الألفاظ بحسب وضع الألفاظ، لا الإطلاق و التقييد النفس الأمري و في عالم اللبّ و الإرادة، فإنّه لا إشكال في أنّ الإطلاق النفس الأمري كالتقييد أمر 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فساد ما ربّما يتوهّم من أنّ الشكّ في المقام باعتبار منشأ انتزاع المانعية إنّما هو إلى تقييد المطلوب بعدم الوقوع في المشكوك أو إطلاقه، فيكون أحد طرفي الشكّ أمرا وجوديا و الآخر عدميّا، و في مثل هذا الشكّ لا يندرج في موضوع أصالة الحلّ، لأنّ موضوع أصالة الحلّ إنّما هو فيما إذا كان طرفا الشكّ أمرا وجوديّا من الحرمة و الحلّيّة الذي كلاهما أمران وجوديّان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الفساد هو أنّ الإطلاق أيضا أمر وجودي مساوق فيما نحن فيه للترخيص و الحلّية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لو سلّمنا أنّ الإطلاق أمر عدمي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يعتبر في موضوع أصالة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طرفا الشكّ أمرين وجوديّين، فإنّ في رواية 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حلال حتّى تعرف الحرام منه بعينه </w:t>
      </w:r>
      <w:r>
        <w:rPr>
          <w:rStyle w:val="FootnoteAnchor"/>
          <w:rtl w:val="true"/>
        </w:rPr>
        <w:footnoteReference w:id="431"/>
      </w:r>
      <w:r>
        <w:rPr>
          <w:rFonts w:ascii="Amiri" w:hAnsi="Amiri" w:eastAsia="Amiri" w:cs="Amiri"/>
          <w:color w:val="111111"/>
          <w:sz w:val="28"/>
          <w:sz w:val="28"/>
          <w:szCs w:val="28"/>
          <w:rtl w:val="true"/>
          <w:lang w:bidi="ar-SA"/>
        </w:rPr>
        <w:t>لم يؤخذ الشكّ في الحلّية و الحرمة موضوعا،</w:t>
      </w:r>
      <w:bookmarkStart w:id="351" w:name="pg19820_206757"/>
    </w:p>
    <w:p>
      <w:pPr>
        <w:pStyle w:val="BookText"/>
        <w:rPr/>
      </w:pPr>
      <w:bookmarkEnd w:id="351"/>
      <w:r>
        <w:rPr>
          <w:rFonts w:ascii="Amiri" w:hAnsi="Amiri" w:eastAsia="Amiri" w:cs="Amiri"/>
          <w:color w:val="111111"/>
          <w:sz w:val="28"/>
          <w:sz w:val="28"/>
          <w:szCs w:val="28"/>
          <w:rtl w:val="true"/>
          <w:lang w:bidi="ar-SA"/>
        </w:rPr>
        <w:t xml:space="preserve">بل لو لم يكن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تعرف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مفاد الرواية حكما واقعيّا نظير كلّ غنم حلال، و لكن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 أنّه في مقام بيان إعطاء القاعدة للمشكوك، و حينئذ يكون الشكّ في الحرمة و عدمها مندرجا تحت القاعدة المستفادة من رواية مسعدة، و إن خرج عن الرواية الآخر التي أخذ الشكّ في الحرمة و الحلّية موضوعا، و مجرّد أخذ الشكّ في الحلّية و الحرمة في موضوع هذه الروايات لا يصلح لأن يكون مقيّدا لرواية مسعدة، الذي لم يؤخذ الشكّ في الحلّية و الحرمة موضوعا فيها، فتأمّل جيّدا</w:t>
      </w:r>
      <w:r>
        <w:rPr>
          <w:rFonts w:eastAsia="Amiri" w:cs="Amiri" w:ascii="Amiri" w:hAnsi="Amiri"/>
          <w:color w:val="111111"/>
          <w:sz w:val="28"/>
          <w:szCs w:val="28"/>
          <w:rtl w:val="true"/>
          <w:lang w:bidi="ar-SA"/>
        </w:rPr>
        <w:t>.</w:t>
      </w:r>
    </w:p>
    <w:p>
      <w:pPr>
        <w:pStyle w:val="Heading6"/>
        <w:numPr>
          <w:ilvl w:val="5"/>
          <w:numId w:val="1"/>
        </w:numPr>
        <w:rPr/>
      </w:pPr>
      <w:bookmarkStart w:id="352" w:name="__RefHeading___Toc3360222_2314609296"/>
      <w:bookmarkStart w:id="353" w:name="_Toc138"/>
      <w:bookmarkEnd w:id="352"/>
      <w:r>
        <w:rPr>
          <w:rtl w:val="true"/>
        </w:rPr>
        <w:t>المقدمة الثانية</w:t>
      </w:r>
      <w:r>
        <w:rPr>
          <w:rtl w:val="true"/>
        </w:rPr>
        <w:t>:</w:t>
      </w:r>
      <w:bookmarkEnd w:id="353"/>
    </w:p>
    <w:p>
      <w:pPr>
        <w:pStyle w:val="BookText"/>
        <w:rPr/>
      </w:pPr>
      <w:r>
        <w:rPr>
          <w:rFonts w:ascii="Amiri" w:hAnsi="Amiri" w:eastAsia="Amiri" w:cs="Amiri"/>
          <w:color w:val="111111"/>
          <w:sz w:val="28"/>
          <w:sz w:val="28"/>
          <w:szCs w:val="28"/>
          <w:rtl w:val="true"/>
          <w:lang w:bidi="ar-SA"/>
        </w:rPr>
        <w:t>بعد ما عرفت من رجوع الشكّ في المانعية إلى الشكّ في منع الشارع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الحلّية و الحرمة الواردين في عنوان أدلّة أصالة الحلّ لا اختصاص لهما بالحلّية و الحرمة الناشئتين عن المبغوضية الذاتية و عدمها، حتّى يختصّ موضوع أصالة الحلّ بالتكاليف الاستقلالية، بل ليس الحرمة إلّا عبارة عن المنع الشرعي و ما حرم العباد عنه، و لو باعتبار بعض ما يتعلّق به من الأفعال كالصلاة فيه، فإنّ منع الشارع عن إيقاع الصلاة في غير المأكول و ترخيصه في إيقاعها في المأكول عبارة عن الحرمة و الحلّية الشرعية، و لم يؤخذ في حاقّ مدلول لفظة الحرام أن تكون ناشئة عن المبغوضية الذاتية، حتّى يختصّ بالاستقلاليّات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انصراف لفظة الحرام إلى التكاليف الاستقلالية، فإنّما هو في لسان الفقهاء، و أمّا في لسان الشارع فلا انصراف فيه إلى ذلك</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يدلّك على ذلك استعمال لفظ الحرام في لسان الأدلّة بمعناه الأعم الناشئ عن المبغوضية الذاتية أو المنع المتعلّق بباب القيود و الروايات الواردة في ذلك و إن كانت كثيرة جدّا، إلّا أنّه نحن نقتصر على ذكر رواية واحدة رواها الفقيه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و أبو عبد اللّٰه عليه السّلام فقيل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نشتري ثيابا يصيبها الخمر و ودك الخنزير عند حاكتها، أ فنصلّي فيها قبل أن نغسلها؟</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الشي‌ء حرم أكله و شربه و لم يحرم لبسه و مسّه و الصلاة فيه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كالصريحة في أنّ الحرمة الشرعية أعمّ من المنع الاستقلالي أو المنع في باب القيود من الموانع، إذ الإمام عليه السّلام استعمل لفظة الحرام بجامع واحد بين ما حرم لذاته كالمسّ و اللّبس، و ما حرم لأجل المانعية كالصلاة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لفظ الحرام في باب الموانع كثير جدّا كما يظهر للمتتبّع، و عليه لا مجال للمنع عن شمول أصالة الحلّ لما نحن فيه، لأنّ هذا الصوف المردّد بين كونه من مأكول أو غيره، يشكّ في حلّية الصلاة فيه و حرمتها، باعتبار منشأ انتزاع المانعية من تعلّق التكليف العدمي به، فيدخل في مجاري هذا الأصل حقيقة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حاجة إلى تكلّف أنّ الحلّ و الحرمة في باب العبادات بمعنى الصحّة و الفساد، فيكون الصوف مردّدا بين ما تحلّ الصلاة فيه أي تصحّ، و ما تحرم أي تفسد، و بهذا الاعتبار يدخل ما نحن فيه في مجاري أصالة الحلّ، و ذلك لأنّه و إن استعمل لفظ الحلّ و الحرمة بمعنى الصحّة و الفساد </w:t>
      </w:r>
      <w:r>
        <w:rPr>
          <w:rStyle w:val="FootnoteAnchor"/>
          <w:rtl w:val="true"/>
        </w:rPr>
        <w:footnoteReference w:id="433"/>
      </w:r>
      <w:r>
        <w:rPr>
          <w:rFonts w:ascii="Amiri" w:hAnsi="Amiri" w:eastAsia="Amiri" w:cs="Amiri"/>
          <w:color w:val="111111"/>
          <w:sz w:val="28"/>
          <w:sz w:val="28"/>
          <w:szCs w:val="28"/>
          <w:rtl w:val="true"/>
          <w:lang w:bidi="ar-SA"/>
        </w:rPr>
        <w:t xml:space="preserve">، كما بظهر من خبر تحف العقول </w:t>
      </w:r>
      <w:r>
        <w:rPr>
          <w:rStyle w:val="FootnoteAnchor"/>
          <w:rtl w:val="true"/>
        </w:rPr>
        <w:footnoteReference w:id="434"/>
      </w:r>
      <w:r>
        <w:rPr>
          <w:rFonts w:ascii="Amiri" w:hAnsi="Amiri" w:eastAsia="Amiri" w:cs="Amiri"/>
          <w:color w:val="111111"/>
          <w:sz w:val="28"/>
          <w:sz w:val="28"/>
          <w:szCs w:val="28"/>
          <w:rtl w:val="true"/>
          <w:lang w:bidi="ar-SA"/>
        </w:rPr>
        <w:t>و غيره الوارد في باب المعاملات، إلّا أنّه معلوم أنّ المراد من الحلّية و الحرمة في أدلّة أصالة الحل هو الحلّية و الحرمة التكليفية، لا الحلّية بمعنى الصحّة و الفساد</w:t>
      </w:r>
      <w:r>
        <w:rPr>
          <w:rFonts w:eastAsia="Amiri" w:cs="Amiri" w:ascii="Amiri" w:hAnsi="Amiri"/>
          <w:color w:val="111111"/>
          <w:sz w:val="28"/>
          <w:szCs w:val="28"/>
          <w:rtl w:val="true"/>
          <w:lang w:bidi="ar-SA"/>
        </w:rPr>
        <w:t>.</w:t>
      </w:r>
      <w:bookmarkStart w:id="354" w:name="pg19820_206759"/>
    </w:p>
    <w:p>
      <w:pPr>
        <w:pStyle w:val="BookText"/>
        <w:rPr/>
      </w:pPr>
      <w:bookmarkEnd w:id="354"/>
      <w:r>
        <w:rPr>
          <w:rFonts w:ascii="Amiri" w:hAnsi="Amiri" w:eastAsia="Amiri" w:cs="Amiri"/>
          <w:color w:val="111111"/>
          <w:sz w:val="28"/>
          <w:sz w:val="28"/>
          <w:szCs w:val="28"/>
          <w:rtl w:val="true"/>
          <w:lang w:bidi="ar-SA"/>
        </w:rPr>
        <w:t>مع أنّه لو كان الحلّ و الحرمة بمعنى الصحّة و الفساد لكان اللازم اطّراد أصالة الحلّ عند الشكّ في باب القيود الوجودية من الأجزاء و الشرائط، لأنّه عند الشكّ في تحقّق الشرط يشكّ في الصحّة و الفساد أيضا، فهل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بأصالة الحلّ نثبت الصحّة؟</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مبنى الاستدلال على أخذ الحلّ و الحرمة بمعنى الصحّة و الفساد، بل مبنى الاستدلال أنّ الممنوع عنه في باب الموانع حقيقة داخل في حاقّ مدلول لفظ الحرام، فالمراد من الحلّ و الحرمة في موضوع أصالة الحلّ هو الحرمة التكليفية، غايته أنّه ليست الحرمة في باب الموانع ناشئة عن المبغوضية الذاتية، و قد عرفت أنّ المبغوضية الذاتية خارجة عن مدلول لفظ الحرام لغة و عرفا و شرعا، إذ ليس الحرام في اللّغة إلّا بمعنى الحرمان المطّرد في باب الموانع أيضا، و عند العرف عبارة عن المنع الشرعي</w:t>
      </w:r>
      <w:r>
        <w:rPr>
          <w:rFonts w:eastAsia="Amiri" w:cs="Amiri" w:ascii="Amiri" w:hAnsi="Amiri"/>
          <w:color w:val="111111"/>
          <w:sz w:val="28"/>
          <w:szCs w:val="28"/>
          <w:rtl w:val="true"/>
          <w:lang w:bidi="ar-SA"/>
        </w:rPr>
        <w:t>.</w:t>
      </w:r>
    </w:p>
    <w:p>
      <w:pPr>
        <w:pStyle w:val="Heading6"/>
        <w:numPr>
          <w:ilvl w:val="5"/>
          <w:numId w:val="1"/>
        </w:numPr>
        <w:rPr/>
      </w:pPr>
      <w:bookmarkStart w:id="355" w:name="__RefHeading___Toc3360224_2314609296"/>
      <w:bookmarkStart w:id="356" w:name="_Toc139"/>
      <w:bookmarkEnd w:id="355"/>
      <w:r>
        <w:rPr>
          <w:rtl w:val="true"/>
        </w:rPr>
        <w:t>المقدمة الثالثة</w:t>
      </w:r>
      <w:r>
        <w:rPr>
          <w:rtl w:val="true"/>
        </w:rPr>
        <w:t xml:space="preserve">: </w:t>
      </w:r>
      <w:r>
        <w:rPr>
          <w:rtl w:val="true"/>
        </w:rPr>
        <w:t>بعد ما عرفت من أنّ الترخيص و الحلّية الظاهرية المستفادة من أصالة الحلّ</w:t>
      </w:r>
      <w:bookmarkEnd w:id="356"/>
    </w:p>
    <w:p>
      <w:pPr>
        <w:pStyle w:val="BookText"/>
        <w:rPr/>
      </w:pPr>
      <w:r>
        <w:rPr>
          <w:rFonts w:ascii="Amiri" w:hAnsi="Amiri" w:eastAsia="Amiri" w:cs="Amiri"/>
          <w:color w:val="111111"/>
          <w:sz w:val="28"/>
          <w:sz w:val="28"/>
          <w:szCs w:val="28"/>
          <w:rtl w:val="true"/>
          <w:lang w:bidi="ar-SA"/>
        </w:rPr>
        <w:t>، كما تقابل الحرمة الذاتية كذلك تقابل الحرمة في باب الموانع، فلا محالة يترتّب على الترخيص الظاهري في باب الشبهات الاستقلالية الترخيص و الحلّية الذاتية، بمعنى جواز الشرب و اللّبس و غير ذلك ممّا كان موردا للشبهة، و في باب الموانع يترتّب على الترخيص الظاهري الإجزاء و الصحّة الظاهرية المحفوظة عند عدم انكشاف الخلاف، و ذلك لأنّ الترخيص في كل مقام لا محالة و ان يرجع إلى الجهة المشكوك فيها، إذ لا معنى لورود الترخيص على غير تلك الجهة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باب التكاليف الاستقلالية يلاحظ الجهة المشكوك فيها فيرد الترخيص عليها، فإن كان الجهة المشكوك فيها هي الأكل مثلا، بأن كان شاكّا في حلّية الأكل، فالترخيص الظاهري المستفاد من أصالة الحلّ يرجع إلى حلّية الأكل، و إن كان الجهة المشكوك فيها هو الشرب فالترخيص يرجع إليه، و هكذا سائر</w:t>
      </w:r>
    </w:p>
    <w:p>
      <w:pPr>
        <w:pStyle w:val="BookText"/>
        <w:rPr/>
      </w:pPr>
      <w:r>
        <w:rPr>
          <w:rFonts w:ascii="Amiri" w:hAnsi="Amiri" w:eastAsia="Amiri" w:cs="Amiri"/>
          <w:color w:val="111111"/>
          <w:sz w:val="28"/>
          <w:sz w:val="28"/>
          <w:szCs w:val="28"/>
          <w:rtl w:val="true"/>
          <w:lang w:bidi="ar-SA"/>
        </w:rPr>
        <w:t>الجهات، فإنّ الترخيص يرد على نفس الجهة 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باب الموانع الجهة المشكوك فيها هي عبارة عن القيدية المستفادة من المنع عن وقوع الصلاة في المشكوك، فحقيقة الشكّ فيما نحن فيه يرجع إلى المنع المستتبع للقيدية، فالترخيص الظاهري المستفاد من أصالة الحلّ لا بدّ و أن يرد على هذه الجهة، و معنى الترخيص من هذه الجهة هو عدم المنع المساوق للتقييد عن وقوع الصلاة في المشكوك، و مرجع هذا إلى إطلاق المطلوب و عدم أخذ عدم الوقوع في المشكوك قيدا، كعدم أخذ عدم الوقوع في القطن مثلا قيدا، غايته أنّ في باب القطن إطلاق المطلوب بالنسبة إليه و عدم أخذ عدمه قيدا فيه يكون إطلاقا واقعيّا، و فيما نحن فيه يكون إطلاقا ظاهريّا، و كما أنّه يترتّب على الإطلاق الواقعي الصحّة و الإجزاء الواقعي، فكذلك يترتّب على الإطلاق الظاهري الصحّة و الإجزاء الظاهري المقيّد بعدم انكشاف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الترخيص على الجهة المشكوكة فيها فيما نحن فيه يساوق لإطلاق المترتّب عليه الصحّة و الإجزاء، فالإطلاق المستفاد من أصالة الحلّ فيما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كالإطلاق المستفاد من أصل آخر موضوعي أو حكمي من استصحاب أو غيره، فكما أنّ من الاستصحاب أو حديث الرفع </w:t>
      </w:r>
      <w:r>
        <w:rPr>
          <w:rStyle w:val="FootnoteAnchor"/>
          <w:rtl w:val="true"/>
        </w:rPr>
        <w:footnoteReference w:id="435"/>
      </w:r>
      <w:r>
        <w:rPr>
          <w:rFonts w:ascii="Amiri" w:hAnsi="Amiri" w:eastAsia="Amiri" w:cs="Amiri"/>
          <w:color w:val="111111"/>
          <w:sz w:val="28"/>
          <w:sz w:val="28"/>
          <w:szCs w:val="28"/>
          <w:rtl w:val="true"/>
          <w:lang w:bidi="ar-SA"/>
        </w:rPr>
        <w:t>يستفاد الإطلاق و عدم تقييد المطلوب عند الشكّ فيه و يترتّب عليه الصحّة و الإجزاء، فكذلك من أصالة الحلّ يستفاد ذلك و يترتّب عليه الصحّة و الإجزاء</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ذكرنا يظهر الفرق بين جريان أصالة الحلّ في نفس الجهة المستتبعة للقيدية و المانعية، حيث قلنا بترتّب الصحّة و الإجزاء عليه، و بين جريان أصالة الحلّ من جهة الشكّ في الحرمة الذاتية أو التشريعية، حيث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يترتّب على</w:t>
      </w:r>
      <w:bookmarkStart w:id="357" w:name="pg19820_206761"/>
    </w:p>
    <w:p>
      <w:pPr>
        <w:pStyle w:val="BookText"/>
        <w:rPr/>
      </w:pPr>
      <w:bookmarkEnd w:id="357"/>
      <w:r>
        <w:rPr>
          <w:rFonts w:ascii="Amiri" w:hAnsi="Amiri" w:eastAsia="Amiri" w:cs="Amiri"/>
          <w:color w:val="111111"/>
          <w:sz w:val="28"/>
          <w:sz w:val="28"/>
          <w:szCs w:val="28"/>
          <w:rtl w:val="true"/>
          <w:lang w:bidi="ar-SA"/>
        </w:rPr>
        <w:t>جريان أصالة الحلّ بهذا الوجه الصحّة و الإجزاء و انطباق المأتيّ به على المأمور به إلّا على القول بالأصل المثبت، بداهة أنّ ترخيص الشارع الفعل ذاتا أو من حيث استناده إليه لا يترتّب عليه انطباق المأتي به على المأمور به، و لا يلازم رفع المانعية المشكوكة، إذ الترخيص لم يرجع على هذا الوجه إلى الجهة المستتبعة للمانعية، بل الترخيص يرجع إلى أمر آخر من الحرمة الذاتية أو التشريعية الملازم عقلا لرفع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جريان أصالة الحلّ من الجهة المستتبعة للمانعية على ما أوضحناه، فإنّ الترخيص من هذه الجهة يساوق الإطلاق و عدم تقيّد المطلوب بما شكّ في مانعيّته، و لازم هذا لا محالة هو ترتّب الصحّة، لأنّ المأتيّ به بالأمر الظاهري مجزٍ ما لم ينكشف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تقريب التمسّك بأصالة الحلّ فيما نحن فيه</w:t>
      </w:r>
      <w:r>
        <w:rPr>
          <w:rFonts w:eastAsia="Amiri" w:cs="Amiri" w:ascii="Amiri" w:hAnsi="Amiri"/>
          <w:color w:val="111111"/>
          <w:sz w:val="28"/>
          <w:szCs w:val="28"/>
          <w:rtl w:val="true"/>
          <w:lang w:bidi="ar-SA"/>
        </w:rPr>
        <w:t>.</w:t>
      </w:r>
    </w:p>
    <w:p>
      <w:pPr>
        <w:pStyle w:val="Heading6"/>
        <w:numPr>
          <w:ilvl w:val="5"/>
          <w:numId w:val="1"/>
        </w:numPr>
        <w:rPr/>
      </w:pPr>
      <w:bookmarkStart w:id="358" w:name="__RefHeading___Toc3360226_2314609296"/>
      <w:bookmarkStart w:id="359" w:name="_Toc140"/>
      <w:bookmarkEnd w:id="358"/>
      <w:r>
        <w:rPr>
          <w:rtl w:val="true"/>
        </w:rPr>
        <w:t>تنبيه</w:t>
      </w:r>
      <w:r>
        <w:rPr>
          <w:rtl w:val="true"/>
        </w:rPr>
        <w:t xml:space="preserve">: </w:t>
      </w:r>
      <w:r>
        <w:rPr>
          <w:rtl w:val="true"/>
        </w:rPr>
        <w:t>لا يخفى عليك</w:t>
      </w:r>
      <w:bookmarkEnd w:id="359"/>
    </w:p>
    <w:p>
      <w:pPr>
        <w:pStyle w:val="BookText"/>
        <w:rPr/>
      </w:pPr>
      <w:r>
        <w:rPr>
          <w:rFonts w:ascii="Amiri" w:hAnsi="Amiri" w:eastAsia="Amiri" w:cs="Amiri"/>
          <w:color w:val="111111"/>
          <w:sz w:val="28"/>
          <w:sz w:val="28"/>
          <w:szCs w:val="28"/>
          <w:rtl w:val="true"/>
          <w:lang w:bidi="ar-SA"/>
        </w:rPr>
        <w:t>أنّ ما قلناه من جريان أصالة الحلّ في التكليف و المنع الشرعي المستتبع للمانعية و ترتّب الصحّة عليه إنّما هو بناء على عدم تأصّل المانعية و أخواتها في الجعل، و أمّا لو قلنا بتأصّل المانعية في الجعل فيشكل التمسّك بأصالة الحلّ لما نحن فيه، فإنّ المانعية بنفسها ليست من مجاري أصالة الحلّ، لما عرفت من أنّه يعتبر في موضوع أصالة الحلّ من أن يكون الشكّ في الحلّية و الحرمة، و أمّا نفس الشكّ في المانعية فليس شكّا في الحلّية و الحرمة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التكليف المنتزع عن جعل المانعية يكون من مجاري أصالة الحلّ، فإنّ جعل المانعية يستتبع المنع الشرعي عن إيقاع الصلاة فيما فرض كونه مانعا، فالشكّ في المانعية يستتبع الشكّ في المنع الشرعي المسبّب من جعل المانعية، فالشكّ المسبّبي يكون من مجاري أصالة الحلّ إلّا أنّ جريان الأصل في الشكّ المسبّبي لا يوجب رفع الشكّ السببي و هو الشكّ في مانعية المشتبه، فالشكّ في المانعية بعد باق على حاله إلّا على القول بالأصل المثبت</w:t>
      </w:r>
      <w:r>
        <w:rPr>
          <w:rFonts w:eastAsia="Amiri" w:cs="Amiri" w:ascii="Amiri" w:hAnsi="Amiri"/>
          <w:color w:val="111111"/>
          <w:sz w:val="28"/>
          <w:szCs w:val="28"/>
          <w:rtl w:val="true"/>
          <w:lang w:bidi="ar-SA"/>
        </w:rPr>
        <w:t>.</w:t>
      </w:r>
      <w:bookmarkStart w:id="360" w:name="pg19820_206762"/>
    </w:p>
    <w:p>
      <w:pPr>
        <w:pStyle w:val="BookText"/>
        <w:rPr/>
      </w:pPr>
      <w:bookmarkEnd w:id="360"/>
      <w:r>
        <w:rPr>
          <w:rFonts w:ascii="Amiri" w:hAnsi="Amiri" w:eastAsia="Amiri" w:cs="Amiri"/>
          <w:color w:val="111111"/>
          <w:sz w:val="28"/>
          <w:sz w:val="28"/>
          <w:szCs w:val="28"/>
          <w:rtl w:val="true"/>
          <w:lang w:bidi="ar-SA"/>
        </w:rPr>
        <w:t>اللّٰهم إلّا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حاجة لنا في رفع الشكّ السببي بعد عدم منع الشارع و ترخيصه في إيقاع الصلاة في المشتبه من الجهة الذي يلازم المانعية، فالشكّ في المانعية و إن كان بعد باق على حاله إلّا أنّ بقاءه لا يخلّ في جريان الأصل المسبّبي و ترتّب الصحّة، كما لو كان المكلّف على طهارة و خرج منه و ذي أو مذي و شكّ في ناقضية الوذي و المذي، فإنّ الشكّ في ناقضيّتهما و إن كان يستتبع الشكّ في الطهارة إلّا أنّه بجريان استصحاب الطهارة نستغني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الشكّ في الطهارة مسبّبا عن الشكّ في ناقضية المذي، و ناقضية المذي لم يكن مجرى 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حاجة لنا إلى رفع الشكّ السببي بعد حكم الشارع بأنّ المكلّف متطهّر، و المفروض أنّ ما جعل شرطا للصلاة هو الطهارة، و هي حاصلة بمقتضى الاستصحاب فليبق الشكّ في ناقضية المذي إلى يوم القيامة، و بعين ذلك يمكن أن يقال فيما نحن فيه، من أنّ الشكّ في المانعية و إن كان باقيا إلّا أنّه يستغنى عنه بعد ترخيص الشارع في إيقاع الصلاة في المشتبه من الجهة المنتزعة عن المانعية لا من جهة التشريع أو الحرمة الذاتية،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بناء على تأصّل المانعية في الجعل لا تكون نفس المانعية من مجاري أصالة الحلّ و إن كانت من مجاري أصالة البراءة، إذ لا يعتبر في موضوع البراءة أزيد من أن يكون أمر المشكوك بيد الشارع رفعا و وضعا، و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تأصّلها في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كذلك أمر وضعها و رفعها بيد الشارع، فلا مانع من جريان أصالة البراءة فيها، فتأمّل جيّدا</w:t>
      </w:r>
      <w:r>
        <w:rPr>
          <w:rFonts w:eastAsia="Amiri" w:cs="Amiri" w:ascii="Amiri" w:hAnsi="Amiri"/>
          <w:color w:val="111111"/>
          <w:sz w:val="28"/>
          <w:szCs w:val="28"/>
          <w:rtl w:val="true"/>
          <w:lang w:bidi="ar-SA"/>
        </w:rPr>
        <w:t>.</w:t>
      </w:r>
    </w:p>
    <w:p>
      <w:pPr>
        <w:pStyle w:val="Heading6"/>
        <w:numPr>
          <w:ilvl w:val="5"/>
          <w:numId w:val="1"/>
        </w:numPr>
        <w:rPr/>
      </w:pPr>
      <w:bookmarkStart w:id="361" w:name="__RefHeading___Toc3360228_2314609296"/>
      <w:bookmarkStart w:id="362" w:name="_Toc141"/>
      <w:bookmarkEnd w:id="361"/>
      <w:r>
        <w:rPr>
          <w:rtl w:val="true"/>
        </w:rPr>
        <w:t>المقام الثالث</w:t>
      </w:r>
      <w:r>
        <w:rPr>
          <w:rtl w:val="true"/>
        </w:rPr>
        <w:t xml:space="preserve">: </w:t>
      </w:r>
      <w:r>
        <w:rPr>
          <w:rtl w:val="true"/>
        </w:rPr>
        <w:t>في بيان جريان أصالة عدم المانع في المقام</w:t>
      </w:r>
      <w:bookmarkEnd w:id="362"/>
    </w:p>
    <w:p>
      <w:pPr>
        <w:pStyle w:val="Heading6"/>
        <w:numPr>
          <w:ilvl w:val="5"/>
          <w:numId w:val="1"/>
        </w:numPr>
        <w:rPr/>
      </w:pPr>
      <w:bookmarkStart w:id="363" w:name="__RefHeading___Toc3360230_2314609296"/>
      <w:bookmarkStart w:id="364" w:name="_Toc142"/>
      <w:bookmarkEnd w:id="363"/>
      <w:r>
        <w:rPr>
          <w:rtl w:val="true"/>
        </w:rPr>
        <w:t>اشارة</w:t>
      </w:r>
      <w:bookmarkEnd w:id="364"/>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قد نسب إلى بعض المفروغية عن جريانها في المقام بناء على المانعية، و هو على إطلاقه ممنوع، كما سيتضح لك عن قريب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بأنّ أصالة عدم المانع أصل عقلائيّ برأسه، من دون أن يرجع إلى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حكي عن بعض دعوى</w:t>
      </w:r>
      <w:bookmarkStart w:id="365" w:name="pg19820_206763"/>
    </w:p>
    <w:p>
      <w:pPr>
        <w:pStyle w:val="BookText"/>
        <w:rPr/>
      </w:pPr>
      <w:bookmarkEnd w:id="365"/>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 التمسّك بأصالة عدم المانع في المقام على إطلاقه، و كذلك لو لم نقل بذلك و لكن قلنا باعتبار الأصل المثبت يتمّ إطلاق التمسّك بها في المقام، هذا و لكنّ الظاهر أنّه لا يمكن المساعدة على كلا الدعويين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الدعوى الأولى فغاية ما يمكن في تقريبها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الطريقة العقلائية قد استقرّت عند الشكّ في وجود شي‌ء على البناء على العدم و ترتيب آثاره عليه، و إن لم يكن ذلك العدم مسبوقا بالحالة السابقة، كما إذا كان الأثر مترتّبا على العدم النعتي لا المحمولي على ما سيأتي بيانه 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بناء العقلاء عند التردّد بين الوجود و العدم هو البناء على العدم، من حيث إنّ كلّ حادث مسبوق بالعدم، فهذا يرجع إلى الاستصحاب، و اخرى يكون بناؤهم على ذلك لا من تلك الحيثية، بل من باب أنّ الممكن حيث يفتقر في وجوده إلى علّة خارجة عن ذاته فمع عدم إحراز علّة الوجود يبنون على العدم، و إن كان ذلك العدم من العدم الربطي الذي هو مفاد ليس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إثبات هذه الدعوى في غاية الإشكال، فإنّ استقرار الطريقة العقلائية لا بدّ و أن يكون ناشئا عن منشإ عقلائي ارتكازي فطري، و لم نجد منشأ لاستقرار الطريقة العقلائية على ذلك، نعم في خصوص باب الأنساب قد ادّعي ذلك، و أنّ بناء العقلاء عند الشكّ في تحقّق النسب على العدم حفظا للأنساب و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كون أصالة عدم المانع من الأصول العقلائية غير الاستصحاب دون إثباتها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الدعوى الثانية و هي دعوى حجّية الأصل المثبت ففي غاية الفساد كما بيّنا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التمسّك بأصالة عدم المانع الراجع إلى الاستصحاب فهو على إطلاقه لا يستقيم،</w:t>
      </w:r>
    </w:p>
    <w:p>
      <w:pPr>
        <w:pStyle w:val="Heading6"/>
        <w:numPr>
          <w:ilvl w:val="5"/>
          <w:numId w:val="1"/>
        </w:numPr>
        <w:rPr/>
      </w:pPr>
      <w:bookmarkStart w:id="366" w:name="__RefHeading___Toc3360232_2314609296"/>
      <w:bookmarkStart w:id="367" w:name="_Toc143"/>
      <w:bookmarkEnd w:id="366"/>
      <w:r>
        <w:rPr>
          <w:rtl w:val="true"/>
        </w:rPr>
        <w:t>و توضيح ذلك يتوقّف على بيان أمرين</w:t>
      </w:r>
      <w:r>
        <w:rPr>
          <w:rtl w:val="true"/>
        </w:rPr>
        <w:t>:</w:t>
      </w:r>
      <w:bookmarkEnd w:id="367"/>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68" w:name="__RefHeading___Toc3360234_2314609296"/>
      <w:bookmarkStart w:id="369" w:name="_Toc144"/>
      <w:bookmarkEnd w:id="368"/>
      <w:r>
        <w:rPr>
          <w:rtl w:val="true"/>
        </w:rPr>
        <w:t>الأول</w:t>
      </w:r>
      <w:r>
        <w:rPr>
          <w:rtl w:val="true"/>
        </w:rPr>
        <w:t xml:space="preserve">: </w:t>
      </w:r>
      <w:r>
        <w:rPr>
          <w:rtl w:val="true"/>
        </w:rPr>
        <w:t>أنّ المجعول في باب الطرق و الأمارات مغاير لما هو المجعول في باب الأصول</w:t>
      </w:r>
      <w:bookmarkEnd w:id="369"/>
    </w:p>
    <w:p>
      <w:pPr>
        <w:pStyle w:val="BookText"/>
        <w:rPr/>
      </w:pPr>
      <w:r>
        <w:rPr>
          <w:rFonts w:ascii="Amiri" w:hAnsi="Amiri" w:eastAsia="Amiri" w:cs="Amiri"/>
          <w:color w:val="111111"/>
          <w:sz w:val="28"/>
          <w:sz w:val="28"/>
          <w:szCs w:val="28"/>
          <w:rtl w:val="true"/>
          <w:lang w:bidi="ar-SA"/>
        </w:rPr>
        <w:t>، فإنّ المجعول الشرعي في باب الطرق إنّما هو الثبوت الواقعي المحكي بالطريق، و لذا كان مثبتاتها حجّة، و أمّا المجعول في باب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أنحائها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الجري العملي و البناء على مؤدّياتها من حيث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حينئذ من ترتّب أثر عملي على نفس مؤدّى الأصول إذا لم يكن المؤدّى هو بنفسه أثرا عمليّا، كما إذا كان المؤدّى حكما شرعيّا، إذ بعد ما كان المجعول هو الجري العملي فلا بدّ من أن يكون مؤدّى الأصل ممّا له جري عملي يكون بنفسه ممّا تناله يد الجعل، و لذا كان مثبتاتها غير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في تحقّق الأثر العملي بين أن يكون الأصل جاريا في وادي الثبوت و مرحلة توجّه التكليف، أو جاريا في وادي السقوط و مرحلة امتثال التكليف، إذ بعد ما كان وادي السقوط و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كوادي الثبوت و توجّه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قابلا للجعل الشرعي و تصرّف ظاهري و الحكم بتحقّق الفراغ، فلا فرق حينئذ بين كون مؤدّى الأصل راجعا إلى مرحلة الثبوت، أو إلى مرحلة السقوط و الفراغ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لا فرق في تحقّق الأثر العملي المحتاج إليه في جريان الأصل، بين أن يكون مؤدّى الأصل تمام الموضوع لذلك الأثر، أو كان جزء الموضوع و به قوامه و لو على نحو القيدية، إذ يكفي في تحقّق الأثر هذا المقدار أي و لو بأن يكون جزء لما هو موضوع الأثر أو قيده، بحيث لو لم يجر الأصل لما كان الأثر مترتّبا، و إن كان جزؤه الآخر محرزا بالوجدان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جريان الأصل كون مؤدّاه ممّا له دخل في تحقّق الأثر، سواء كان تمام الموضوع أو جزءه، و هذا أيضا ممّا لا سترة فيه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ينبغي تعيين ما هو الضابط الكلّي لمعرفة أنّ في أي مورد يكون مؤدّى الأصل جزء ما هو الموضوع أو قيده و ما لا يكون كذلك، فإنّه ربّما يشتبه الحال في</w:t>
      </w:r>
    </w:p>
    <w:p>
      <w:pPr>
        <w:pStyle w:val="BookText"/>
        <w:rPr/>
      </w:pPr>
      <w:r>
        <w:rPr>
          <w:rFonts w:ascii="Amiri" w:hAnsi="Amiri" w:eastAsia="Amiri" w:cs="Amiri"/>
          <w:color w:val="111111"/>
          <w:sz w:val="28"/>
          <w:sz w:val="28"/>
          <w:szCs w:val="28"/>
          <w:rtl w:val="true"/>
          <w:lang w:bidi="ar-SA"/>
        </w:rPr>
        <w:t>بعض الموارد بتخيّل أنّ مؤدّى الأصل يكون جزء موضوع الأثر، مع أنّه لا يكون كذلك و كان موضوع الأثر أمرا آخر لا يمكن إثباته بمؤدّى الأصل إلّا على نحو المثبتية، و كذلك العكس فإنّه ربّما يكون المؤدّى جزء الموضوع و يتخيّل عدمه، فلا بدّ من تعيين الضابط الكلّي لذلك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كلّما كان الأثر الشرعي المجعول مترتّبا على عدّة أجزاء داخلية أو خارجية، بحيث لو أحرزنا تلك الأجزاء و اجتماعها في عمود الزمان، سواء كان إحراز ذلك بالوجدان أو بتعبّد شرعي، لم يبق لنا شكّ في ترتّب ذلك الأثر الشرعي المجعول، و لا تردّد في حصول أمر آخر له دخل في ترتّب الأثر لم نكن محرزين إيّاه، ففي مثل هذا يكفي إحراز بعض تلك الأجزاء بالوجدان و البعض الآخر بالأصل، و ذلك لا يكون إلّا إذا كان الموضوع المركّب متألّفا من أجزاء متباينة ليس لها جامع سوى اجتماعها في الزمان، من دون أن يكون هناك أمر آخر له دخل في الموضوع منتزعا عن اجتماع هذه الأجزاء في الزمان، أو معلولا له، أو ملازما له، فإنّ في جميع هذا لا يكفي إحراز بعض تلك الأجزاء بالوجدان و الآخر بالأصل، إلّا إذا كان نفس ذلك الأمر المنتزع أو المعلول أو الملازم الذي فرض له دخل في ترتّب الأثر محرزا إمّا بالوجدان أو يكون مؤدّى الأصل هو بنفسه، و لا يكفي جريان الأصل في منشأ الانتزاع إلّا على القول بالأصل المثبت</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 إحراز بعض الموضوع بالوجدان و الآخر بالأصل هو أن يكون الموضوع ذا أثر شرعي، و يكون ذلك الموضوع مركّبا من جزءين فصاعدا ليس بينهما جامع سوى تحقّقهما في الوعاء الذي أخذ موضوعا للأثر في ذلك الوعاء، مثلا لو كان طهارة المغسول مترتّبا على الغسل بالماء الطاهر، بحيث يكون الموضوع مركّبا من الماء و كونه طاهرا كما هو كذلك، فحينئذ لو أحرزنا الماء بالوجدان و طهارته بالأصل أو بالعكس و غسلنا في مثل هذا الماء لم يبق لنا شكّ</w:t>
      </w:r>
    </w:p>
    <w:p>
      <w:pPr>
        <w:pStyle w:val="BookText"/>
        <w:rPr/>
      </w:pPr>
      <w:r>
        <w:rPr>
          <w:rFonts w:ascii="Amiri" w:hAnsi="Amiri" w:eastAsia="Amiri" w:cs="Amiri"/>
          <w:color w:val="111111"/>
          <w:sz w:val="28"/>
          <w:sz w:val="28"/>
          <w:szCs w:val="28"/>
          <w:rtl w:val="true"/>
          <w:lang w:bidi="ar-SA"/>
        </w:rPr>
        <w:t>بعد في حصول طهارة المغسول، إذ المفروض أنّه لا يعتبر في طهارته سوى الغسل بالماء في ظرف كونه طاهرا، و قد تحقّق هذا المعنى لأنّه غسل في ماء محكوم بطهارته شرعا و لو بالأصل، و كذلك لو فرض أنّ الأثر مترتب على الصلاة عند طهارة المصلّي، فلو أحرز المصلّي طهارته بالأصل لم يبق له شكّ في ترتّب الأثر، إذ لم يعتبر في موضوع الأثر إلّا كون المصلّي طاهرا في ظرف الفعل، فلو أحرز طهارته بالأصل في ذلك الظرف و الوعاء كان تمام الموضوع للأثر متحقّقا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معنى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الأثر هو ارتباط الصلاة بالطهارة، و ذلك الارتباط غير محرز بمجرّد إحراز الصلاة و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الارتباط ليس إلّا عبارة عن فعل الصلاة في ظرف الطهارة، و هذا حاصل و لو بضمّ الوجدان بالأصل، و لو كان المراد من الارتباط هو تقيّد الصلاة بالطهارة فهذا ليس من فعل المصلّي بل التقييد من فعل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فعل المصلّي و متعلّق التكليف ليس إلّا الصلاة في ظرف طهارته من الحدث و الخبث، و هذا محرز و لو بضمّ الوجدان بالأصل، و أمّا الارتباط و التقييد، و كذا مقارنة الشرط للمشروط بمعناها المنتزع عن اجتماع الشرط و المشروط في الزمان، فهذه كلّها خارجة عن متعلّق التكليف و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أريد من المقارنة مجرّد اجتماع الشرط و المشروط في الزمان فهذا حاصل و محرز و لو بضمّ الأصل، فجريان الأصل في طهارة المصلّي أو طهارة الماء المغسول به لم يكن من الأصول المثبتة، إذ الضابط في الأصل المثبت هو أن يكون الأثر الشرعي مترتّبا على ما هو لازم مؤدّى الأصل أو ملزومه، لا على نفس مؤدّى الأصل، و في المثالين الأثر الشرعي مترتّب على نفس مؤدّى الأصل و لو باعتبار كونه جزء الموضوع أو قيده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فيما إذا كان الأثر مترتّبا على المعنى المنتزع عن اجتماع الأجزاء في الزمان</w:t>
      </w:r>
    </w:p>
    <w:p>
      <w:pPr>
        <w:pStyle w:val="BookText"/>
        <w:rPr/>
      </w:pPr>
      <w:r>
        <w:rPr>
          <w:rFonts w:ascii="Amiri" w:hAnsi="Amiri" w:eastAsia="Amiri" w:cs="Amiri"/>
          <w:color w:val="111111"/>
          <w:sz w:val="28"/>
          <w:sz w:val="28"/>
          <w:szCs w:val="28"/>
          <w:rtl w:val="true"/>
          <w:lang w:bidi="ar-SA"/>
        </w:rPr>
        <w:t>أو معلولا له، لا يمكن جريان الأصل فيما هو منشأ الانتزاع في إثبات الأثر إلّا على القول بالأصل المثبت، و ذلك كما في استصحاب الشهر السابق بالنسبة إلى يوم الشكّ، و مع ذلك لا يترتّب أحكام أول الشهر على اليوم الذي بعد يوم الشكّ، مثلا لو شكّ في يوم الثلاثين من شعبان أنه من شعبان أولا، فلا إشكال في جريان استصحاب بقاء شعبان و جواز إفطاره، و كذلك لا إشكال في تحقّق القطع بأنّ اليوم الذي من بعده يكون من رمضان، إذ لا يمكن كون شعبان واحدا و ثلاثين يوما، و مع ذلك لا يمكن ترتّب أحكام أول الشهر على ذلك اليوم، إذ الأولية لرمضان إنّما هي عنوان ثانوي ينتزع عن وجود رمضان المسبوق بالعدم، و كذا أولية كلّ شي‌ء، لا أنّ الأولية هي عبارة عن الوجود المسبوق بالعدم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الوجود ثابت بالوجدان للعلم بأنّ هذا اليوم من رمضان، و مسبوقيّته بالعدم ثابت باستصحاب بقاء شعبان في اليوم الذي قبله و هو يوم الشكّ، فيكون هذا من باب ضمّ الوجدان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الأولية لو كانت بهذا المعنى فلا إشكال في ترتّب أحكام الأول على اليوم الذي بعد يوم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كانت هي عبارة عن المعنى المنتزع عن الوجود المسبوق بالعدم فضمّ الوجدان بالأصل ممّا ينفع </w:t>
      </w:r>
      <w:r>
        <w:rPr>
          <w:rStyle w:val="FootnoteAnchor"/>
          <w:rtl w:val="true"/>
        </w:rPr>
        <w:footnoteReference w:id="436"/>
      </w:r>
      <w:r>
        <w:rPr>
          <w:rFonts w:ascii="Amiri" w:hAnsi="Amiri" w:eastAsia="Amiri" w:cs="Amiri"/>
          <w:color w:val="111111"/>
          <w:sz w:val="28"/>
          <w:sz w:val="28"/>
          <w:szCs w:val="28"/>
          <w:rtl w:val="true"/>
          <w:lang w:bidi="ar-SA"/>
        </w:rPr>
        <w:t>في ترتّب أحكام الأولية عليه، إذ مع هذا الوجدان و الأصل بعد شاكّين في تحقّق ما هو موضوع الأحكام من تحقّق الأولية، و لم يرتفع شكّنا بضمّ الوجدان بالأصل، و قد تقدّم أنّ الضابط في ضمّ الوجدان بالأصل هو أنّ بعد الضمّ لا يبقى لنا شكّ في تحقّق الموضوع</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لا يكفي في ترتّب آثار نجاسة الملاقي بالكسر باستصحاب رطوبة الملاقي بالفتح مع العلم بالملاقاة، إذ تلك الآثار لم تترتّب على مجرّد تماسّ</w:t>
      </w:r>
    </w:p>
    <w:p>
      <w:pPr>
        <w:pStyle w:val="BookText"/>
        <w:rPr/>
      </w:pPr>
      <w:r>
        <w:rPr>
          <w:rFonts w:ascii="Amiri" w:hAnsi="Amiri" w:eastAsia="Amiri" w:cs="Amiri"/>
          <w:color w:val="111111"/>
          <w:sz w:val="28"/>
          <w:sz w:val="28"/>
          <w:szCs w:val="28"/>
          <w:rtl w:val="true"/>
          <w:lang w:bidi="ar-SA"/>
        </w:rPr>
        <w:t>الجسمين مع رطوبة أحدهما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مركّب من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تماسّ الجسمين المحرز بالوجدان، و رطوبة أحدهما المحرز بالأصل، بل الأثر مترتّب على ما هو معلول لهذا التماسّ من انتقال الرطوبة من أحدهما إلى الآخر، فإنّ الانتقال هو المؤثّر في التنجيس لا مجرّد الملاقاة، ففي مثل هذا أيضا لا يندرج تحت قاعدة ضمّ الوجدان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لا يكفي في إدراك الركعة و ترتّب أحكام الجماعة على مجرّد استصحاب بقاء الإمام في الركوع بدعوى أنّ الموضوع مركّب من ركوع المأموم في ظرف ركوع الإمام و قد أحرز المأموم ركوعه بالوجدان و ركوع الإمام بالأصل نظير استصحاب طهارة الفاعل في ظرف الصلاة و ذلك لأنّ موضوع إدراك الركعة و أحكام الجماعة ليس هو ذلك بل الموضوع في لسان الدليل إنّما هو ركوع المأموم قبل رفع رأس الإمام من ركوعه و هذه القبلية من لوازم ذلك المركّب لا أنّ الموضوع نفس المركّب حتّى يندرج في ضمّ الوجدان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كلّما كان الموضوع أمرا منتزعا أو معلولا أو ملازما أو ملزوما للأمر المركّب ممّا هو حاصل بالوجدان و ما هو حاصل بمؤدّى الأصل لا ينفع جريان الأصل في إثبات ما هو موضوع الأثر إلّا على القول بالأصل المثبت</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أنّ الأثر لو كان مترتّبا على المركّب لكن لا بما أنّ أجزاءه مجتمعين في الزمان، بل باعتبار الربط الخاصّ الحاصل بين اجتماع تلك الأجزاء في الزمان لا ينفع جريان الأصل بضمّ الوجدان في إحراز ذلك الربط الخاصّ،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 زيد راكبا فأكرمه، فإنّ الإكرام لم يترتّب على نفس مجي‌ء زيد و ركوبه، بل الأثر مترتّب على المجي‌ء الخاصّ، و هو حالية الركوب للمجي‌ء الذي يعبّر عنه بهيئة الحال، فإنّ في مثل هذا لو أحرزنا مجي‌ء زيد و ركوبه في زمان واحد</w:t>
      </w:r>
      <w:bookmarkStart w:id="370" w:name="pg19820_206769"/>
    </w:p>
    <w:p>
      <w:pPr>
        <w:pStyle w:val="BookText"/>
        <w:rPr/>
      </w:pPr>
      <w:bookmarkEnd w:id="370"/>
      <w:r>
        <w:rPr>
          <w:rFonts w:ascii="Amiri" w:hAnsi="Amiri" w:eastAsia="Amiri" w:cs="Amiri"/>
          <w:color w:val="111111"/>
          <w:sz w:val="28"/>
          <w:sz w:val="28"/>
          <w:szCs w:val="28"/>
          <w:rtl w:val="true"/>
          <w:lang w:bidi="ar-SA"/>
        </w:rPr>
        <w:t>بحيث اجتمعا هذان الأمران في الزمان، مع ذلك لا يترتّب عليه وجوب الإكرام، لأنّ إثبات ذلك الربط الخاص بهذا الاجتماع في الزمان المحرز أحدها بالوجدان و الآخر بالأصل لا يكون إلّا على القول بالأصل المثبت، فإنّ الضابط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عرفت في كفاية ضمّ الوجدان بالأصل في ترتّب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لا يكون الموضوع إلّا نفس المركّب الذي لا جامع بين أجزائه إلّا وحدة الزمان، فتأمّل جيّدا</w:t>
      </w:r>
      <w:r>
        <w:rPr>
          <w:rFonts w:eastAsia="Amiri" w:cs="Amiri" w:ascii="Amiri" w:hAnsi="Amiri"/>
          <w:color w:val="111111"/>
          <w:sz w:val="28"/>
          <w:szCs w:val="28"/>
          <w:rtl w:val="true"/>
          <w:lang w:bidi="ar-SA"/>
        </w:rPr>
        <w:t>.</w:t>
      </w:r>
    </w:p>
    <w:p>
      <w:pPr>
        <w:pStyle w:val="Heading6"/>
        <w:numPr>
          <w:ilvl w:val="5"/>
          <w:numId w:val="1"/>
        </w:numPr>
        <w:rPr/>
      </w:pPr>
      <w:bookmarkStart w:id="371" w:name="__RefHeading___Toc3360236_2314609296"/>
      <w:bookmarkStart w:id="372" w:name="_Toc145"/>
      <w:bookmarkEnd w:id="371"/>
      <w:r>
        <w:rPr>
          <w:rtl w:val="true"/>
        </w:rPr>
        <w:t>الأمر الثاني</w:t>
      </w:r>
      <w:r>
        <w:rPr>
          <w:rtl w:val="true"/>
        </w:rPr>
        <w:t xml:space="preserve">: </w:t>
      </w:r>
      <w:r>
        <w:rPr>
          <w:rtl w:val="true"/>
        </w:rPr>
        <w:t>لا إشكال في رجوع كلّ وصف اعتبر في المصلّي</w:t>
      </w:r>
      <w:bookmarkEnd w:id="372"/>
    </w:p>
    <w:p>
      <w:pPr>
        <w:pStyle w:val="BookText"/>
        <w:rPr/>
      </w:pPr>
      <w:r>
        <w:rPr>
          <w:rFonts w:ascii="Amiri" w:hAnsi="Amiri" w:eastAsia="Amiri" w:cs="Amiri"/>
          <w:color w:val="111111"/>
          <w:sz w:val="28"/>
          <w:sz w:val="28"/>
          <w:szCs w:val="28"/>
          <w:rtl w:val="true"/>
          <w:lang w:bidi="ar-SA"/>
        </w:rPr>
        <w:t>، أو في المكان، أو في اللّباس، أو في الزمان إلى تقييد الصلاة بذلك الوصف وجوديّا كان أو عدميّا، بداهة أنّ المطلوب هو الصلاة المتقيّدة بكون المصلّي واجدا لكذا أو فاقدا لكذا، و الصلاة المتقيّدة بكون لباس المصلّي كذا و كذا، فرجوع كلّ وصف اعتبر في أي محلّ بالأخرة إلى الصلاة ممّا لا خفاء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مع ذلك المحلّ الذي اعتبر الوصف الوجودي أو العدمي فيه تارة يكون هو المصلّي، و اخرى يكون لباسه أو مكانه، و ثالثة يكون نفس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أ ليست الصلاة مقيّدة بعدم وقوعها في الحرير، و لكنّ محلّ الذي اعتبر هذا الوصف فيه تارة يكون المصلّي، بأن يكون المعتبر في الصلاة هو عدم كون المصلّي لابسا للحرير، و اخرى يكون معتبرا في اللّباس، بأن يكون المعتبر هو عدم كون اللّباس من الحرير، و ثالثة يكون معتبرا في نفس الصلاة، كالصلاة في غير الحرير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استفادة هذه الوجوه و أنّ الوصف في أي محلّ اعتبر إنّما يكون من لسان الدليل، فقد يكون لسانه اعتبار الوصف في المصلّي، و قد يكون في اللّباس، و قد يكون في الصلاة</w:t>
      </w:r>
      <w:r>
        <w:rPr>
          <w:rFonts w:eastAsia="Amiri" w:cs="Amiri" w:ascii="Amiri" w:hAnsi="Amiri"/>
          <w:color w:val="111111"/>
          <w:sz w:val="28"/>
          <w:szCs w:val="28"/>
          <w:rtl w:val="true"/>
          <w:lang w:bidi="ar-SA"/>
        </w:rPr>
        <w:t>.</w:t>
      </w:r>
    </w:p>
    <w:p>
      <w:pPr>
        <w:pStyle w:val="Heading6"/>
        <w:numPr>
          <w:ilvl w:val="5"/>
          <w:numId w:val="1"/>
        </w:numPr>
        <w:rPr/>
      </w:pPr>
      <w:bookmarkStart w:id="373" w:name="__RefHeading___Toc3360238_2314609296"/>
      <w:bookmarkStart w:id="374" w:name="_Toc146"/>
      <w:bookmarkEnd w:id="373"/>
      <w:r>
        <w:rPr>
          <w:rtl w:val="true"/>
        </w:rPr>
        <w:t>إذا عرفت ذلك فلا إشكال في جريان الاستصحاب فيما إذا كان المحلّ المعتبر فيه الوصف هو المصلّي، أو اللّباس</w:t>
      </w:r>
      <w:r>
        <w:rPr>
          <w:rtl w:val="true"/>
        </w:rPr>
        <w:t>.</w:t>
      </w:r>
      <w:bookmarkEnd w:id="374"/>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لو كان المصلّي غير لابس للحرير، أو</w:t>
      </w:r>
    </w:p>
    <w:p>
      <w:pPr>
        <w:pStyle w:val="BookText"/>
        <w:rPr/>
      </w:pPr>
      <w:r>
        <w:rPr>
          <w:rFonts w:ascii="Amiri" w:hAnsi="Amiri" w:eastAsia="Amiri" w:cs="Amiri"/>
          <w:color w:val="111111"/>
          <w:sz w:val="28"/>
          <w:sz w:val="28"/>
          <w:szCs w:val="28"/>
          <w:rtl w:val="true"/>
          <w:lang w:bidi="ar-SA"/>
        </w:rPr>
        <w:t>كان لباسه من غير الحرير، فيشكّ في ظرف وقوع الصلاة كونه ليس الحرير أو لا، أو صار لباسه من الحرير أو لا، فلا إشكال في جريان استصحاب عدم كونه لابسا للحرير، أو عدم صيرورة اللّباس من الحرير في ظرف وقوع الصلاة، و يدخل في صغريات ما إذا كان بعض الموضوع محرزا بالوجدان و الآخر بالأصل، إذ بعد ما كان محلّ الوصف هو كون المصلّي غير لابس للحرير في ظرف الصلاة، فالموضوع هو عبارة عن نفس هذا المركّب المحرز بالوجدان 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الكلام في الطهارة الحدثية و الخبثية الذي لا إشكال في اعتبارها في المصلّي، و كونه هو محلّ الوصف، فإنّ المعتبر في الصلاة هو كون الفاعل متطهّرا، كما يدلّ عليه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يكون العبد طاهرا بين يدي ربّه</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و ما حكي عن بعض الأعلام من التفصيل بين التفاته إلى الشكّ في طهارته قبل الصلاة، و بين أن يكون قبل الصلاة غافلا و صلّى غفلة ثمّ بعد ذلك شكّ في الطهارة، فقال في الأول بكفاية استصحاب الطهارة، و يترتّب عليه جواز الدخول في الصلاة، و يكون من صغريات إحراز بعض الموضوع بالوجدان و الآخر بالأصل، و أمّا الثاني فاستصحاب الطهارة لا تثبت وقوع الصلاة مع الطهارة إلّا على القول بالأصل المثبت، فلو لا قاعدة الفراغ الحاكمة بصحّة الصلاة لا يترتّب على استصحاب الطهارة أثر الصحّة، هذا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يخفى عليك ما فيه، فإنّه بعد ما كان الأثر مترتّبا على وقوع الصلاة في ظرف طهارة الفاعل فلا فرق في ذلك بين أن يكون الشكّ في الطهارة حاصلا قبل الصلاة و دخل في الصلاة باستصحاب الطهارة، و بين أن يكون الشكّ حاصلا بعد الصلاة و أحرز الطهارة في ظرف وقوع الصلاة باستصحابها بعدها، فإنّه و إن لم</w:t>
      </w:r>
      <w:bookmarkStart w:id="375" w:name="pg19820_206771"/>
    </w:p>
    <w:p>
      <w:pPr>
        <w:pStyle w:val="BookText"/>
        <w:rPr/>
      </w:pPr>
      <w:bookmarkEnd w:id="375"/>
      <w:r>
        <w:rPr>
          <w:rFonts w:ascii="Amiri" w:hAnsi="Amiri" w:eastAsia="Amiri" w:cs="Amiri"/>
          <w:color w:val="111111"/>
          <w:sz w:val="28"/>
          <w:sz w:val="28"/>
          <w:szCs w:val="28"/>
          <w:rtl w:val="true"/>
          <w:lang w:bidi="ar-SA"/>
        </w:rPr>
        <w:t>يجر الاستصحاب قبل الصلاة مع الغفلة لاعتبار الشكّ الفعلي في جريانه و لا يكفي الشكّ التقديري، إلّا أنّه بعد تحقّق الشكّ و لو بعد الصلاة يجري الاستصحاب و يبني على بقاء الطهارة المتيقّنة إلى ظرف وقوع الصلاة، فيكون المكلّف قد أحرز الصلاة في ظرف طهارته، و يدخل في صغريات إحراز بعض الموضوع بالوجدان و الآخر بالأصل</w:t>
      </w:r>
      <w:r>
        <w:rPr>
          <w:rFonts w:eastAsia="Amiri" w:cs="Amiri" w:ascii="Amiri" w:hAnsi="Amiri"/>
          <w:color w:val="111111"/>
          <w:sz w:val="28"/>
          <w:szCs w:val="28"/>
          <w:rtl w:val="true"/>
          <w:lang w:bidi="ar-SA"/>
        </w:rPr>
        <w:t>.</w:t>
      </w:r>
    </w:p>
    <w:p>
      <w:pPr>
        <w:pStyle w:val="Heading6"/>
        <w:numPr>
          <w:ilvl w:val="5"/>
          <w:numId w:val="1"/>
        </w:numPr>
        <w:rPr/>
      </w:pPr>
      <w:bookmarkStart w:id="376" w:name="__RefHeading___Toc3360240_2314609296"/>
      <w:bookmarkStart w:id="377" w:name="_Toc147"/>
      <w:bookmarkEnd w:id="376"/>
      <w:r>
        <w:rPr>
          <w:rtl w:val="true"/>
        </w:rPr>
        <w:t>و بالجملة</w:t>
      </w:r>
      <w:r>
        <w:rPr>
          <w:rtl w:val="true"/>
        </w:rPr>
        <w:t xml:space="preserve">: </w:t>
      </w:r>
      <w:r>
        <w:rPr>
          <w:rtl w:val="true"/>
        </w:rPr>
        <w:t>لا فرق في ترتّب أثر الصحّة و الإجزاء بين جريان استصحاب الطهارة قبل الصلاة أو بعدها</w:t>
      </w:r>
      <w:bookmarkEnd w:id="377"/>
    </w:p>
    <w:p>
      <w:pPr>
        <w:pStyle w:val="BookText"/>
        <w:rPr/>
      </w:pPr>
      <w:r>
        <w:rPr>
          <w:rFonts w:ascii="Amiri" w:hAnsi="Amiri" w:eastAsia="Amiri" w:cs="Amiri"/>
          <w:color w:val="111111"/>
          <w:sz w:val="28"/>
          <w:sz w:val="28"/>
          <w:szCs w:val="28"/>
          <w:rtl w:val="true"/>
          <w:lang w:bidi="ar-SA"/>
        </w:rPr>
        <w:t>، سوى أنّه لو اجري الاستصحاب قبل الصلاة كان إحراز جزء الموضوع مقدّما على إحراز جزئه الآخر المحرز بالوجدان، و لو كان جريان الاستصحاب بعد الصلاة كان إحراز ما هو محرز بالوجدان و هو فعل الصلاة مقدّما على إحراز ما هو محرز بالأصل من الطهارة، و من المعلوم أنّ سبق الإحراز الوجداني على الإحراز التعبّدي و لحوقه لا دخل له في الأثر المقصود من الصحّة و سقوط الإعادة و القضاء، هذا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جريان الاستصحاب قبل الصلاة يترتّب عليه جواز الدخول في الصلاة، إن كان هو الجواز التكليفي فهذا ممّا لا أثر له في الأثر المقصود من سقوط الإعادة و القضاء، إذ الجواز التكليفي لا يلازم ذلك إلّا على القول بالمثبت، مع أنّه لا شكّ في الجواز التكليفي، إذ الصلاة مع عدم الطهارة ليست من المحرّمات الذاتية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باستصحاب الطهارة يترتّب عليه الجواز التكليفي، و إن كان المراد منه الجواز الوضعي بمعنى الصحّة و المضيّ و سقوط الإعادة و القضاء فهذا ممّا لا فرق فيه بين سبق جريان الاستصحاب و لحوقه، إذ على كلّ تقدير سقوط الإعادة و القضاء مترتّب على إحراز الموضوع المركّب من طهارة المصلّي و الصلاة في ظرفها، و هذا الإحراز لا يتوقّف على جريان الاستصحاب قبل الصلاة، فالتفصيل بين الصورتين ممّا لا يستقيم و لا يمكن</w:t>
      </w:r>
    </w:p>
    <w:p>
      <w:pPr>
        <w:pStyle w:val="BookText"/>
        <w:rPr/>
      </w:pPr>
      <w:r>
        <w:rPr>
          <w:rFonts w:ascii="Amiri" w:hAnsi="Amiri" w:eastAsia="Amiri" w:cs="Amiri"/>
          <w:color w:val="111111"/>
          <w:sz w:val="28"/>
          <w:sz w:val="28"/>
          <w:szCs w:val="28"/>
          <w:rtl w:val="true"/>
          <w:lang w:bidi="ar-SA"/>
        </w:rPr>
        <w:t>المساعدة عليه،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إذا كان محلّ الوصف هو المصلّي أو اللباس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محلّ الوصف هو نفس الصلاة، فإن كان القيد الوجودي أو العدمي حاصلا من أول الشروع ثمّ يشكّ في ارتفاعه، إمّا لأجل الشكّ في فقدان الجزء أو الشرط أو عروض المانع في الأثناء، و إمّا لأجل الشكّ في مانعية الموجود سواء في ذلك الشبهة الحكمية و الموضوعية، و إمّا أن يكون مشكوك الحصول من أول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حاصلا في أول الأمر ثمّ طرأ الشك في ارتفاعه، فلا يخلو أيضا إمّا أن يكون محلّ القيد هو ذات الأجزاء و أفعال الصلاة، كما هو أقوى الوجهين في باب الموانع </w:t>
      </w:r>
      <w:r>
        <w:rPr>
          <w:rStyle w:val="FootnoteAnchor"/>
          <w:rtl w:val="true"/>
        </w:rPr>
        <w:footnoteReference w:id="438"/>
      </w:r>
      <w:r>
        <w:rPr>
          <w:rFonts w:ascii="Amiri" w:hAnsi="Amiri" w:eastAsia="Amiri" w:cs="Amiri"/>
          <w:color w:val="111111"/>
          <w:sz w:val="28"/>
          <w:sz w:val="28"/>
          <w:szCs w:val="28"/>
          <w:rtl w:val="true"/>
          <w:lang w:bidi="ar-SA"/>
        </w:rPr>
        <w:t>، و إمّا أن يكون محلّ القيد هو الهيئة الاتّصالية القائمة بموادّ الأجزاء الحادثة بحدوث التكبيرة و المنعدمة بالتسليمة، كما هو أحد الوجهين في باب القواطع</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محلّ القيد هو ذوات الأجزاء فالاستصحاب ممّا لا مجال له أصلا، بداهة أنّ أصالة عدم المانع لا يثبت اتّصاف الصلاة بعدمه إلّا على القول بالأصل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استصحاب صحّة الأجزاء السابقة ممّا لا ينفع، لأنّ صحّة الأجزاء السابقة عبارة عن الصحّة التأهّلية، إذ الصحّة الفعلية بمعنى سقوط الإعادة و القضاء ممّا لا تتّصف الصلاة بها إلّا بعد الفراغ منها و إتيانها تامّة للأجزاء و الشرائط، و الصحّة التأهّلية بمعنى أنّه لو انضمّ إليها سائر الأجزاء</w:t>
      </w:r>
    </w:p>
    <w:p>
      <w:pPr>
        <w:pStyle w:val="BookText"/>
        <w:rPr/>
      </w:pPr>
      <w:r>
        <w:rPr>
          <w:rFonts w:ascii="Amiri" w:hAnsi="Amiri" w:eastAsia="Amiri" w:cs="Amiri"/>
          <w:color w:val="111111"/>
          <w:sz w:val="28"/>
          <w:sz w:val="28"/>
          <w:szCs w:val="28"/>
          <w:rtl w:val="true"/>
          <w:lang w:bidi="ar-SA"/>
        </w:rPr>
        <w:t>و الشرائط لكانت صحيحة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يرجع إلى الاستصحاب التعليقي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مقطوعة البقاء حتّى عند طروّ الشكّ في وجود المانع أو مانعية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فمحلّ القيد الوجودي أو العدمي إن كان نفس أجزاء الصلاة فاستصحاب عدم تحقّق المانع ممّا لا مساس له و 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محلّ القيد هو الهيئة الاتّصالية المستمرّة في الصلاة التي لا يضرّ بها تبادل الأجزاء نظير الحركة المتوسّطة، فاستصحاب بقاء الهيئة الاتّصالية عند الشكّ في طروّ القاطع أو قاطعية الموجود و إن كان له مساس، و تامّ الأركان، و اعتمد عليه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مع ذلك لا يفيد، فإنّ الهيئة الاتّصالية لم تكن هي بنفسها متعلّقة الطلب و التكليف، حتّى يجدي استصحابها و لو مع بقاء الشكّ في قاطعية الموجود نظير استصحاب الطهارة عند الشكّ في ناقضية المذي، حيث إنّ استصحاب الطهارة يكفي و لو مع بقاء الشكّ في ناقضية المذي، إذ ما هو متعلّق التكليف نفس الطهارة التي لا بدّ للمكلّف من إحرازها، و أمّا كون المذي ناقضا أو ليس بناقض فليس هو متعلّق التكليف، و إنّما كان وجوده منشأ للشكّ في ارتفاع ما هو متعلّق التكليف، و بعد إحراز الطهارة و لو بالأصل لا حاجة لنا إلى رفع الشكّ في ناقضية المذي، و ليكن الشكّ باق إلى يوم القيامة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نحن فيه لو كان متعلّق الطلب و التكليف هو نفس الهيئة الاتّصالية، و قلنا بأنّها أمر وجودي و فعل المكلّف، و كان تعلّق النهي بعدم وقوع تلك القواطع من باب أنّه رافع لما هو متعلّق التكليف حقيقة، لا أنّ نفس عدم القواطع أخذ قيدا في الصلاة، فجريان الاستصحاب حينئذ في محلّه، إذ بعد استصحاب ما هو متعلّق التكليف من بقاء الهيئة الاتّصالية لا حاجة لنا إلى إحراز حال القاطع، و ليبق الشكّ فيه إلى يوم القيامة، و لكنّ الأمر ليس كذلك، فإنّ نفس كون الصلاة مشتملة على أمر وجودي وراء الأجزاء و الشرائط محلّ إشكال بل منع، إذ</w:t>
      </w:r>
    </w:p>
    <w:p>
      <w:pPr>
        <w:pStyle w:val="BookText"/>
        <w:rPr/>
      </w:pPr>
      <w:r>
        <w:rPr>
          <w:rFonts w:ascii="Amiri" w:hAnsi="Amiri" w:eastAsia="Amiri" w:cs="Amiri"/>
          <w:color w:val="111111"/>
          <w:sz w:val="28"/>
          <w:sz w:val="28"/>
          <w:szCs w:val="28"/>
          <w:rtl w:val="true"/>
          <w:lang w:bidi="ar-SA"/>
        </w:rPr>
        <w:t>لا يخطر ببال المصلّي أنّ هناك وراء الأجزاء أمر آخر وجودي متعلّق للإرادة الفاعلية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على فرض وجوده كونه هو بنفسه متعلّق التكليف دون تلك القواطع محلّ منع أيضا بعد ما كان ظواهر الأدلّة على خلافه، فإنّ الظاهر من أدلّة القواطع كون نفس عدم تخلّل تلك القواطع في أثناء الصلاة متعلّقا للطلب، فلا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استصحاب بقاء الهيئة الاتّصالية، و لا حاجة لنا إلى رفع الشكّ في وجود القاطع أو قاطعية الموجود، و تنظير ما نحن فيه بالمثال المتقدّم، فإنّ معنى ذلك هو أنّ متعلّق التكليف ممّا لا نحتاج إلى إحرازه، و ما هو ليس متعلّق التكليف نحتاج إلى إحرازه،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التكليف و إن كان هو نفس عدم تخلّل تلك القواطع، إلّا أنّ المحلّ الذي اعتبر ذلك العدم فيه هو الجزء الصوري و الهيئة الاتّصالية لا الأجزاء المتبادلة المتصرّمة، و حينئذ نستصحب عدم تخلّل القاطع في محلّه الذي اعتبر فيه، لا أنّه نستصحب بقاء الهيئة الاتّصالية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يرد عليه ما أوردناه في باب الموانع، فإنّ الموانع حيث إنّه كان محلّها نفس الأجزاء المتصرّمة فاستصحاب عدم تحقّق المانع في الأجزاء ممّا لا مساس له، لأنّ الأجزاء السابقة على ما هو مشكوك المانعية أو حصوله قد تصرّمت و انقضت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عدم حصوله في تلك الأجزاء مقطوع لا معنى لاستصحابه، و الأجزاء اللاحقة بعد لم توجد، و الجزء الذي في يده الذي شكّ في تحقّق المانع فيه لم يكن له حالة سابقة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وقوع المانع في هذا الجزء، إذ قبل وجوده لم يكن شي‌ء، و بعد وجوده يكون مشكوك المصاحب للمانع، فهو من أول وجوده و حدوثه مشكوك، و ليس له حالة سابقة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وقوع المانع في هذا الجزء، إذ متى كان الجزء و لم يكن مصاحبا لعدم المانع حتّى 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باب القواطع، فإنّ من أدلّة القواطع نستكشف لا محيص من أنّ هناك أمرا وجوديّا، و إن لم يكن متعلّقا لإرادة الفاعل و متعلّق الطلب و التكليف، و هذا الأمر الوجودي أمر واحد مستمرّ قائم بالأجزاء و لا يضرّه تبادلها، و قد أخذ هذا الأمر الوجودي محلّا لعدم تلك القواطع، و عند الشكّ في تخلّل القاطع في أثناء هذا الأمر الوجودي الذي اعتبر محلّا له نستصحب عدم تخلّله في محلّه الذي اعتبر فيه، و ما هو متعلّق التكليف ليس إلّا عدم وقوع القاطع في أثناء هذا الأمر الوجودي، و هذا الأمر الوجودي الذي نعبّر عنه بالجزء الصوري و الهيئة الاتّصالية قبل حصول ما يشكّ في قاطعيته لم يقع فيه قاطع، و الآن نستصحب أيضا عدم وقوعه فيه، و يكون ما هو متعلّق التكليف محرزا بالأصل، و لا محذور فيه أصلا،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كان القيد الوجودي أو العدمي موجودا في أول الشروع ثمّ عرض الشكّ في 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مشكوك الحصول من أول الأمر، فمعلوم أنّه بالنسبة إلى القيد الوجودي لا مجرى لأصل من الأصول بعد ما كان القيد الوجودي ممّا لا بدّ في إحرازه من أول الصلاة إمّا بالوجدان و إمّا بالأصل، فمع الشكّ في وجوده من أول الصلاة الذي أخذ القيد محلّا فيها و وصفا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مفروض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لاتّصاف الصلاة بهذا الأمر الوجودي حالة سابقة، إذ المفروض أنّه مشكوك الحصول من أول الصلاة، فلا مجرى للاستصحاب</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كان القيد قيدا عدميّا، ففي جريان الأصل و عدمه اضطربت كلمات القوم و الأعلام حتّى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جريان الاستصحاب في هذا مبنيّ على كفاية جريان استصحاب العدم السابق على الحوادث في إحراز عدم تخصّص تلك الحوادث بالخصوصيّات المشكوكة عند حدوثها، كالصلاة فيما نحن فيه، حيث إنّها حين حدوثها مشكوكة التخصّص بخصوصية عدم المأكولية،</w:t>
      </w:r>
      <w:bookmarkStart w:id="378" w:name="pg19820_206776"/>
    </w:p>
    <w:p>
      <w:pPr>
        <w:pStyle w:val="Heading6"/>
        <w:numPr>
          <w:ilvl w:val="5"/>
          <w:numId w:val="1"/>
        </w:numPr>
        <w:rPr/>
      </w:pPr>
      <w:bookmarkStart w:id="379" w:name="__RefHeading___Toc3360242_2314609296"/>
      <w:bookmarkStart w:id="380" w:name="_Toc148"/>
      <w:bookmarkEnd w:id="378"/>
      <w:bookmarkEnd w:id="379"/>
      <w:r>
        <w:rPr>
          <w:rtl w:val="true"/>
        </w:rPr>
        <w:t>إذا فرض كونه وصفا للصلاة لا للّباس</w:t>
      </w:r>
      <w:r>
        <w:rPr>
          <w:rtl w:val="true"/>
        </w:rPr>
        <w:t xml:space="preserve">- </w:t>
      </w:r>
      <w:r>
        <w:rPr>
          <w:rtl w:val="true"/>
        </w:rPr>
        <w:t>كما سيأتي بيانه</w:t>
      </w:r>
      <w:r>
        <w:rPr>
          <w:rtl w:val="true"/>
        </w:rPr>
        <w:t xml:space="preserve">- </w:t>
      </w:r>
      <w:r>
        <w:rPr>
          <w:rtl w:val="true"/>
        </w:rPr>
        <w:t>ففي كفاية جريان استصحاب عدم اتّصاف الصلاة بغير المأكولية</w:t>
      </w:r>
      <w:bookmarkEnd w:id="380"/>
    </w:p>
    <w:p>
      <w:pPr>
        <w:pStyle w:val="Heading6"/>
        <w:numPr>
          <w:ilvl w:val="5"/>
          <w:numId w:val="1"/>
        </w:numPr>
        <w:rPr/>
      </w:pPr>
      <w:bookmarkStart w:id="381" w:name="__RefHeading___Toc3360244_2314609296"/>
      <w:bookmarkStart w:id="382" w:name="_Toc149"/>
      <w:bookmarkEnd w:id="381"/>
      <w:r>
        <w:rPr>
          <w:rtl w:val="true"/>
        </w:rPr>
        <w:t>اشارة</w:t>
      </w:r>
      <w:bookmarkEnd w:id="382"/>
    </w:p>
    <w:p>
      <w:pPr>
        <w:pStyle w:val="BookText"/>
        <w:rPr/>
      </w:pPr>
      <w:r>
        <w:rPr>
          <w:rFonts w:ascii="Amiri" w:hAnsi="Amiri" w:eastAsia="Amiri" w:cs="Amiri"/>
          <w:color w:val="111111"/>
          <w:sz w:val="28"/>
          <w:sz w:val="28"/>
          <w:szCs w:val="28"/>
          <w:rtl w:val="true"/>
          <w:lang w:bidi="ar-SA"/>
        </w:rPr>
        <w:t>السابق على وجود الصلاة أو عدم كفايته خلاف بين الأعلام، و الحقّ عدم كفايته و توضيح المطلب يتوقّف على رسم أمور</w:t>
      </w:r>
      <w:r>
        <w:rPr>
          <w:rFonts w:eastAsia="Amiri" w:cs="Amiri" w:ascii="Amiri" w:hAnsi="Amiri"/>
          <w:color w:val="111111"/>
          <w:sz w:val="28"/>
          <w:szCs w:val="28"/>
          <w:rtl w:val="true"/>
          <w:lang w:bidi="ar-SA"/>
        </w:rPr>
        <w:t>:</w:t>
      </w:r>
    </w:p>
    <w:p>
      <w:pPr>
        <w:pStyle w:val="Heading6"/>
        <w:numPr>
          <w:ilvl w:val="5"/>
          <w:numId w:val="1"/>
        </w:numPr>
        <w:rPr/>
      </w:pPr>
      <w:bookmarkStart w:id="383" w:name="__RefHeading___Toc3360246_2314609296"/>
      <w:bookmarkStart w:id="384" w:name="_Toc150"/>
      <w:bookmarkEnd w:id="383"/>
      <w:r>
        <w:rPr>
          <w:rtl w:val="true"/>
        </w:rPr>
        <w:t>الأول</w:t>
      </w:r>
      <w:r>
        <w:rPr>
          <w:rtl w:val="true"/>
        </w:rPr>
        <w:t xml:space="preserve">: </w:t>
      </w:r>
      <w:r>
        <w:rPr>
          <w:rtl w:val="true"/>
        </w:rPr>
        <w:t>لا إشكال في جريان الاستصحابات العدمية بالنسبة إلى نفس التكاليف و موضوعاتها</w:t>
      </w:r>
      <w:r>
        <w:rPr>
          <w:rtl w:val="true"/>
        </w:rPr>
        <w:t>.</w:t>
      </w:r>
      <w:bookmarkEnd w:id="384"/>
    </w:p>
    <w:p>
      <w:pPr>
        <w:pStyle w:val="BookText"/>
        <w:rPr/>
      </w:pPr>
      <w:r>
        <w:rPr>
          <w:rFonts w:ascii="Amiri" w:hAnsi="Amiri" w:eastAsia="Amiri" w:cs="Amiri"/>
          <w:color w:val="111111"/>
          <w:sz w:val="28"/>
          <w:sz w:val="28"/>
          <w:szCs w:val="28"/>
          <w:rtl w:val="true"/>
          <w:lang w:bidi="ar-SA"/>
        </w:rPr>
        <w:t>و ما يتوهّم من أنّه لا بدّ و أن يكون المستصحب من الامورات التي تنالها يد الجعل، أو كان هناك أثر مجعول مترتّب على المستصحب و إن لم يكن هو بنفسه ممّا تناله يد الجعل، و العدم الأزلي هو بنفسه ليس مجعولا، فاستصحاب عدم التكليف ممّا لا 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استصحاب عدم الموضوع، فإنّ الأثر الذي يراد ترتّبه هو عدم الحكم، و إلّا نفس عدم الموضوع مع قطع النظر عن الأثر المترتّب عليه ممّا لا معنى لاستصحابه، و عدم الحكم ليس هو أمرا مجعولا حتّى يترتّب على عدم الموضوع، بداهة أنّ انتفاء الحكم عند انتفاء موضوعه ليس أمرا مجعولا، بل هو من قبيل انتفاء المعلول عند انتفاء علّته الذي لا يقبل أن تناله يد الجعل و لو تبعا، واضح الفساد، فإنّ العدم الأزلي و إن لم يكن هو بنفسه مجعولا إلّا أنّ التعبّد بالبناء عليه الذي هو المجعول في باب الأصول ممّا يمكن أن تناله يد الجعل، فإنّه كما أنّ للشارع التعبّد بالبناء على وجود الشي‌ء تكليفا كان أو وضعا أو موضوعا، فكذلك للشارع التعبّد بالبناء على عدم الشي‌ء، و لا نحتاج في مقام جريان الاستصحاب إلى أزيد من أن يكون المستصحب قابلا للتعبّد الشرعي بكلا طرفيه من وجوده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ربّما ينسب إلى الشيخ من إنكاره الاستصحابات العدمية من الأوهام، فإنّ كلماته مشحونة بخلافه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فرق في المستصحب العدمي بين أن يكون تمام الموضوع للأثر أو</w:t>
      </w:r>
      <w:bookmarkStart w:id="385" w:name="pg19820_206777"/>
    </w:p>
    <w:p>
      <w:pPr>
        <w:pStyle w:val="BookText"/>
        <w:rPr/>
      </w:pPr>
      <w:bookmarkEnd w:id="385"/>
      <w:r>
        <w:rPr>
          <w:rFonts w:ascii="Amiri" w:hAnsi="Amiri" w:eastAsia="Amiri" w:cs="Amiri"/>
          <w:color w:val="111111"/>
          <w:sz w:val="28"/>
          <w:sz w:val="28"/>
          <w:szCs w:val="28"/>
          <w:rtl w:val="true"/>
          <w:lang w:bidi="ar-SA"/>
        </w:rPr>
        <w:t>جزءه على ما تقدّم، كما أنّه لا فرق فيها بين أن يكون العدم هو بنفسه ذا أثر شرعي، أو كان الأثر مترتّبا على نقيضه الوجودي و يراد من استصحاب العدم هو نفي ذلك الأثر باعتبار نفي نقيضه الوجودي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تارة يكون عدم فسق زيد ذا أثر، و اخرى فسق زيد ذا أثر من حرمة الإكرام مثلا و إن لم يكن نفس عدم فسفه موضوعا لأثر أصلا، و على كلا التقديرين استصحاب عدم فسق زيد يجري إذا تمّت أركانه من اليقين السابق و الشكّ اللاحق، غايته انّه إذا كان نفس عدم فسق زيد موضوعا للأثر من وجوب الإكرام مثلا فبنفس استصحاب عدم الفسق يرتّب أثره، و إن كان فسقه موضوعا للأثر فباستصحاب عدم فسقه ينفى الأثر المترتّب على نقيضه الوجودي من الفسق، و يقال بعدم حرمة إكرامه إذا كان الفاسق موضوعا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الاستصحابات العدمية بين أن تكون هي بنفسها ذا أثر، أو كان نقيضها الوجودي ذا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يختصّ ذلك بالاستصحابات العدمية بل يجري في الاستصحابات الوجودية أيضا، فإنّ الأثر تارة يترتّب على نفس الوجود المستصحب، و اخرى يترتّب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نقيضه العدمي، و يراد من استصحاب الوجود نفي الأثر المترتّب على عدمه، كما في استصحاب وجود المانع، فإنّ نفس وجود المانع ممّا لم يؤخذ موضوعا للأثر شرعا، و إنّما كان موضوع الأثر هو عدم المانع، و لكن حينئذ ذلك استصحاب وجود المانع يجري و يترتّب عليه انتفاء الأثر المترتّب على عدم المانع كما لا يخفى</w:t>
      </w:r>
      <w:r>
        <w:rPr>
          <w:rFonts w:eastAsia="Amiri" w:cs="Amiri" w:ascii="Amiri" w:hAnsi="Amiri"/>
          <w:color w:val="111111"/>
          <w:sz w:val="28"/>
          <w:szCs w:val="28"/>
          <w:rtl w:val="true"/>
          <w:lang w:bidi="ar-SA"/>
        </w:rPr>
        <w:t>.</w:t>
      </w:r>
    </w:p>
    <w:p>
      <w:pPr>
        <w:pStyle w:val="Heading6"/>
        <w:numPr>
          <w:ilvl w:val="5"/>
          <w:numId w:val="1"/>
        </w:numPr>
        <w:rPr/>
      </w:pPr>
      <w:bookmarkStart w:id="386" w:name="__RefHeading___Toc3360248_2314609296"/>
      <w:bookmarkStart w:id="387" w:name="_Toc151"/>
      <w:bookmarkEnd w:id="386"/>
      <w:r>
        <w:rPr>
          <w:rtl w:val="true"/>
        </w:rPr>
        <w:t>الأمر الثاني</w:t>
      </w:r>
      <w:r>
        <w:rPr>
          <w:rtl w:val="true"/>
        </w:rPr>
        <w:t xml:space="preserve">: </w:t>
      </w:r>
      <w:r>
        <w:rPr>
          <w:rtl w:val="true"/>
        </w:rPr>
        <w:t>بعد ما عرفت من أنّه لا يتوقف جريان الأصل على كون الأثر</w:t>
      </w:r>
      <w:bookmarkEnd w:id="387"/>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مترتّبا على نفس مؤدّاه، بل يكفي ترتّبه على نقيضه أيضا،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المقيّد أو المخصّص النافي للحكم الوارد على العنوان المأخوذ في مصبّ العموم أو الإطلاق، كورود إلّا الفسّاق أو لا تكرم فسّاق العلماء بعد ورود أكرم العلماء، أو الفاسق</w:t>
      </w:r>
    </w:p>
    <w:p>
      <w:pPr>
        <w:pStyle w:val="BookText"/>
        <w:rPr/>
      </w:pPr>
      <w:r>
        <w:rPr>
          <w:rFonts w:ascii="Amiri" w:hAnsi="Amiri" w:eastAsia="Amiri" w:cs="Amiri"/>
          <w:color w:val="111111"/>
          <w:sz w:val="28"/>
          <w:sz w:val="28"/>
          <w:szCs w:val="28"/>
          <w:rtl w:val="true"/>
          <w:lang w:bidi="ar-SA"/>
        </w:rPr>
        <w:t>العالم بعد ورود أكرم العالم، فلا يخلو حاله عن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المخصّص أو المقيّد الذي أخذ خصوصية وجودية فيه كالفسق في المثال واردا لمحض إفادة التخصيص أو التقييد للعام أو المطلق، من دون أن يتكفّل لإثبات حكم على الفاسق من حرمة إكرامه، بل كان وروده لمجرّد بيان أنّ العالم الذي يجب إكرامه بمقتضى العموم أو الإطلاق ليس هو مطلق العالم بل العالم الذي لم يكن فاسقا، و أمّا كون العالم الفاسق محرّم الإكرام أو لا فليس لدليل المخصّص أو المقيّد تعرّض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يكون المخصّص أو المقيّد واردا لبيان إثبات حكم على المتخصّص بالخصوصية الوجودية التي تكفّل دليل المخصّص لها، كما إذا كان قوله لا تكرم فسّاق العلماء عقيب قوله أكرم العلماء واردا لبيان إفادة حرمة إكرام الفاسق لا مجرّد عدم وجوبه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ورود المخصّص أو المقيّد على الوجه الأول كان مفاده مانعية الفسق عن وجوب الإكرام المستفاد من العموم أو الإطلاق، و دخل عدم تخصّص مصبّ العموم أو الإطلاق بتلك الخصوصية التي تكفّلها المخصّص، فيكون العالم الذي يجب إكرامه هو العالم الذي لم يتخصّص بخصوصية الفسق، و حينئذ لو كانت تلك الخصوصية مؤدّى الأصل، كما إذا كان مشكوك الفسق حالته السابقة عدم الفسق، كان الأثر مترتّبا على نفس إحراز عدم تلك الخصوصية بالأصل، و كان مؤدّى الأصل هو موضوع الأثر لا بعناية نقيضه، إذ المفروض أنّ الفسق لم يكن ذا أثر و لم يحكم عليه بحكم، و إنّما كان الأثر مترتّبا على نفس عدم الفسق، لأنّه هو القيد الذي تكفّل دليل المخصّص لبيان دخله في مصبّ العموم أو الإطلاق، فالأثر إنّما يترتّب على نفس إحراز عدم فسق زيد، فلو كان عالميّته محرزة بالوجدان يدخل في صغريات ما قلناه من إحراز بعض المركّب</w:t>
      </w:r>
    </w:p>
    <w:p>
      <w:pPr>
        <w:pStyle w:val="BookText"/>
        <w:rPr/>
      </w:pPr>
      <w:r>
        <w:rPr>
          <w:rFonts w:ascii="Amiri" w:hAnsi="Amiri" w:eastAsia="Amiri" w:cs="Amiri"/>
          <w:color w:val="111111"/>
          <w:sz w:val="28"/>
          <w:sz w:val="28"/>
          <w:szCs w:val="28"/>
          <w:rtl w:val="true"/>
          <w:lang w:bidi="ar-SA"/>
        </w:rPr>
        <w:t>بالوجدان و الآخر بالأصل، لأنّ موضوع وجوب الإكرام بعد ورود المخصّص يكون مركّبا من العالم الذي لم يكن فاسقا، فلو أحرز عالمية زيد بالوجدان و عدم فسقه بالأصل ترتّب عليه وجوب الإكرام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ورود المخصّص أو المقيّد على الوجه الثاني، بأن كان قوله لا تكرم الفاسق العالم واردا لبيان حرمة إكرام العالم الفاسق لا لمجرّد عدم وجوبه، و كان استفادة التخصيص أو التقييد لأجل امتناع ورود الحكمين المتضادّين على موضوع واحد، بأن يكون زيد مثلا ممّا يجب إكرامه لكونه عالما، و محرّما إكرامه لكونه فاسقا، فامتناع ذلك يوجب تقييد أو تخصيص الإطلاق و العموم، رجعت حينئذ نتيجة التخصيص و التقييد إلى تنويع مصبّ العموم أو الإطلاق إلى نوعين متقابلين، أحدهما العالم الفاسق الذي يحرم إكرامه، و الآخر نقيض ذلك و هو العالم الغير الفاسق الذي يجب إكرامه، و يكون تخصّص العالم بالخصوصية الوجودية من الفسق دخيلا في حرمة الإكرام، و عدم التخصّص دخيلا في وجوب الإكرام، و قوله لا تكرم العالم الفاسق دالّا على الأول، و هو دخل خصوصية الفسق في حرمة الإكرام بالمطابقة، و دخل عدم الفسق في وجوب الإكرام بالملازمة من باب امتناع توارد الحكمين المتضادّين على موضوع واحد الذي بمعونة ذلك استفدنا التقييد أو التخصيص، و إلّا نفس قوله لا تكرم العالم الفاسق لم يكن مدلوله المطابقي ذلك بل كان مدلوله المطابقي حرمة إكرام الفاسق</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القسم من المخصّص و المقيّد أي الذي يكون واردا لبيان حرمة إكرام الفاسق العالم يتّحد مع القسم الأول و هو ما كان واردا لمحض تقييد و تخصيص مصبّ العموم و الإطلاق من جهة، و يمتاز عنه من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الجهة التي يتّحد معه فهي أنّ الأثر و هو وجوب إكرام من لم يكن فاسقا الذي دلّ عليه دليل المخصّص بالملازمة مترتّب على نفس عدم تلك الخصوصية من الفسق، فإن كان عدم</w:t>
      </w:r>
    </w:p>
    <w:p>
      <w:pPr>
        <w:pStyle w:val="BookText"/>
        <w:rPr/>
      </w:pPr>
      <w:r>
        <w:rPr>
          <w:rFonts w:ascii="Amiri" w:hAnsi="Amiri" w:eastAsia="Amiri" w:cs="Amiri"/>
          <w:color w:val="111111"/>
          <w:sz w:val="28"/>
          <w:sz w:val="28"/>
          <w:szCs w:val="28"/>
          <w:rtl w:val="true"/>
          <w:lang w:bidi="ar-SA"/>
        </w:rPr>
        <w:t>الخصوصية مؤدّى الأصل ترتّب على نفس المؤدّى وجوب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الجهة التي يمتاز عنه فهي أنّ أثر حرمة الإكرام الذي دلّ على ذلك دليل المخصّص بالمطابقة يترتّب على إحراز عدم تلك الخصوصية بعناية نقيضه، إذ الحرمة لم تترتّب على نفس عدم تلك الخصوصية، بل رتّبت على نقيضه و هو الفسق، و على كلّ حال إذا كان عدم تلك الخصوصية مؤدّى الأصل، كما إذا كانت الحالة السابقة لزيد عدم الفسق، فبنفس إحراز عدم تلك الخصوصية بالأصل يترتّب عليه وجوب الإكرام و عدم حرمته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الأثر المترتّب عند عدم إكرام الفاسق العالم من عدم الحرمة، إذا كان دليل المخصّص مثبتا لها، و إن كان يترتّب على انتفاء الجملة و المركّب الذي أخذ في دليل المخصّص موضوعا أو متعلّقا للحكم، كما إذا لم يتحقّق منه إكرام العالم الفاسق بجملته، إلّا أنّه يترتّب أيضا عند انتفاء أحد أجزاء الجملة، لأنّ المركّب ينتفي بانتفاء أحد أجزائه، كما إذا تحقّق منه الإكرام و لكن لم يكن المكرم بالفتح عالما أو فاسقا، و عند انتفاء أحد الأجزاء يصدق أيضا انتفاء الجملة و المركّب</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إذا كان الشكّ في انتفاء الجملة مسبّبا عن الشكّ في انتفاء الجزء، كما إذا أكرم ما هو مشكوك الفسق، فإنّ الشكّ في تحقّق إكرام الفاسق منه بهذه الجملة مسبّب عن الشكّ في فاسقية المكرم بالفتح، فلا محالة يكون الأصل الجاري في طرف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مجرى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حاكما على الأصل الجاري في ناحية المسبّب، و لا يكون الأصل المسبّبي معارضا للأصل السببي عند التخالف، و لا معاضدا له عند التوافق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منشأ الشكّ في صدور الجملة منه و هو إكرام الفاسق العادل مسبّبا عن الشكّ في فاسقية المكرم الذي هو جزء المركّب، و كان فاسقية المكرم مجرى للأصل، بأن كان حالته السابقة الفسق أو عدم الفسق، كان الأصل الجاري في طرف الجزء هو المتّبع، و لا تصل النوبة إلى الأصل</w:t>
      </w:r>
    </w:p>
    <w:p>
      <w:pPr>
        <w:pStyle w:val="BookText"/>
        <w:rPr/>
      </w:pPr>
      <w:r>
        <w:rPr>
          <w:rFonts w:ascii="Amiri" w:hAnsi="Amiri" w:eastAsia="Amiri" w:cs="Amiri"/>
          <w:color w:val="111111"/>
          <w:sz w:val="28"/>
          <w:sz w:val="28"/>
          <w:szCs w:val="28"/>
          <w:rtl w:val="true"/>
          <w:lang w:bidi="ar-SA"/>
        </w:rPr>
        <w:t>الجاري في الجملة، فلو استصحب عدم فاسقية زيد المكرم ترتّب عليه عدم الحرمة، و لا حاجة إلى استصحاب عدم تحقّق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إكرام الفاسق العالم لم يعلم صدوره منه و الأصل عدمه، و كذلك لو استصحب فاسقية زيد ترتّب عليه أثر الحرمة و لا أن يعارضه بأصالة عدم صدور إكرام الفاسق العالم منه، لما عرفت من أنّ الأصل المسبّبي لا يكون معاضدا و لا معارضا للأصل السببي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الجزء مجرى للأصل، كما إذا لم يعلم حالته السابقة من الفسق و عدمه، كان الأصل المسبّبي حينئذ جاريا، و 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صدور إكرام الفاسق العالم منه، لأنّ هذه الجملة مسبوقة بالعدم، و يترتّب عليه حينئذ أثر عدم الحرمة، و أنّه لم يفعل حراما، و لكن لا يترتّب على هذا الأصل إكرام العالم الغير الفاسق الذي دلّ على وجوبه قوله أكرم العالم بعد تخصيصه بقوله لا تكرم الفاسق العالم، فإنّ مجرّد عدم صدور إكرام الفاسق العالم منه لا يثبت أنّه أكرم العالم الغير الفاسق،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الاكتفاء بإكرام مشكوك الفسق تعويلا على هذا الأصل، و لا يسقط به الوجوب الذي تكفّله العام بعد التخصيص و إن ترتّب على هذا الأصل عدم الحرمة، و ذلك واضح في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كان دليل المخصّص مثبتا لحكم من الحرمة على ما تقدّم في القسم الثاني من المخصّص</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كان دليل المخصّص من القسم الأول، و هو ما إذا كان مفاده مجرّد المانعية من دون أن يتكفّل لثبوت حكم على المخصّص، فلا يجري الأصل المسبّبي، و إن لم يكن الأصل السببي جاريا من حيث انتفاء الحالة السابقة للجزء، و ذلك لأنّه لا يترتّب على الأصل المسبّبي و انتفاء الجملة أثر أصلا، لأنّ الفاسق لم يكن محرّم الإكرام حتّى يراد من أصالة انتفاء الجملة ترتّب أثر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يكون الأصل الجاري في الجملة محرزا لإكرام العالم الغير الفاسق الذي تكفّله العام بعد التخصيص حذو ما سمعته في القسم الأول، فلا أثر لجريان الأصل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المخصّص إن كان واردا لمحض إفادة المانعية فلا فائدة في جريان الأصل في الجملة مع عدم جريانه في الأجزاء، و إن كان واردا لإفادة حكم على العنوان الذي أخذ في دليل المخصّص موضوعا للحكم، فالأصل في الجملة عند عدم جريان الأصل في الأجزاء و إن كان جاريا، إلّا أنّه لا يترتّب عليه إلّا انتفاء حكم المخصّص الذي سيق دليل المخصّص لإفادته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يظهر فساد ما قيل في المقام من أنّه عند الصلاة في المشكوك يجري الأصل بالنسبة إلى الجملة، و يقال الأصل عدم صدور الصلاة في غير المأكول، لأنّ الشكّ في صدور الصلاة في غير المأكول و إن كان مسبّبا عن الشكّ في الجزء، و هو الشكّ في كون اللباس من المأكول أو غيره، إلّا أنّه لمّا لم يكن الشكّ في الجزء مجرى للأصل من حيث عدم الحالة السابقة للّباس كان الأصل في الجملة المركب جاريا، و 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صدور الصلاة في غير المأكول، لأنّ صدور الصلاة فيه أمر حادث مسبوق بالعدم، و يترتّب عليه وقوع الصلاة في غير غير 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الفساد هو أنّ الأصل الجاري في الجملة ممّا لا أثر له أصلا، بعد ما كان الدليل الدالّ على النهي عن الصلاة في غير المأكول مسوقا لمحض إفادة المانعية، من دون أن يتكفّل النهي لحكم تحريمي، بأن تكون الصلاة في غير المأكول محرّمة، فيكون أصالة عدم صدور الصلاة في غير المأكول، كأصالة عدم صدور إكرام الفاسق العالم فيما إذا كان قوله لا تكرم العالم الفاسق، مسوقا لمحض إفادة المانعية ممّا لا أثر لها أصلا</w:t>
      </w:r>
      <w:r>
        <w:rPr>
          <w:rFonts w:eastAsia="Amiri" w:cs="Amiri" w:ascii="Amiri" w:hAnsi="Amiri"/>
          <w:color w:val="111111"/>
          <w:sz w:val="28"/>
          <w:szCs w:val="28"/>
          <w:rtl w:val="true"/>
          <w:lang w:bidi="ar-SA"/>
        </w:rPr>
        <w:t>.</w:t>
      </w:r>
      <w:bookmarkStart w:id="388" w:name="pg19820_206783"/>
    </w:p>
    <w:p>
      <w:pPr>
        <w:pStyle w:val="BookText"/>
        <w:rPr/>
      </w:pPr>
      <w:bookmarkEnd w:id="388"/>
      <w:r>
        <w:rPr>
          <w:rFonts w:ascii="Amiri" w:hAnsi="Amiri" w:eastAsia="Amiri" w:cs="Amiri"/>
          <w:color w:val="111111"/>
          <w:sz w:val="28"/>
          <w:sz w:val="28"/>
          <w:szCs w:val="28"/>
          <w:rtl w:val="true"/>
          <w:lang w:bidi="ar-SA"/>
        </w:rPr>
        <w:t>و على تقدير أن يكون النهي عن الصلاة في غير المأكول مثبتا للحرمة، فغاية ما يترتّب على الأصل المذكور هو عدم صدور الحرام منه، لا صدور الصلاة في غير غير المأكول منه، على حذو ما سمعته من ترتّب أثر عدم الحرمة على جريان أصالة عدم صدور إكرام الفاسق العالم منه، إذا كان دليل المخصّص سيق لبيان إفادة حكم على العنوان الذي أخذ موضوعا في دليله، فتأمّل جيّدا فإنّ المطلب و إن كان واضحا إلّا أنّه لمّا كان كتابة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 مشكلة أردنا توضيحها</w:t>
      </w:r>
      <w:r>
        <w:rPr>
          <w:rFonts w:eastAsia="Amiri" w:cs="Amiri" w:ascii="Amiri" w:hAnsi="Amiri"/>
          <w:color w:val="111111"/>
          <w:sz w:val="28"/>
          <w:szCs w:val="28"/>
          <w:rtl w:val="true"/>
          <w:lang w:bidi="ar-SA"/>
        </w:rPr>
        <w:t>.</w:t>
      </w:r>
    </w:p>
    <w:p>
      <w:pPr>
        <w:pStyle w:val="Heading6"/>
        <w:numPr>
          <w:ilvl w:val="5"/>
          <w:numId w:val="1"/>
        </w:numPr>
        <w:rPr/>
      </w:pPr>
      <w:bookmarkStart w:id="389" w:name="__RefHeading___Toc3360250_2314609296"/>
      <w:bookmarkStart w:id="390" w:name="_Toc152"/>
      <w:bookmarkEnd w:id="389"/>
      <w:r>
        <w:rPr>
          <w:rtl w:val="true"/>
        </w:rPr>
        <w:t>الأمر الثالث</w:t>
      </w:r>
      <w:r>
        <w:rPr>
          <w:rtl w:val="true"/>
        </w:rPr>
        <w:t xml:space="preserve">: </w:t>
      </w:r>
      <w:r>
        <w:rPr>
          <w:rtl w:val="true"/>
        </w:rPr>
        <w:t>أنّ تركّب متعلّقات الأحكام أو موضوعاتها يكون تارة من العرض و محلّه</w:t>
      </w:r>
      <w:bookmarkEnd w:id="390"/>
    </w:p>
    <w:p>
      <w:pPr>
        <w:pStyle w:val="Heading6"/>
        <w:numPr>
          <w:ilvl w:val="5"/>
          <w:numId w:val="1"/>
        </w:numPr>
        <w:rPr/>
      </w:pPr>
      <w:bookmarkStart w:id="391" w:name="__RefHeading___Toc3360252_2314609296"/>
      <w:bookmarkStart w:id="392" w:name="_Toc153"/>
      <w:bookmarkEnd w:id="391"/>
      <w:r>
        <w:rPr>
          <w:rtl w:val="true"/>
        </w:rPr>
        <w:t>اشارة</w:t>
      </w:r>
      <w:bookmarkEnd w:id="392"/>
    </w:p>
    <w:p>
      <w:pPr>
        <w:pStyle w:val="BookText"/>
        <w:rPr/>
      </w:pPr>
      <w:r>
        <w:rPr>
          <w:rFonts w:ascii="Amiri" w:hAnsi="Amiri" w:eastAsia="Amiri" w:cs="Amiri"/>
          <w:color w:val="111111"/>
          <w:sz w:val="28"/>
          <w:sz w:val="28"/>
          <w:szCs w:val="28"/>
          <w:rtl w:val="true"/>
          <w:lang w:bidi="ar-SA"/>
        </w:rPr>
        <w:t>، كما إذا كان موضوع التكليف هو زيد مع وصف فسقه، أو كان متعلّق التكليف هو الصلاة مع وصف وقوعها في غير المأكول، بأن يكون التركيب من العرض و المعروض، و اخرى يكون غير ذلك، بأن يكون التركيب من عنوانين متباينين أجنبيّ كلّ منهما من الآخر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أقسامه كثيرة، لأنّه إمّا أن يكون التركيب من جوهريين وجودين أو عدمين أو مختلفين، كما إذا كان الموضوع مركّبا من وجود زيد و وجود عمرو، أو كان مركّبا من وجود زيد و عدم عمرو، أو كان مركّبا من عدم زيد و عدم عمرو، و إمّا أن يكون التركيب من جوهر و عرض قائم بمحلّ آخر، كما إذا كان التركيب من وجود زيد و قيام عمرو، هذا أيضا على أقسامه الثلاثة من كونهما وجوديّين أو عدميّين أو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يكون التركيب من عرضيّين كقيام زيد و قيام عمرو على أقسامه الثلاثة أيضا، و إمّا أن يكون التركيب من عرضيّين قائمين بموضوع واحد كقيام زيد و سواده بأقسامه الثلاثة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جميع هذه الأقسام يكون التركيب من المتباينين، و لا يعقل أن يؤخذ أحد جزأيه نعتا للآخر، بداهة أنّ وجود زيد لا يمكن أن يكون نعتا لوجود عمرو، و كذا عدمه نعتا لعدمه أو لوجوده،</w:t>
      </w:r>
    </w:p>
    <w:p>
      <w:pPr>
        <w:pStyle w:val="BookText"/>
        <w:rPr/>
      </w:pPr>
      <w:r>
        <w:rPr>
          <w:rFonts w:ascii="Amiri" w:hAnsi="Amiri" w:eastAsia="Amiri" w:cs="Amiri"/>
          <w:color w:val="111111"/>
          <w:sz w:val="28"/>
          <w:sz w:val="28"/>
          <w:szCs w:val="28"/>
          <w:rtl w:val="true"/>
          <w:lang w:bidi="ar-SA"/>
        </w:rPr>
        <w:t xml:space="preserve">و كذا لا يمكن أن يكون قيام زيد نعتا لقيام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بالعكس، و 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إنّ في كلّ تركيب لا بدّ من اعتبار وحدة يكون جامعا بين الأجزاء المتباينة، و بدون ذلك لا يعقل التركيب كما لا يخفى، و الوحدة التي تمكن أن تكون جامعا بين المتباينات ليس إلّا الاجتماع في الزمان و وجود كلّ من الجزءين في ظرف وجود الآخر بحيث يجمعهما عمود الزمان، و حينئذ إن كان القيد وجوديّا كان التقييد راجعا إلى العدم المقارن، و كان الأثر مترتّبا على وجود زيد المقارن لوجود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القيد عدميّا كان التقييد راجعا إلى العدم المقارن، و كان الأثر مترتّبا على وجود زيد المقارن لعدم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جميع هذه الأقسام لو كان الموضوع أو المتعلّق هو نفس هذه الأجزاء كان إحراز بعضها بالوجدان و الآخر بالأصل يكفي في ترتّب الأثر، سواء كان الأثر مترتّبا على نفس الوجود أو العدم، أو كان الأثر مترتّبا على نقيض كلّ منهما، حسب ما تقدّم من أنّه لا فرق في ترتّب الأثر بين أن يكون نفس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بالوجدان أو مؤدّى موضوع الأثر أو كان نقيضه موضوعا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 حال في جميع ما كان التركيب من الأجزاء المتباينة التي لا جامع بينها سوى وحدة الزمان كان داخلا في صغرى ما قدّمناه، من كفاية إحراز بعض الأجزاء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الموضوع هو العنوان الملازم أو المنتزع أو المعلول عن تحقّق تلك الأجزاء لما كان لنفس تحقّق تلك الأجزاء حينئذ أثر، و لما كان إحراز بعضها بالوجدان و الآخر بالأصل مجديا إلّا على القول بالأصل المثبت</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الأمثلة التي ذكرها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كالصلاة، و طهارة الفاعل، و الاستيلاء على مال الغير عند عدم الرخصة من الشرع أو المالك، و إسلام الوارث عند حياة مورّثه، كلّها راجعة إلى ما كان الأثر مترتّبا على نفس اجتماع</w:t>
      </w:r>
    </w:p>
    <w:p>
      <w:pPr>
        <w:pStyle w:val="BookText"/>
        <w:rPr/>
      </w:pPr>
      <w:r>
        <w:rPr>
          <w:rFonts w:ascii="Amiri" w:hAnsi="Amiri" w:eastAsia="Amiri" w:cs="Amiri"/>
          <w:color w:val="111111"/>
          <w:sz w:val="28"/>
          <w:sz w:val="28"/>
          <w:szCs w:val="28"/>
          <w:rtl w:val="true"/>
          <w:lang w:bidi="ar-SA"/>
        </w:rPr>
        <w:t xml:space="preserve">الأجزاء في الزمان، من دون أن يكون مترتّبا على العنوان الملازم، فلو أحرزت الصلاة بالوجدان و الطهارة بالأصل ترتّب عليه أثر الصحّة، و كذا لو أحرز الاستيلاء بالوجدان و عدم الرخصة بالأصل ترتّب عليه أثر الضمان، و كذا لو أحرز إسلام الوارث بالوجدان و حياة المورّث بالأصل ترتّب عليه أثر الوارثة، إذا كان إسلام الوارث معلوم التاريخ بحيث لا يكون مجرى للأصل، و لو كان مجهول التاريخ كان الأصلان من الطرفين متعارضين، و المثال الذي ذكره أخيرا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الأوصاف المتوقّفة لزوم العقد على اتّصاف العوضين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أنّ موضوع الأثر هو العنوان الملازم، فلا يكفي إحراز العقد بالوجدان و سلامة العوضين من العيوب بالأصل في ترتّب لزوم العقد، ما لم يحرز وقوع العقد على العوض المتّصف بالسلامة،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إذا كان التركيب من الأجزاء المتباينة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التركيب من العرض و محلّه، ففي عالم التصوّر يمكن أن يلاحظ العرض القائم بمعروضه تارة بما أنّه شي‌ء بحيال ذاته، و يتصوّره بما أنّه معنى من المعاني و شي‌ء من الحوادث، كأن يلاحظ مثلا زيدا و يلاحظ أيضا عدالة زيد بلحاظ مستقلّ من دون أن يأخذه وصفا و نعتا لزيد، بل بما أنّه هو في قبال زيد شي‌ء من الأشياء، و اخرى يلاحظه بما أنّه نعتا قائم بزيد و عارض له و حاصل لموضوعه لا حق به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لاحظه على الوجه الأول لا يصحّ حمله على معروضه، لأنّ العرض بهذا الوجه يكون مبدأ الاشتقاق الذي لا يحمل على الذات، و لحاظ العرض بهذا الوجه هو الذي اصطلح على تسميته بالمحمول المقارن، سواء أخذ وجوده قيدا للموضوع و المتعلّق أو عدمه، فإن أخذ الوجود يكون القيد حينئذ هو الوجود المقارن، و إن أخذ عدمه يكون القيد هو العدم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العرض بهذا الوجه هو الذي يصحّ</w:t>
      </w:r>
    </w:p>
    <w:p>
      <w:pPr>
        <w:pStyle w:val="BookText"/>
        <w:rPr/>
      </w:pPr>
      <w:r>
        <w:rPr>
          <w:rFonts w:ascii="Amiri" w:hAnsi="Amiri" w:eastAsia="Amiri" w:cs="Amiri"/>
          <w:color w:val="111111"/>
          <w:sz w:val="28"/>
          <w:sz w:val="28"/>
          <w:szCs w:val="28"/>
          <w:rtl w:val="true"/>
          <w:lang w:bidi="ar-SA"/>
        </w:rPr>
        <w:t>استصحاب عدمه حتّى مع وجود معروضه، بداهة أنّه لو كان القيد هو عدم عدالة زيد بما أنّه شي‌ء بحيال ذاته أو عدم فسقه فالعرض بهذا الوجه يكون كسائر الحوادث مسبوقا بالعدم، و صحّ أن يقال بعد وجود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عدالة زيد أو فسقه لم يكن و الآن كما كان، و يترتّب حينئذ الأثر، و يكون أيضا من صغريات إحراز بعض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بالأصل، فلو أحرز وجود زيد و لم يحرز وجود عدالته بمعناه الاستقلالي لترتّب الأثر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لاحظه على الوجه الثاني صحّ حمله حينئذ على معروضه، لأنّه يكون حينئذ من المشتقّات التي يصحّ حملها على الذوات،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عادل أو فاسق، و أخذ العرض بهذا الوجه هو الذي جرى اصطلاحهم في تسميته بالعرض النعتي في قبال المحمول المقارن، سواء أيضا أخذ وجوده نعتا أو عدمه، فإن أخذ وجوده نعتا يكون القيد هو وجوده النعتي، و إن أخذ عدمه يكون القيد هو العدم النعتي، و هذا العدم النعتي هو الذي لا يمكن استصحابه بعد وجود معروضه كما سنوضّحه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عالم التصوّر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عليك أنّ في مقام أخذ العرض قيدا لمعروضه لا محيص عن أخذه على الوجه الثاني و هو العرض النعتي، و لا يمكن أخذه على الوجه الأول و هو العرض المقارن لا ثبوتا و لا إثباتا، أمّا عدم إمكانه في مرحلة الثبوت فيتّضح بتمهيد مقدّمتين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استحالة الإهمال النفس الأمري في مقدّمات الأحكام و موضوعاتها بالنسبة إلى الانقسامات المنقسمة هي إليها، بداهة أنّ الغرض لا يتعلّق بمهمل، 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الآمر ما هو متعلّق غرضه أو موضوعه، مثلا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العالم فلا يخلو إمّا أن يكون الغرض قائما بإكرام العالم بالنسبة إلى جميع انقساماته، من كونه فاسقا أو عادلا أو روميّا أو زنجيّا و قائما و قاعدا و كذا بالنسبة</w:t>
      </w:r>
    </w:p>
    <w:p>
      <w:pPr>
        <w:pStyle w:val="BookText"/>
        <w:rPr/>
      </w:pPr>
      <w:r>
        <w:rPr>
          <w:rFonts w:ascii="Amiri" w:hAnsi="Amiri" w:eastAsia="Amiri" w:cs="Amiri"/>
          <w:color w:val="111111"/>
          <w:sz w:val="28"/>
          <w:sz w:val="28"/>
          <w:szCs w:val="28"/>
          <w:rtl w:val="true"/>
          <w:lang w:bidi="ar-SA"/>
        </w:rPr>
        <w:t>إلى الإكرام تعلّق الغرض بوجوده سواء وقع بالإطعام أو الإعطاء أو الضيافة و غير ذلك من الانقسامات، و إمّا أن يكون الغرض قائما به على نحو الخاصّ من فسقه و عدالته و غير ذلك، بحيث لا يتعلّق الغرض به بما أنّه مرسل، بل بما أنّه مقيّد بخصوصيّة، و إن لم تذكر الخصوصية في نفس مصبّ الإطلاق أو العموم بل اعتمد على ذكرها بدليل 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أمر الموضوع أو المتعلّق لا يخلو عن أحد هذين القسمين، و لا يمكن أن يقوم الغرض بما لا يتساوى فيه الانقسامات و لا ما يتساوى الذي هو عبارة أخرى عن الإهمال، و ذلك واضح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أيضا في أنّ إطلاق المتعلّق و الموضوع، أو تقييده بما يقارنه في الزمان، متأخّر في الرتبة عن إطلاقه و تقييده بالنسبة إلى انقسامات نفسه، بداهة أنّ إطلاق العالم أو تقييده بالنسبة إلى ما يقارنه في الزمان، من قيام عمرو و قعود زيد و غير ذلك من المقارنات الزمانية، إنّما هو متأخّر رتبة عن إطلاق أو تقييد العالم بالنسبة إلى انقسامات نفسه من عدالته و فسقه، إذ لا يعقل أخذ العالم بالنسبة إلى عدالته و فسقه مهملا و تقييده أو إطلاقه بما يقارنه في الزمان، فإنّ معنى ذلك يرجع إلى أخذ الموضوع مهملا، و قد عرفت استحالته في المقدّمة الاولى، بل هذه المقدّمة إنّما تكون من صغريات المقدّمة الأولى</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هاتين المقدّمتين يظهر لك انحصار قيدية الخصوصية العرضية لمعروضها في مرحلة الثبوت بالنعتي، و امتناع التقييد بالمقارن، بمعنى أنّه لا بدّ في مقام تأليف موضوع التكليف أو متعلّقه في العرض و محلّه من أخذ العرض بالنسبة إلى معروضه عرضا نعتيّا بالمعنى المتقدّم في العرض النعتي لا مقارنا، و ذلك لأنّه بعد ما امتنع أن يكون الموضوع أو المتعلّق مهملا بالنسبة إلى النعت الوجودي أو العدمي اللاحق من واجديّته لتلك الخصوصية أو فاقديّته لها، بمعنى أنّ العالم أو الإكرام لا يعقل أن يكون مهملا بالنسبة إلى العدالة و الفسق و الضيافة و الإعطاء</w:t>
      </w:r>
    </w:p>
    <w:p>
      <w:pPr>
        <w:pStyle w:val="BookText"/>
        <w:rPr/>
      </w:pPr>
      <w:r>
        <w:rPr>
          <w:rFonts w:ascii="Amiri" w:hAnsi="Amiri" w:eastAsia="Amiri" w:cs="Amiri"/>
          <w:color w:val="111111"/>
          <w:sz w:val="28"/>
          <w:sz w:val="28"/>
          <w:szCs w:val="28"/>
          <w:rtl w:val="true"/>
          <w:lang w:bidi="ar-SA"/>
        </w:rPr>
        <w:t>فإنّ العالم الذي أخذ موضوعا فإمّا ان يؤخذ موضوعا بوصف كونه عادلا، أو بوصف كونه غير فاسق، أو مطلقا، إذ مع عدم أخذه بهذا النحو يكون مهملا، و قد عرفت امتناعه، فحينئذ فإن أخذ في نفس الأمر مقيّدا بالعدالة أو عدم الفسق لزم عدم انقسامه إلى المقارن رأسا، فإنّه بعد ما كان الموضوع هو العالم العادل أو غير الفاسق فلا يبقى محلّ لعدالته المقارن أو عدم فسقه المقارن و لا موضوع لهذا الانقسام، و لا يمكن الإطلاق و التقييد بالنسبة إليه لارتفاع موضوعه، إذ لو قيّد العالم العادل بأن يكون عدالته موجودا و مقارنا له في الزمان يلزم لغويّة هذا التقييد، إذ بعد تقييد العالم بالعدالة لا يعقل انفكاكه عن عدالته المقارنة له في الزمان حتّى يحتاج إلى التقييد، و إذا امتنع تقييده بالوصف الموافق المقارن امتنع إطلاقه أو تقييده بالوصف المضادّ المقارن، للزوم المناقضة بين ذلك التقييد و هذا الإطلاق أو التقييد المضادّ، كما لا يخفى وجهه على المتفطّن، بداهة أنّ بعد تقييد العالم بالعدالة أو عدم الفسق لا يعقل أخذه مطلقا بالنسبة إلى عدالته المقارن له في الزمان أو عدم فسقه كذلك، إذ معنى إطلاقه بالنسبة إلى ذلك هو أنّ العالم العادل يجب إكرامه سواء قارن عدالته في الزمان أو لم يقارن، و هكذا الحال فيما إذا قيّد بالوجود أو العدم المقارن المضادّ لما قيّد به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أنّه ثبوتا لا يمكن أخذ العرض بالنسبة إلى محلّه إلّا على وجه النعتية و التوصيف و الربطية، و لا يمكن أخذه على وجه المقارن، فإذا امتنع الثبوت النفس الأمري إلّا على وجه النعتية فلا محيص من صرف الدليل في مقام الإثبات إلى ذلك لو فرض أنّه ظاهر في المقارن، فكيف إذا كان مجملا أو ظاهرا في النعتية؟</w:t>
      </w:r>
    </w:p>
    <w:p>
      <w:pPr>
        <w:pStyle w:val="BookText"/>
        <w:rPr/>
      </w:pPr>
      <w:r>
        <w:rPr>
          <w:rFonts w:ascii="Amiri" w:hAnsi="Amiri" w:eastAsia="Amiri" w:cs="Amiri"/>
          <w:color w:val="111111"/>
          <w:sz w:val="28"/>
          <w:sz w:val="28"/>
          <w:szCs w:val="28"/>
          <w:rtl w:val="true"/>
          <w:lang w:bidi="ar-SA"/>
        </w:rPr>
        <w:t>و بعد ذلك لا يبقى مجال للتكلّم في مرحلة الإثبات</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مع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إمكان التقييد بالمقارن في مرحلة الثبوت و نفس الأمر، و أغمضنا عن استحالته ففي مقام الإثبات، تكون الأدلّة منطبقة</w:t>
      </w:r>
    </w:p>
    <w:p>
      <w:pPr>
        <w:pStyle w:val="BookText"/>
        <w:rPr/>
      </w:pPr>
      <w:r>
        <w:rPr>
          <w:rFonts w:ascii="Amiri" w:hAnsi="Amiri" w:eastAsia="Amiri" w:cs="Amiri"/>
          <w:color w:val="111111"/>
          <w:sz w:val="28"/>
          <w:sz w:val="28"/>
          <w:szCs w:val="28"/>
          <w:rtl w:val="true"/>
          <w:lang w:bidi="ar-SA"/>
        </w:rPr>
        <w:t>على التقييد بالنعتي لا المقارن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ذلك هو أنّه لا إشكال في أنّ مفاد الدليل لو كان من أول الأمر مركّبا توصيفيا، كقوله أكرم العلماء العدول، أو قوله أكرم العالم الغير الفاسق، فهو ظاهر في كون الوجود و العدم وجودا و عدما نعتيّا لا مقارنا، بداهة ظهور قوله أكرم العالم الغير الفاسق في كون عدم الفسق أخذ قيدا للعالم على وجه النعتية، و من هنا لم يستشكل أحد في ظهور المخصّص المتّصل في النعتية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المخصّص من قبيل الاستثناء أو المنفصل فهو الذي وقع محلّا للكلام في استفادة النعتية أو المقارنة منه، و لكن لا محيص عن حمل الاستثناء أو المنفصل في النعتية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 دليل المخصّص مجملا، كما إذا قام إجماع على اعتبار عدم فسق العالم في وجوب إكرامه، و لم يكن له إطلاق في أخذه على وجه النعتية أو المقارنة، بل كان لمجرّد الإفادة على دخل الخصوصية من العدالة أو عدم الفسق في معروض الحكم، فلو كان دليل المخصّص مجملا فغايته أنّه يدور الأمر حينئذ بين المتباينين، إذ أخذ الخصوصية على وجه النعتية مباين لأخذه على وجه المقارنة، من دون أن يكون بينهما جامع حتّى يكون من باب دوران الأمر بين الأقل و الأكثر، بل عند إجمال دليل القيد يتردّد القيد بين المتباينين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الغضّ عن أنّه ثبوتا لا محيص عن حمل القيدية على النعتية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عند دوران الأمر بين المتباينين لا جدوى لإحراز العدم أو الوجود المقارن بالأصل مع عدم إحراز النعتية منهما، إذ انتفاء العدم أو الوجود المقارن و إن كان يلازم واقعا انتفاء النعتية أيضا، بداهة أنّه مع عدم مقارن الفسق لزيد يكون زيد غير فاسق، إلّا أنّه لا جدوى للأصل الجاري في الملزوم لإحراز لازمة إلّا على القول بالأصل المثبت، فعند إجمال الدليل لا بدّ من إحراز كلّ من النعتية و المقارنة، و لا يكفي</w:t>
      </w:r>
    </w:p>
    <w:p>
      <w:pPr>
        <w:pStyle w:val="BookText"/>
        <w:rPr/>
      </w:pPr>
      <w:r>
        <w:rPr>
          <w:rFonts w:ascii="Amiri" w:hAnsi="Amiri" w:eastAsia="Amiri" w:cs="Amiri"/>
          <w:color w:val="111111"/>
          <w:sz w:val="28"/>
          <w:sz w:val="28"/>
          <w:szCs w:val="28"/>
          <w:rtl w:val="true"/>
          <w:lang w:bidi="ar-SA"/>
        </w:rPr>
        <w:t>إحراز المقارنة فقط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دليل القيد من قبيل الاستثناء أو المنفصل، كما هو الغالب في التخصيصات التي بأيدينا، فلا محيص أيضا من حملها على النعتية، و ذلك لأنّه لا إشكال في استفادة التباين الكلّي بين ما هو الموضوع للكبرى الكلّية المستفادة من الإطلاق أو العموم، و بين ما أخرجه المخصّص عن تلك الكلّية بأحد الوجهين المتقدّمين، من أنّ التخصيص تارة يرد لمجرّد إفادة المانعية، أو لبيان حكم آخر، و على أيّ حال الموضوع الذي أخذ في العموم بعد التخصيص يكون مباينا للموضوع الذي أخذ في الخاصّ تباينا كلّيا، و إلّا ما فرض كونه مخصّصا لم يكن بمخصّص، و مع فرض كونه مخصّصا لا محيص في ارتفاع المناقضة بين حكم العام و المخصّص من تباين الموضوعين، و التباين الكلّي لا يكون إلّا بتنويع ما أخذ مصبّا للعموم إلى نوعين أحدهما ما أخرجه المخصّص و هو العالم الفاسق، و الآخر قسيمه و هو العالم الغير الفاسق، من دون أن يكون ثالث بين النوعين، و حينئذ يكون حكم العام أو المطلق واردا على ما هو قسيم ما أخرجه المخصّص، و هذا المقدار ممّا لا إشكال فيه، إذ معنى التخصيص و التقييد ذلك، و إذا ضممت هذه المقدّمة إلى ما تقدّم من مغايرة الانقسام اللاحق لمصبّ العام و المطلق من جهة العدم و الوجود المحمولي المقارن للانقسام اللاحق له من جهة العدم و الوجود الربطي النعتي، لما عرفت من أنّ الوجود و العدم المقارن مغاير للنعتي منهما، و حينئذ يكون العدم المقارن مباينا للوجود المقارن، كما أنّ العدم النعتي مغاير أو مباين للوجود النعتي، فالمقابل لكلّ من المقارن و النعتي هو ما يقابله بمعنى مقابلة المقارن من الوجود بالمقارن من العدم و بالعكس، و مقابلة النعتي منه بالنعتي من العدم و بالعكس، و ليس مقابل العدم النعتي الوجود المقارن إلّا بالملازمة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المراد من قول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بداهة أنّ</w:t>
      </w:r>
    </w:p>
    <w:p>
      <w:pPr>
        <w:pStyle w:val="BookText"/>
        <w:rPr/>
      </w:pPr>
      <w:r>
        <w:rPr>
          <w:rFonts w:ascii="Amiri" w:hAnsi="Amiri" w:eastAsia="Amiri" w:cs="Amiri"/>
          <w:color w:val="111111"/>
          <w:sz w:val="28"/>
          <w:sz w:val="28"/>
          <w:szCs w:val="28"/>
          <w:rtl w:val="true"/>
          <w:lang w:bidi="ar-SA"/>
        </w:rPr>
        <w:t>المقابلة بينهما بكلّ واحد من الاعتبارين إنّما هي مع ما يقابله بذلك الاعتبار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مراده من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العدم الربطي إنّما يقابل و يباين الوجود الربطي لا الوجود المقارن، كما أنّ الوجود المقارن إنّما يباين العدم المقارن لا العدم الربطي</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عرفت ذلك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إشكال في أنّ ما تكفّله المخصّص بمدلوله المطابقي إنّما هو نفي الحكم الوارد على العام عن المتخصّص بالخصوصية الوجودية التي تكفّلها دليل المخصّص من استثناء أو منفصل، مثلا قوله إلّا الفاسق، أو لا تكرم الفاسق العالم، عقيب قوله أكرم العالم قد سيق لبيان إفادة أنّ الخصوصية الوجودية الربطية من فسق العالم تكون مانعة عن وجوب إكرامه، و من المعلوم أنّ الخصوصية الوجودية قد أخذت على وجه النعتية في دليل المخصّص لا المقارنة، فإنّ قوله لا تكرم العالم الفاسق كقوله أكرم العالم العادل الظاهر في أخذ الخصوصية على وجه الربطية و النعتية، و من هنا لم يقع خلاف في استفادة النعتية من المخصّص المتّصل، فإذا كانت الخصوصية الوجودية التي تكفّلها دليل المخصّص أخذت على وجه الربطية فلا محيص من أخذ ما يقابلها و يباينها من العدم الربطي و النعتي في مصبّ العموم و الإطلاق، لما عرفت من أنّ مصبّ العام بعد التخصيص و التنويع يكون مباينا كلّيا مع ما أخرجه المخصّص، و التباين الكلّي لا يحصل بينهما إلّا بذلك، أي أخذ ما يقابل و يباين الخصوصية الوجودية التي تكفّل لبيان مانعيّتها دليل المخصّص في مصبّ العموم، فإن أخذت الخصوصية فيه على وجه المقارن فلا بدّ من أخذ العدم المقارن في مصبّ العموم، و إن أخذت الخصوصية الوجودية فيه على وجه النعتية فلا بدّ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يقابله من العدم النعتي في مصبّه، و حيث إنّ الخصوصية الوجودية إنّما أخذت في دليل المخصّص على وجه النعتية، فيكون القيد المأخوذ في مصبّ العموم هو العدم النعتي لا غير،</w:t>
      </w:r>
    </w:p>
    <w:p>
      <w:pPr>
        <w:pStyle w:val="BookText"/>
        <w:rPr/>
      </w:pPr>
      <w:r>
        <w:rPr>
          <w:rFonts w:ascii="Amiri" w:hAnsi="Amiri" w:eastAsia="Amiri" w:cs="Amiri"/>
          <w:color w:val="111111"/>
          <w:sz w:val="28"/>
          <w:sz w:val="28"/>
          <w:szCs w:val="28"/>
          <w:rtl w:val="true"/>
          <w:lang w:bidi="ar-SA"/>
        </w:rPr>
        <w:t>فالباقي تحت العموم بعد التخصيص إنّما هو العالم الغير الفاسق على جهة الربطية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قد عرفت بما لا مزيد عليه من أنّ التركيب إذا كان من العرض و محلّه فلا بدّ من أخذ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وجوديّا كان أو عدميّا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يكون نعتا لمعروضه لا مقارنا له، و استحالة أخذه على وجه المقارنة ثبوتا و إثباتا، فقد ظهر لك فساد ما قيل من أنّ العام المخصّص بالمتّصل ليس كالعام المخصّص بالاستثناء أو المنفصل، فإنّ المخصّص المتّصل يوجب معنونية العام بعنوان خاص، كالعدالة في قوله أكرم العالم العادل، و أمّا العام المخصّص بالاستثناء أو المنفصل فليس معنونا بعنوان خاص، بل بكلّ عنوان لم يكن ذلك بعنوان الخاص، و حينئذ يكفي في ترتّب الأثر إحراز أيّ عنوان لم يكن ذلك بعنوان الخاص، فالشرط الذي لم يوجد مخالفته للكتاب، و المرأة التي لم يوجد انتسابها إلى قريش، مصداق للعام و ليس بمصداق للخارج قطعا، فحينئذ يكون من الباقي تحت العام بعد التخصيص، لما عرفت من أنّ الباقي تحت العام لم يكن معنونا بعنوان خاص، حتّى لا بدّ من إحرازه في ترتّب الأثر، كما في المخصّص المتّصل، حيث يوجب معنونية العام بعنوان الخاص، بل كلّ عنوان بعد باق تحت العام غير عنوان الخاص، و لا إشكال أنّ عنوان الخاص أمر حادث مسبوق بالعدم، فيجري الأصل فيه و يدخل في صغريات إحراز بعض الموضوع بالوجدان و الآخر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ما أفيد في المقام، و لكن لا يخفى عليك ما فيه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المسلّم من دعوى عدم معنونية العام بالمنفصل و الاستثناء هو أنّ المنفصل أو الاستثناء لا يوجب إجمال العام عند تردّد المخصّص بين الأقل و الأكثر، و هذا بخلاف المتّصل، فإنّه يسري إجمال المخصّص إلى العام كما بيّن في محلّه، و أمّا إذا كان الخاص مبيّن المفهوم من دون إجمال فيه، فلا محيص من تنويعه العام إلى نوعين متباينين، و سقوط أصالة العموم، و إخراج العام عن كونه كبرى كلّية</w:t>
      </w:r>
    </w:p>
    <w:p>
      <w:pPr>
        <w:pStyle w:val="BookText"/>
        <w:rPr/>
      </w:pPr>
      <w:r>
        <w:rPr>
          <w:rFonts w:ascii="Amiri" w:hAnsi="Amiri" w:eastAsia="Amiri" w:cs="Amiri"/>
          <w:color w:val="111111"/>
          <w:sz w:val="28"/>
          <w:sz w:val="28"/>
          <w:szCs w:val="28"/>
          <w:rtl w:val="true"/>
          <w:lang w:bidi="ar-SA"/>
        </w:rPr>
        <w:t>و تمام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عمومه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كونه كالجزء منه، و هذا المقدار لا محيص عنه سواء في ذلك المخصّص المتّصل أو المنفصل، فإنّ تنويع العام إلى نوعين هو معنى التخصيص و التقييد الذي به يرتفع التناقض و التنافي بين عموم العام و إطلاق المطلق و المخصّص، إذ مع عدم تنويع العام إلى ذلك يكون التنافي بعد باق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معنونية العام إلى نقيض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 بالتخصيص، و جعل العالم مثلا هو العالم الغير الفاسق هو عين التخصيص و التقييد، و لو لا ذلك لما كان تخصيصا و تقييدا، و لا ارتفعت المناقضة و المضادّة من البين، و لكان اللازم هو التمسّك بالعموم في الشبهات المصداقية، لأنّه إذا لم يكن قوله لا تكرم الفاسق العالم معنونا للعام و موجبا لتنويعه بما عدا الفاسق، و كان خروج الفاسق عنه كموت بعض الأفراد، فكما أنّ موت بعض أفراد العامة لا يوجب معنونيّة العام، و كانت أصالة العموم بالنسبة إلى البقية بعد باقية على حالها كما إذا لم يكن هناك موت، فكذلك التخصيص بالفاسق بناء على عدم تنويعه العام يكون كالموت، و لا يوجب سقوط أصالة العموم في الأفراد المشكوكة، بل غاية ما يستفاد من التخصيص هو خروج الفاسق، فالفرد المشكوك مع عدم العلم بكونه من أفراد المخرج يكون باقيا تحت العموم بمقتضى أصالة العموم، فكان اللازم هو جواز التمسّك بالعموم في الشبهات المصداقية،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 به من قال بهذه المقالة، فتنويع العام إلى نوعين متباينين من لوازم الغير المنفكّ عن التخصيص، سواء في ذلك المخصّص المتّصل أو المنفصل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ذلك لا يكفي في ترتّب الأثر مجرّد إحراز عدم عنوان الخاص ما لم يحرز عنوان العام الثابت له بعد التخصيص، و لا يكفي جريان الأصل في عدم عنوان الخاص لترتب الأثر إلّا على القول بالأصل المثبت، و لا يكون من صغريات إحراز</w:t>
      </w:r>
    </w:p>
    <w:p>
      <w:pPr>
        <w:pStyle w:val="BookText"/>
        <w:rPr/>
      </w:pPr>
      <w:r>
        <w:rPr>
          <w:rFonts w:ascii="Amiri" w:hAnsi="Amiri" w:eastAsia="Amiri" w:cs="Amiri"/>
          <w:color w:val="111111"/>
          <w:sz w:val="28"/>
          <w:sz w:val="28"/>
          <w:szCs w:val="28"/>
          <w:rtl w:val="true"/>
          <w:lang w:bidi="ar-SA"/>
        </w:rPr>
        <w:t>بعض المركّب بالوجدان و الآخر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في ترتّب الأثر إحراز أيّ عنوان لم يكن ذلك بعنوان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يستقيم، فلأنّ الذي يحتاج إليه في ترتيب الأثر هو إحراز العنوان الذي أخذ في مصبّ العموم بعد تخصيصه بالخارج، فإنّ هذا هو الذي تعلّق به التكليف أو الوضع، و إحراز سائر العناوين غير ذلك العنوان الذي تعلّق به التكليف أو الوضع ممّا لا 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يكون من ضمّ الحجر في جنب الإنسان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يكون المراد أنّ إحراز أيّ عنوان لم يكن ذلك بعنوان الخاص يكون ملازما لإحراز عنوان العام بعد التخصيص، و هذا و إن كان ثبوتا كذلك، إلّا أنّ إحراز عنوان العام بإحراز أيّ عنوان بالأصل يكون من المثبت الذي لا يقول هو به و توهّم أنّ العام لم يكن معنونا بعنوان حتى يحتاج إلى إحرازه، بل بكلّ عنوان غاية الأمر أنّ المخصّص أخرج عنوانا خاصّا، و بقيت البواقي على ما كان عليه قبل التخصيص كما إذا مات بعض الأفراد، و على ذلك يبتني إحراز أيّ عنوان لم يكن ذلك بعنوان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ففساده غنيّ عن البيان، بداهة أنّ تعنون العام بكلّ عنوان ممّا لا يمكن، للزوم التناقض و التنافي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لازم ذلك هو أنّ شمول العام لما ينطبق من مصاديقه على سائر العناوين إنّما يكون بواسطة انطباق ذلك العنوان عليه، مثلا شمول أكرم العلماء للرومي يكون بواسطة انطباق عنوان الرومي عليه، و شموله للزنجي بواسطة انطباق الزنجي عليه و هكذا، و هذا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 الفساد، بل يكون شمول العام للرومي إنّما يكون بواسطة انطباق عنوان العام عليه، من دون أن يكون للرومية دخل في ذلك و لا الزنجية، فدعوى معنونية العام بكلّ عنوان و كفاية إحراز أيّ عنوان ممّا لا يستقيم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 العام غير معنون بعنوان و يتساوى وجود كلّ عنوان و عدمه بعد إحراز ما أخذ في لسان الدليل عنوان من العالم مثلا، فالذي يحتاج إليه هو إحراز عنوان</w:t>
      </w:r>
    </w:p>
    <w:p>
      <w:pPr>
        <w:pStyle w:val="BookText"/>
        <w:rPr/>
      </w:pPr>
      <w:r>
        <w:rPr>
          <w:rFonts w:ascii="Amiri" w:hAnsi="Amiri" w:eastAsia="Amiri" w:cs="Amiri"/>
          <w:color w:val="111111"/>
          <w:sz w:val="28"/>
          <w:sz w:val="28"/>
          <w:szCs w:val="28"/>
          <w:rtl w:val="true"/>
          <w:lang w:bidi="ar-SA"/>
        </w:rPr>
        <w:t>العام بعد التخصيص، من دون حاجة إلى إحراز سائر العناوين من الرومية و الزنجية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أخذ في مصبّ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ورود المخصّص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يتساوى فيه وجود كلّ عنوان مع عدمه، و لم يكن معنونا بعنوان أصلا الذي هو معنى الإرسال و الإطلاق، و كان مصبّ العموم هو بنفسه كبرى كلّية و هو معنى أصالة العموم و الإطلاق، و بعد ورود التخصيص يخرج مصبّ العموم عن هذا التساوي بالنسبة إلى خصوص ما أخرجه المخصّص، و تكون الكبرى الكلّية ما عدا الخاص و تدور مدار نقيضه، و لكن بالنسبة إلى سائر العناوين بعد باق على حاله من التساوي و عدم المدخلية، و حينئذ يكون اللازم هو إحراز نقيض الخارج، و لا يكفي إحراز أيّ عنوان بعد ما كان ذلك العنوان المحرز ممّا لا دخل له في مصبّ العموم، و كان وجوده و عدمه سيّان،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 المخصّص بالمنفصل يكون معنونا بكلّ عنوان، و يكفي في ترتّب الأثر إحراز أيّ من العنوان لم يكن ذلك بعنوان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يستقيم، بل لا بدّ من إحراز نقيض الخارج الذي يكون هو الموضوع للأثر بعد التخصيص، فتأمّل جيّدا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ما في ذيل رواية محمّد بن إسماعيل </w:t>
      </w:r>
      <w:r>
        <w:rPr>
          <w:rStyle w:val="FootnoteAnchor"/>
          <w:rtl w:val="true"/>
        </w:rPr>
        <w:footnoteReference w:id="439"/>
      </w:r>
      <w:r>
        <w:rPr>
          <w:rFonts w:ascii="Amiri" w:hAnsi="Amiri" w:eastAsia="Amiri" w:cs="Amiri"/>
          <w:color w:val="111111"/>
          <w:sz w:val="28"/>
          <w:sz w:val="28"/>
          <w:szCs w:val="28"/>
          <w:rtl w:val="true"/>
          <w:lang w:bidi="ar-SA"/>
        </w:rPr>
        <w:t xml:space="preserve">من التعليل في قوّة التصريح بأنّ غير المسوخ أيضا لا يجوز الصلاة فيه، نعم دلالته على المنع بالنسبة إلى جميع أفراد غير المسوخ إنّما يكون بالإطلاق، و تخصيص مثل هذا الإطلاق المؤيّد بإطلاقات أدلّة الباب و فتاوى الأصحاب بخصوص ما إذا كان الحيوان آكل اللحم بعيد غايته، مع ما عرفت من أنّ دلالة التعليل في رواية ابن أبي حمزة </w:t>
      </w:r>
      <w:r>
        <w:rPr>
          <w:rStyle w:val="FootnoteAnchor"/>
          <w:rtl w:val="true"/>
        </w:rPr>
        <w:footnoteReference w:id="440"/>
      </w:r>
      <w:r>
        <w:rPr>
          <w:rFonts w:ascii="Amiri" w:hAnsi="Amiri" w:eastAsia="Amiri" w:cs="Amiri"/>
          <w:color w:val="111111"/>
          <w:sz w:val="28"/>
          <w:sz w:val="28"/>
          <w:szCs w:val="28"/>
          <w:rtl w:val="true"/>
          <w:lang w:bidi="ar-SA"/>
        </w:rPr>
        <w:t>على الجواز فيما</w:t>
      </w:r>
      <w:bookmarkStart w:id="393" w:name="pg19820_206796"/>
    </w:p>
    <w:p>
      <w:pPr>
        <w:pStyle w:val="BookText"/>
        <w:rPr/>
      </w:pPr>
      <w:bookmarkEnd w:id="393"/>
      <w:r>
        <w:rPr>
          <w:rFonts w:ascii="Amiri" w:hAnsi="Amiri" w:eastAsia="Amiri" w:cs="Amiri"/>
          <w:color w:val="111111"/>
          <w:sz w:val="28"/>
          <w:sz w:val="28"/>
          <w:szCs w:val="28"/>
          <w:rtl w:val="true"/>
          <w:lang w:bidi="ar-SA"/>
        </w:rPr>
        <w:t xml:space="preserve">إذا لم يكن آكل اللحم إنّما هو لأجل دلالته على الانحصار المستفاد من مقدّمات الحكمة، و يكفي في عدم جريان مقدّمات الحكمة و عدم الانحصار إطلاق ما في رواية محمّد بن إسماعيل </w:t>
      </w:r>
      <w:r>
        <w:rPr>
          <w:rStyle w:val="FootnoteAnchor"/>
          <w:rtl w:val="true"/>
        </w:rPr>
        <w:footnoteReference w:id="441"/>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فالظاهر ثبوت الملازمة بين حرمة الأكل و فساد الصلاة كما عليه المعظم، فتكون هي الأصل في المسألة إلّا أن يقوم دليل بالخصوص على خلاف ذلك، كما في السنجاب و الخزّ حيث قام الدليل على جواز الصلاة فيهما بلا معارض كما عليه المعظم أيضا، و فيما عدا ذلك فهو بعد باق على الأصل في المسألة من عدم الجواز، و قيام الدليل على الجواز بالنسبة إلى بعض الأفراد مثل الفنك و السمور فهو معارض بمثله من عدم الجواز، و على تقدير عدم المعارض فلا بدّ من حمله على التقية مع إعراض الأصحاب عنه، لأنّ الجواز في غير المأكول هو مذهب العامّة، فتأمّل جيّدا</w:t>
      </w:r>
      <w:r>
        <w:rPr>
          <w:rFonts w:eastAsia="Amiri" w:cs="Amiri" w:ascii="Amiri" w:hAnsi="Amiri"/>
          <w:color w:val="111111"/>
          <w:sz w:val="28"/>
          <w:szCs w:val="28"/>
          <w:rtl w:val="true"/>
          <w:lang w:bidi="ar-SA"/>
        </w:rPr>
        <w:t>.</w:t>
      </w:r>
    </w:p>
    <w:p>
      <w:pPr>
        <w:pStyle w:val="Heading6"/>
        <w:numPr>
          <w:ilvl w:val="5"/>
          <w:numId w:val="1"/>
        </w:numPr>
        <w:rPr/>
      </w:pPr>
      <w:bookmarkStart w:id="394" w:name="__RefHeading___Toc3360254_2314609296"/>
      <w:bookmarkStart w:id="395" w:name="_Toc154"/>
      <w:bookmarkEnd w:id="394"/>
      <w:r>
        <w:rPr>
          <w:rtl w:val="true"/>
        </w:rPr>
        <w:t>تنبيه</w:t>
      </w:r>
      <w:r>
        <w:rPr>
          <w:rtl w:val="true"/>
        </w:rPr>
        <w:t>:</w:t>
      </w:r>
      <w:bookmarkEnd w:id="395"/>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الخزّ الذي كان معمولا أخذ اللباس منه في زمن الأئمة عليهم السّلام غير الخزّ المعروف في هذا الزمان، فإنّ الذي يظهر من بعض الأخبار و التواريخ أنّ الألبسة الخزّية التي كانت في ذلك الزمان كانت تعمل من وبر الخزّ، و كان وبره أمرا نفيسا غالي القيمة، و هو في منتهى اللطافة، و كان ينسج من وبره الأقمشة كالعمامة و القباء و غير ذلك، و هذا الخزّ المعروف في هذا الزمان غير قابل لأن ينسج من وبره شي‌ء، و عليه لا يلحقه حكم الخزّ، بل هو شي‌ء آخر يلحق بالمشتبه، فإن جوّزنا الصلاة في المشتبه فهو، و لكن بعد إحراز</w:t>
      </w:r>
    </w:p>
    <w:p>
      <w:pPr>
        <w:pStyle w:val="BookText"/>
        <w:rPr/>
      </w:pPr>
      <w:r>
        <w:rPr>
          <w:rFonts w:ascii="Amiri" w:hAnsi="Amiri" w:eastAsia="Amiri" w:cs="Amiri"/>
          <w:color w:val="111111"/>
          <w:sz w:val="28"/>
          <w:sz w:val="28"/>
          <w:szCs w:val="28"/>
          <w:rtl w:val="true"/>
          <w:lang w:bidi="ar-SA"/>
        </w:rPr>
        <w:t>تذكيته إن كان ممّا له نفس سائلة، و إن لم نجوّز الصلاة في المشتبه كانت الصلاة فيه فاسدة،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يأتي لبيان حكم الخزّ و السنجاب مزيد 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بين الأصحاب اعتبار الإباحة في لباس المصلّي، و قد ادّعي الإجماع على ذلك، خصوصا الساتر منه حيث تكرّر نقل الإجماع على بطلان الصلاة في الساتر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لا خصوصية للساتر بل حاله في ذلك حال سائر اللباس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 الستر حيث كان مأمورا به في الصلاة و شرطا لصحّتها، و ذلك لا يجامع كونه منهيّا عنه لغصبية ما يستر به، فلا بدّ من فساد الصلاة عند التستّر بالمغصوب، إمّا لاندراجه في باب النهي عن العبادة و لو لشرطها، و إمّا لاندراجه في باب اجتماع الأمر و النهي مع غلبة جانب النهي، كما هو الشأن في جميع موارد اجتماع الأمر و النهي، حيث يقدّم جانب النهي بناء على الامتناع، لأنّ إطلاق النهي يكون شموليا، و إطلاق الأمر بدليا، و كلّما دار الأمر بين الإطلاق الشمولي و الإطلاق البدلي فالإطلاق الشمولي مقدّم، كما أوضحناه في محلّه، ففساده غنىّ عن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هو الواجب و الشرط في الصلاة هو الستر بمعناه الاسمي المصدري، و هو الإضافة اللاحقة للصلاة من جهة الستر، و الأثر الحاصل من التستّر و هو كون الشخص مستورا، و ما هو المنهي عنه هو الستر بمعناه المصدري، و هو التستّر و اللبس الذي يتحقّق الغصب به، فلا يندرج التستّر بالمغصوب لا في باب النهي عن العبادة، و لا في باب اجتماع الأمر و النهي، لأنّ النهي تعلّق بأمر خارج عمّا هو الشرط في الصلاة، فلا الشرط منهيّ عنه، و لا هو متّحد مع المنهيّ عنه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سلّمنا أنّ ما هو الشرط في الصلاة هو الذي تعلّق به النهي، أو اتّحد مع المنهيّ عنه، و لكن ليس كلّ شرط تعلّق النهي به إمّا لنفسه و إمّا لاتّحاده مع المنهيّ عنه يوجب فساد الصلاة، بل ذلك مقصور بالشرط العبادي الذي يعتبر فيه قصد التقرّب و الامتثال، كالطهارات الثلاث مثلا، و أمّا الشروط</w:t>
      </w:r>
    </w:p>
    <w:p>
      <w:pPr>
        <w:pStyle w:val="BookText"/>
        <w:rPr/>
      </w:pPr>
      <w:r>
        <w:rPr>
          <w:rFonts w:ascii="Amiri" w:hAnsi="Amiri" w:eastAsia="Amiri" w:cs="Amiri"/>
          <w:color w:val="111111"/>
          <w:sz w:val="28"/>
          <w:sz w:val="28"/>
          <w:szCs w:val="28"/>
          <w:rtl w:val="true"/>
          <w:lang w:bidi="ar-SA"/>
        </w:rPr>
        <w:t>التوصّلية التي لا يعتبر فيها ذلك فتعلّق النهي بها و وقوعها على صفة التحريم لا توجب فساد العبادة المشروطة بها، غايته أنّه فعل محرّم في الصلاة مع اشتمال الصلاة على شرطها من التستّر مثلا، فلا موجب لفساد الصلاة، و لا إشكال أنّ شرطية الستر ليس من الشروط التي يعتبر فيها قصد الامتثال، بل إنّما هو من الشروط التوصّلية، و لذا يكتفي به مع وقوعه عن غير قصد و بلا نيّة، فمجرّد كون الستر شرطا في الصلاة لا يوجب له خصوصية بها يمتاز عن سائر اللباس، فينبغي عقد البحث في كلّي اللباس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ليس في المقام نصّ بالخصوص يدلّ على اعتبار الإباحة في لباس المصلّي، و ما ورد في بعض الأخبار من وصية عليّ عليه السّلام لكميل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فيما تصلّي و على ما تصلّي إن لم يكن من وجهه و حلّه فلا قبول </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دلالة فيه على ذلك، لعدم ظهور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الفقهي، حتّى يكون عدم القبول مستتبعا للإعادة و القضاء، بل هو محمول على الحكم الأخلاقي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ليس فيما بأيدينا من الأدلّة ما يدلّ على اعتبار الإباحة في لباس المصلّي، فلا بدّ من ملاحظة ما تقتضيه القاعدة، و ليس لنا في المقام قاعدة تقتضي ذلك سوى مسألة اجتماع الأمر و النهي، فإن أمكننا إدراج المقام في باب اجتماع الأمر و النهي بالنسبة إلى أجزاء الصلاة، بأن يتّحد الجزء الصلاتي مع التصرّف في المغصوب فهو، و إلّا كان مقتضى القاعدة عدم اشتراط اللّباس بذلك، و إن ادّعي عليه الإجماع، لكنّ الإجماع موهون بنقل الخلاف</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يقتضيه النظر هو إمكان إدراج المسألة في باب اجتماع الأمر و النهي بالنسبة إلى بعض أجزاء الصلاة، و هو الجزء الركوعي و الجزء السجودي بيان ذلك</w:t>
      </w:r>
    </w:p>
    <w:p>
      <w:pPr>
        <w:pStyle w:val="BookText"/>
        <w:rPr/>
      </w:pPr>
      <w:r>
        <w:rPr>
          <w:rFonts w:ascii="Amiri" w:hAnsi="Amiri" w:eastAsia="Amiri" w:cs="Amiri"/>
          <w:color w:val="111111"/>
          <w:sz w:val="28"/>
          <w:sz w:val="28"/>
          <w:szCs w:val="28"/>
          <w:rtl w:val="true"/>
          <w:lang w:bidi="ar-SA"/>
        </w:rPr>
        <w:t>هو أنّه 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البناء على ركنية القيام المتّصل بالركوع الذي معناه أن يكون الركوع عن 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الهويّ من القيام إلى الركوع يكون من أجزاء الركوع، و يكون الركوع حينئذ من مبدأ الانحناء إلى أن يصل إلى حدّ الراكع، لا أنّ الركوع عبارة عن نفس الهيئة و يكون الهويّ مقدّمة وجودية له، فيكون الهويّ و الانحناء خارجا عن أفعال الصلاة، كما قال به العلامة الطباطبائي </w:t>
      </w:r>
      <w:r>
        <w:rPr>
          <w:rStyle w:val="FootnoteAnchor"/>
          <w:rtl w:val="true"/>
        </w:rPr>
        <w:footnoteReference w:id="443"/>
      </w:r>
      <w:r>
        <w:rPr>
          <w:rFonts w:ascii="Amiri" w:hAnsi="Amiri" w:eastAsia="Amiri" w:cs="Amiri"/>
          <w:color w:val="111111"/>
          <w:sz w:val="28"/>
          <w:sz w:val="28"/>
          <w:szCs w:val="28"/>
          <w:rtl w:val="true"/>
          <w:lang w:bidi="ar-SA"/>
        </w:rPr>
        <w:t xml:space="preserve">في منظومته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الهويّ فيهما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الالتزام بذلك ينافي القول بركنية القيام المتّصل بالركوع، إذ معنى ركنية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الركوع عن قيام، و ذلك لا يجتمع مع مقدّمية الهويّ، إذ لازم القول بمقدّمية الهويّ هو أنّه لا يعتبر الهويّ بقصد الركوع، بل لو هوى لا بقصد الركوع فلمّا وصل إلى حدّ الركوع قصد الركوع لكان ذلك مجزيا، و هذا المعنى ينافي اعتبار كون الركوع عن قيام الذي هو معنى ركنية القيام المتّصل بالركوع، فإنّ كون الركوع عن قيام هو أنّه من مبدأ تقوسه و انحنائه مشتغلا بالركوع إلى أن يصل إلى حدّ الراكع</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محيص بعد الالتزام بركنية القيام المتّصل بالركوع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محيص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بأنّ الهويّ من القيام إلى الركوع من أفعال الصلاة، و ليس مقدّمة خارجة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من جمع بين ركنية القيام المتّصل بالركوع و بين مقدّمية الهويّ فقد جمع بين ما لا يمكن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قد ظهر أنّ الهويّ من القيام يكون من أفعال الصلاة فيكون الهويّ عند تلبّسه بالمغصوب تصرّفا في المغصوب و متّحدا معه، بحيث يحمل على هذا الهويّ بالحمل الشائع الصناعي أنّه تصرّف بالمغصوب، فيجتمع الأمر و النهي في هذا الجزء الصلاتي الذي ملاكه الاتّحاد بحسب الخارج، فيكون حال الهويّ كحال الصلاة في المكان المغصوب من حيث</w:t>
      </w:r>
    </w:p>
    <w:p>
      <w:pPr>
        <w:pStyle w:val="BookText"/>
        <w:rPr/>
      </w:pPr>
      <w:r>
        <w:rPr>
          <w:rFonts w:ascii="Amiri" w:hAnsi="Amiri" w:eastAsia="Amiri" w:cs="Amiri"/>
          <w:color w:val="111111"/>
          <w:sz w:val="28"/>
          <w:sz w:val="28"/>
          <w:szCs w:val="28"/>
          <w:rtl w:val="true"/>
          <w:lang w:bidi="ar-SA"/>
        </w:rPr>
        <w:t>الاتّحاد، و بعد البناء على تقديم جانب النهي في موارد اجتماع الأمر و النهي تكون الصلاة باطلة و لو باعتبار جزئها من الهويّ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السجود فإن بنينا على أنّ السجود عبارة عن نفس كون الجبهة على الأرض و الهويّ إليه، من مبدأ حدوثه إلى أن تصير الجبهة على الأرض مقدّمة خارجية، فلا اتّحاد بينه و بين التصرّف في الغصب أبدا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بنينا على أنّ السجود من مقولة الفعل، الذي هو عبارة عن وضع الجبهة على الأرض لا كون الجبهة على الأرض، فبمقدار ما يتحقّق به الوضع و هو قبيل صيرورة الجبهة على الأرض يتحقّق الاتّحاد بين التصرّف في المغصوب و بين الوضع الذي يكون فعلا سجوديّا، و هذا هو الأقوى، لأنّه يعتبر في السجود وضع الجبهة على الأرض لا مطلق كون الجبهة على الأرض، ففي الجزء السجودي أيضا يتحقّق اجتماع الأمر و النهي، و تبطل الصلاة من أجله بعد البناء على تغليب جانب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بالنسبة إلى الجزء الركوعي و السجودي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سائر الأجزاء فلا اتّحاد فيها بين الأمر و النهي و لا اجتماع، بداهة أنّ القيام عبارة عن الهيئة الحاصلة للقائم، و هذا هو الذي يكون جزء للصلاة، و كذا الجلوس للتشهّد، و الهيئة لم تتّحد مع التصرّف في المغصوب، بل إنّما يكون التصرّف من المقارنات لها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عليك أنّ ما قلناه من الاتّحاد في الجزء الركوعي و السجودي إنّما هو موجبة جزئية و في بعض اللباس، و هو ما يتحرّك بالحركة الركوعية و السجودية، و ذلك إنّما يكون بالنسبة إلى ما على المصلّي من اللباس في النصف العالي من بدنه، فإنّ هذا المقدار هو الذي يتحرّك بالحركة الركوعية عند الهويّ إليه، و أمّا ما في أسافل بدنه كالسراويل فلا يتحرّك بالحركة الركوعية أصلا، هذا بالنسبة إلى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إلى السجود، فبالنسبة إلى ما يكون في أعالي بدنه أيضا</w:t>
      </w:r>
    </w:p>
    <w:p>
      <w:pPr>
        <w:pStyle w:val="BookText"/>
        <w:rPr/>
      </w:pPr>
      <w:r>
        <w:rPr>
          <w:rFonts w:ascii="Amiri" w:hAnsi="Amiri" w:eastAsia="Amiri" w:cs="Amiri"/>
          <w:color w:val="111111"/>
          <w:sz w:val="28"/>
          <w:sz w:val="28"/>
          <w:szCs w:val="28"/>
          <w:rtl w:val="true"/>
          <w:lang w:bidi="ar-SA"/>
        </w:rPr>
        <w:t>لا يتحرّك بالحركة السجودية التي هي قُبيل وصول الجبهة إلى الأرض بالمقدار الذي يصدق عليه الوضع، بل ما يتحرّك بهذه الحركة إنّما هو مثل العمامة مثلا و ما يكون بمثابها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القول باعتبار الإباحة في لباس المصلّي ممّا لم يقم عليه دليل، و إنّما يصحّ ذلك موجبة جزئية و هو بالنسبة إلى خصوص الركوع و السجود، و ذلك أيضا ليس على إطلاقه، بل بالنسبة إلى بعض اللباس و هو ما يتحرّك بحركتهما، و لازم ذلك هو أنّه لو لبس المغصوب في الصلاة و نزعه عند إرادة الركوع و السجود لكانت صلاته صحيحة، بل لازم ذلك جواز لبس مثل السراويل و غيرها ممّا لا يتحرّك بالحركة الصلاتية مطلقا و لو في حال الركوع و السجود،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الاحتياط لا ينبغي تركه، خصوصا بعد ذهاب المشهور على اعتبار الإباحة في اللباس، بل في المصاحب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حكم الناسي بالموضوع، و الجاهل به، و الجاهل بالحكم تقصيرا أو قصورا وضعا أو تكليفا، و الناسي بالحكم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هو أنّ الجاهل بالموضوع تصحّ صلاته، و كذا الناسي له على إشكال في خصوص الغاصب، يأتي بيانه إن شاء اللّٰه و أمّا الجاهل بالحكم الوضعي من بطلان الصلاة في المغصوب، و كذا الناسي له، فممّا لا أثر له، بل المدار على الجهل و العلم بالحكم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الجاهل بالحكم التكليفي، فإن كان عن تقصير فهو بحكم العامد العالم من بطلان صلاته، و إن كان عن قصور فهو بحكم الجاهل بالموضوع من صحّة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الناسي بالحكم فهو ملحق بالجاهل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ذهب إليه المشهور على ما حكي عنهم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من تقديم مقال به يتّضح الوجه فيما ذهبوا إليه،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ذكرنا في محلّه من أنّ البحث عن جواز اجتماع الأمر و النهي و امتناعه يقع</w:t>
      </w:r>
    </w:p>
    <w:p>
      <w:pPr>
        <w:pStyle w:val="BookText"/>
        <w:rPr/>
      </w:pPr>
      <w:r>
        <w:rPr>
          <w:rFonts w:ascii="Amiri" w:hAnsi="Amiri" w:eastAsia="Amiri" w:cs="Amiri"/>
          <w:color w:val="111111"/>
          <w:sz w:val="28"/>
          <w:sz w:val="28"/>
          <w:szCs w:val="28"/>
          <w:rtl w:val="true"/>
          <w:lang w:bidi="ar-SA"/>
        </w:rPr>
        <w:t>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ذلك من حيث وحدة المتعلّق، و أنّه هل يلزم في مورد الاجتماع من تعلّق الأمر بعين ما تعلّق به الآخر، و سراية كلّ من الأمر و النهي إلى متعلّق الآخر، أو أنّه لا يلزم ذلك و إن تصادقا خارجا على شي‌ء واحد؟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تصادق الصلاة و الغصب على المجمع المأتيّ به، يقع البحث في أنّ هذا التصادق هل هو من باب التركيب الاتّحادي، حتّى يلزم تعلّق كلّ منهما بعين ما تعلّق به الآخر، أو أنّه من باب التركيب الانضمامي حتّى لا يلزم ذلك؟</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عن الجهة الاولى، و أنّ التركيب على نحو الانضمام، و عدم سراية كلّ منهما إلى متعلّق الآخر، يقع الكلام في الجهة الثانية من اعتبار المندوحة، و أنّه عند المندوحة و قدرة المكلّف على الصلاة في غير المغصوب، هل يكون مورد التصادق مأمورا به و منهيّا عنه بالفعل، أو لا يكون إلّا أحدهما؟ فإن قلنا بالامتناع من الجهة الاولى، و سراية كلّ من الأمر و النهي إلى متعلّق الآخر، فيكون مسألة اجتماع الأمر و النهي من صغريات باب التعارض، و لا ربط له بباب التزاحم، فإنّ الضابط في باب التعارض هو امتناع صدور الحكمين ثبوتا و في عالم التشريع و تعلّق إرادة المولى، من دون أن يكون لقدرة المكلّف و عدم قدرته دخل في ذلك، و الامتناع من الجهة الأولى إنّما يكون في عالم الثبوت و التشريع حيث يستحيل أن يأمر المولى بعين ما ينهى عنه، و تعلّق كلّ من إرادة الفعل و الترك بالنسبة إلى شي‌ء واحد، سواء كان هناك مكلّف أو لم يكن، قدر المكلّف على الجمع بينهما أو لم يقدر، كما هو واضح</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لو بنينا على الامتناع من الجهة الاولى، و قدّمنا في مقام التعارض جانب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محيص عنه، لما تقدّمت الإشارة إليه من أنّ الإطلاق الشمولي الذي هو مفاد النهي مقدّم في مقام التعارض على الإطلاق البدلي الذي هو مفاد</w:t>
      </w:r>
    </w:p>
    <w:p>
      <w:pPr>
        <w:pStyle w:val="BookText"/>
        <w:rPr/>
      </w:pPr>
      <w:r>
        <w:rPr>
          <w:rFonts w:ascii="Amiri" w:hAnsi="Amiri" w:eastAsia="Amiri" w:cs="Amiri"/>
          <w:color w:val="111111"/>
          <w:sz w:val="28"/>
          <w:sz w:val="28"/>
          <w:szCs w:val="28"/>
          <w:rtl w:val="true"/>
          <w:lang w:bidi="ar-SA"/>
        </w:rPr>
        <w:t>الأمر، كتقدّم العام الاستيعابي على الإطلاق الشمولي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المسألة من صغريات باب النهي عن العبادة، و يلزمه القول بفساد العبادة مطلقا حتّى مع الجهل بالموضوع أو نسيانه، و ذلك لأنّه بعد ما كانت المسألة من صغريات باب التعارض مع تقديم جانب النهي، فتكون جهة الأمر ثبوتا مغلوبة و جهة النهي غالبة، كما هو الشأن في كلّ مورد يقع التعارض بين الأمر و النهي مع تغليب جانب النهي، و إن لم يكن التعارض من باب اجتماع الأمر و النهي، بل كان التعارض لجهة أخرى غير مسألة الاجتماع، بل هذا هو الشأن في كلّ متعارضين قدّم أحدهما على الآخر و إن لم يكن التعارض بين الأمر و النهي، فإنّ تقديم أحد المتعارضين على الآخر يكشف إنّا عن غلبة ملاكه و مغلوبية ملاك الآخر، لو كان فيه ملاك مع قطع النظر عن المعارضة، و بعد ذلك لا يمكن تصحيح متعلّق المعارض المغلوب لو كان عبادة لا بالأمر و لا بالملاك، لعدم الأمر به حسب الفرض بعد تقديم النهي، و ملاكه لو كان فهو مغلوب بملاك النهي، و الملاك المغلوب بأقوى منه لا يوجب صحّة العبادة، فلا يمكن تصحيح العبادة بشي‌ء من الأمر و الملاك مع توقّف صحّة العبادة على أحدهما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عند الجهل بالموضوع أو نسيانه يسقط النهي لا محالة، فلا مانع من الصحّة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و إن سقط بالجهل و النسيان إلّا أنّ ملاكه لم يسقط بذلك، لعدم تصرّف الجهل بالملاك في مثل ما نحن فيه ممّا كان من باب التعارض الذي ملاكه وقوع المعارضة في عالم التشريع و عالم تعلّق إرادة الآمر، الذي لا دخل لإرادة الفاعل و علمه و جهله بذلك، فإذا كان ملاك النهي باقيا فالفساد إنّما يستند إليه لا إلى النهي الساقط بالجهل، و لتفصيل الكلام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بنينا على الامتناع من الجهة الاولى</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بنينا على الامتناع من الجهة الثانية، فقد عرفت أنّه يكون حينئذ من</w:t>
      </w:r>
    </w:p>
    <w:p>
      <w:pPr>
        <w:pStyle w:val="BookText"/>
        <w:rPr/>
      </w:pPr>
      <w:r>
        <w:rPr>
          <w:rFonts w:ascii="Amiri" w:hAnsi="Amiri" w:eastAsia="Amiri" w:cs="Amiri"/>
          <w:color w:val="111111"/>
          <w:sz w:val="28"/>
          <w:sz w:val="28"/>
          <w:szCs w:val="28"/>
          <w:rtl w:val="true"/>
          <w:lang w:bidi="ar-SA"/>
        </w:rPr>
        <w:t>صغريات باب التزاحم و يخرج عن باب التعارض، فإنّ معنى الجواز في الجهة الاولى هو عدم سراية كلّ من الأمر و النهي إلى متعلّق الآخر، و أنّ التركيب في مورد التصادق و الاجتماع انضمامي، ففي عالم الثبوت و الإرادة لا مانع من تشريع مثل هذا الأمر و النهي، لعدم تعلّق الإرادة بفعل شي‌ء و ترك ذلك، بل تعلّقت الإرادة بفعل شي‌ء و ترك شي‌ء آخر و إن تصادقا في الخارج، ففي ناحية الثبوت لا مانع من الاجتماع فيخرج عن باب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ناحية قدرة الفاعل، و تعلّق إرادته بفعل متعلّق الأمر و ترك متعلّق النهي، يقع التزاحم بينهما في مورد التصادق، لعدم قدرة المكلّف من امتثال كلّ من الأمر و النهي مع اتّحاد المتعلّق خارجا، لكنّ هذا مع اشتمال كلّ من الأمر و النهي على تمام ما هو ملاكه، فإنّه بعد عدم المانع من تشريع الحكمين ثبوتا يكون الملاك في كلّ منهما على حاله من دون وقوع كسر و انكسار بينهما، و قدرة المكلّف و عدمها لا توجب تصرّفا في الملاك أصلا، كما هو الشأن في كلّ متزاحمين، فتكون مسألة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الامتناع من الجهة الثانية و الجواز من 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صغريات باب التزاحم، و يجري فيها ما يجري في كلّيّ باب التزاحم من ملاحظة المرجّحات، و حيث كان النهي سريانيّا و الأمر صرف الوجود فلا محيص من تقديم جانب النهي، و خروج الفرد من الصلاة المبتلى بالمزاحم عن تحت إطلاق متعلّق الأمر، لأنّ النهي بسريانيّته يصلح أن يكون تعجيزا مولويّا عن متعلّق الأمر بخلاف العكس، فتأمّل جيّدا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من لوازم باب التزاحم هو أنّ تقديم أحد المتزاحمين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موجباته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في صورة العلم بالحكم و الموضوع، لأنّ التزاحم إنّما يقع عند ذلك، و إلّا فوجود الواقعي للحكم ممّا لا أثر له في باب التزاحم، بل لا بدّ من وجوده العلمي، مثلا لو لم يعلم بأنّ هناك غريقا آخر، لا يمكن أن يزاحم وجود</w:t>
      </w:r>
    </w:p>
    <w:p>
      <w:pPr>
        <w:pStyle w:val="BookText"/>
        <w:rPr/>
      </w:pPr>
      <w:r>
        <w:rPr>
          <w:rFonts w:ascii="Amiri" w:hAnsi="Amiri" w:eastAsia="Amiri" w:cs="Amiri"/>
          <w:color w:val="111111"/>
          <w:sz w:val="28"/>
          <w:sz w:val="28"/>
          <w:szCs w:val="28"/>
          <w:rtl w:val="true"/>
          <w:lang w:bidi="ar-SA"/>
        </w:rPr>
        <w:t xml:space="preserve">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أنقذ الغريق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للغريق الذي علم به حكما و موضوعا، بل اللازم عليه فعلا هو إنقاذ ما علم كونه غريقا ليس إلّا، و هذا بخلاف باب التعارض، لما عرفت من أنّ التعارض إنّما يكون بين الوجود الواقعي و في عالم الإرادة الآمرية و التشريع من دون أن يكون لعلم المكلّف و جهله دخل في ذلك، و لتوضيح المقال محلّ آخر، و الغرض في المقام مجرّد الإشارة إلى ما يبتني عليه مسألتنا من الصلاة في المغصوب عند الجهل و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عرفت ما ذكرناه، ظهر لك الوجه فيما ذهب إليه المشهور من صحّة صلاة الجاهل بالموضوع، و الناسي له، و الجاهل بالحكم التكليفي قصورا، و بطلان صلاة العامد العالم، و الجاهل بالحكم تقصيرا، فإنّ ذهابهم إلى ذلك إنّما هو لبنائهم على الجواز من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بينهم أيضا على ما نسب إليهم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الامتناع من الجهة الثانية، و ذلك بعد الإحاطة بما قدّمناه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الصحّة عند الجهل بالموضوع و نسيانه فواضح، لما عرفت من أنّ النهي في الجهة الثانية إنّما يقدّم على الأمر بوجوده العلمي لا بوجوده الواقعي، لأنّه بوجوده الواقعي لا يزاحم الأمر بعد تمامية ملاكه، كما عرفت من أنّ ذلك من لوازم التزاحم، و أنّ مسألة الاجتماع من الجهة الثانية تكون من صغرى باب التزاحم، و الجاهل بالغصبية و إن لم يسقط النهي عنه واقعا إلّا أنّه غير منجّز عليه، فلا مانع من صحّة صلاته بعد اشتمالها على تمام الملاك، و كذا الناسي لها، بل هو أولى بالصحّة، لسقوط النهي عنه واقعا، و كذا الكلام بالنسبة إلى الجاهل بالحكم عن قصور، فإنّه كالجاهل بالموضوع من حيث كون النهي غير منجّز عليه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بطلانها في صورة العلم بالحكم و الموضوع، أو الجهل بالحكم فقط لكن عن تقصير، فلتنجّز النهي عليه، فتقع الصلاة منه مبغوضة، و ما وقع مبغوضا لا يمكن أن يكون مقرّبا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الالتزام بأنّ مورد الاجتماع مشتمل على كلّ من ملاك الأمر و النهي، كما هو لازم باب التزاحم، و مجرّد تقديم جانب النهي لا يوجب عدم اشتمال الصلاة على ملاكها، و إلّا لخرج عن باب التزاحم و دخل في باب التعارض، و حينئذ لا مانع من تصحيح الصلاة بالملاك، و إن عوقب على فعل الغصب، كما هو الشأن في كلّ متزاحمين قدّم أحدهما على الآخر، كتقديم الإزالة على الصلاة، و لكن مع ذلك تقع صلاته صحيحة لو خالف و ترك 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الفراغ من الجهة الاولى و البناء على الجواز فلا معنى للقول ببطلان صلاة الجاهل المقصّر، بل و كذا العالم بعد الاعتراف بأنّ مورد التصادق مشتمل على تمام ملاك الأمر، و بعد تصحيح العبادة بالملاك كما في نظائر المقام من سائر موارد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إن كان مورد التصادق مشتملا على تمام ما هو ملاك الأمر، إلّا أنّ مجرّد ذلك لا يكفي في المقرّبية بعد اتّحاده و ابتلائه بما يقع فعلا من المكلّف مبغوضا عليه من التصرّف في المغصوب، و ما قلنا من تصحيح العبادة بالملاك إنّما هو فيما إذا لم يكن بهذه المثابة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ذلك هو أنّ التزاحم على أقسام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تزاحم الضدّين كالتزاحم بين الإزالة 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التزاحم بين المقدّمة و ذيها إذا كان أحدهما واجبا و الآخر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تزاحم المتلازمين في الوجود فيما إذا كان التلازم اتّفاقيّا، كما إذا فرض وجوب استقبال القبلة و حرمة استدبار الجدي مع أنّهما متلازمان في العراق و ما والاها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تزاحم المتّحدين في الوجود، كما فيما نحن فيه من تزاحم الصلاة و الغصب عند التصادق و الاتّحاد</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تزاحم الواجبين في ناحية قدرة المكلّف، من دون أن يكون بينهما</w:t>
      </w:r>
    </w:p>
    <w:p>
      <w:pPr>
        <w:pStyle w:val="BookText"/>
        <w:rPr/>
      </w:pPr>
      <w:r>
        <w:rPr>
          <w:rFonts w:ascii="Amiri" w:hAnsi="Amiri" w:eastAsia="Amiri" w:cs="Amiri"/>
          <w:color w:val="111111"/>
          <w:sz w:val="28"/>
          <w:sz w:val="28"/>
          <w:szCs w:val="28"/>
          <w:rtl w:val="true"/>
          <w:lang w:bidi="ar-SA"/>
        </w:rPr>
        <w:t>تضادّ و لا اتّحاد و لا تلازم و لا مقدّميته و ذيها، و ذلك كما في تزاحم القيام في الركعة الاولى و الثانية، أو في بعض الركعة، كما إذا دار أمره بين القيام في الركعة الاولى و الجلوس في الثانية و بالعكس، أو دار أمره بين القيام في أول الركعة و الجلوس في آخرها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الأقسام الخمسة بعد اشتراكها في التزاحم تختلف من حيث تصحيح العبادة بالملاك، فإنّ في القسمين الأولين، و هما التزاحم بين الضدّين و المقدّمة و ذيها، يمكن تصحيح العبادة بالملاك، فلو فرض أنّه ترك الإزالة مع كونها أهمّ من الصلاة و صلّى بداعي الملاك تقع صلاته صحيحة، و كذا لو أتى بالمقدّمة المحرّمة مع كونها أهم و فعل ذي المقدّمة الواجب بداعي الملاك صحّت و إن عصى بترك الإزالة و فعل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ذلك هو أنّ الصلاة، و كذا ذي المقدّمة، حيث كان لها وجود استقلاليّ لا ربط له بالإزالة و المقدّمة، و مشتملة على تمام الملاك، فلا مانع عند العقل من التقرّب بها و صحّتها بداعي الملاك، و مجرّد عصيانه في ترك الإزالة و فعل المقدّمة لا يمنع عن ذلك، فهو نظير من شرب الخمر و صلّى، أو ترك الحجّ و صلّى، و مجرّد إمكان الاجتماع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فارقا من الجهة التي نحن فيها، و كما يمكن تصحيح العبادة في هذا القسمين بالملاك كذلك يمكن بالأمر الترتّبي، بناء على المختار من إمكانه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القسم الخامس فلا يمكن تصحيح العبادة بالملاك، مثلا لو كان يجب عليه حفظ قدرته على القيام في آخر الركعة لئلّا يفوت منه القيام المتّصل بالركوع، لكونه أهمّ من القيام في أول الركعة و الجلوس في آخرها مع استلزامه فوات القيام المتّصل بالركوع، فلو خالف و قام في أول الركعة و جلس في آخرها كان مقتضى القاعدة بطلان صلاته، لأنّه زاد في أول الركعة قياما لم يكن واجبا عليه، و نقص</w:t>
      </w:r>
    </w:p>
    <w:p>
      <w:pPr>
        <w:pStyle w:val="BookText"/>
        <w:rPr/>
      </w:pPr>
      <w:r>
        <w:rPr>
          <w:rFonts w:ascii="Amiri" w:hAnsi="Amiri" w:eastAsia="Amiri" w:cs="Amiri"/>
          <w:color w:val="111111"/>
          <w:sz w:val="28"/>
          <w:sz w:val="28"/>
          <w:szCs w:val="28"/>
          <w:rtl w:val="true"/>
          <w:lang w:bidi="ar-SA"/>
        </w:rPr>
        <w:t xml:space="preserve">في آخرها قياما واجبا عليه، فهو كمن تعمّد بالقعود في آخر الركعة مع قدرته على القيام الذي لا إشكال في بطلان صلاته، ففي القسم الخامس مع كونه من باب التزاحم لا 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بالملاك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الثالث و هو ما إذا كان التزاحم بين المتلازمين، ففي تصحيح العبادة بالملاك إشكال، و ذلك فلأنّ أحد المتلازمين العبادي و إن كان له وجود استقلالا، و اشتمل على الملاك، و كان ما بحذائه في الخارج غير ما بحذاء ملازمه الآخر، إلّا أنّ اكتفاء العقل بالامتثال بمثل هذه العبادة التي لازمت ما يكون مبغوضا للمولى محلّ إشكال، إذ ليس لنا دليل لفظي يتمسّك بإطلاقه على أنّ كلّما تحقّق الملاك في العبادة صحّت، بل تصحيح العبادة بالملاك إنّما هو عقلي، و حكمه بصحّة أحد المتلازمين إذا كان عبادة، مع أنّ ما يلازمه مبغوضا فعليّا للمولى، و عدم انفكاك إرادة أحد المتلازمين عن إرادة الآخر غالبا و لو تبعا،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حال القسم الثالث فما ظنّك بالقسم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إذا اتّحدت العبادة مع ما هو مبغوض للمولى فعلا، فإنّ تصحيح مثل هذا بالملاك، مع أنّ ما يصدر منه فعلا مبغوضا للمولى و معاقبا عليه، ممّا لا يمكن، و كيف يمكن ذلك مع أنّ الموجود من المكلّف في الخارج متّحد ماهية و وجودا، و قد تعلّقت به إرادة الفاعل بما هو عليه من المبغوضية الفعلية و التفاته إلى ذلك أو عدم التفاته على وجه لا يعذر فيه؟</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تصحيح هذه العبادة المتّحدة مع المبغوض الفعلي بالملاك، و لا يمكن أن تكون مقرّبة مع تعلّق إرادة الفاعل بما يصدر منه مبغوضا عليه مع ما هو عليه من الاتّحاد</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إرادة الفاعل و إن تعلّقت بالمبغوض الفعلي من التصرّف</w:t>
      </w:r>
    </w:p>
    <w:p>
      <w:pPr>
        <w:pStyle w:val="BookText"/>
        <w:rPr/>
      </w:pPr>
      <w:r>
        <w:rPr>
          <w:rFonts w:ascii="Amiri" w:hAnsi="Amiri" w:eastAsia="Amiri" w:cs="Amiri"/>
          <w:color w:val="111111"/>
          <w:sz w:val="28"/>
          <w:sz w:val="28"/>
          <w:szCs w:val="28"/>
          <w:rtl w:val="true"/>
          <w:lang w:bidi="ar-SA"/>
        </w:rPr>
        <w:t>بالغصب، إلّا أنّها تعلّقت بما هو مشتمل على ما يكون فيه ملاك المحبوبية أيضا من امتثال الأمر الصلاتي المتعلّق بالطبيعة دون الفرد، و تشخّص الصلاة بما يكون مبغوضا لا يوجب عدم تحقّق الامتثال بالطبيعة بعد ما كانت الخصوصيّات الفردية خارجة عن دائرة متعلّق الأمر، فليكن هذا العبد مطيعا من حيث إرادته إيجاد طبيعة الصلاة امتثالا لأمرها، و عاصيا من جهة إرادة الشخص الذي يكون مبغوضا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إرادة الفاعل بإيجاد الطبيعة قد تعلّقت بها مستقلا، و كانت إرادته ذلك مغايرة لإرادته الشخص المبغوض، بأن كان له إرادتان مستقلّتان منحازتان، قد تعلّقت أحدهما بالطبيعة و الأخرى بالفرد، أمكن أن يقال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ذلك أيضا على إطلاقه ممنوع، لما عرفت من أنّ المسلّم من تصحيح العبادة بالملاك هو ما كانت العبادة لها وجود استقلالي خارجا و إرادة من دون أن تكون ملازمة بينها و بين المبغوض، و على كلّ حال في صورة الاتّحاد لم تكن هناك إرادتان للفاعل مستقلّتان منحازتان في الخارج، بل ليس هناك إلّا إرادة واحدة قد تعلّقت بإتيان ما يكون مجمع العنوانين مع ما هو عليه من المبغوضية و الاتّحاد، فكيف يكون إرادة إيجاد مثل هذه الطبيعة مقرّبا مع أنّه أسوأ حالا من المتلازمين في الوجود الذي قد عرفت الإشكال فيه؟ مع أنّ في المتلازمين كانت إرادة أحد اللازمين مغايرة لإرادة الآخر، غايته أنّه متلازمين في الإرادة، و في المقام لم يكن الإرادة واحدة تعلّقت بالمبغوض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إرادة الطبيعة مغايرة لإرادة المجمع، و كانت هناك إرادة واحدة قد تعلّقت بالمحبوب و المبغوض، فكيف جوّزتم الاجتماع من الجهة الاولى؟ و هل لازم ذلك إلّا تعلّق الإرادة بعين ما تعلّقت به إرادة الآخر؟</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الجهة الأولى إنّما كان في إرادة الآمر في مقام التشريع،</w:t>
      </w:r>
    </w:p>
    <w:p>
      <w:pPr>
        <w:pStyle w:val="BookText"/>
        <w:rPr/>
      </w:pPr>
      <w:r>
        <w:rPr>
          <w:rFonts w:ascii="Amiri" w:hAnsi="Amiri" w:eastAsia="Amiri" w:cs="Amiri"/>
          <w:color w:val="111111"/>
          <w:sz w:val="28"/>
          <w:sz w:val="28"/>
          <w:szCs w:val="28"/>
          <w:rtl w:val="true"/>
          <w:lang w:bidi="ar-SA"/>
        </w:rPr>
        <w:t>و حيث كان في ذلك المقام الخصوصيّات الفردية خارجة عن تعلّق إرادة الآمر بها، بل تعلّقت بالطبيعة الصلاتية و طبيعة الغصبية، فلا يلزم في مقام تعلّق إرادة الآمر من اجتماع الإرادتين و تعلّق كلّ بعين ما تعلّق به الآخر، و هذا بخلاف الكلام من الجهة الثانية، فإنّها في مقام تعلّق إرادة الفاعل، الذي لا يمكن في هذا المقام من تعلّق إرادته بالطبيعة الصرفة من دون أن تتعلّق بالفرد المبغوض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قولهم إنّ المشخّصات الفردية خارجة عن متعلّق الإرادة و غير ملتفت إليها؟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مرادهم من ذلك الخصوصيّات اللاحقة لنفس الفرد في حال وجوده، كتشخّص الصلاة بالخصوصية الكذائية عند وجودها، و أمّا الخصوصيّات اللاحقة لنفس الطبيعة، كإيجاد الطبيعة في زمان كذا أو في مكان كذا، فممّا لا يمكن عدم تعلّق الإرادة الفاعلية بها، بل لا بدّ من تعلّق الإرادة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إرادة الطبيعة في ضمن الفرد المحرّم ممّا لا يمكن أن يكون مقرّبا، لصدوره منه مبغوضا عليه، و بذلك ظهر أنّه ليس وجه فساد صلاة العالم بالموضوع و الحكم هو عدم إمكان تمشّي قصد القربة منه، فإنّ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مقصورا بالعالم دون الجاهل المقصّر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إطلاقه ممنوع، فإنّ العالم ربّما يمكن تمشّي قصد القربة منه فلا يكون هذا مانعا عن الصحّة، بل المانع ما ذكرناه من أنّه عند العلم و الجهل الذي لا يعذر فيه فلا يقع الفعل مبغوضا عليه، من جهة قصده إيجاد الطبيعة في ضمن الفرد المحرّم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الجاهل المعذور أو الجاهل بالموضوع و الناسي له، فإنّه لمكان عدم قصده ذلك، إمّا لعدم كونه محرّما عليه واقعا كالناسي للموضوع، و إمّا لعدم منجّزية النهي كالجاهل به أو بالحكم مع كونه معذورا، كانت عبادته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غير الغاصب</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بالنسبة إلى نفس الغاصب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نسيانه للموضوع لا يوجب</w:t>
      </w:r>
      <w:bookmarkStart w:id="396" w:name="pg19820_206811"/>
    </w:p>
    <w:p>
      <w:pPr>
        <w:pStyle w:val="BookText"/>
        <w:rPr/>
      </w:pPr>
      <w:bookmarkEnd w:id="396"/>
      <w:r>
        <w:rPr>
          <w:rFonts w:ascii="Amiri" w:hAnsi="Amiri" w:eastAsia="Amiri" w:cs="Amiri"/>
          <w:color w:val="111111"/>
          <w:sz w:val="28"/>
          <w:sz w:val="28"/>
          <w:szCs w:val="28"/>
          <w:rtl w:val="true"/>
          <w:lang w:bidi="ar-SA"/>
        </w:rPr>
        <w:t>صحّة صلاته، و وجّهه بعض بأنّه غير معذور في نسيانه، إمّا لانصراف أدلّة رفع النسيان إلى غير ذلك، و إمّا لأنّه كان يجب عليه الحفظ و الذكر حتّى يرد مال الناسي إلى أهله، فبتركه الحفظ و الذكر الذي أوجب النسيان صار نسيانه ممّا لا يعذر فيه، و كان تكليف لا تغصب منجّزا عليه، فلا تصحّ منه الصلاة،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عليك ما في كلا الوجهين من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دعوى الانصراف فممّا لا شاهد عليها، إذ لا موجب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الثاني، فعلى فرض تسليم أنّه كان يجب عليه الحفظ و الذكر، فأقصاه أنّه فرّط في هذا الواجب و عصى بتركه، و هذا لا ينافي معذوريّته في حال النسيان، و لا يعقل أن يكون النهي منجّزا عليه في حال النسيان، فإنّ رفع التكليف عن الناسي عقلي لا يختصّ بشخص دون شخص، و حال دون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أنّ تصرّفه في المغصوب حال النسيان كتصرّفه في حال الخروج عن الدار المغصوبة يمكن أن لا يكون معذورا فيه، مع أنّه ممّا لا بدّ منه عقلا، مدفوعة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الخروج يكون مأمورا به ليس إلّا و معذورا فيه، على ما هو المختار من أنّ الخروج لم يكن منهيّا عنه في حال من الحالات، لأنّه تخلّص عن الغصب فلا يمكن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منهيّا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ذلك إلّا أنّ الخروج يمكن أن يقال منهيّا عنه بالنهي السابق الساقط، و يكون مقدورا تركه بترك الدخول، إلّا أنّه في صورة النسيان لا يمكن ذلك، لأنّ الشي‌ء في حال النسيان غير مقدور لا بنفسه و لا بالواسطة، فإنّ التحفّظ و المواظبة على الذكر لا يلازم عدم النسيان، فربّما الشخص يكون في كمال التحفّظ و المواظبة و مع ذلك ينسى لأمر غير اختياري، فلا يقاس باب النسيان بباب الخروج الذي هو مقدور دائما بترك الدخول،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أنّه لا فرق في الصحّة بين كون الناسي هو الغاصب أو غيره</w:t>
      </w:r>
      <w:r>
        <w:rPr>
          <w:rFonts w:eastAsia="Amiri" w:cs="Amiri" w:ascii="Amiri" w:hAnsi="Amiri"/>
          <w:color w:val="111111"/>
          <w:sz w:val="28"/>
          <w:szCs w:val="28"/>
          <w:rtl w:val="true"/>
          <w:lang w:bidi="ar-SA"/>
        </w:rPr>
        <w:t>.</w:t>
      </w:r>
    </w:p>
    <w:p>
      <w:pPr>
        <w:pStyle w:val="Heading6"/>
        <w:numPr>
          <w:ilvl w:val="5"/>
          <w:numId w:val="1"/>
        </w:numPr>
        <w:rPr/>
      </w:pPr>
      <w:bookmarkStart w:id="397" w:name="__RefHeading___Toc3360256_2314609296"/>
      <w:bookmarkStart w:id="398" w:name="_Toc155"/>
      <w:bookmarkEnd w:id="397"/>
      <w:r>
        <w:rPr>
          <w:rtl w:val="true"/>
        </w:rPr>
        <w:t>بقي في المقام بعض الفروع المرتبطة بالمقام</w:t>
      </w:r>
      <w:r>
        <w:rPr>
          <w:rtl w:val="true"/>
        </w:rPr>
        <w:t>.</w:t>
      </w:r>
      <w:bookmarkEnd w:id="398"/>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99" w:name="__RefHeading___Toc3360258_2314609296"/>
      <w:bookmarkStart w:id="400" w:name="_Toc156"/>
      <w:bookmarkEnd w:id="399"/>
      <w:r>
        <w:rPr>
          <w:rtl w:val="true"/>
        </w:rPr>
        <w:t>اشارة</w:t>
      </w:r>
      <w:bookmarkStart w:id="401" w:name="pg19820_206812"/>
      <w:bookmarkEnd w:id="400"/>
    </w:p>
    <w:p>
      <w:pPr>
        <w:pStyle w:val="Heading6"/>
        <w:numPr>
          <w:ilvl w:val="5"/>
          <w:numId w:val="1"/>
        </w:numPr>
        <w:rPr/>
      </w:pPr>
      <w:bookmarkStart w:id="402" w:name="__RefHeading___Toc3360260_2314609296"/>
      <w:bookmarkStart w:id="403" w:name="_Toc157"/>
      <w:bookmarkEnd w:id="401"/>
      <w:bookmarkEnd w:id="402"/>
      <w:r>
        <w:rPr>
          <w:rtl w:val="true"/>
        </w:rPr>
        <w:t>الأوّل</w:t>
      </w:r>
      <w:r>
        <w:rPr>
          <w:rtl w:val="true"/>
        </w:rPr>
        <w:t xml:space="preserve">: </w:t>
      </w:r>
      <w:r>
        <w:rPr>
          <w:rtl w:val="true"/>
        </w:rPr>
        <w:t>لو وجب على الغاصب حفظ المغصوب</w:t>
      </w:r>
      <w:bookmarkEnd w:id="403"/>
    </w:p>
    <w:p>
      <w:pPr>
        <w:pStyle w:val="BookText"/>
        <w:rPr/>
      </w:pPr>
      <w:r>
        <w:rPr>
          <w:rFonts w:ascii="Amiri" w:hAnsi="Amiri" w:eastAsia="Amiri" w:cs="Amiri"/>
          <w:color w:val="111111"/>
          <w:sz w:val="28"/>
          <w:sz w:val="28"/>
          <w:szCs w:val="28"/>
          <w:rtl w:val="true"/>
          <w:lang w:bidi="ar-SA"/>
        </w:rPr>
        <w:t>، و توقّف حفظه على الصلاة فيه، فالأقوى صحّة صلاته، لأنّ المفروض أنّ التصرّف الحاصل بالصلاة فيه ممّا يجب عليه مقدّمة للحفظ، و معه لا يمكن أن يكون التصرّف منهيّا عنه، فلا موجب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وجوب حفظ مال المغصوب عن التلف إنّما هو لأجل اقتضاء الضمان ذلك، فإنّه بالغصب قد ضمن العين المغصوبة بما لها من الخصوصية الشخصية، و الخصوصية النوعية التي ينتقل إليها عند تعذّر الشخصية، و ذلك كما في المثليّات، و الخصوصية المالية التي ينتقل إليها عند تعذّر الشخصية و النوعية، كما في القيميّات</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كون الخصوصية الشخصية في ضمانه هو أنّها في عهدة الغاصب إلى أن يردّها إلى صاحبها، و لا معنى لذلك إلّا وجوب ردّها، و لا معنى لضمان الخصوصية الشخصية إلّا ذلك، إذ بعد ما كانت الخصوصية المثلية و المالية ضامنا لها بنفس وضع يده على المغصوب، فلا معنى لأن يتوهّم أنّ معنى ضمان الخصوصية الشخصية هو أنّ عند تلفها ينتقل إلى المثل و القيمة، و ليس معنى ضمانها وجوب ردّها، فإنّ الانتقال إلى المثل و القيمة ليس من لوازم ضمان الخصوصية الشخصية، بل هو من لوازم وضع اليد على المال الذي يكون له خصوصية نوعية و خصوصية مالية، و إلّا فالخصوصية الشخصية إذا تلفت فقد فاتت من المالك من دون أن يحصل له بإزائها شي‌ء، فمعنى ضمان الخصوصية الشخصية ليس إلّا وجوب ردّها، فإذا وجب ردّها وجب حفظها مقدّمة لذلك، فإذا كان وجوب الحفظ من لوازم ضمان المغصوب، فلا يقتضي ضمان المغصوب حينئذ حرمة التصرّف المتوقف عليه الحفظ، فإنّ الشي‌ء لا يمكن أن يقتضي لازمين متدافعين، فتأمّل</w:t>
      </w:r>
      <w:r>
        <w:rPr>
          <w:rFonts w:eastAsia="Amiri" w:cs="Amiri" w:ascii="Amiri" w:hAnsi="Amiri"/>
          <w:color w:val="111111"/>
          <w:sz w:val="28"/>
          <w:szCs w:val="28"/>
          <w:rtl w:val="true"/>
          <w:lang w:bidi="ar-SA"/>
        </w:rPr>
        <w:t>.</w:t>
      </w:r>
      <w:bookmarkStart w:id="404" w:name="pg19820_206813"/>
    </w:p>
    <w:p>
      <w:pPr>
        <w:pStyle w:val="BookText"/>
        <w:rPr/>
      </w:pPr>
      <w:bookmarkEnd w:id="404"/>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حفظ مال المغصوب ليس من جهة ضمانه، بل من جهة أنّ وقوع مال الغير تحت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تكن اليد يدا 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وجوب حفظه، كما نرى وجوب حفظ المال و لو كانت اليد يد أمانة مالكية أو شرعية، و دعوى أنّ كلّ مال وقع تحت اليد يجب حفظه ليس بكلّ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دعوى أنّ كلّ مال يجب حفظه و إن لم يكن تحت اليد ممّا لا سبيل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بعد وجوب حفظ المال المتوقّف على الصلاة فيه، إمّا لاقتضاء الضمان ذلك، و إمّا لوقوعه تحت اليد، لم يكن التصرّف الصلاتي منهيّا عنه، فلا وجه لفسادها</w:t>
      </w:r>
      <w:r>
        <w:rPr>
          <w:rFonts w:eastAsia="Amiri" w:cs="Amiri" w:ascii="Amiri" w:hAnsi="Amiri"/>
          <w:color w:val="111111"/>
          <w:sz w:val="28"/>
          <w:szCs w:val="28"/>
          <w:rtl w:val="true"/>
          <w:lang w:bidi="ar-SA"/>
        </w:rPr>
        <w:t>.</w:t>
      </w:r>
    </w:p>
    <w:p>
      <w:pPr>
        <w:pStyle w:val="Heading6"/>
        <w:numPr>
          <w:ilvl w:val="5"/>
          <w:numId w:val="1"/>
        </w:numPr>
        <w:rPr/>
      </w:pPr>
      <w:bookmarkStart w:id="405" w:name="__RefHeading___Toc3360262_2314609296"/>
      <w:bookmarkStart w:id="406" w:name="_Toc158"/>
      <w:bookmarkEnd w:id="405"/>
      <w:r>
        <w:rPr>
          <w:rtl w:val="true"/>
        </w:rPr>
        <w:t>الثاني</w:t>
      </w:r>
      <w:r>
        <w:rPr>
          <w:rtl w:val="true"/>
        </w:rPr>
        <w:t xml:space="preserve">: </w:t>
      </w:r>
      <w:r>
        <w:rPr>
          <w:rtl w:val="true"/>
        </w:rPr>
        <w:t>لو صبغ الثوب بصبغ مغصوب</w:t>
      </w:r>
      <w:bookmarkEnd w:id="406"/>
    </w:p>
    <w:p>
      <w:pPr>
        <w:pStyle w:val="BookText"/>
        <w:rPr/>
      </w:pPr>
      <w:r>
        <w:rPr>
          <w:rFonts w:ascii="Amiri" w:hAnsi="Amiri" w:eastAsia="Amiri" w:cs="Amiri"/>
          <w:color w:val="111111"/>
          <w:sz w:val="28"/>
          <w:sz w:val="28"/>
          <w:szCs w:val="28"/>
          <w:rtl w:val="true"/>
          <w:lang w:bidi="ar-SA"/>
        </w:rPr>
        <w:t>، أو خاطه بخيط مغصوب، فربّما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مانع من الصلاة فيه، لعدّ الصبغ و الخيط تالفا و يلزمه قيمته، و يشكل ذلك بأنّ دعوى عدّ الصبغ و الخيط تالفا عند العرف ممّا لا سبيل إليها، بعد ما كان عين الصبغ و الخيط موجودا في الثوب، و مجرّد عدم إمكان ردّه إلى صاحبه لا يقتضي ذلك و لا الانتقال إلى القيمة، فليكن شريكا بنسبة قيمة الصبغ و الخيط، و ليس كلّ ما لا يمكن ردّه إلى صاحبه يعدّ تالفا عند العرف، بل التالف ما خلا صفحة الوجود عنه، إمّا حقيقة كالحرق، و إمّا عرفا كالغرق في البحر الذي يستحيل عادة إخراجه و إيصاله إلى صاحبه، و أمّا الصبغ و الخيط الذي هو موجود بالفعل، و ما بحذاء في الخارج، و ممّا يشار إليه عرفا، فلا يمكن عدّه تالفا و الانتقال إلى القيمة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فيما لو أجبر أحد على الصبغ و الخياطة مع كون الصبغ و الخيط مباحا و ملكا للمكره بالكسر 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من الصلاة فيه، و يلزمه قيمة أجرة الخياطة و الصباغة، لأنّه عمل محترم له أجره عند العرف، بل استشكل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على العروة الصلاة فيه أيضا،</w:t>
      </w:r>
      <w:bookmarkStart w:id="407" w:name="pg19820_206814"/>
    </w:p>
    <w:p>
      <w:pPr>
        <w:pStyle w:val="BookText"/>
        <w:rPr/>
      </w:pPr>
      <w:bookmarkEnd w:id="407"/>
      <w:r>
        <w:rPr>
          <w:rFonts w:ascii="Amiri" w:hAnsi="Amiri" w:eastAsia="Amiri" w:cs="Amiri"/>
          <w:color w:val="111111"/>
          <w:sz w:val="28"/>
          <w:sz w:val="28"/>
          <w:szCs w:val="28"/>
          <w:rtl w:val="true"/>
          <w:lang w:bidi="ar-SA"/>
        </w:rPr>
        <w:t>من جهة احتمال بعض الشركة في المالية في الزيادات الحكمية كالقصارة و الخياطة، فإذا كان هذا حال الزيادة الحكمية فما ظنّك في الزيادات العينية، كما إذا كان الصبغ و الخيط ملكا لغير مالك الثوب، فتأمّل جيّدا</w:t>
      </w:r>
      <w:r>
        <w:rPr>
          <w:rFonts w:eastAsia="Amiri" w:cs="Amiri" w:ascii="Amiri" w:hAnsi="Amiri"/>
          <w:color w:val="111111"/>
          <w:sz w:val="28"/>
          <w:szCs w:val="28"/>
          <w:rtl w:val="true"/>
          <w:lang w:bidi="ar-SA"/>
        </w:rPr>
        <w:t>.</w:t>
      </w:r>
    </w:p>
    <w:p>
      <w:pPr>
        <w:pStyle w:val="Heading6"/>
        <w:numPr>
          <w:ilvl w:val="5"/>
          <w:numId w:val="1"/>
        </w:numPr>
        <w:rPr/>
      </w:pPr>
      <w:bookmarkStart w:id="408" w:name="__RefHeading___Toc3360264_2314609296"/>
      <w:bookmarkStart w:id="409" w:name="_Toc159"/>
      <w:bookmarkEnd w:id="408"/>
      <w:r>
        <w:rPr>
          <w:rtl w:val="true"/>
        </w:rPr>
        <w:t>الثالث</w:t>
      </w:r>
      <w:r>
        <w:rPr>
          <w:rtl w:val="true"/>
        </w:rPr>
        <w:t xml:space="preserve">: </w:t>
      </w:r>
      <w:r>
        <w:rPr>
          <w:rtl w:val="true"/>
        </w:rPr>
        <w:t>لا إشكال في جواز الصلاة لو أذن المالك الصلاة في المغصوب حتّى بالنسبة إلى الغاصب</w:t>
      </w:r>
      <w:bookmarkEnd w:id="409"/>
    </w:p>
    <w:p>
      <w:pPr>
        <w:pStyle w:val="BookText"/>
        <w:rPr/>
      </w:pPr>
      <w:r>
        <w:rPr>
          <w:rFonts w:ascii="Amiri" w:hAnsi="Amiri" w:eastAsia="Amiri" w:cs="Amiri"/>
          <w:color w:val="111111"/>
          <w:sz w:val="28"/>
          <w:sz w:val="28"/>
          <w:szCs w:val="28"/>
          <w:rtl w:val="true"/>
          <w:lang w:bidi="ar-SA"/>
        </w:rPr>
        <w:t>، و احتمال منع الغاصب حتّى مع إذن المالك ضعيف جدّا، و أضعف منه احتمال منع غير الغاصب أيضا، كما أنّ أضعف منه احتمال منع نفس المالك أيضا مع بقاء موضوع الغصبية، إذ ليس منشأ لهذه الاحتمالات سوى كون العين بعد مغصوبة و بالإذن لا تخرج عن الغصبية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 أنّه ليس لنا إطلاق يدلّ على منع الصلاة في المغصوب حتّى يؤخذ بإطلاقه،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العين باقية على الغصب لا يجوز الصلاة فيها و لو للمالك، بل لو كان هناك إطلاق لما كان دالّا على ذلك، لعدم شموله لصورة الإذن، أو انصرافه إلى غير ذلك،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فيما يتعلّق باللباس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قيل باعتباره في لباس المصلّي هو أن لا يصلّي فيما يستر ظهر القدم دون الساق، ذكره جماعة من الأعلام، و قد استدلّ عليه بما روي مرسلا من عدم جواز الصلاة في الشمشك بضمّ الأوليين و سكون الثالث، و النعل السندية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قد فهموا من ذلك المثال و تعدّوا عنهما إلى كلّ ما لا يغطّي الساق، هذا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الأقوى الجواز، لأنّ إثبات الحكم بمثل هذا المرسل الذي لم يعلم عمل القدماء به مشكل، و على فرض العمل به فلم يعلم أنّ المنع عنهما لمكان عدم تغطية الساق، إذ يحتمل أن يكون النهي من ذلك لأجل عدم استقرار</w:t>
      </w:r>
    </w:p>
    <w:p>
      <w:pPr>
        <w:pStyle w:val="BookText"/>
        <w:rPr/>
      </w:pPr>
      <w:r>
        <w:rPr>
          <w:rFonts w:ascii="Amiri" w:hAnsi="Amiri" w:eastAsia="Amiri" w:cs="Amiri"/>
          <w:color w:val="111111"/>
          <w:sz w:val="28"/>
          <w:sz w:val="28"/>
          <w:szCs w:val="28"/>
          <w:rtl w:val="true"/>
          <w:lang w:bidi="ar-SA"/>
        </w:rPr>
        <w:t xml:space="preserve">الإبهام على الأرض بنفسه أو بحائل في حال السجود، بل يبقى الإبهام في زاوية النعل معلّقا بالهواء، كما هو المحسوس في أغلب النعول، هذا كلّه مضافا إلى ما في التوقيع المروي عن الاحتجاج أنّ محمّد بن عبد اللّٰه بن جعفر الحميري كتب إلى صاحب الزمان عليه السّلام يسأله هل يجوز للرجل أن يصلّي و في رجليه بطيط لا يغطّي الكعبين أم لا يجوز؟ فوقّع عليه السّلام جائز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إرادة العظمين من الكعبين فيه، و على كلّ حال الظاهر أنّه لا ينبغي الإشكال في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يعتبر في الساتر من اللباس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يعتبر في الستر من حيث المحلّ الذي يجب 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الرجل ستر عورته من القبل و الدبر و البيضتين، و لا يجب ستر ما زاد على ذلك، و لا الصلاة في ثوبين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المرأة فيجب ستر جميع بدنها عدا الوجه و الكفّين و 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استدلّ على ستر جميع البدن بما ورد من أنّ نسائكم عوراتكم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يخفى أنّه ليس المراد منه كون المرأة جميعها عورة التي هي عبارة عن سوءة و ما يستحي منه، بل المراد من كون المرأة عورة وجوب حفظها و مراعاتها، كما هو المراد من قوله تعالى بُيُوتَنٰا عَوْرَةٌ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يدّعى الملازمة بين ما يجب ستره عن غير المحارم و ما يجب ستره في الصلاة، و هو جميع البدن عدا ما استثني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الإنصاف أنّه لم تثبت هذه الملازمة، و لم يدلّ عليها دليل، و النصوص الواردة في الباب ليس إلّا وجوب ليس المرأة ثوبين في الصلاة، و هي أخبار متعدّدة على اختلاف بينها من حيث جعل الثوبين في بعضها الدرع و الخمار، و في بعضها الدرع و المقنعة، و في بعضها</w:t>
      </w:r>
      <w:bookmarkStart w:id="410" w:name="pg19820_206816"/>
    </w:p>
    <w:p>
      <w:pPr>
        <w:pStyle w:val="BookText"/>
        <w:rPr/>
      </w:pPr>
      <w:bookmarkEnd w:id="410"/>
      <w:r>
        <w:rPr>
          <w:rFonts w:ascii="Amiri" w:hAnsi="Amiri" w:eastAsia="Amiri" w:cs="Amiri"/>
          <w:color w:val="111111"/>
          <w:sz w:val="28"/>
          <w:sz w:val="28"/>
          <w:szCs w:val="28"/>
          <w:rtl w:val="true"/>
          <w:lang w:bidi="ar-SA"/>
        </w:rPr>
        <w:t>غير ذلك، و معلوم أنّ ذلك من باب المثال، و المقصود لبسها ثوبين أحدهما يستر أسافل البدن و الآخر أعاليه، بل يكفيها ثوب واحد إذا كان ساترا للأسافل و الأعالي، و التعبير في الثوبين إنّما هو لغلبة تحقّق ستر ذلك بهما، و ندرة الستر بثوب واحد يكون ساترا للجميع، و حينئذ ينبغي الاقتصار بما يقتضيه طبع الثوبين من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إشكال أنّه لو كان هناك ثوبان، سترت بأحدهما أسافل البدن و بالآخر أعاليه، فالذي يتحقّق من الستر هو ستر جميع البدن، عدا ما استثني من الوجه و الكفّين و القدمين، فما في بعض الأخبار </w:t>
      </w:r>
      <w:r>
        <w:rPr>
          <w:rStyle w:val="FootnoteAnchor"/>
          <w:rtl w:val="true"/>
        </w:rPr>
        <w:footnoteReference w:id="448"/>
      </w:r>
      <w:r>
        <w:rPr>
          <w:rFonts w:ascii="Amiri" w:hAnsi="Amiri" w:eastAsia="Amiri" w:cs="Amiri"/>
          <w:color w:val="111111"/>
          <w:sz w:val="28"/>
          <w:sz w:val="28"/>
          <w:szCs w:val="28"/>
          <w:rtl w:val="true"/>
          <w:lang w:bidi="ar-SA"/>
        </w:rPr>
        <w:t xml:space="preserve">من عدم وجوب ستر الرأس مؤوّل أو مطروح، لعدم العمل به، و كذا إلحاق بعض الشعر بالوجه ممّا لا وجه له، مع أنّ المتعارف عند لبس الثوبين هو ستر الشعر أيضا، هذا مضافا إلى دعوى الإجماع و الشهرة المحقّقة على ذلك، فلا ينبغي الإشكال في ذلك، كما لا ينبغي الإشكال في عدم وجوب ستر الوجه و الكفّ و القدم، بعد ما كان المتعارف عند لبس الثوبين عدم ستر ذلك بهما، فما في بعض العبائر من وجوب ستر جميع البدن إلّا موضع السجود ممّا لا وجه له، و كذا لا إشكال في عدم وجوب ستر الرأس على الأمة، لورود النص </w:t>
      </w:r>
      <w:r>
        <w:rPr>
          <w:rStyle w:val="FootnoteAnchor"/>
          <w:rtl w:val="true"/>
        </w:rPr>
        <w:footnoteReference w:id="449"/>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pStyle w:val="Heading6"/>
        <w:numPr>
          <w:ilvl w:val="5"/>
          <w:numId w:val="1"/>
        </w:numPr>
        <w:rPr/>
      </w:pPr>
      <w:bookmarkStart w:id="411" w:name="__RefHeading___Toc3360266_2314609296"/>
      <w:bookmarkStart w:id="412" w:name="_Toc160"/>
      <w:bookmarkEnd w:id="411"/>
      <w:r>
        <w:rPr>
          <w:rtl w:val="true"/>
        </w:rPr>
        <w:t>بقي في المقام فروع مهمّة ينبغي التعرّض لها</w:t>
      </w:r>
      <w:r>
        <w:rPr>
          <w:rtl w:val="true"/>
        </w:rPr>
        <w:t>.</w:t>
      </w:r>
      <w:bookmarkEnd w:id="412"/>
    </w:p>
    <w:p>
      <w:pPr>
        <w:pStyle w:val="Heading6"/>
        <w:numPr>
          <w:ilvl w:val="5"/>
          <w:numId w:val="1"/>
        </w:numPr>
        <w:rPr/>
      </w:pPr>
      <w:bookmarkStart w:id="413" w:name="__RefHeading___Toc3360268_2314609296"/>
      <w:bookmarkStart w:id="414" w:name="_Toc161"/>
      <w:bookmarkEnd w:id="413"/>
      <w:r>
        <w:rPr>
          <w:rtl w:val="true"/>
        </w:rPr>
        <w:t>الأول</w:t>
      </w:r>
      <w:r>
        <w:rPr>
          <w:rtl w:val="true"/>
        </w:rPr>
        <w:t xml:space="preserve">: </w:t>
      </w:r>
      <w:r>
        <w:rPr>
          <w:rtl w:val="true"/>
        </w:rPr>
        <w:t>يتحقّق الستر بكلّ ما يكون ساترا بحسب نوعه و طبعه</w:t>
      </w:r>
      <w:bookmarkEnd w:id="414"/>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لا يلزم أن يكون من جنس المنسوج، بل يكفي الجلد و الملبد و غير ذلك من أنواع الساتر، بل و كذا الحشيش و الورق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كون الحشيش و الورق في عرض</w:t>
      </w:r>
      <w:bookmarkStart w:id="415" w:name="pg19820_206817"/>
    </w:p>
    <w:p>
      <w:pPr>
        <w:pStyle w:val="BookText"/>
        <w:rPr/>
      </w:pPr>
      <w:bookmarkEnd w:id="415"/>
      <w:r>
        <w:rPr>
          <w:rFonts w:ascii="Amiri" w:hAnsi="Amiri" w:eastAsia="Amiri" w:cs="Amiri"/>
          <w:color w:val="111111"/>
          <w:sz w:val="28"/>
          <w:sz w:val="28"/>
          <w:szCs w:val="28"/>
          <w:rtl w:val="true"/>
          <w:lang w:bidi="ar-SA"/>
        </w:rPr>
        <w:t>المنسوج و الجلد إذا عمل منه ثوبا و الملبد، أو في طوله و أنّ الانتقال إلى ذلك عند تعذّر المنسوج و شبهه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بعض هو العرضية، و ظاهر آخر الطولية، على اختلاف في كلماتهم في الطولية، و أنّ مثل الطين مثلا هل هو في عرض الحشيش أو في طوله، و غير ذلك ممّا يطّلع عليها المراجع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الجميع في عرض واحد، و أنّه يجوز اختيارا التستّر بالحشيش، و إن مال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الطولية، نظرا إلى أنّ الظاهر من الستر هو الستر بما يكون ساترا في جنسه و طبعه، و إلى صحيح علي بن جعفر سأل أخاه عن رجل قطع عليه أو غرق متاعه فبقي عريانا، و حضرت الصلاة كيف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أصاب حشيشا يستر به عورته أتمّ صلاته بركوع و سجود </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أمره عليه السّلام بالتستّر بالحشيش بعد فرض السائل عدم التمكّن من غيره، و عدم التمكّن و إن كان في كلام السائل لا في كلام الإمام عليه السّلام، إلّا أنّه يشعر بأنّه الانتقال إلى الحشيش إنّما هو عند عدم التمكّن من غيره،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ينبغي القطع بعدم كفاية الستر باليد إلّا عند الضرورة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6" w:name="__RefHeading___Toc3360270_2314609296"/>
      <w:bookmarkStart w:id="417" w:name="_Toc162"/>
      <w:bookmarkEnd w:id="416"/>
      <w:r>
        <w:rPr>
          <w:rtl w:val="true"/>
        </w:rPr>
        <w:t>الثاني</w:t>
      </w:r>
      <w:r>
        <w:rPr>
          <w:rtl w:val="true"/>
        </w:rPr>
        <w:t xml:space="preserve">: </w:t>
      </w:r>
      <w:r>
        <w:rPr>
          <w:rtl w:val="true"/>
        </w:rPr>
        <w:t>الستر واجب في الصلاة و إن لم يكن هناك ناظر محترم</w:t>
      </w:r>
      <w:bookmarkEnd w:id="417"/>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ليس الستر مقصورا بما إذا كان هناك ناظر، بل الستر واجب في الصلاة مطلقا، على وجه لو كان هناك ناظر لامتنع عليه النظر إلى 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يتفرّع على ذلك وجوب ستر العورة من جميع الجهات، فلو كان واقفا على سطح أو شبّاك، بحيث لو كان هناك ناظر من تحت لأمكنه النظر إلى عورته، لم يتحقّق منه الستر الواجب،</w:t>
      </w:r>
      <w:bookmarkStart w:id="418" w:name="pg19820_206818"/>
    </w:p>
    <w:p>
      <w:pPr>
        <w:pStyle w:val="BookText"/>
        <w:rPr/>
      </w:pPr>
      <w:bookmarkEnd w:id="418"/>
      <w:r>
        <w:rPr>
          <w:rFonts w:ascii="Amiri" w:hAnsi="Amiri" w:eastAsia="Amiri" w:cs="Amiri"/>
          <w:color w:val="111111"/>
          <w:sz w:val="28"/>
          <w:sz w:val="28"/>
          <w:szCs w:val="28"/>
          <w:rtl w:val="true"/>
          <w:lang w:bidi="ar-SA"/>
        </w:rPr>
        <w:t>بل كان يجب عليه الستر على وجه لا يمكن للواقف من تحت النظر إلى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كان واقفا على الأرض لم يجب عليه الستر من تحت، لتحقّق الستر بالأرض، بل يجب عليه الستر من سائر الجوانب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بالنسبة إلى الستر عن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الستر عن نفسه ففي وجوبه إشكال، فلو صلّى في ثوب واسع الجيب، بحيث لو أراد النظر إلى عورة نفسه لأمكنه و لو في بعض الأحوال، ففي الصحّة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ذلك إنّما هو لأجل تردّد مفهوم الستر بين الأقل و الأكثر، لعدم العلم بأنّ الستر الواجب في الصلاة ما هو، و أنّه هل يجب الستر حتّى عن نفسه أو لا، و كلّما رجع الشكّ إلى ذلك فالأصل البراءة</w:t>
      </w:r>
      <w:r>
        <w:rPr>
          <w:rFonts w:eastAsia="Amiri" w:cs="Amiri" w:ascii="Amiri" w:hAnsi="Amiri"/>
          <w:color w:val="111111"/>
          <w:sz w:val="28"/>
          <w:szCs w:val="28"/>
          <w:rtl w:val="true"/>
          <w:lang w:bidi="ar-SA"/>
        </w:rPr>
        <w:t>.</w:t>
      </w:r>
    </w:p>
    <w:p>
      <w:pPr>
        <w:pStyle w:val="Heading6"/>
        <w:numPr>
          <w:ilvl w:val="5"/>
          <w:numId w:val="1"/>
        </w:numPr>
        <w:rPr/>
      </w:pPr>
      <w:bookmarkStart w:id="419" w:name="__RefHeading___Toc3360272_2314609296"/>
      <w:bookmarkStart w:id="420" w:name="_Toc163"/>
      <w:bookmarkEnd w:id="419"/>
      <w:r>
        <w:rPr>
          <w:rtl w:val="true"/>
        </w:rPr>
        <w:t>الثالث</w:t>
      </w:r>
      <w:r>
        <w:rPr>
          <w:rtl w:val="true"/>
        </w:rPr>
        <w:t xml:space="preserve">: </w:t>
      </w:r>
      <w:r>
        <w:rPr>
          <w:rtl w:val="true"/>
        </w:rPr>
        <w:t>وجوب الستر في الصلاة إنّما هو وجوب شرطي لا تكليفي محض</w:t>
      </w:r>
      <w:bookmarkEnd w:id="420"/>
    </w:p>
    <w:p>
      <w:pPr>
        <w:pStyle w:val="BookText"/>
        <w:rPr/>
      </w:pPr>
      <w:r>
        <w:rPr>
          <w:rFonts w:ascii="Amiri" w:hAnsi="Amiri" w:eastAsia="Amiri" w:cs="Amiri"/>
          <w:color w:val="111111"/>
          <w:sz w:val="28"/>
          <w:sz w:val="28"/>
          <w:szCs w:val="28"/>
          <w:rtl w:val="true"/>
          <w:lang w:bidi="ar-SA"/>
        </w:rPr>
        <w:t>، كما هو ظاهر الأوامر الواردة في بيان أجزاء العبادة و شرائطها، فلا تصحّ الصلاة مع عدم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شرطيّته مطلقة حتّى في حال الجهل و النسيان، أو مقصورة بصورة العلم و الالتفات؟ الظاهر أنّ شرطيّته ليست مطلقة بحيث لو جهل بالستر أو نسيه في تمام الصلاة أو في بعضها تبطل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تفصيل ذلك هو أنّ عدم الستر، إمّا أن يكون لجهل به، كما إذا تستّر بثوب بتخيّل أنّه ساتر لعورته مع أنّ في الواقع لم يكن ساترا، و إمّا لنسيانه، كما إذا نسي التستّر و صلّى عاريا، من غير فرق بين أن يكون النسيان من أول الصلاة، أو في أثنائها، كما إذا تستّر في أول الصلاة و في الأثناء انكشفت عورته و نسي سترها ثانيا، و إمّا لقهر قاهر، كما إذا هبّ الريح في أثناء الصلاة فانكشفت 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هذه الأمور الثلاثة إمّا أن يزول المانع من الجهل و النسيان و القهر في أثناء الصلاة، كما إذا التفت أو تذكّر أو سكن الريح في</w:t>
      </w:r>
    </w:p>
    <w:p>
      <w:pPr>
        <w:pStyle w:val="BookText"/>
        <w:rPr/>
      </w:pPr>
      <w:r>
        <w:rPr>
          <w:rFonts w:ascii="Amiri" w:hAnsi="Amiri" w:eastAsia="Amiri" w:cs="Amiri"/>
          <w:color w:val="111111"/>
          <w:sz w:val="28"/>
          <w:sz w:val="28"/>
          <w:szCs w:val="28"/>
          <w:rtl w:val="true"/>
          <w:lang w:bidi="ar-SA"/>
        </w:rPr>
        <w:t>الأثناء، و إمّا أن يزول بعد الصلاة، فتكون الصور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صورة الجهل فإن لم يلتفت إلّا بعد الصلاة فلا إشكال في الصحّة، لصحيح علي بن جعفر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يصلّي و فرجه خارج لا يعلم به، هل عليه إعادة أو ما حاله؟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إعادة عليه، و قد تمّت صلاته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المتيقّن من شموله هو صورة عدم الالتفات إلّا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التفت في الأثناء، فهو و إن كان خارجا عن مورد الرواية، إلّا أنّه لا يبعد دعوى عدم الفرق بين وقوع تمام الصلاة من غير ساتر لجهل به، أو وقوع بعضها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إنّما يجدي بالنسبة إلى حال الجهل، بمعنى أنّ الأجزاء الواقعة في حال الجهل بعدم الستر حالها حال جميع الصلاة الواقعة كذلك، و أمّا بالنسبة إلى حال العلم بذلك، و هو آن التفاته إلى أنّه مكشوف العورة و هو عالم به؟ فبأيّ وجه يمكن القول بالصحّة مع أنّه يصدق عليه أنّه مكشوف العورة و هو عالم به؟ و لا يجديه تحقّق الستر منه بعد العلم فورا، فإنّ الكلام إنّما هو في آن العلم و الالتفات، فإنّ في هذا الآن إلى أن يتحقّق الستر منه لم يكن واجدا للشرط من الستر مع علمه بذلك، و الحال أنّ الستر شرط في جميع أكوان الصلاة، لا أنّه شرط لخصوص الأقوال و الأفعال، كما سيأتي بيانه إن شاء اللّٰه، فيشكل الأمر في هذه الصورة، و هي صورة التفاته في الأثناء</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البناء على أنّ الأجزاء السابقة على الالتفات، الواقعة في حال عدم التستّر مشمولة لصحيح علي بن جعفر، فبلازمه يدلّ على اغتفار</w:t>
      </w:r>
    </w:p>
    <w:p>
      <w:pPr>
        <w:pStyle w:val="BookText"/>
        <w:rPr/>
      </w:pPr>
      <w:r>
        <w:rPr>
          <w:rFonts w:ascii="Amiri" w:hAnsi="Amiri" w:eastAsia="Amiri" w:cs="Amiri"/>
          <w:color w:val="111111"/>
          <w:sz w:val="28"/>
          <w:sz w:val="28"/>
          <w:szCs w:val="28"/>
          <w:rtl w:val="true"/>
          <w:lang w:bidi="ar-SA"/>
        </w:rPr>
        <w:t>عدم تحقّق الستر في حال الالتفات إلى حصول الستر، و إلّا لغا صحّة الأجزاء الواقعة في حال الجهل، فإنّ معنى اغتفار عدم تحقّق الستر مع الجهل به فيما مضى من صلاته و لو التفت في الأثناء هو اغتفار عدم الستر في حال الالتفات إلى أن يحصل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إمّا من القول بأنّ رواية علي بن جعفر مقصورة بصورة وقوع تمام الصلاة فاقدة للستر مع الجهل، فلا تعمّ وقوع بعض الأجزاء كذلك، و هو بعيد غايته، و إمّا من القول باغتفار عدم الستر في حال الالتفات لو التفت في الأثناء</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صحيح علي بن جعفر كان شموله لمحلّ البحث بالعموم و من المعلوم في محلّه أنّه لو كان هناك عموم ذو أفراد و كان شمول العام لبعض الأفراد بلا عناية و شموله لبعض آخر يتوقّف على عناية من إثبات لازم ذلك البعض، كان ذلك الفرد المتوقّف شمول العام له على عناية إثبات لازمة غير مشمول للعام من أصله لا أنّه مشمول له، نعم لو كان الدليل خاصّا بذاك الفرد لكان لا محالة مثبتا للازمه من جهة خروج الكلام عن اللغوية، و لنوضّح ذلك بمثال مثلا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عام ذو أفراد شامل لكلّ تكليف مجهول أمر وضعه و رفعه بيد الشارع كالشكّ في وجوب الدعاء و الصلاة و غير ذلك، و من التكليف المجهول الشكّ في جزئية شي‌ء للعبادة كالسورة للصلاة فيعمّه حديث الرفع و لكنّ الشكّ في جزئية ذلك الشي‌ء يلازم الشكّ في حصول الغرض و المصلحة التي اقتضت الأمر بالمركّب عند عدم فعل ذلك المشكوك، فلو قلنا إنّ تحصيل الغرض ليس بواجب بل</w:t>
      </w:r>
    </w:p>
    <w:p>
      <w:pPr>
        <w:pStyle w:val="BookText"/>
        <w:rPr/>
      </w:pPr>
      <w:r>
        <w:rPr>
          <w:rFonts w:ascii="Amiri" w:hAnsi="Amiri" w:eastAsia="Amiri" w:cs="Amiri"/>
          <w:color w:val="111111"/>
          <w:sz w:val="28"/>
          <w:sz w:val="28"/>
          <w:szCs w:val="28"/>
          <w:rtl w:val="true"/>
          <w:lang w:bidi="ar-SA"/>
        </w:rPr>
        <w:t>الواجب هو فعل متعلّق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المختار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شمول حديث الرفع للجزء المشكوك في عرض شموله لسائر التكاليف المجهولة بلا عناية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قلنا بوجوب تحصيل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أن يعمّ حديث الرفع </w:t>
      </w:r>
      <w:r>
        <w:rPr>
          <w:rStyle w:val="FootnoteAnchor"/>
          <w:rtl w:val="true"/>
        </w:rPr>
        <w:footnoteReference w:id="454"/>
      </w:r>
      <w:r>
        <w:rPr>
          <w:rFonts w:ascii="Amiri" w:hAnsi="Amiri" w:eastAsia="Amiri" w:cs="Amiri"/>
          <w:color w:val="111111"/>
          <w:sz w:val="28"/>
          <w:sz w:val="28"/>
          <w:szCs w:val="28"/>
          <w:rtl w:val="true"/>
          <w:lang w:bidi="ar-SA"/>
        </w:rPr>
        <w:t>للجزء المشكوك، لما عرفت من أنّ الشكّ فيه يلازم الشكّ في حصول الغرض و الشكّ في حصول الغرض هو بنفسه لم يكن مشمولا لحديث الرفع لأنّه من الشكّ في المحصّل الذي لا تجري البراءة فيه كما أوضحناه في محلّه، و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الرفع بالنسبة إلى نفس الجزء المشكوك لا مانع من شموله، لأنّه تكليف مجهول، و شموله لذلك لا يلازم إلقاء الشارع، للشكّ في المحصّل و جعله الخالي من ذلك الجزء محصّلا للغرض و إلّا لغا رفع الجزء المشكوك لأنّه دائما ملازم للشكّ في حصول الغرض، فلو لم يجعل الشارع الخالي من ذلك الجزء محصّلا للغرض لما كان معنى لقوله رفع التكليف عن الجزء المشكوك، إذ لا فائدة في رفعه، و ذلك لأنّ هذا فرع شمول حديث الرفع للجزء المشكوك الملازم لذلك اللازم من الشكّ في المحصّل، و الكلام بعد في شموله للجزء المشكوك لأنّ شموله لذلك يتوقّف على جعل آخر من إلقاء الشكّ في المحصّل و إلّا كان شموله لذلك لغوا كما قيل، و ذلك الجعل الآخر يتوقّف شمول حديث الرفع للجزء المشكوك و هذا كما ترى</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الرفع إنّما هو متكفّل لجعل مدلوله، فلا يمكن أن يتكفّل لجعل آخر غير مدلوله، فلو توقّف شموله لبعض أفراده على جعل آخر كان ذلك مانعا عن شموله لذلك الفرد لا أنّه يشمل و بشموله يترتّب عليه</w:t>
      </w:r>
    </w:p>
    <w:p>
      <w:pPr>
        <w:pStyle w:val="BookText"/>
        <w:rPr/>
      </w:pPr>
      <w:r>
        <w:rPr>
          <w:rFonts w:ascii="Amiri" w:hAnsi="Amiri" w:eastAsia="Amiri" w:cs="Amiri"/>
          <w:color w:val="111111"/>
          <w:sz w:val="28"/>
          <w:sz w:val="28"/>
          <w:szCs w:val="28"/>
          <w:rtl w:val="true"/>
          <w:lang w:bidi="ar-SA"/>
        </w:rPr>
        <w:t xml:space="preserve">ذلك الجعل الآخر، و من هنا لا نقول بالأصل المثبت، نعم لو كان حديث الرفع مختصّا بالأجزاء كان لا محالة يترتّب عليه ذلك الجعل و إلّا لغا إلّا أنّ الأمر ليس كذلك، فإنّه من عدم شموله للأجزاء لا يلزم محذور أصلا و لا يبقى العام بلا مورد، لبقاء الشكّ في التكليف غير الأجزاء تحته، و ما نحن فيه من هذا القبيل عينا، فإنّ رواية علي بن جعفر </w:t>
      </w:r>
      <w:r>
        <w:rPr>
          <w:rStyle w:val="FootnoteAnchor"/>
          <w:rtl w:val="true"/>
        </w:rPr>
        <w:footnoteReference w:id="455"/>
      </w:r>
      <w:r>
        <w:rPr>
          <w:rFonts w:ascii="Amiri" w:hAnsi="Amiri" w:eastAsia="Amiri" w:cs="Amiri"/>
          <w:color w:val="111111"/>
          <w:sz w:val="28"/>
          <w:sz w:val="28"/>
          <w:szCs w:val="28"/>
          <w:rtl w:val="true"/>
          <w:lang w:bidi="ar-SA"/>
        </w:rPr>
        <w:t xml:space="preserve">إنّما هي متكفّلة لحال الجهل بعدم الساتر، و أمّا حال العلم بعدم الساتر إلى حصول الستر منه فالرواية غير متعرّضة له بالمطابقة، نعم لازم شمولها لصورة الالتفات في الأثناء هو اغتفار حال العلم أيضا، كما كان لازم شمول حديث الرفع </w:t>
      </w:r>
      <w:r>
        <w:rPr>
          <w:rStyle w:val="FootnoteAnchor"/>
          <w:rtl w:val="true"/>
        </w:rPr>
        <w:footnoteReference w:id="456"/>
      </w:r>
      <w:r>
        <w:rPr>
          <w:rFonts w:ascii="Amiri" w:hAnsi="Amiri" w:eastAsia="Amiri" w:cs="Amiri"/>
          <w:color w:val="111111"/>
          <w:sz w:val="28"/>
          <w:sz w:val="28"/>
          <w:szCs w:val="28"/>
          <w:rtl w:val="true"/>
          <w:lang w:bidi="ar-SA"/>
        </w:rPr>
        <w:t>للأجزاء هو محصّلية الخالي عن الجزء المشكوك، فلا يمكن أن يقال إنّ الرواية شاملة لصورة الالتفات في الأثناء و يترتّب عليه اغتفار حال الالتفات أيضا و إلّا لغا، إذ اللغوية إنّما تلزم لو كانت الرواية مختصّة بصورة الالتفات في الأثناء، إلّا أنّ الأمر ليس كذلك لأنّ من عدم شموله لتلك الصورة لا يلزم منه محذور بقاء الرواية بلا مورد، لشمولها لصورة الالتفات بعد الصلاة فتأمّل جيدا، هذا كلّه في الجهل</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النسيان فلو نسي الستر و لم يتذكّر إلّا بعد الصلاة، فقد حكي </w:t>
      </w:r>
      <w:r>
        <w:rPr>
          <w:rStyle w:val="FootnoteAnchor"/>
          <w:rtl w:val="true"/>
        </w:rPr>
        <w:footnoteReference w:id="457"/>
      </w:r>
      <w:r>
        <w:rPr>
          <w:rFonts w:ascii="Amiri" w:hAnsi="Amiri" w:eastAsia="Amiri" w:cs="Amiri"/>
          <w:color w:val="111111"/>
          <w:sz w:val="28"/>
          <w:sz w:val="28"/>
          <w:szCs w:val="28"/>
          <w:rtl w:val="true"/>
          <w:lang w:bidi="ar-SA"/>
        </w:rPr>
        <w:t>عن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الصلاة، و ربّما يقال بالصحّة لعموم رفع النسيان، و قد بينا في محلّه عدم إمكان التمسّك بحديث الرفع لرفع الأجزاء و الشرائط المنسيّة، و من الغريب أنّه لم يتمسّك لما نحن فيه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458"/>
      </w:r>
      <w:r>
        <w:rPr>
          <w:rFonts w:ascii="IRNazanin" w:hAnsi="IRNazanin" w:eastAsia="IRNazanin"/>
          <w:color w:val="111111"/>
          <w:sz w:val="28"/>
          <w:sz w:val="28"/>
          <w:szCs w:val="28"/>
          <w:rtl w:val="true"/>
          <w:lang w:bidi="fa-IR"/>
        </w:rPr>
        <w:t>، و دعوى</w:t>
      </w:r>
    </w:p>
    <w:p>
      <w:pPr>
        <w:pStyle w:val="BookText"/>
        <w:rPr/>
      </w:pPr>
      <w:r>
        <w:rPr>
          <w:rFonts w:ascii="Amiri" w:hAnsi="Amiri" w:eastAsia="Amiri" w:cs="Amiri"/>
          <w:color w:val="111111"/>
          <w:sz w:val="28"/>
          <w:sz w:val="28"/>
          <w:szCs w:val="28"/>
          <w:rtl w:val="true"/>
          <w:lang w:bidi="ar-SA"/>
        </w:rPr>
        <w:t xml:space="preserve">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مقصور بالأجزاء دون الشرائط، يدفعها اشتمال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الشرائط كالقبلة و الطهور، فالظاهر أنّه لا مانع من شمول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لصورة النسيان إلّا أنّ الجرأة على الفتوى به مشكل، بعد عدم تمسّك الأساطين به مع علمهم به في سائر المقامات، بل عليه يبتنى غالب أساس قواعد الخلل، هذا لو تذكّر بعد الصلاة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لو تذكّر في الأثناء فبالنسبة إلى الأجزاء الواقعة مع غير الساتر في حال النسيان لا مانع من شمول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و أمّا بالنسبة إلى حال التذكر فالكلام فيه الكلام في حال الجهل لأنّ حال التذكّر غير داخل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بعناية دخول ملزومه من حال النسيان، و المفروض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عام لا يلزم من عدم شموله لصورة التذكّر في الأثناء محذور أصلا،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ملاك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للنسيان السابق على التذكّر هو بعينه موجود في حال التذكّر فحال التذكّر مشمول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عرض شموله لحال النسيان لا أنّه لازم له، و ذلك لأنّ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مقصور بما إذا كان التكليف بالجزء الفائت ساقط بحيث يستحيل التكليف به إلّا بالإعادة، و لا يمكن التكليف به بدون الأمر بالإعادة، فكلّ مورد كان التكليف منحصر بالإعادة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ترفعه، و أمّا إذا أمكن التكليف بالفائت بدون الأمر بالإعادة فلا يعمّه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منحصر بما إذا كان التكليف بالفائت مساوق لقوله أعد فب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تنفى الإعادة، و من هنا كان الجهل خارجا عن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 الجزء أو الشرط جهلا لا يوجب سقوط التكليف به لقدرته على فعل الجزء أو الشرط خارجا، غايته أنّه لا يفعله لا أنّه لا يمكنه فعله، حتّى يسقط التكليف منه و ينحصر تكليفه بالإعادة، بل هو حال ترك الجزء مكلّف بفعله، و لا يقال 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لتمكّنه من فعلها، و الجهل لا يوجب سقوط التكليف في شي‌ء من الموارد، و هذا بخلاف صورة النسيان، فإنّه يستحيل تكليف الناسي للجزء أو الشرط لخروجه بنسيانه عن قدرته و ينحصر تكليفه حينئذ بالإعادة، و من هنا نقول يلزم تدارك المنسيّ مع بقاء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الدخول في 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انحصار تكليفه حينئذ بالإعادة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ينحصر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كان التكليف بالفائت مساوقا لقوله أعد، و هذا في صورة النسيان واضح و كذا ما بحكمه ممّا إذا لم يمكن التكليف بالفائت إلّا بالإعادة 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كما كان ترك الستر في حال النسيان مشمولا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ترك الستر في حال التذكّر إلى زمان يمكنه الستر مشمول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بمناط شموله لحال النسيان، إذ ليس مناط شموله لحال النسيان إلّا امتناع تكليفه بالستر في ذلك الحال إلّا بالإعادة، فكذلك في حال التذكّر لامتناع تكليفه بالستر في ذلك الحال قبل مضيّ زمان يمكنه الستر، و ينحصر تكليفه بالإعادة لو كان الستر شرطا في ذلك الحال، فحديث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بمناط واحد يشمل حال النسيان و التذكّر في عرض واحد لا أنّ أحدهما لازم للآخر حتّى يتّجه عليه الإشكال المتقدّم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بذلك ظهر حكم ما إذا كان عدم الستر لقهر قاهر من ريح و غيره فإنّه مشمول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 قسميه من زوال المانع بعد الصلاة أو في الأثناء، بل يمكن أن يقال بالصحّة في الصورة الثانية أيضا، و هي ما إذا كان عدم التستّر لجهل به و قد علم به في الأثناء، غايته أنّ الصحّة فيها يكون بمجموع الدليلين من رواية على بن جعفر </w:t>
      </w:r>
      <w:r>
        <w:rPr>
          <w:rStyle w:val="FootnoteAnchor"/>
          <w:rtl w:val="true"/>
        </w:rPr>
        <w:footnoteReference w:id="460"/>
      </w:r>
      <w:r>
        <w:rPr>
          <w:rFonts w:ascii="Amiri" w:hAnsi="Amiri" w:eastAsia="Amiri" w:cs="Amiri"/>
          <w:color w:val="111111"/>
          <w:sz w:val="28"/>
          <w:sz w:val="28"/>
          <w:szCs w:val="28"/>
          <w:rtl w:val="true"/>
          <w:lang w:bidi="ar-SA"/>
        </w:rPr>
        <w:t xml:space="preserve">، و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w:t>
      </w:r>
      <w:bookmarkStart w:id="421" w:name="pg19820_206825"/>
    </w:p>
    <w:p>
      <w:pPr>
        <w:pStyle w:val="BookText"/>
        <w:rPr/>
      </w:pPr>
      <w:bookmarkEnd w:id="421"/>
      <w:r>
        <w:rPr>
          <w:rFonts w:ascii="Amiri" w:hAnsi="Amiri" w:eastAsia="Amiri" w:cs="Amiri"/>
          <w:color w:val="111111"/>
          <w:sz w:val="28"/>
          <w:sz w:val="28"/>
          <w:szCs w:val="28"/>
          <w:rtl w:val="true"/>
          <w:lang w:bidi="ar-SA"/>
        </w:rPr>
        <w:t>تدلّ على الصحّة بالنسبة إلى حال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الستر الحاصل في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يدلّ عليها بالنسبة إلى حال العلم بمقدار يمكنه الستر، و لا حاجة إلى التمسك بالصحّة لحال العلم برواية علي بن جعفر حتّى يقال إنّ ذلك من إثبات اللازم بالعام،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يكون الستر شرطا في جميع الصلاة من أجزائها و أكوانها حتّى السكونات المتخلّلة، و ليس شرطيّة الستر كشرطية الطهارة من الخبث حيث تكون شرطا في خصوص الأجزاء، و من هنا كان نجاسة البدن أو الثوب في بين السكونات مع تطهيره عند فعل الأجزاء ممّا لا يخلّ بالصحّة، لأنّ النجاسة الخبثية اعتبرت على جهة المانعية لا القاطعية، بخلاف الحدث، و الظاهر أن يكون شرطية الستر من قبيل شرطيّة الطهارة الحدثيّة و ذلك لظهور الأدلّة في ذلك، فإنّ الظاهر من اعتبار الستر في الصلاة هو اعتباره في جميع الصلاة حتّى في الهيئة الاتّصالية، و جعله من قبيل النجاسة الخبثية يحتاج إلى دليل، هذا مع أنّ مناسبة الحكم و الموضوع يقتضي ذلك، حيث إنّه لا يناسب الوقوف بين يدي الجبّار مع كونه مكشوف العورة و لو في آن من الآنات</w:t>
      </w:r>
      <w:r>
        <w:rPr>
          <w:rFonts w:eastAsia="Amiri" w:cs="Amiri" w:ascii="Amiri" w:hAnsi="Amiri"/>
          <w:color w:val="111111"/>
          <w:sz w:val="28"/>
          <w:szCs w:val="28"/>
          <w:rtl w:val="true"/>
          <w:lang w:bidi="ar-SA"/>
        </w:rPr>
        <w:t>.</w:t>
      </w:r>
    </w:p>
    <w:p>
      <w:pPr>
        <w:pStyle w:val="Heading6"/>
        <w:numPr>
          <w:ilvl w:val="5"/>
          <w:numId w:val="1"/>
        </w:numPr>
        <w:rPr/>
      </w:pPr>
      <w:bookmarkStart w:id="422" w:name="__RefHeading___Toc3360274_2314609296"/>
      <w:bookmarkStart w:id="423" w:name="_Toc164"/>
      <w:bookmarkEnd w:id="422"/>
      <w:r>
        <w:rPr>
          <w:rtl w:val="true"/>
        </w:rPr>
        <w:t>الخامس</w:t>
      </w:r>
      <w:r>
        <w:rPr>
          <w:rtl w:val="true"/>
        </w:rPr>
        <w:t xml:space="preserve">: </w:t>
      </w:r>
      <w:r>
        <w:rPr>
          <w:rtl w:val="true"/>
        </w:rPr>
        <w:t>قد عرفت فيما تقدّم الكلام في الستر بالحشيش</w:t>
      </w:r>
      <w:bookmarkEnd w:id="423"/>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أنّه هو في طول الستر بما يكون ساترا في نوعه كالثوب أو في عرضه و هل التستّر </w:t>
      </w:r>
      <w:r>
        <w:rPr>
          <w:rStyle w:val="FootnoteAnchor"/>
          <w:rtl w:val="true"/>
        </w:rPr>
        <w:footnoteReference w:id="461"/>
      </w:r>
      <w:r>
        <w:rPr>
          <w:rFonts w:ascii="Amiri" w:hAnsi="Amiri" w:eastAsia="Amiri" w:cs="Amiri"/>
          <w:color w:val="111111"/>
          <w:sz w:val="28"/>
          <w:sz w:val="28"/>
          <w:szCs w:val="28"/>
          <w:rtl w:val="true"/>
          <w:lang w:bidi="ar-SA"/>
        </w:rPr>
        <w:t>بالطين و الدخول في الحفيرة و الماء الكدر و غير ذلك ممّا يحصل به الستر عن الناظر المحترم يكون كالتستّر بالحشيش أو لا؟ و اعلم أنّ الكلام في التستّر بالطين و ما شابهه من الحفيرة و الماء الكدر يقع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الستر بذلك هل هو من الستر الصلاتي حتّى يجب و لو مع الأمن عن الناظر المحترم، أو أنّه ليس من الستر الصلاتي بل هو من الستر عن الناظر المحترم فلا يجب إلّا مع عدم الأمن منه؟</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ثبت أنّ الستر بذلك إنّما يكون من الستر الصلاتي، فهل هو في طول سائر ما يحصل به الستر، حتّى يكون الانتقال إليه بعد عدم التمكّن من غيره حتّى من الحشيش الذي ثبت كونه ساترا في الجملة، أو أنّه في عرض غيره، و هذا بخلاف الكلام في الحشيش فإنّه كان متحصلا من الجهة الثانية، لأنّه لا إشكال في أنّ الستر بالحشيش كان من الستر الصلاتي، كما دلّ عليه رواية علي بن جعفر، و على كلّ حال ليس فيما بأيدينا من الأدلة ما يدلّ على وجوب الستر بهذه الأشياء سوى رواية الحفيرة، و هي رواية مرسلة أيّوب ابن نوح عن بعض أصحابه عن أبي عبد اللّٰه عليه السّلام العاري الذي ليس له ثوب إذا وجد حفرة دخلها و سجد فيها و ركع </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و إن كانت مرسلة إلّا أنّ عمل الأصحاب بها يكون جابرا لها، فمن هذه الجهة لا إشكال إنّما الإشكال فيما يستفاد منها، من أنّ النزول في الحفيرة هل هو من جهة حصول الستر الصلاتي، كما قوّاه بعض الأعلام في بعض رسائله العملية، أو من جهة الأمن عن الناظر، كما قواه صاحب الجواهر </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بنى في رسالته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تنقيح البحث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المرسلة صالحة لأن تكون مقيّدة لأحد الإطلاقين</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رواية علي بن جعفر الدالّة على أنّه إن لم يجد شيئا يستر به</w:t>
      </w:r>
    </w:p>
    <w:p>
      <w:pPr>
        <w:pStyle w:val="BookText"/>
        <w:rPr/>
      </w:pPr>
      <w:r>
        <w:rPr>
          <w:rFonts w:ascii="Amiri" w:hAnsi="Amiri" w:eastAsia="Amiri" w:cs="Amiri"/>
          <w:color w:val="111111"/>
          <w:sz w:val="28"/>
          <w:sz w:val="28"/>
          <w:szCs w:val="28"/>
          <w:rtl w:val="true"/>
          <w:lang w:bidi="ar-SA"/>
        </w:rPr>
        <w:t xml:space="preserve">للصلاة حتّى الحشيش فليصلّ قائما بإيماء، فتكون هذه المرسلة مقيّدة لإطلاق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يجد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فيصير المعنى حينئذ إن لم يجد شيئا يستر به حتّى الحفيرة فليصلّ قائما بإيماء، و أمّا لو وجد حفيرة فلينزلها و يصلّي مع ركوع و سجود، و على هذا يكون الستر بالحفيرة من الستر الصلاتي، و يجب حينئذ و إن أمن المطّلع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ما دلّ على أنّه عند الأمن من المطّلع يصلّي قائما بإيماء، و إن كان بعض الروايات خالية عن قيد الإيماء كمرسل ابن مسكان المنجبر بالشهرة يصلّي عريانا قائما إن لم يره أحد فإن رآه أحد صلّى جالسا</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فتكون المرسلة مقيّدة لهذه الطائفة من الأخبار، فيصير المعنى حينئذ إن أمن المطّلع صلّى قائما و إن لم يأمن المطّلع صلّى جالسا إلّا إذا وجد حفيرة فيدخلها و يصلّي قائما بركوع و سجود، فتخرج الرواية حينئذ عن الستر الصلاتي، و يكون النزول في الحفيرة مقصورا بما إذا لم يأمن المطّلع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أنّه لا مانع من تقييد كلا الإطلاقين واضح الفساد، فإنّ تقييد الإطلاق الأول يوجب رفع موضوع الإطلاق الثاني، بداهة أنّه لو كان النزول في الحفيرة من مراتب الستر الصلاتي لكان اللازم حينئذ نزولها سواء أمن المطلع أو لم يأمن</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الحفيرة يمكن أن تكون مقيّدة لإطلاق رواية علي بن جعفر </w:t>
      </w:r>
      <w:r>
        <w:rPr>
          <w:rStyle w:val="FootnoteAnchor"/>
          <w:rtl w:val="true"/>
        </w:rPr>
        <w:footnoteReference w:id="465"/>
      </w:r>
      <w:r>
        <w:rPr>
          <w:rFonts w:ascii="Amiri" w:hAnsi="Amiri" w:eastAsia="Amiri" w:cs="Amiri"/>
          <w:color w:val="111111"/>
          <w:sz w:val="28"/>
          <w:sz w:val="28"/>
          <w:szCs w:val="28"/>
          <w:rtl w:val="true"/>
          <w:lang w:bidi="ar-SA"/>
        </w:rPr>
        <w:t>، الدالّة على أنّه عند عدم إصابة شي‌ء يستر به عورته للصلاة يصلّي قائما بإيماء، سواء وجد حفيرة أو لم يجد، و هذه المرسلة تدلّ على أنّه إن وجد حفيرة ليس له الإيماء بل يصلّي بركوع و سجود فتقيّد تلك الإطلاق و يكون</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النزول في الحفيرة من مراتب الستر الصلاتي، و يمكن أن تكون مقيّدة لإطلاق الروايات الدالّة على أنّه عند عدم الأمن من المطّلع يصلّي جالسا إلّا إذا وجد حفيرة فينزلها و يصلّي قائما بركوع و سجود، و الذي يوهن أن تكون المرسلة مقيّدة للإطلاق الثاني، هو أنّه لم يفرض في المرسلة عدم الأمن عن المطّلع بل هي من هذه الجهة مطلقة، و يكون التعارض بينها و بين ما دلّ على الصلاة جالسا عند عدم الأمن عن المطّلع بالعموم من وجه، فإنّ ما دلّ على الصلاة جالسا أعم من وجدان الحفيرة و عدمه، كما أنّ المرسلة أعم من الأمن عن المطّلع و عدمه،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بالنزول بالحفيرة إنّما هو لعدم الأمن عن المطّلع، و إلّا لكان النزول لغوا إلّا إذا كان من مراتب الستر الصلاتي، فحينئذ يكون الأمر به لذلك، و الذي يوهن أيضا أن تكون المرسلة مقيّدة للإطلاق الثاني هو أنّه بعد ما لم يكن النزول في الحفيرة من مراتب الستر الصلاتي، و كان لأجل الأمن عن المطّلع، فتكون حكم الصلاة في الحفيرة حكم صلاة العراة الآمنين، و سيأتي أنّ حكمها الصلاة قائما مع الإيماء من دون ركوع و سجود، و إن خالف في ذلك بعض الأعلام كصاحب الجواهر </w:t>
      </w:r>
      <w:r>
        <w:rPr>
          <w:rStyle w:val="FootnoteAnchor"/>
          <w:rtl w:val="true"/>
        </w:rPr>
        <w:footnoteReference w:id="466"/>
      </w:r>
      <w:r>
        <w:rPr>
          <w:rFonts w:ascii="Amiri" w:hAnsi="Amiri" w:eastAsia="Amiri" w:cs="Amiri"/>
          <w:color w:val="111111"/>
          <w:sz w:val="28"/>
          <w:sz w:val="28"/>
          <w:szCs w:val="28"/>
          <w:rtl w:val="true"/>
          <w:lang w:bidi="ar-SA"/>
        </w:rPr>
        <w:t>حيث قال بالركوع و السجود فيها نظرا إلى هذه المرسلة، إلّا أنّه سيأتي ضعفه و هذا بخلاف ما إذا جعلنا النزول في الحفيرة من مراتب الستر الصلاتي، فإن اعتبار الركوع و السجود فيها على القاعدة و لعل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النزول في الحفيرة من مراتب الستر الصلاتي كان نظره إلى هذا، و لكن الذي يوهن أن يكون النزول في الحفيرة من مراتب الستر الصلاتي، هو استبعاد كون النزول في الحفيرة التي يمكن للشخص من الركوع و السجود فيها من مراتب الستر الصلاتي، مع كون الحفيرة بهذه السعة، إذ</w:t>
      </w:r>
      <w:bookmarkStart w:id="424" w:name="pg19820_206829"/>
    </w:p>
    <w:p>
      <w:pPr>
        <w:pStyle w:val="BookText"/>
        <w:rPr/>
      </w:pPr>
      <w:bookmarkEnd w:id="424"/>
      <w:r>
        <w:rPr>
          <w:rFonts w:ascii="Amiri" w:hAnsi="Amiri" w:eastAsia="Amiri" w:cs="Amiri"/>
          <w:color w:val="111111"/>
          <w:sz w:val="28"/>
          <w:sz w:val="28"/>
          <w:szCs w:val="28"/>
          <w:rtl w:val="true"/>
          <w:lang w:bidi="ar-SA"/>
        </w:rPr>
        <w:t>مناسبة الحكم و الموضوع لا يقتضي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فالإنصاف أنّه لا يمكن القول بأنّ النزول في الحفيرة من مراتب الستر الصلاتي، فتكون رواية الحفيرة حينئذ ساقطة، لأنّه بعد عدم كون النزول فيها من مراتب الستر الصلاتي يكون النزول فيها لأجل الأمن عن المطّلع، و معه لا يمكن الفتوى بمضمونها لما سيأتي، من أنّ صلاة العاري الآمن عن المطّلع إنّما هو بالإيماء لا بالركوع و السجود، مع أنّ الرواية مرسلة و لم يظهر من القدماء العمل بمضمونها، بل سيأتي أنّ نفس وجوب النزول في الحفيرة لأجل تحصيل الأمن عن المطّلع </w:t>
      </w:r>
      <w:r>
        <w:rPr>
          <w:rStyle w:val="FootnoteAnchor"/>
          <w:rtl w:val="true"/>
        </w:rPr>
        <w:footnoteReference w:id="467"/>
      </w:r>
      <w:r>
        <w:rPr>
          <w:rFonts w:ascii="Amiri" w:hAnsi="Amiri" w:eastAsia="Amiri" w:cs="Amiri"/>
          <w:color w:val="111111"/>
          <w:sz w:val="28"/>
          <w:sz w:val="28"/>
          <w:szCs w:val="28"/>
          <w:rtl w:val="true"/>
          <w:lang w:bidi="ar-SA"/>
        </w:rPr>
        <w:t>إشكال، فإنّ من لم يأمن المطّلع تكليفه الجلوس، و لا يجب عليه تحصيل الأمن كما سيأتي بيانه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حكم النزول في الحفيرة التلطّخ بالطين، و النزول في الماء الكدر، و أنّ ذلك ليس من مراتب الستر الصلاتي، بداهة أنّه لو كان التلطّخ بالطين من مراتب الستر الصلاتي لوقع التنبيه عليه في الأخبار، كيف لا يكون كذلك مع أنّ مثل الحشيش نبّه عليه في الأخبار، و الحال أنّ التلطّخ بالطين أسهل أصابه من الحشيش، إذ قلّما يوجد أحد لا يمكنه خلط الماء بالتراب و جعله طينا و تلطيخ العورة به، و إصابة الحشيش لا يكون بهذه السهولة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وقوع التنبيه بالستر بالحشيش في الأخبار و عدم وقوعه بالتلطّخ بالطين، يكشف عن أنّ التلطّخ بالطين ليس من الستر الصلاتي، بل يجب لتحصيل الأمن عن الناظر المحترم</w:t>
      </w:r>
      <w:r>
        <w:rPr>
          <w:rFonts w:eastAsia="Amiri" w:cs="Amiri" w:ascii="Amiri" w:hAnsi="Amiri"/>
          <w:color w:val="111111"/>
          <w:sz w:val="28"/>
          <w:szCs w:val="28"/>
          <w:rtl w:val="true"/>
          <w:lang w:bidi="ar-SA"/>
        </w:rPr>
        <w:t>.</w:t>
      </w:r>
    </w:p>
    <w:p>
      <w:pPr>
        <w:pStyle w:val="Heading6"/>
        <w:numPr>
          <w:ilvl w:val="5"/>
          <w:numId w:val="1"/>
        </w:numPr>
        <w:rPr/>
      </w:pPr>
      <w:bookmarkStart w:id="425" w:name="__RefHeading___Toc3360276_2314609296"/>
      <w:bookmarkStart w:id="426" w:name="_Toc165"/>
      <w:bookmarkEnd w:id="425"/>
      <w:r>
        <w:rPr>
          <w:rtl w:val="true"/>
        </w:rPr>
        <w:t>الفرع السادس</w:t>
      </w:r>
      <w:r>
        <w:rPr>
          <w:rtl w:val="true"/>
        </w:rPr>
        <w:t xml:space="preserve">: </w:t>
      </w:r>
      <w:r>
        <w:rPr>
          <w:rtl w:val="true"/>
        </w:rPr>
        <w:t>من لم يجد شيئا يستر به عورته للصلاة</w:t>
      </w:r>
      <w:bookmarkEnd w:id="426"/>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فإن أمن من الناظر المحترم وجب عليه الصلاة قائما، و إن لم يأمن وجب عليه الصلاة جلوسا، و هذا</w:t>
      </w:r>
    </w:p>
    <w:p>
      <w:pPr>
        <w:pStyle w:val="BookText"/>
        <w:rPr/>
      </w:pPr>
      <w:r>
        <w:rPr>
          <w:rFonts w:ascii="Amiri" w:hAnsi="Amiri" w:eastAsia="Amiri" w:cs="Amiri"/>
          <w:color w:val="111111"/>
          <w:sz w:val="28"/>
          <w:sz w:val="28"/>
          <w:szCs w:val="28"/>
          <w:rtl w:val="true"/>
          <w:lang w:bidi="ar-SA"/>
        </w:rPr>
        <w:t>ممّا لا إشكال فيه و قد تضافرت عليه النصوص، إنّما الكلام في كيفية صلاة القائم و الجالس، أمّا الجالس فالظاهر أيضا أنّه لا إشكال في أنّه لا يجوز له الركوع و السجود بل يومي إليهما، و أمّا القائم فقد اختلفت كلمات الأعلام في كيفيّتها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يركع و يسجد و اختاره في الجواهر </w:t>
      </w:r>
      <w:r>
        <w:rPr>
          <w:rStyle w:val="FootnoteAnchor"/>
          <w:rtl w:val="true"/>
        </w:rPr>
        <w:footnoteReference w:id="468"/>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يومي لهما و هذا هو الأقوى لدلالة جملة من النصوص عليه من غير معارض إلّا رواية الحفيرة </w:t>
      </w:r>
      <w:r>
        <w:rPr>
          <w:rStyle w:val="FootnoteAnchor"/>
          <w:rtl w:val="true"/>
        </w:rPr>
        <w:footnoteReference w:id="469"/>
      </w:r>
      <w:r>
        <w:rPr>
          <w:rFonts w:ascii="Amiri" w:hAnsi="Amiri" w:eastAsia="Amiri" w:cs="Amiri"/>
          <w:color w:val="111111"/>
          <w:sz w:val="28"/>
          <w:sz w:val="28"/>
          <w:szCs w:val="28"/>
          <w:rtl w:val="true"/>
          <w:lang w:bidi="ar-SA"/>
        </w:rPr>
        <w:t>التي قد تقدّم الكلام فيها، فمن ذلك قوله عليه السّلام في رواية علي ابن جعفر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يصب شيئا يستر به عورته أومى و هو قائم</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 xml:space="preserve">، بعد تقييدها بصورة الأمن عن المطلع بقرينة الأخبار المفصّلة، و من ذلك موثّقة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يكون في فلاة من الأرض ليس عليه إلّا ثوب واحد و أجنب فيه و ليس عنده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و يصلّي عريانا قائما و يومي إيماء</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xml:space="preserve">، و في نسخة الكافي </w:t>
      </w: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بناء على وجوب الإيماء عليه لو خالف و ركع و سجد كان مقتضى القاعدة بطلان صلاته لعدم إتيانه ما هو المأمور به في هذا الحال، و دعوى أنّ سقوط الركوع و السجود رخصة لا عزيمة فلا مانع من صحّة الصلاة كذلك ممّا لا شاهد عليها، بعد الأمر بالإيماء، و لو جمع بين الإيماء و الركوع و السجود سهوا ففي بطلان صلاته إشكال، لصدق أنّه زاد في صلاته ركنا من الركوع و السجود فتبطل، و من أنّ الركوع و السجود لم يكونا ركنا في هذا الحال،</w:t>
      </w:r>
      <w:bookmarkStart w:id="427" w:name="pg19820_206831"/>
    </w:p>
    <w:p>
      <w:pPr>
        <w:pStyle w:val="BookText"/>
        <w:rPr/>
      </w:pPr>
      <w:bookmarkEnd w:id="427"/>
      <w:r>
        <w:rPr>
          <w:rFonts w:ascii="Amiri" w:hAnsi="Amiri" w:eastAsia="Amiri" w:cs="Amiri"/>
          <w:color w:val="111111"/>
          <w:sz w:val="28"/>
          <w:sz w:val="28"/>
          <w:szCs w:val="28"/>
          <w:rtl w:val="true"/>
          <w:lang w:bidi="ar-SA"/>
        </w:rPr>
        <w:t>فلا موجب للبطلان و قد اختار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 قال بالبطلان، نظرا إلى أنّ أمره بالإيماء لا يوجب خروج الركوع و السجود عن الركنية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تبطل صلاة من كان وظيفته القيام فخالف و جلس و بالعكس لعدم إتيانه ما هو المأمور به، و دعوى أن أهمّية الستر عن الناظر المحترم أوجب سقوط القيام و الانتقال إلى الجلوس و هذا لا يوجب خروج القيام عن الملاك، فيكون المقام كسائر موارد التزاحم الذي كان لأحد المتزاحمين أهمّية أوجبت الأمر به، فإنّه لا إشكال في أنه لو خالف و أتى بالمزاحم الآخر صحّ لو كان عبادة، فليكن المقام كذلك، ممّا لا دليل عليها، و إن قال به في الجواهر، فإنّه من الممكن أن لا يكون للصلاة عن قيام في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حال عدم الأمن عن الناظر المحترم الذي تكليفه 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يقتضي الصحّة فتأمّل جيّدا</w:t>
      </w:r>
      <w:r>
        <w:rPr>
          <w:rFonts w:eastAsia="Amiri" w:cs="Amiri" w:ascii="Amiri" w:hAnsi="Amiri"/>
          <w:color w:val="111111"/>
          <w:sz w:val="28"/>
          <w:szCs w:val="28"/>
          <w:rtl w:val="true"/>
          <w:lang w:bidi="ar-SA"/>
        </w:rPr>
        <w:t>.</w:t>
      </w:r>
    </w:p>
    <w:p>
      <w:pPr>
        <w:pStyle w:val="Heading6"/>
        <w:numPr>
          <w:ilvl w:val="5"/>
          <w:numId w:val="1"/>
        </w:numPr>
        <w:rPr/>
      </w:pPr>
      <w:bookmarkStart w:id="428" w:name="__RefHeading___Toc3360278_2314609296"/>
      <w:bookmarkStart w:id="429" w:name="_Toc166"/>
      <w:bookmarkEnd w:id="428"/>
      <w:r>
        <w:rPr>
          <w:rtl w:val="true"/>
        </w:rPr>
        <w:t>الفرع السابع</w:t>
      </w:r>
      <w:r>
        <w:rPr>
          <w:rtl w:val="true"/>
        </w:rPr>
        <w:t xml:space="preserve">: </w:t>
      </w:r>
      <w:r>
        <w:rPr>
          <w:rtl w:val="true"/>
        </w:rPr>
        <w:t>لا إشكال في أنّه تشرع الجماعة للعراة بل تستحبّ</w:t>
      </w:r>
      <w:r>
        <w:rPr>
          <w:rtl w:val="true"/>
        </w:rPr>
        <w:t>.</w:t>
      </w:r>
      <w:bookmarkEnd w:id="429"/>
    </w:p>
    <w:p>
      <w:pPr>
        <w:pStyle w:val="BookText"/>
        <w:rPr/>
      </w:pPr>
      <w:r>
        <w:rPr>
          <w:rFonts w:ascii="Amiri" w:hAnsi="Amiri" w:eastAsia="Amiri" w:cs="Amiri"/>
          <w:color w:val="111111"/>
          <w:sz w:val="28"/>
          <w:sz w:val="28"/>
          <w:szCs w:val="28"/>
          <w:rtl w:val="true"/>
          <w:lang w:bidi="ar-SA"/>
        </w:rPr>
        <w:t>لصحيح ابن سنان سألته عن قوم صلّوا جماعة و هم عراة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يتقدمهم الإمام بركبتيه و يصلّي بهم جلوسا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 إسحاق بن عمّار 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قطع عليهم الطريق و أخذت ثيابهم فبقوا عراة و حضرت الصلاة كيف يصنعون قال عليه السّلام يتقدّمهم إمامهم فيجلس و يجلسون خلفه فيومئ إيماء للركوع و السجود و هم يركعون و يسجدون خلفه على وجوههم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عمل بهما الأصحاب و أفتوا بمضمونهما، فما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إيجاب التباعد و الصلاة فرادى كما عن قرب الأسناد عن الصادق فإن كانوا</w:t>
      </w:r>
    </w:p>
    <w:p>
      <w:pPr>
        <w:pStyle w:val="BookText"/>
        <w:rPr/>
      </w:pPr>
      <w:r>
        <w:rPr>
          <w:rFonts w:ascii="Amiri" w:hAnsi="Amiri" w:eastAsia="Amiri" w:cs="Amiri"/>
          <w:color w:val="111111"/>
          <w:sz w:val="28"/>
          <w:sz w:val="28"/>
          <w:szCs w:val="28"/>
          <w:rtl w:val="true"/>
          <w:lang w:bidi="ar-SA"/>
        </w:rPr>
        <w:t xml:space="preserve">جماعة تباعدوا في المجالس ثمّ صلّوا كذلك فرادى </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أو مؤوّل، لعدم العمل به و إن كانت القاعدة تقتضيه، بداهة أنّ القيام واجب في الصلاة، و مع عدم المأمن يجب تحصيل المأمن و لو كان ذلك بالتباعد، أو النزول في الحفيرة ليمكنه القيام، فالقول بعدم وجوب التباعد و الصلاة جلوسا جماعة على خلاف القاعدة، لأنّ الجماعة مستحبّة فلا تزاحم ما هو واجب من القيام، إلّا أنّه بعد ورود النصّ الصريح على مشروعيّتها و فتوى الأصحاب بمضمونه كان الإشكال بذلك اجتهادا في مقابل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مشروعية الجماعة إنّما الكلام في كيفيّتها أمّا بالنسبة إلى القيام و الجلوس، فالظاهر أيضا أنّه لا ينبغي الإشكال في تعيّن الجلوس عليهم، كما هو صريح الأخبار المتقدّمة، و الإشكال بأنّ النسبة بين هذه الأخبار و ما دلّ على أنّ الآمن عن الناظر يصلّي قائما هو العموم من وجه، فإنّ ما يدلّ على أنّ الآمن يصلّي قائما أعم من أن يكون وحده أو مع جماعة، و هذه الأخبار أعم من الآمن و غيره، إذ مجرّد كونهم جماعة لا يلازم عدم الأمن إذ من الممكن أن يكونوا في ظلمة أو فاقدين للبصر، فتكون النسبة هي العموم من وجه مندفع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فرض الأمن عن الناظر مع كونهم جماعة نادر جدّا، تكون هذه الأخبار منصرفة عنه، بل هي مختصّة بصورة عدم الأمن، فتكون هذه الأخبار موافقة لما دلّ على أنّ غير الآمن يصلّي جالسا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فرض كون النسبة هي العموم من وجه، فالعمل على هذه الأخبار إجماعا، إذ لم ينقل من أحد أنّهم يصلّون قائما جماعة و أمّا من حيث</w:t>
      </w:r>
    </w:p>
    <w:p>
      <w:pPr>
        <w:pStyle w:val="BookText"/>
        <w:rPr/>
      </w:pPr>
      <w:r>
        <w:rPr>
          <w:rFonts w:ascii="Amiri" w:hAnsi="Amiri" w:eastAsia="Amiri" w:cs="Amiri"/>
          <w:color w:val="111111"/>
          <w:sz w:val="28"/>
          <w:sz w:val="28"/>
          <w:szCs w:val="28"/>
          <w:rtl w:val="true"/>
          <w:lang w:bidi="ar-SA"/>
        </w:rPr>
        <w:t>الركوع و السجود، فظاهر الأخبار أنّ الإمام يومي و هم يركعون و يسجدون، و لكن اختلفت كلمات الأصحاب في ذلك، فمنهم من عمل بظاهر الأخبار من أنّ المأمومين يركعون و يسجدون و الإمام يومي، و منهم من قال بالإيماء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هو الأول، لأنّ نسبة ما تقدّم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الجالس يومي للركوع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هذه الأخبار نسبة الأعم المطلق، فيجب تخصيص تلك الأخبار بغير صورة الجماعة، و لا استبعاد فيه أصلا، إذ من الجائز أن يكون للجماعة خصوصية أوجبت عدم الانتقال إلى الإيماء،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دلّ على أنّ الجالس يومي للركوع و السجود و لا يركع و لا يسجد إنّما كان مختصا بصورة عدم الأمن عن الناظر، و هذا المعنى مفقود في الجماعة، فإنّه مع وحدة الصفّ و التصاق بعضهم ببعض يكونوا في حال الركوع و السجود آمنين، لعدم تمكّنهم عادة من النظر إلى سوءة الآخر الملاصق له، و هذا بخلاف حال قيامهم، لإمكان نظر كلّ واحد إلى عورة الآخر، و هذا هو الذي أوجب انتقالهم من القيام إلى الجلوس</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النظر إلى عورة الآخر في حال القيام و عدم إمكانه في حال الركوع و السجود أوجب إيجاب الجلوس عليهم و الركوع و السجود التام،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لازم ذلك هو التعدّي إلى كلّ آمن في حال الركوع و السجود مع عدم أمنه في حال القيام و لو كان فرادى، و هذا ينافي ما دلّ على أنّ غير الآمن يجلس و يومي، من غير تفصيل بين أمنه في حال الركوع و عدم أمنه، إنّما يستقيم مع وجود الدليل على ذلك، و إلّا هو بنفسه أمر ممكن إلّا أنّه لا دليل عليه، و ما ذكرناه في الجماعة من أنّ أمنهم في حال الركوع و السجود و عدم أمنهم في حال القيام أوجب انتقالهم إلى الجلوس مع فعلهم الركوع التام و السجود كذلك، إنّما كان لمحض الاستئناس، و إلّا لم يرد التعليل بذلك في</w:t>
      </w:r>
    </w:p>
    <w:p>
      <w:pPr>
        <w:pStyle w:val="BookText"/>
        <w:rPr/>
      </w:pPr>
      <w:r>
        <w:rPr>
          <w:rFonts w:ascii="Amiri" w:hAnsi="Amiri" w:eastAsia="Amiri" w:cs="Amiri"/>
          <w:color w:val="111111"/>
          <w:sz w:val="28"/>
          <w:sz w:val="28"/>
          <w:szCs w:val="28"/>
          <w:rtl w:val="true"/>
          <w:lang w:bidi="ar-SA"/>
        </w:rPr>
        <w:t>الأخبار حتّى يتعدّى عن الجماعة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المأمومين يركعون و يسجدون ينافي ما ورد في بعض الأخبار من التعليل لعدم الركوع و السجود بأنّه يبدو خلفه، كما في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التعليل لا يصلح أن يكون علّة للحكم يستفاد منه كبرى كلّية بل هو حكمة التشريع،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يخفى وجهه على المتأمّل، و قد بيّنا الضابط بين ما يكون علّة للحكم و بين ما يكون حكمة التشريع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الأصحاب في اعتبار تقدّم الرجل على المرأة في الصلاة فالمشهور بين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المحكي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تقدّم الرجل على المرأة بكلّه أو بعد عشرة أذرع بين الموقفين أو وجود حائل، و عن المتأخّرين عدم اعتبار ذلك، و منشأ الاختلاف هو اختلاف الأخبار، ففي عدّة من الروايات ورد النهي عن ذلك، و في عدّة اخرى ورد عدم البأس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عمّار عن الصادق عليه السّلام أنه سئل عن الرجل يستقيم له أن يصلّي و بين يديه امرأة تصلّي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يصلّي حتّى يجعل بينه و بينها أكثر من عشرة أذرع، و إن كانت عن يمينه و عن يساره جعل بينه و بينها مثل ذلك، فإن كانت تصلّي خلفه فلا بأس، و إن كانت تصيب ثوبه و إن كانت المرأة قائمة أو قاعدة أو نائمة في غير صلاة فلا بأس حيث كانت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إدريس بن عبد اللّٰه القميّ سألت أبا عبد اللّٰه عليه السّلام عن الرجل يصلّي و بحياله امرأة قائمة على فراشها أجنبية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قاعدة فلا يضرّك و إن كانت تصلّي فلا </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معناه عدّة من روايات </w:t>
      </w:r>
      <w:r>
        <w:rPr>
          <w:rStyle w:val="FootnoteAnchor"/>
          <w:rtl w:val="true"/>
        </w:rPr>
        <w:footnoteReference w:id="478"/>
      </w:r>
      <w:r>
        <w:rPr>
          <w:rFonts w:ascii="Amiri" w:hAnsi="Amiri" w:eastAsia="Amiri" w:cs="Amiri"/>
          <w:color w:val="111111"/>
          <w:sz w:val="28"/>
          <w:sz w:val="28"/>
          <w:szCs w:val="28"/>
          <w:rtl w:val="true"/>
          <w:lang w:bidi="ar-SA"/>
        </w:rPr>
        <w:t>أخر مشتملة</w:t>
      </w:r>
      <w:bookmarkStart w:id="430" w:name="pg19820_206835"/>
    </w:p>
    <w:p>
      <w:pPr>
        <w:pStyle w:val="BookText"/>
        <w:rPr/>
      </w:pPr>
      <w:bookmarkEnd w:id="430"/>
      <w:r>
        <w:rPr>
          <w:rFonts w:ascii="Amiri" w:hAnsi="Amiri" w:eastAsia="Amiri" w:cs="Amiri"/>
          <w:color w:val="111111"/>
          <w:sz w:val="28"/>
          <w:sz w:val="28"/>
          <w:szCs w:val="28"/>
          <w:rtl w:val="true"/>
          <w:lang w:bidi="ar-SA"/>
        </w:rPr>
        <w:t>على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الثاني خبر جميل عن الصادق عليه السّلام في الرجل يصلّي و المرأة تصلّي بحذاه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عيسى بن عبد اللّٰه القميّ على ما رواه في العلل سئل الصادق عليه السّلام عن امرأة صلّت مع الرجال و خلفها صفوف و قدّامها صفوف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مضت صلاتها و لم تفسد على أحد و لا تعيد </w:t>
      </w:r>
      <w:r>
        <w:rPr>
          <w:rStyle w:val="FootnoteAnchor"/>
          <w:rtl w:val="true"/>
        </w:rPr>
        <w:footnoteReference w:id="480"/>
      </w:r>
      <w:r>
        <w:rPr>
          <w:rFonts w:ascii="Amiri" w:hAnsi="Amiri" w:eastAsia="Amiri" w:cs="Amiri"/>
          <w:color w:val="111111"/>
          <w:sz w:val="28"/>
          <w:sz w:val="28"/>
          <w:szCs w:val="28"/>
          <w:rtl w:val="true"/>
          <w:lang w:bidi="ar-SA"/>
        </w:rPr>
        <w:t>، و غير ذلك من الأخبار الدالّة على الجواز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اعلم أنّ هنا مقامات وقع البحث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اعتبار تقدّم الرجل على المرأة، و أنّه هل يعتبر ذلك في أصل صحّة الصلاة حتّى يكون عدم تقدّمه من الموانع أو لا يعتبر ذلك في الصحّة و إن كره ذلك؟</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من تقديري المانعية و الكراهة فهل يعتبر في رفع المانعية أو الكراهة تأخّر المرأة عن الرجل بكلّه، بأن يكون موضع سجود المرأة متأخّر عن موقف الرجل أو لا يعتبر ذلك المقام؟</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المرأة قدّام الرجل أو عن يمينه و يساره فما حدّ البعد المعتبر بينهما في زوال المانعية أو الكراهة؟</w:t>
      </w:r>
    </w:p>
    <w:p>
      <w:pPr>
        <w:pStyle w:val="Heading6"/>
        <w:numPr>
          <w:ilvl w:val="5"/>
          <w:numId w:val="1"/>
        </w:numPr>
        <w:rPr/>
      </w:pPr>
      <w:bookmarkStart w:id="431" w:name="__RefHeading___Toc3360280_2314609296"/>
      <w:bookmarkStart w:id="432" w:name="_Toc167"/>
      <w:bookmarkEnd w:id="431"/>
      <w:r>
        <w:rPr>
          <w:rtl w:val="true"/>
        </w:rPr>
        <w:t>المقام الرابع</w:t>
      </w:r>
      <w:r>
        <w:rPr>
          <w:rtl w:val="true"/>
        </w:rPr>
        <w:t xml:space="preserve">: </w:t>
      </w:r>
      <w:r>
        <w:rPr>
          <w:rtl w:val="true"/>
        </w:rPr>
        <w:t>في تحديد الحائل الذي يكون رافعا للمانعية أو الكراهة</w:t>
      </w:r>
      <w:r>
        <w:rPr>
          <w:rtl w:val="true"/>
        </w:rPr>
        <w:t>.</w:t>
      </w:r>
      <w:bookmarkEnd w:id="432"/>
    </w:p>
    <w:p>
      <w:pPr>
        <w:pStyle w:val="Heading6"/>
        <w:numPr>
          <w:ilvl w:val="5"/>
          <w:numId w:val="1"/>
        </w:numPr>
        <w:rPr/>
      </w:pPr>
      <w:bookmarkStart w:id="433" w:name="__RefHeading___Toc3360282_2314609296"/>
      <w:bookmarkStart w:id="434" w:name="_Toc168"/>
      <w:bookmarkEnd w:id="433"/>
      <w:r>
        <w:rPr>
          <w:rtl w:val="true"/>
        </w:rPr>
        <w:t>اشارة</w:t>
      </w:r>
      <w:bookmarkEnd w:id="434"/>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الكلام في المقام الأول فمجمله أنّه و إن حكي عن المشهور بين المتقدّمين ذهابهم إلى المنع، و جعل ذلك في مسلك الموانع، إلّا أنّ الأقوى هو الكراهة،</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لأنّ الأدلّة المجوّزة نصّ في الجواز، لا تتحمل معنى آخر بداهة صراحة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جميل </w:t>
      </w:r>
      <w:r>
        <w:rPr>
          <w:rStyle w:val="FootnoteAnchor"/>
          <w:rtl w:val="true"/>
        </w:rPr>
        <w:footnoteReference w:id="481"/>
      </w:r>
      <w:r>
        <w:rPr>
          <w:rFonts w:ascii="Amiri" w:hAnsi="Amiri" w:eastAsia="Amiri" w:cs="Amiri"/>
          <w:color w:val="111111"/>
          <w:sz w:val="28"/>
          <w:sz w:val="28"/>
          <w:szCs w:val="28"/>
          <w:rtl w:val="true"/>
          <w:lang w:bidi="ar-SA"/>
        </w:rPr>
        <w:t xml:space="preserve">المتقدّم في الجواز و إن كان بالنسبة إلى نفي الكراهة ظاهر، فإنّ نفي البأس ظاهر في نفيه بجميع مراتبه التي منها الكراهة إلّا أنّ ظهوره في نفي الكراهة لا يصادم صراحته في الجواز، و هذا بخلاف الأدلّة المانعة، إذ غايتها ظهورها في ذلك، بداهة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صريحا في المنع بل أقصاه ظهورها فيه، و الظهور لا يصادم النص، هذا مضافا إلى أنّ في نفس أدلّة المنع ما يظهر منه الكراهة كقوله عليه السّلام في صحيح الحلبي </w:t>
      </w:r>
      <w:r>
        <w:rPr>
          <w:rStyle w:val="FootnoteAnchor"/>
          <w:rtl w:val="true"/>
        </w:rPr>
        <w:footnoteReference w:id="4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الحاصل أنّ قوله عليه السّلام في أخبار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يدلّ على المنع ظهورا، حيث إنّ النهي و النفي ظاهر في الحرمة النفسية في غير باب الأجزاء و الشرائط و الموانع في المركّبات، فإنّه يكون ظاهرا في المانعية و أمّا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خبر جميل، و قوله عليه السّلام مضت صلاتها و لم تفسد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خبر عيسى </w:t>
      </w:r>
      <w:r>
        <w:rPr>
          <w:rStyle w:val="FootnoteAnchor"/>
          <w:rtl w:val="true"/>
        </w:rPr>
        <w:footnoteReference w:id="483"/>
      </w:r>
      <w:r>
        <w:rPr>
          <w:rFonts w:ascii="Amiri" w:hAnsi="Amiri" w:eastAsia="Amiri" w:cs="Amiri"/>
          <w:color w:val="111111"/>
          <w:sz w:val="28"/>
          <w:sz w:val="28"/>
          <w:szCs w:val="28"/>
          <w:rtl w:val="true"/>
          <w:lang w:bidi="ar-SA"/>
        </w:rPr>
        <w:t>، فلا يكون إلّا نصّا في الجواز، فلا محيص حينئذ من رفع اليد عن ظاهر النفي و النهي و حمله على الكراهة، و إلّا لزم طرح أدلّة الجواز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ما عرفت من أنّ في نفس أخبار المنع ما يدلّ على الكراهة، فيكون شاهد جمع، مضافا إلى ما في الأخبار المانعة من المناقشة سندا و دلالة كما لا يخفى على المتأمّل، و مضافا إلى اختلاف الروايات المحدّدة لمقدار البعد بين الرجل و المرأة تارة بالشبر </w:t>
      </w:r>
      <w:r>
        <w:rPr>
          <w:rStyle w:val="FootnoteAnchor"/>
          <w:rtl w:val="true"/>
        </w:rPr>
        <w:footnoteReference w:id="484"/>
      </w:r>
      <w:r>
        <w:rPr>
          <w:rFonts w:ascii="IRNazanin" w:hAnsi="IRNazanin" w:eastAsia="IRNazanin"/>
          <w:color w:val="111111"/>
          <w:sz w:val="28"/>
          <w:sz w:val="28"/>
          <w:szCs w:val="28"/>
          <w:rtl w:val="true"/>
          <w:lang w:bidi="fa-IR"/>
        </w:rPr>
        <w:t xml:space="preserve">، و اخرى بالذراع </w:t>
      </w:r>
      <w:r>
        <w:rPr>
          <w:rStyle w:val="FootnoteAnchor"/>
          <w:rtl w:val="true"/>
        </w:rPr>
        <w:footnoteReference w:id="485"/>
      </w:r>
      <w:r>
        <w:rPr>
          <w:rFonts w:ascii="Amiri" w:hAnsi="Amiri" w:eastAsia="Amiri" w:cs="Amiri"/>
          <w:color w:val="111111"/>
          <w:sz w:val="28"/>
          <w:sz w:val="28"/>
          <w:szCs w:val="28"/>
          <w:rtl w:val="true"/>
          <w:lang w:bidi="ar-SA"/>
        </w:rPr>
        <w:t xml:space="preserve">، و ثالثة بالرحل </w:t>
      </w:r>
      <w:r>
        <w:rPr>
          <w:rStyle w:val="FootnoteAnchor"/>
          <w:rtl w:val="true"/>
        </w:rPr>
        <w:footnoteReference w:id="486"/>
      </w:r>
      <w:r>
        <w:rPr>
          <w:rFonts w:ascii="Amiri" w:hAnsi="Amiri" w:eastAsia="Amiri" w:cs="Amiri"/>
          <w:color w:val="111111"/>
          <w:sz w:val="28"/>
          <w:sz w:val="28"/>
          <w:szCs w:val="28"/>
          <w:rtl w:val="true"/>
          <w:lang w:bidi="ar-SA"/>
        </w:rPr>
        <w:t>، و رابعة بكون موضع</w:t>
      </w:r>
    </w:p>
    <w:p>
      <w:pPr>
        <w:pStyle w:val="BookText"/>
        <w:rPr/>
      </w:pPr>
      <w:r>
        <w:rPr>
          <w:rFonts w:ascii="Amiri" w:hAnsi="Amiri" w:eastAsia="Amiri" w:cs="Amiri"/>
          <w:color w:val="111111"/>
          <w:sz w:val="28"/>
          <w:sz w:val="28"/>
          <w:szCs w:val="28"/>
          <w:rtl w:val="true"/>
          <w:lang w:bidi="ar-SA"/>
        </w:rPr>
        <w:t xml:space="preserve">سجود المرأة محاذيا لركوع الرجل </w:t>
      </w:r>
      <w:r>
        <w:rPr>
          <w:rStyle w:val="FootnoteAnchor"/>
          <w:rtl w:val="true"/>
        </w:rPr>
        <w:footnoteReference w:id="487"/>
      </w:r>
      <w:r>
        <w:rPr>
          <w:rFonts w:ascii="Amiri" w:hAnsi="Amiri" w:eastAsia="Amiri" w:cs="Amiri"/>
          <w:color w:val="111111"/>
          <w:sz w:val="28"/>
          <w:sz w:val="28"/>
          <w:szCs w:val="28"/>
          <w:rtl w:val="true"/>
          <w:lang w:bidi="ar-SA"/>
        </w:rPr>
        <w:t>، و غير ذلك من التحديدات، فإنّ هذا الاختلاف العظيم أقوى شاهد على أنّ الحكم استحبابي، و اختلاف التحديدات لاختلاف مراتب الاستحباب</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الكلام في المقام الثاني فمجمله أنّه ذهب بعض في رفع المانعية أو الكراهة إلى اعتبار تأخّر المرأة بكلّها عن الرجل، بأن يكون موضع سجود المرأة متأخّرا عن موضع وقوف الرجل، و قد استدلّ على ذلك برواية عمّار حيث قال عليه السّلام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كانت تصلّي خلفه فلا بأس</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حيث إنّ ظاهر الخلف هو التأخّر بكلّ البدن هذا، و لكنّ الأقوى عدم اعتبار التأخّر بكلّ البدن في رفع المانعية أو الكراهة، و ذلك لمنع دلالة الخلف على التأخّر بكلّ البدن، بل يصدق الخلف لو كانت المرأة واقفة عن يمين الرجل أو يساره مع تأخّرها عنه يسيرا، بأن يكون موضع سجودها متأخّرا عن موضع سجوده، مضافا إلى إشعار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الرواية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كانت تصلّي خلفه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تصيب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التأخّر بكلّ البدن، فإنّ إصابة الثوب إنّما يكون غالبا عند وقوف المرأة إلى أحد جانبي الرجل، و أمّا إذا كانت متأخّرة عنه بجميع بدنها، فيبعد إصابتها ثوبه فتأمّل، مع أنّه لو أغمض عن ذلك، فأقصى ما يقتضيه لفظة الخلف هو كونه ظاهرا في التأخّر بكلّ البدن مع صدقة أيضا على ما سوى ذلك، و حينئذ لا يمكن أن يعارض الأخبار الواردة في تحديد رفع المنع بالشبر و الذراع و الرحل و غير ذلك، كما أنّه لا يمكن معاملة التعارض في نفس الأخبار المحدّدة بعد ما كان الحكم كراهية، فيقتصر في رفع الكراهة بالأقل و هو الشبر و يكون</w:t>
      </w:r>
    </w:p>
    <w:p>
      <w:pPr>
        <w:pStyle w:val="BookText"/>
        <w:rPr/>
      </w:pPr>
      <w:r>
        <w:rPr>
          <w:rFonts w:ascii="Amiri" w:hAnsi="Amiri" w:eastAsia="Amiri" w:cs="Amiri"/>
          <w:color w:val="111111"/>
          <w:sz w:val="28"/>
          <w:sz w:val="28"/>
          <w:szCs w:val="28"/>
          <w:rtl w:val="true"/>
          <w:lang w:bidi="ar-SA"/>
        </w:rPr>
        <w:t>الزائد على ذلك فضليّ، كما هو الشأن في جميع التحديد بين الأقل 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سواء قلنا بالمنع أو الكراهة لا بدّ من القول برفعهما بالشبر، فإنّ رواية الشبر </w:t>
      </w:r>
      <w:r>
        <w:rPr>
          <w:rStyle w:val="FootnoteAnchor"/>
          <w:rtl w:val="true"/>
        </w:rPr>
        <w:footnoteReference w:id="489"/>
      </w:r>
      <w:r>
        <w:rPr>
          <w:rFonts w:ascii="Amiri" w:hAnsi="Amiri" w:eastAsia="Amiri" w:cs="Amiri"/>
          <w:color w:val="111111"/>
          <w:sz w:val="28"/>
          <w:sz w:val="28"/>
          <w:szCs w:val="28"/>
          <w:rtl w:val="true"/>
          <w:lang w:bidi="ar-SA"/>
        </w:rPr>
        <w:t xml:space="preserve">تنفي اعتبار الزائد، و الخلف أيضا يصدق بذلك، و إن سلّم كونه ظاهرا في التأخّر بكلّ البدن، فتحمل حينئذ رواية الذراع </w:t>
      </w:r>
      <w:r>
        <w:rPr>
          <w:rStyle w:val="FootnoteAnchor"/>
          <w:rtl w:val="true"/>
        </w:rPr>
        <w:footnoteReference w:id="490"/>
      </w:r>
      <w:r>
        <w:rPr>
          <w:rFonts w:ascii="IRNazanin" w:hAnsi="IRNazanin" w:eastAsia="IRNazanin"/>
          <w:color w:val="111111"/>
          <w:sz w:val="28"/>
          <w:sz w:val="28"/>
          <w:szCs w:val="28"/>
          <w:rtl w:val="true"/>
          <w:lang w:bidi="fa-IR"/>
        </w:rPr>
        <w:t xml:space="preserve">و الرحل </w:t>
      </w:r>
      <w:r>
        <w:rPr>
          <w:rStyle w:val="FootnoteAnchor"/>
          <w:rtl w:val="true"/>
        </w:rPr>
        <w:footnoteReference w:id="491"/>
      </w:r>
      <w:r>
        <w:rPr>
          <w:rFonts w:ascii="Amiri" w:hAnsi="Amiri" w:eastAsia="Amiri" w:cs="Amiri"/>
          <w:color w:val="111111"/>
          <w:sz w:val="28"/>
          <w:sz w:val="28"/>
          <w:szCs w:val="28"/>
          <w:rtl w:val="true"/>
          <w:lang w:bidi="ar-SA"/>
        </w:rPr>
        <w:t>و غير ذلك على مراتب الاستحباب و الفضل، فراجع الأخبار و تأمّل فيها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الكلام في المقام الثالث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يعتبر البعد بينهما بعشرة أذرع لو كانت المرأة قدّام الرجل أو إلى أحد جانبيه، و استدلّ لذلك برواية عمّار </w:t>
      </w:r>
      <w:r>
        <w:rPr>
          <w:rStyle w:val="FootnoteAnchor"/>
          <w:rtl w:val="true"/>
        </w:rPr>
        <w:footnoteReference w:id="492"/>
      </w:r>
      <w:r>
        <w:rPr>
          <w:rFonts w:ascii="Amiri" w:hAnsi="Amiri" w:eastAsia="Amiri" w:cs="Amiri"/>
          <w:color w:val="111111"/>
          <w:sz w:val="28"/>
          <w:sz w:val="28"/>
          <w:szCs w:val="28"/>
          <w:rtl w:val="true"/>
          <w:lang w:bidi="ar-SA"/>
        </w:rPr>
        <w:t>المتقدّمة، و لكنّ الأقوى عدم اعتبار ذلك فيما كانت إلى أحد جانبيه لخبر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عليه السّلام عن الرجل و المرأة يصلّيان جميعا في بيت المرأة عن يمين الرجل بحذاه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يكون بينهما شبر أو ذراع أو نحوه </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معناه روايات أخر </w:t>
      </w:r>
      <w:r>
        <w:rPr>
          <w:rStyle w:val="FootnoteAnchor"/>
          <w:rtl w:val="true"/>
        </w:rPr>
        <w:footnoteReference w:id="494"/>
      </w:r>
      <w:r>
        <w:rPr>
          <w:rFonts w:ascii="Amiri" w:hAnsi="Amiri" w:eastAsia="Amiri" w:cs="Amiri"/>
          <w:color w:val="111111"/>
          <w:sz w:val="28"/>
          <w:sz w:val="28"/>
          <w:szCs w:val="28"/>
          <w:rtl w:val="true"/>
          <w:lang w:bidi="ar-SA"/>
        </w:rPr>
        <w:t>، و هذه الروايات كما ترى، تنفي اعتبار الزائد على الشبر إذا كانت المرأة واقفة عن يمين الرجل بل في رواية أطلق الشبر و لم يقيّد بكونها واقفة عن يمينه، بل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بينهما قدر شبر صلّت بحذاه</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يمكن أن يقال لا يعتبر الزائد على الشبر و لو كانت المرأة واقفة قدّام الرجل، إلّا أن يمنع ذلك، بدعوى أنّ لفظة بحذاه ظاهرة في الجنب من اليمين و اليسار، و لا يشمل صورة</w:t>
      </w:r>
    </w:p>
    <w:p>
      <w:pPr>
        <w:pStyle w:val="BookText"/>
        <w:rPr/>
      </w:pPr>
      <w:r>
        <w:rPr>
          <w:rFonts w:ascii="Amiri" w:hAnsi="Amiri" w:eastAsia="Amiri" w:cs="Amiri"/>
          <w:color w:val="111111"/>
          <w:sz w:val="28"/>
          <w:sz w:val="28"/>
          <w:szCs w:val="28"/>
          <w:rtl w:val="true"/>
          <w:lang w:bidi="ar-SA"/>
        </w:rPr>
        <w:t xml:space="preserve">التقدّم، و على أيّ حال الظاهر أنّه لا ينبغي الإشكال في كفاية الشبر إذا كانت عن يمين الرجل أو يساره، فتحمل حينئذ رواية اعتبار العشرة </w:t>
      </w:r>
      <w:r>
        <w:rPr>
          <w:rStyle w:val="FootnoteAnchor"/>
          <w:rtl w:val="true"/>
        </w:rPr>
        <w:footnoteReference w:id="496"/>
      </w:r>
      <w:r>
        <w:rPr>
          <w:rFonts w:ascii="Amiri" w:hAnsi="Amiri" w:eastAsia="Amiri" w:cs="Amiri"/>
          <w:color w:val="111111"/>
          <w:sz w:val="28"/>
          <w:sz w:val="28"/>
          <w:szCs w:val="28"/>
          <w:rtl w:val="true"/>
          <w:lang w:bidi="ar-SA"/>
        </w:rPr>
        <w:t>على الفضل، نعم يبقى الكلام فيما إذا كانت المرأة قدّام الرجل، و لا يبعد الالتزام بعشرة أذرع في رفع المنع أو الكراهة تمسّكا بتلك الرواية، و لا مانع من التفصيل بين اليمين و اليسار و بين التقدّم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الكلام في المقام الرابع فقد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يعتبر في الحائل أن يكون مانعا عن مشاهدة كلّ منهما للآخر في جميع حالات الصلاة، و ربّما يستدلّ على ذلك بصحيح الحلبي سأل الصادق عليه السّلام عن الرجل يصلّي في زاوية الحجرة و امرأته أو بنته تصلّي بحذاه في الزاوية الأخرى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ذلك إلّا أن يكون بينهما سترا </w:t>
      </w:r>
      <w:r>
        <w:rPr>
          <w:rStyle w:val="FootnoteAnchor"/>
          <w:rtl w:val="true"/>
        </w:rPr>
        <w:footnoteReference w:id="497"/>
      </w:r>
      <w:r>
        <w:rPr>
          <w:rFonts w:ascii="Amiri" w:hAnsi="Amiri" w:eastAsia="Amiri" w:cs="Amiri"/>
          <w:color w:val="111111"/>
          <w:sz w:val="28"/>
          <w:sz w:val="28"/>
          <w:szCs w:val="28"/>
          <w:rtl w:val="true"/>
          <w:lang w:bidi="ar-SA"/>
        </w:rPr>
        <w:t>حيث إنّ الظاهر من الستر هو أن يكون ساترا بقول مطلق، و في جميع الحالات هذا، و لكنّ الأقوى أيضا عدم اعتبار ذلك، بل يكفي مطلق الحائل و لو في الجملة و في بعض الأحوال، لرواية علي بن جعفر سأل أخاه عن الرجل هل يصلح أن يصلّي في مسجد قصير الحائط و امرأته قائمة تصلّي و هو يراها و تراه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حائط طويل أو قصير فلا بأس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معناه روايات أخر </w:t>
      </w:r>
      <w:r>
        <w:rPr>
          <w:rStyle w:val="FootnoteAnchor"/>
          <w:rtl w:val="true"/>
        </w:rPr>
        <w:footnoteReference w:id="499"/>
      </w:r>
      <w:r>
        <w:rPr>
          <w:rFonts w:ascii="Amiri" w:hAnsi="Amiri" w:eastAsia="Amiri" w:cs="Amiri"/>
          <w:color w:val="111111"/>
          <w:sz w:val="28"/>
          <w:sz w:val="28"/>
          <w:szCs w:val="28"/>
          <w:rtl w:val="true"/>
          <w:lang w:bidi="ar-SA"/>
        </w:rPr>
        <w:t>تدلّ على عدم اعتبار الستر في جميع الحالات بل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في الحائل أن يكون طوله قدر ذراع بل قدر شبر لما في ذيل خبر أبي بصير المتقدّم حيث قال عليه السّلام بعد أن اعتبر الشبر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طول رحل رسول اللّٰه ذراعا، و كان يضع بين يديه إذا صلّى شيئا يستره ممّن يمرّ بين</w:t>
      </w:r>
      <w:bookmarkStart w:id="435" w:name="pg19820_206840"/>
    </w:p>
    <w:p>
      <w:pPr>
        <w:pStyle w:val="BookText"/>
        <w:rPr/>
      </w:pPr>
      <w:bookmarkEnd w:id="435"/>
      <w:r>
        <w:rPr>
          <w:rFonts w:ascii="Amiri" w:hAnsi="Amiri" w:eastAsia="Amiri" w:cs="Amiri"/>
          <w:color w:val="111111"/>
          <w:sz w:val="28"/>
          <w:sz w:val="28"/>
          <w:szCs w:val="28"/>
          <w:rtl w:val="true"/>
          <w:lang w:bidi="ar-SA"/>
        </w:rPr>
        <w:t xml:space="preserve">يديه </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التعليل بذلك بعد اعتبار الشبر إنّما يناسب أن يكون الشبر الذي اعتبره أولا من جهة كونه حائلا، فيكون مقدار الشبر من حيث الطول لا من حيث المسافة، فتأمّل جيّدا</w:t>
      </w:r>
      <w:r>
        <w:rPr>
          <w:rFonts w:eastAsia="Amiri" w:cs="Amiri" w:ascii="Amiri" w:hAnsi="Amiri"/>
          <w:color w:val="111111"/>
          <w:sz w:val="28"/>
          <w:szCs w:val="28"/>
          <w:rtl w:val="true"/>
          <w:lang w:bidi="ar-SA"/>
        </w:rPr>
        <w:t>.</w:t>
      </w:r>
    </w:p>
    <w:p>
      <w:pPr>
        <w:pStyle w:val="Heading6"/>
        <w:numPr>
          <w:ilvl w:val="5"/>
          <w:numId w:val="1"/>
        </w:numPr>
        <w:rPr/>
      </w:pPr>
      <w:bookmarkStart w:id="436" w:name="__RefHeading___Toc3360284_2314609296"/>
      <w:bookmarkStart w:id="437" w:name="_Toc169"/>
      <w:bookmarkEnd w:id="436"/>
      <w:r>
        <w:rPr>
          <w:rtl w:val="true"/>
        </w:rPr>
        <w:t>هذا تمام الكلام في أصل المسألة</w:t>
      </w:r>
      <w:r>
        <w:rPr>
          <w:rtl w:val="true"/>
        </w:rPr>
        <w:t xml:space="preserve">. </w:t>
      </w:r>
      <w:r>
        <w:rPr>
          <w:rtl w:val="true"/>
        </w:rPr>
        <w:t>بقي في المقام فروع ينبغي التنبيه عليها</w:t>
      </w:r>
      <w:r>
        <w:rPr>
          <w:rtl w:val="true"/>
        </w:rPr>
        <w:t>:</w:t>
      </w:r>
      <w:bookmarkEnd w:id="437"/>
    </w:p>
    <w:p>
      <w:pPr>
        <w:pStyle w:val="Heading6"/>
        <w:numPr>
          <w:ilvl w:val="5"/>
          <w:numId w:val="1"/>
        </w:numPr>
        <w:rPr/>
      </w:pPr>
      <w:bookmarkStart w:id="438" w:name="__RefHeading___Toc3360286_2314609296"/>
      <w:bookmarkStart w:id="439" w:name="_Toc170"/>
      <w:bookmarkEnd w:id="438"/>
      <w:r>
        <w:rPr>
          <w:rtl w:val="true"/>
        </w:rPr>
        <w:t>الأول</w:t>
      </w:r>
      <w:r>
        <w:rPr>
          <w:rtl w:val="true"/>
        </w:rPr>
        <w:t xml:space="preserve">: </w:t>
      </w:r>
      <w:r>
        <w:rPr>
          <w:rtl w:val="true"/>
        </w:rPr>
        <w:t>هل يعتبر في مانعية المحاذاة أن تكون كلّ من صلاة الرجل و المرأة صحيحة من غير جهة المحاذاة أو لا يعتبر ذلك</w:t>
      </w:r>
      <w:bookmarkEnd w:id="439"/>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يكفي في المانعية و لو كانت أحد الصلاتين فاسدة من غير جهة المحاذاة؟ و قد كثر الكلام في المقام من الأعلام، حتّى بنوا المسألة على القول بالصحيح و الأعم، و لكنّ الظاهر أنّ المسألة بمكان من الوضوح لا تحتاج إلى إطالة الكلام فيها، بداهة أنّ جميع الأدلّة التي تكون متكفّلة لبيان الأجزاء و الشرائط و الموانع إنّما تتكفّل جزئية شي‌ء أو شرطيته أو مانعيّته بعد الفراغ عن اشتمال المركّب لسائر الشرائط و الأجزاء و الموانع، إذ لا معنى لتكفّل مانعية شي‌ء مثلا و أخذه مانعا عن المركّب الأعم عن أن يكون له مانع آخر أو لا، إذ مع سبقه بمانع آخر لا يمكن أن يكون هذا الشي‌ء مانعا، فأخذ شي‌ء مانعا إنّما هو بعد فرض اشتمال المركّب على جميع ما يعتبر فيه سوى هذا الذي يراد أخذه مانعا مثلا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تلبس الحرير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متكفّلا لمانعيّة الحرير للصلاة الجامعة للأجزاء و الشرائط و الموانع غير لبس الحرير، إذ لا معنى لأخذ الحرير مانعا للصلاة الأعم من كونها واجدة لسائر ما يعتبر فيها أو فاقدة لها،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تصلّي محاذيا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تلبس 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متكفّلا لمانعية المحاذاة، بناء عليها للصلاة بعد كونها جامعة لشرائط الصحّة لو لا المحاذاة، فلا محيص عن القول باعتبار صحّة الصلاتين في مانعية المحاذاة، و بذلك</w:t>
      </w:r>
      <w:bookmarkStart w:id="440" w:name="pg19820_206841"/>
    </w:p>
    <w:p>
      <w:pPr>
        <w:pStyle w:val="BookText"/>
        <w:rPr/>
      </w:pPr>
      <w:bookmarkEnd w:id="440"/>
      <w:r>
        <w:rPr>
          <w:rFonts w:ascii="Amiri" w:hAnsi="Amiri" w:eastAsia="Amiri" w:cs="Amiri"/>
          <w:color w:val="111111"/>
          <w:sz w:val="28"/>
          <w:sz w:val="28"/>
          <w:szCs w:val="28"/>
          <w:rtl w:val="true"/>
          <w:lang w:bidi="ar-SA"/>
        </w:rPr>
        <w:t>يظهر الخلل في جملة من كلمات الأعلام فراجع</w:t>
      </w:r>
      <w:r>
        <w:rPr>
          <w:rFonts w:eastAsia="Amiri" w:cs="Amiri" w:ascii="Amiri" w:hAnsi="Amiri"/>
          <w:color w:val="111111"/>
          <w:sz w:val="28"/>
          <w:szCs w:val="28"/>
          <w:rtl w:val="true"/>
          <w:lang w:bidi="ar-SA"/>
        </w:rPr>
        <w:t>.</w:t>
      </w:r>
    </w:p>
    <w:p>
      <w:pPr>
        <w:pStyle w:val="Heading6"/>
        <w:numPr>
          <w:ilvl w:val="5"/>
          <w:numId w:val="1"/>
        </w:numPr>
        <w:rPr/>
      </w:pPr>
      <w:bookmarkStart w:id="441" w:name="__RefHeading___Toc3360288_2314609296"/>
      <w:bookmarkStart w:id="442" w:name="_Toc171"/>
      <w:bookmarkEnd w:id="441"/>
      <w:r>
        <w:rPr>
          <w:rtl w:val="true"/>
        </w:rPr>
        <w:t>الفرع الثاني</w:t>
      </w:r>
      <w:r>
        <w:rPr>
          <w:rtl w:val="true"/>
        </w:rPr>
        <w:t xml:space="preserve">: </w:t>
      </w:r>
      <w:r>
        <w:rPr>
          <w:rtl w:val="true"/>
        </w:rPr>
        <w:t>لو علم أحدهما بفساد صلاة الآخر من غير جهة المحاذاة في أول الأمر</w:t>
      </w:r>
      <w:bookmarkEnd w:id="442"/>
    </w:p>
    <w:p>
      <w:pPr>
        <w:pStyle w:val="BookText"/>
        <w:rPr/>
      </w:pPr>
      <w:r>
        <w:rPr>
          <w:rFonts w:ascii="Amiri" w:hAnsi="Amiri" w:eastAsia="Amiri" w:cs="Amiri"/>
          <w:color w:val="111111"/>
          <w:sz w:val="28"/>
          <w:sz w:val="28"/>
          <w:szCs w:val="28"/>
          <w:rtl w:val="true"/>
          <w:lang w:bidi="ar-SA"/>
        </w:rPr>
        <w:t>، فلا إشكال في صحّة صلاته و لو علم بصحّتها من غير تلك الجهة، فلا إشكال في فساد صلاته مع عدم تبيّن الخلاف، و كذا لو شكّ في الصحّة و الفساد، لأنّ الأصل هو الصحّة و لو تبيّن الخلاف و ان صلاته كانت فاسدة من غير جهة المحاذاة و كان علمه بالصحّة خطأ، فلا ينبغي الإشكال أيضا بصحّة صلاته لو تمشّى منه قصد القربة مع علمه بصحّة صلاة الآخر و لو لأجل أصالة الصحّة، لأنّ علمه بالصحّة إنّما يكون طريقيّا لا موضوعيّا و بعد تبيّن خطأ علمه و تمشّى منه قصد القربة لا مانع من صحّة صلاته، سواء علم بالفساد بعد الصلاة أو في الأثناء، نعم لو علم من أول الأمر بفساد صلاة الآخر و صلّى و بعد الصلاة أو في أثنائها تبيّن صحّتها من غير جهة المحاذاة و أنّ علمه بالفساد كان خطأ، فمقتضى القاعدة هو بطلان صلاته، لأنّ المفروض أنّه صلّى محاذيا مع صحّة صلاة الآخر واقعا و إن لم يعلم بها و اعتقد فسادها، إذ ذلك لازم أخذ العلم على وجه الطريقية، 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يكون طريقا في كلّ من طرفي الصحّة و الفساد</w:t>
      </w:r>
      <w:r>
        <w:rPr>
          <w:rFonts w:eastAsia="Amiri" w:cs="Amiri" w:ascii="Amiri" w:hAnsi="Amiri"/>
          <w:color w:val="111111"/>
          <w:sz w:val="28"/>
          <w:szCs w:val="28"/>
          <w:rtl w:val="true"/>
          <w:lang w:bidi="ar-SA"/>
        </w:rPr>
        <w:t>.</w:t>
      </w:r>
    </w:p>
    <w:p>
      <w:pPr>
        <w:pStyle w:val="Heading6"/>
        <w:numPr>
          <w:ilvl w:val="5"/>
          <w:numId w:val="1"/>
        </w:numPr>
        <w:rPr/>
      </w:pPr>
      <w:bookmarkStart w:id="443" w:name="__RefHeading___Toc3360290_2314609296"/>
      <w:bookmarkStart w:id="444" w:name="_Toc172"/>
      <w:bookmarkEnd w:id="443"/>
      <w:r>
        <w:rPr>
          <w:rtl w:val="true"/>
        </w:rPr>
        <w:t>الفرع الثالث</w:t>
      </w:r>
      <w:r>
        <w:rPr>
          <w:rtl w:val="true"/>
        </w:rPr>
        <w:t xml:space="preserve">: </w:t>
      </w:r>
      <w:r>
        <w:rPr>
          <w:rtl w:val="true"/>
        </w:rPr>
        <w:t>لا إشكال في أنّه لا يجب عليه الاستفسار و الاستخبار من الآخر في صحّة صلاته و فسادها عند الشكّ فيها</w:t>
      </w:r>
      <w:bookmarkEnd w:id="444"/>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لمكان أصالة الصحّة، نعم لو أخبر بالفساد فهل يكون قوله معتبرا في مقابل أصالة الصحّة أو لا يعتبر قوله؟ و قد ذكر لكلّ من الوجهين وجوه لا تخلو عن مناقشة، فالأولى ابتناء ذلك على اعتبار قاعدة ما لا يعلم إلّا من قبله، فإن قلنا باعتبار ذلك و عمومها لجميع الموارد كما يظهر من بعض إرسالها إرسال المسلّمات، فلا إشكال و يكون إخباره بالفساد فيما نحن فيه معتبرا لأنّ العلم بفساد صلاته غالبا منسدّ لغير المصلّي إلّا أنّ الشأن في اعتبار تلك القاعدة بعمومها، و بعد لم يظهر لنا ما يدلّ على اعتبارها بعمومها، نعم ورد</w:t>
      </w:r>
      <w:bookmarkStart w:id="445" w:name="pg19820_206842"/>
    </w:p>
    <w:p>
      <w:pPr>
        <w:pStyle w:val="BookText"/>
        <w:rPr/>
      </w:pPr>
      <w:bookmarkEnd w:id="445"/>
      <w:r>
        <w:rPr>
          <w:rFonts w:ascii="Amiri" w:hAnsi="Amiri" w:eastAsia="Amiri" w:cs="Amiri"/>
          <w:color w:val="111111"/>
          <w:sz w:val="28"/>
          <w:sz w:val="28"/>
          <w:szCs w:val="28"/>
          <w:rtl w:val="true"/>
          <w:lang w:bidi="ar-SA"/>
        </w:rPr>
        <w:t>في بعض الموارد ما ربّما لا يخلو عن إشعار بالعموم كقوله عليه السّلام في باب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إن سألتها البيّنة هل تقدر على ذلك بعد السؤال عن اتهامها بأنّ لها زوج</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 xml:space="preserve">و كذا ورد في باب الحيض </w:t>
      </w:r>
      <w:r>
        <w:rPr>
          <w:rStyle w:val="FootnoteAnchor"/>
          <w:rtl w:val="true"/>
        </w:rPr>
        <w:footnoteReference w:id="502"/>
      </w:r>
      <w:r>
        <w:rPr>
          <w:rFonts w:ascii="Amiri" w:hAnsi="Amiri" w:eastAsia="Amiri" w:cs="Amiri"/>
          <w:color w:val="111111"/>
          <w:sz w:val="28"/>
          <w:sz w:val="28"/>
          <w:szCs w:val="28"/>
          <w:rtl w:val="true"/>
          <w:lang w:bidi="ar-SA"/>
        </w:rPr>
        <w:t xml:space="preserve">و العدّة </w:t>
      </w:r>
      <w:r>
        <w:rPr>
          <w:rStyle w:val="FootnoteAnchor"/>
          <w:rtl w:val="true"/>
        </w:rPr>
        <w:footnoteReference w:id="503"/>
      </w:r>
      <w:r>
        <w:rPr>
          <w:rFonts w:ascii="IRNazanin" w:hAnsi="IRNazanin" w:eastAsia="IRNazanin"/>
          <w:color w:val="111111"/>
          <w:sz w:val="28"/>
          <w:sz w:val="28"/>
          <w:szCs w:val="28"/>
          <w:rtl w:val="true"/>
          <w:lang w:bidi="fa-IR"/>
        </w:rPr>
        <w:t xml:space="preserve">و الحمل </w:t>
      </w:r>
      <w:r>
        <w:rPr>
          <w:rStyle w:val="FootnoteAnchor"/>
          <w:rtl w:val="true"/>
        </w:rPr>
        <w:footnoteReference w:id="504"/>
      </w:r>
      <w:r>
        <w:rPr>
          <w:rFonts w:ascii="Amiri" w:hAnsi="Amiri" w:eastAsia="Amiri" w:cs="Amiri"/>
          <w:color w:val="111111"/>
          <w:sz w:val="28"/>
          <w:sz w:val="28"/>
          <w:szCs w:val="28"/>
          <w:rtl w:val="true"/>
          <w:lang w:bidi="ar-SA"/>
        </w:rPr>
        <w:t>أنّها مصدقات، و المسألة بعد تحتاج إلى مزيد مراجعة لعلّه يعثر على ما يدلّ على عموم القاعدة</w:t>
      </w:r>
      <w:r>
        <w:rPr>
          <w:rFonts w:eastAsia="Amiri" w:cs="Amiri" w:ascii="Amiri" w:hAnsi="Amiri"/>
          <w:color w:val="111111"/>
          <w:sz w:val="28"/>
          <w:szCs w:val="28"/>
          <w:rtl w:val="true"/>
          <w:lang w:bidi="ar-SA"/>
        </w:rPr>
        <w:t>.</w:t>
      </w:r>
    </w:p>
    <w:p>
      <w:pPr>
        <w:pStyle w:val="Heading6"/>
        <w:numPr>
          <w:ilvl w:val="5"/>
          <w:numId w:val="1"/>
        </w:numPr>
        <w:rPr/>
      </w:pPr>
      <w:bookmarkStart w:id="446" w:name="__RefHeading___Toc3360292_2314609296"/>
      <w:bookmarkStart w:id="447" w:name="_Toc173"/>
      <w:bookmarkEnd w:id="446"/>
      <w:r>
        <w:rPr>
          <w:rtl w:val="true"/>
        </w:rPr>
        <w:t>الفرع الرابع</w:t>
      </w:r>
      <w:r>
        <w:rPr>
          <w:rtl w:val="true"/>
        </w:rPr>
        <w:t xml:space="preserve">: </w:t>
      </w:r>
      <w:r>
        <w:rPr>
          <w:rtl w:val="true"/>
        </w:rPr>
        <w:t>لو عرض لأحد الصلاتين الفساد في الأثناء فهل هو كالفساد من أول الأمر</w:t>
      </w:r>
      <w:bookmarkEnd w:id="447"/>
    </w:p>
    <w:p>
      <w:pPr>
        <w:pStyle w:val="BookText"/>
        <w:rPr/>
      </w:pPr>
      <w:r>
        <w:rPr>
          <w:rFonts w:ascii="Amiri" w:hAnsi="Amiri" w:eastAsia="Amiri" w:cs="Amiri"/>
          <w:color w:val="111111"/>
          <w:sz w:val="28"/>
          <w:sz w:val="28"/>
          <w:szCs w:val="28"/>
          <w:rtl w:val="true"/>
          <w:lang w:bidi="ar-SA"/>
        </w:rPr>
        <w:t>فتكون الصلاة الأخرى صحيحة، لعدم اشتمالها على المانع من المحاذاة لصلاة صحيحة، أو أنّه ليس كالفساد من أول الأمر فتكون الصلاة الأخرى أيضا فاسدة، لصدق أنّه صلّى محاذيا لآخر في صلاته المنعقدة على وجه الصحّة، و عروض الفساد عليها في الأثناء ممّا لا أثر له؟ 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العبرة بالصحّة و الفساد إنّما هو في أول الأمر، فلو صلّى محاذيا لمن انعقد صلاته صحيحة بطلت صلاته، و إن عرض لها الفساد في الأثناء، و هذا الوجه هو الأقوى، كما لا يخفى وجهه على المتأمّل</w:t>
      </w:r>
      <w:r>
        <w:rPr>
          <w:rFonts w:eastAsia="Amiri" w:cs="Amiri" w:ascii="Amiri" w:hAnsi="Amiri"/>
          <w:color w:val="111111"/>
          <w:sz w:val="28"/>
          <w:szCs w:val="28"/>
          <w:rtl w:val="true"/>
          <w:lang w:bidi="ar-SA"/>
        </w:rPr>
        <w:t>.</w:t>
      </w:r>
    </w:p>
    <w:p>
      <w:pPr>
        <w:pStyle w:val="Heading6"/>
        <w:numPr>
          <w:ilvl w:val="5"/>
          <w:numId w:val="1"/>
        </w:numPr>
        <w:rPr/>
      </w:pPr>
      <w:bookmarkStart w:id="448" w:name="__RefHeading___Toc3360294_2314609296"/>
      <w:bookmarkStart w:id="449" w:name="_Toc174"/>
      <w:bookmarkEnd w:id="448"/>
      <w:r>
        <w:rPr>
          <w:rtl w:val="true"/>
        </w:rPr>
        <w:t>الفرع الخامس</w:t>
      </w:r>
      <w:r>
        <w:rPr>
          <w:rtl w:val="true"/>
        </w:rPr>
        <w:t xml:space="preserve">: </w:t>
      </w:r>
      <w:r>
        <w:rPr>
          <w:rtl w:val="true"/>
        </w:rPr>
        <w:t>هل مانعية المحاذاة مطلقة أو مقصورة بصورة الاختيار؟ و الالتفات</w:t>
      </w:r>
      <w:bookmarkEnd w:id="449"/>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ينبغي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يدلّ بهيئته و مادّته على صدور الفعل منه اختيارا أمّا المادّة فواضح، لأنّ مادّة الأفعال لم توضع إلّا للمعنى الحدثي و المصدري، و أمّا الهيئة فلأنّها إنّما وضعت لقيام المادّة بالفاعل على اختلاف أنحاء القيام، من دون أن يكون لها دلالة على صدور الفعل منه اختيارا و عن علم، إلّا أنّ في خصوص المقام لا يبعد القول باختصاص مانعية المحاذاة بصورة العلم بها، و ذلك لأنّ الظاهر من أخبار الباب و المسئول عنه هو</w:t>
      </w:r>
      <w:bookmarkStart w:id="450" w:name="pg19820_206843"/>
    </w:p>
    <w:p>
      <w:pPr>
        <w:pStyle w:val="BookText"/>
        <w:rPr/>
      </w:pPr>
      <w:bookmarkEnd w:id="450"/>
      <w:r>
        <w:rPr>
          <w:rFonts w:ascii="Amiri" w:hAnsi="Amiri" w:eastAsia="Amiri" w:cs="Amiri"/>
          <w:color w:val="111111"/>
          <w:sz w:val="28"/>
          <w:sz w:val="28"/>
          <w:szCs w:val="28"/>
          <w:rtl w:val="true"/>
          <w:lang w:bidi="ar-SA"/>
        </w:rPr>
        <w:t>الجهة الاختيارية، كما يظهر من قوله في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المرأة تزامل الرجل في المحلّ </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المسئول عنه في الأخبار هو صلاة الرجل خلف المرأة مع الالتفات و الاختيار، و في هذا الفرض 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يصلّي، هذا مع أنّ مناسبة الحكم و الموضوع يقتضي اختصاص المنع بذلك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يتفرّع على ذلك أنّه لو كان كلّ من الرجل و المرأة جاهلين بالآخر أمّا لظلمة أو لعمى أو غير ذلك صحّت صلاتهما جميعا، لعدم إيقاع الصلاة اختيارا مع المحاذاة، و لو كان أحدهما جاهلا بالمحاذاة و الآخر عالما بها صحّت صلاة الجاهل و فسدت صلاة العالم، لأنّ المحاذاة الاختيارية إنّما تنتسب إلى العالم دون الجاهل، و هذا بخلاف ما إذا كان كل منهما عالم بالآخر، فإنّ المحاذاة الاختيارية تنتسب إليهما جميعا فتفسد صلاتهما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يتفرّع على ذلك أيضا بطلان خصوص صلاة اللاحق إذا كان عالما بالسابق، دون صلاة السابق، لأنّه حينئذ المحاذاة الاختيارية إنّما تستند إلى اللاحق فتفسد صلاته، و لا أثر لعلم السابق حينئذ بالمحاذاة لانعقاد صلاة اللاحق فاسدة بسبب علمه بالمحاذاة، و قد تقدّم أنّ المحاذاة للصلاة الفاسدة لا يكون مانعا، نعم لو كان اللاحق جاهلا، فإن أمكن السابق التباعد على وجه لا تبطل صلاته بالمقدار المعتبر من التباعد وجب عليه، و إن لا يمكنه التباعد كذلك سقطت مانعية المحاذاة حينئذ، من جهة حرمة قطع الصلاة فتأمّل</w:t>
      </w:r>
      <w:r>
        <w:rPr>
          <w:rFonts w:eastAsia="Amiri" w:cs="Amiri" w:ascii="Amiri" w:hAnsi="Amiri"/>
          <w:color w:val="111111"/>
          <w:sz w:val="28"/>
          <w:szCs w:val="28"/>
          <w:rtl w:val="true"/>
          <w:lang w:bidi="ar-SA"/>
        </w:rPr>
        <w:t>.</w:t>
      </w:r>
    </w:p>
    <w:p>
      <w:pPr>
        <w:pStyle w:val="Heading6"/>
        <w:numPr>
          <w:ilvl w:val="5"/>
          <w:numId w:val="1"/>
        </w:numPr>
        <w:rPr/>
      </w:pPr>
      <w:bookmarkStart w:id="451" w:name="__RefHeading___Toc3360296_2314609296"/>
      <w:bookmarkStart w:id="452" w:name="_Toc175"/>
      <w:bookmarkEnd w:id="451"/>
      <w:r>
        <w:rPr>
          <w:rtl w:val="true"/>
        </w:rPr>
        <w:t>الفرع السادس</w:t>
      </w:r>
      <w:r>
        <w:rPr>
          <w:rtl w:val="true"/>
        </w:rPr>
        <w:t xml:space="preserve">: </w:t>
      </w:r>
      <w:r>
        <w:rPr>
          <w:rtl w:val="true"/>
        </w:rPr>
        <w:t>لا عبرة بالفوقية و التحتية مع صدق كون أحدهما في يمين الآخر</w:t>
      </w:r>
      <w:bookmarkEnd w:id="452"/>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شماله أو قدّامه، نعم لو كانت الفوقية و التحتية على وجه لا يصدق ذلك، كما</w:t>
      </w:r>
      <w:bookmarkStart w:id="453" w:name="pg19820_206844"/>
    </w:p>
    <w:p>
      <w:pPr>
        <w:pStyle w:val="BookText"/>
        <w:rPr/>
      </w:pPr>
      <w:bookmarkEnd w:id="453"/>
      <w:r>
        <w:rPr>
          <w:rFonts w:ascii="Amiri" w:hAnsi="Amiri" w:eastAsia="Amiri" w:cs="Amiri"/>
          <w:color w:val="111111"/>
          <w:sz w:val="28"/>
          <w:sz w:val="28"/>
          <w:szCs w:val="28"/>
          <w:rtl w:val="true"/>
          <w:lang w:bidi="ar-SA"/>
        </w:rPr>
        <w:t>إذا كان أحدهما في مكان مرتفع بحيث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واقف في يمين الآخر أو شماله أو قدّامه، كما إذا كان ارتفاعه يقرب من عشرين ذراعا، لكان ذلك خارجا عن مورد الروايات، لأنّ الروايات إنّما تكفّلت لبيان الجهات الأربع فقط، ثمّ إنّه لو كان أحدهما واقفا على مكان مرتفع بحيث لا يضرّ بصدق اليمين و اليسار و القدّام، ففي كيفية اعتبار المسافة بينهما وجوه أو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اعتبارها من موقف أحدهما إلى الأساس الذي يكون الآخر واقفا على مرتفعة، فإن بلغ عشرة أذرع فهو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اعتبارها من موقف أحدهما إلى الأساس و من الأساس إلى موقف الواقف على مرتفعة، فإن بلغ المجموع عشرة أذرع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اعتبارها من ضلع المثلّث بين الموقفين، بأن تلاحظ المسافة بين الموقفين بأن يخرج خطّا من أحد الموقفين إلى موقف الآخر فإن بلغ عشرة أذرع فهو و إلّا فلا، و لا يكفي إخراج الخطّ من الموقف إلى الأساس فقط و لا يعتبر إخراجه أيضا من الأساس إلى موقف العالي، و لا يخفى عليك الفرق بين هذه الوجوه الثلاثة، فإنّ الأول ينقص عن الضلع المثلّث الحاصل بين الموقفين، و الثاني يزيد عليه و أقوى الوجوه هو الثالث، من غير فرق بين أن يكون تسنيميّا أو انحداريّا</w:t>
      </w:r>
      <w:r>
        <w:rPr>
          <w:rFonts w:eastAsia="Amiri" w:cs="Amiri" w:ascii="Amiri" w:hAnsi="Amiri"/>
          <w:color w:val="111111"/>
          <w:sz w:val="28"/>
          <w:szCs w:val="28"/>
          <w:rtl w:val="true"/>
          <w:lang w:bidi="ar-SA"/>
        </w:rPr>
        <w:t>.</w:t>
      </w:r>
    </w:p>
    <w:p>
      <w:pPr>
        <w:pStyle w:val="Heading6"/>
        <w:numPr>
          <w:ilvl w:val="5"/>
          <w:numId w:val="1"/>
        </w:numPr>
        <w:rPr/>
      </w:pPr>
      <w:bookmarkStart w:id="454" w:name="__RefHeading___Toc3360298_2314609296"/>
      <w:bookmarkStart w:id="455" w:name="_Toc176"/>
      <w:bookmarkEnd w:id="454"/>
      <w:r>
        <w:rPr>
          <w:rtl w:val="true"/>
        </w:rPr>
        <w:t>الفرع السابع</w:t>
      </w:r>
      <w:r>
        <w:rPr>
          <w:rtl w:val="true"/>
        </w:rPr>
        <w:t xml:space="preserve">: </w:t>
      </w:r>
      <w:r>
        <w:rPr>
          <w:rtl w:val="true"/>
        </w:rPr>
        <w:t>لو كانا في موقف لا يمكنهما التباعد فإن كانا في ضيق الوقت صلّيا جميعا و سقط اعتبار عدم المحاذاة</w:t>
      </w:r>
      <w:bookmarkEnd w:id="455"/>
    </w:p>
    <w:p>
      <w:pPr>
        <w:pStyle w:val="BookText"/>
        <w:rPr/>
      </w:pPr>
      <w:r>
        <w:rPr>
          <w:rFonts w:ascii="Amiri" w:hAnsi="Amiri" w:eastAsia="Amiri" w:cs="Amiri"/>
          <w:color w:val="111111"/>
          <w:sz w:val="28"/>
          <w:sz w:val="28"/>
          <w:szCs w:val="28"/>
          <w:rtl w:val="true"/>
          <w:lang w:bidi="ar-SA"/>
        </w:rPr>
        <w:t xml:space="preserve">و إن كان في سعة الوقت صلّيا على التعاقب مخيّرين في التقدّم و التأخّر، و إن كان الأفضل تقديم الرجل، و ما ورد في بعض الأخبار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الرجل أولا</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محمول على ذلك، لا أنّ ذلك شرط لصحّة الصلاة أو أنّه واجب نفسي</w:t>
      </w:r>
      <w:r>
        <w:rPr>
          <w:rFonts w:eastAsia="Amiri" w:cs="Amiri" w:ascii="Amiri" w:hAnsi="Amiri"/>
          <w:color w:val="111111"/>
          <w:sz w:val="28"/>
          <w:szCs w:val="28"/>
          <w:rtl w:val="true"/>
          <w:lang w:bidi="ar-SA"/>
        </w:rPr>
        <w:t>.</w:t>
      </w:r>
    </w:p>
    <w:p>
      <w:pPr>
        <w:pStyle w:val="Heading6"/>
        <w:numPr>
          <w:ilvl w:val="5"/>
          <w:numId w:val="1"/>
        </w:numPr>
        <w:rPr/>
      </w:pPr>
      <w:bookmarkStart w:id="456" w:name="__RefHeading___Toc3360300_2314609296"/>
      <w:bookmarkStart w:id="457" w:name="_Toc177"/>
      <w:bookmarkEnd w:id="456"/>
      <w:r>
        <w:rPr>
          <w:rtl w:val="true"/>
        </w:rPr>
        <w:t>الفرع الثامن</w:t>
      </w:r>
      <w:r>
        <w:rPr>
          <w:rtl w:val="true"/>
        </w:rPr>
        <w:t xml:space="preserve">: </w:t>
      </w:r>
      <w:r>
        <w:rPr>
          <w:rtl w:val="true"/>
        </w:rPr>
        <w:t>ظاهر أخبار الباب اختصاص الحكم بالرجل و المرأة</w:t>
      </w:r>
      <w:bookmarkEnd w:id="457"/>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لا يعمّ الصبي</w:t>
      </w:r>
    </w:p>
    <w:p>
      <w:pPr>
        <w:pStyle w:val="BookText"/>
        <w:rPr/>
      </w:pPr>
      <w:r>
        <w:rPr>
          <w:rFonts w:ascii="Amiri" w:hAnsi="Amiri" w:eastAsia="Amiri" w:cs="Amiri"/>
          <w:color w:val="111111"/>
          <w:sz w:val="28"/>
          <w:sz w:val="28"/>
          <w:szCs w:val="28"/>
          <w:rtl w:val="true"/>
          <w:lang w:bidi="ar-SA"/>
        </w:rPr>
        <w:t>و الصبية و إن قلنا بشرعية عبادتهما، من غير فرق بين تقدّم الصبية على الصبي أو على الرجل، أو تقدّم الصبي على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 في بعض </w:t>
      </w:r>
      <w:r>
        <w:rPr>
          <w:rStyle w:val="FootnoteAnchor"/>
          <w:rtl w:val="true"/>
        </w:rPr>
        <w:footnoteReference w:id="507"/>
      </w:r>
      <w:r>
        <w:rPr>
          <w:rFonts w:ascii="Amiri" w:hAnsi="Amiri" w:eastAsia="Amiri" w:cs="Amiri"/>
          <w:color w:val="111111"/>
          <w:sz w:val="28"/>
          <w:sz w:val="28"/>
          <w:szCs w:val="28"/>
          <w:rtl w:val="true"/>
          <w:lang w:bidi="ar-SA"/>
        </w:rPr>
        <w:t>أخبار باب الجماعة ما يظهر منه تعميم الحكم للصبي و الصبية، فراجع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المعنى الثاني من المكان، و هو اعتبار الطهارة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الأقوال في ذلك أربعة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الطهارة في جميع مكان المصلّي، من موضع القدم إلى موضع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الطهارة فيه مطلقا حتّى موضع السجود، و هو الذي ينسب إلى الراوندي </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الطهارة في خصوص المساجد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الطهارة في خصوص موضع الجبهة، و هو الذي ينسب إلى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الروايات في المقام مطلقة و هي بين ما تعتبر الطهارة مطلقا و بين ما لا تعتبرها مطلقا، و لكن حيث كانت روايات عدم الاعتبار صريحة في ذلك من حيث نفي البأس فيها و روايات الاعتبار ظاهرة في ذلك من حيث ورود النهي فيها الظاهر في المانعية كان مقتضى القاعدة حمل الروايات الناهية على الكراهة، تحكيما للنص على الظاهر، و هذا هو الذي دعا الراوندي إلى عدم اعتبار الطهارة مطلقا، حتّى في المسجد، و لا بأس بذكر بعض أخبار الباب حتّى يتّضح 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خبر ابن أبي عمير قلت لأبي عبد اللّٰه عليه السّلام أصلّي على الشاذ كونه و قد أصابتها الجنابة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معناه عدّة من روايات أخر دالّة على نفي البأس في المكان النجس الذي بإطلاقه يشمل جميع المكان</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خبر ابن بكير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الشاذ كونه يصيبها الاحتلام</w:t>
      </w:r>
    </w:p>
    <w:p>
      <w:pPr>
        <w:pStyle w:val="BookText"/>
        <w:rPr/>
      </w:pPr>
      <w:r>
        <w:rPr>
          <w:rFonts w:ascii="Amiri" w:hAnsi="Amiri" w:eastAsia="Amiri" w:cs="Amiri"/>
          <w:color w:val="111111"/>
          <w:sz w:val="28"/>
          <w:sz w:val="28"/>
          <w:szCs w:val="28"/>
          <w:rtl w:val="true"/>
          <w:lang w:bidi="ar-SA"/>
        </w:rPr>
        <w:t>أ يصلّي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موثّق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عن الموضع القذر يكون في البيت أو غيره فلا تصيبه الشمس و لكنّه قد يبس الموضع القذر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يصلّي عليه و أعلم موضعه حتّى تغسله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هذان الخبران ظاهران في المنع، إلّا أنّه لمّا كان نفي البأس صريحا في الجواز كان مقتضى القاعدة حمل النفي على الكراهة، و ليس في أخبار الباب ما يدلّ على اعتبار الطهارة في المساجد السبعة أو خصوص موضع الجبهة، و لكن لشيخنا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كلاما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خبر ابن بكير و كذا موثّق عمّار ظاهر في عدم نجاسة جميع المكان الذي يصلّي فيه، بداهة أنّ إصابة الاحتلام إنّما يكون في مقدار من المكان، و كذا ظاهر الموضع القذر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أعلم موضعه حتى تغسله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قذارة مقدار قليل من البيت، بحيث لا يصلح للصلاة فيه بل يصلح للصلاة عليه في الجملة و لو في بعض حالات الصلاة، و كذا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الاستعلاء، بحيث يكون الصلاة عليه و ذلك أخصّ من الصلاة فيه، فإنّ لفظة في يشمل جميع مكان المصلّي و إن لم يلاق بدنه له كالمواضع المتخلّلة بين المساجد في حال السجود، و هذا بخلاف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ملاقاة بدن المصلّي للموضع ليتحقّق الاستعلاء، 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تشمل موقف المصلّي و محلّ تشهّده و مواضع مساجده السبعة، فضمّ هاتين المقدمتين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موضع إصابة الاحتلام و القذارة قليل جدّا، بحيث لا يتحمّل إلّا لبعض حالات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كون ذلك الموضع ممّا يصيبه بدن المصلّي، بقرينة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المتيقّن من ذلك هو موضع السجود، لأنّه أحقّ بإطلاق الصلاة عليه لأنّه ركن في الصلاة مع أنّه لا يحتمل اعتبار طهارة غيره، و عدم اعتبار طهارته، و اعتبار طهارة الجميع ينافي قلّة المكان القذر ينتج ما ذهب إليه المشهور، من اختصاص اعتبار الطهارة في خصوص المسجد دون غيره، لأنّه بناء على المقدّمات المذكورة تكون الأخبار المانعة مختصّة بموضع السجود، و مقتضى صناعة الإطلاق و التقييد هو حمل الأخبار المجوّزة على ما عدا موضع السجود، لأخصّية الأخبار المانعة حينئذ فتأمّل جيّدا، فإنّه بعد في المقدّمات شي‌ء، و تتميم فتوى المشهور بغير الإجماعات المنقولة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ظاهر المشهور عدم اعتبار الطهارة في غير محلّ السجود، نعم يعتبر أن لا يكون في المكان نجاسة متعدّية، و الظاهر أنّ اعتبار ذلك إنّما هو لمحض الطريقية لا الموضوعية، فلو كانت النجاسة ممّا يعفى عنها لقلّتها فلا بأس بتعدّيها كما هو واضح، هذا تمام الكلام فيما يعتبر في المكان</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البحث عن مكروهات المكان فليس بمهمّ، نعم ينبغي البحث عن الصلاة في المقابر، حيث إنّه ربّما قيل ببطلان الصلاة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هنا عناوين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المقابر و الصلاة بين القبور، و الصلاة على القبر و الصلاة إلى القبر، بأن يجعل القبر قبلة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المنع عن كلّ من هذه العناوين الأربع في الأخبار، و لا يخفى الفرق بين الأول و الثاني، إذ في الأول لا يعتبر فعلية القبور و لا أن تكون الصلاة بينها بل يكفي كون المكان معدّا للدفن، بحيث يطلق عليه المقبرة و إن لم يكن فيه إلّا قبر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إن لم يكن فيه قبر أصلا، و هذا بخلاف الثاني فإنّه يعتبر فعليّة القبور لا أقل من قبرين لعدم صدق البينية بدون ذلك، فممّا دلّ على الأول قوله في خبر المناهي، نهى رسول اللّٰه صلّى اللّٰه عليه و آله أن يصلّي</w:t>
      </w:r>
    </w:p>
    <w:p>
      <w:pPr>
        <w:pStyle w:val="BookText"/>
        <w:rPr/>
      </w:pPr>
      <w:r>
        <w:rPr>
          <w:rFonts w:ascii="Amiri" w:hAnsi="Amiri" w:eastAsia="Amiri" w:cs="Amiri"/>
          <w:color w:val="111111"/>
          <w:sz w:val="28"/>
          <w:sz w:val="28"/>
          <w:szCs w:val="28"/>
          <w:rtl w:val="true"/>
          <w:lang w:bidi="ar-SA"/>
        </w:rPr>
        <w:t xml:space="preserve">الرجل في المقابر و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 في خبر عبيد بن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الأرض كلّها مسجد إلّا بئر غائط و مقبرة </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يدلّ على الثاني موثّقة عمّار سأل الصادق عليه السّلام يصلّي بين القبور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ذلك إلّا أن يجعل بينه و بين القبور إذا صلّى عشرة أذرع من بين يديه، و عشرة أذرع من خلفه، و عشرة أذرع عن يمينه، و عشرة أذرع عن يساره، ثمّ يصلّي إن شاء </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يدلّ على الثالث خبر يونس بن ظبيان عن أبي عبد اللّٰه أنّ رسول اللّٰه صلّى اللّٰه عليه و آله نهى أن يصلّى على قبر أو يقعد عليه أو يبنى </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دلّ على الرابع قوله في صحيحة زرارة المروية عن العلل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عليه السّلام الصلاة بين القبور فقال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خللها و لا تتّخذوا شيئا منها 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516"/>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وفّقنا لطبع الدورة الكاملة للأصول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الألفاظ و الأصول العمليّة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مجلدات و هي منقّحة</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 اختلاف يسير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 اختلاف يسير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نقلا بالمضمون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اختلاف يسير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و أصول الإسلام قطعة من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و أصول الإسلام قطعة من ح </w:t>
      </w:r>
      <w:r>
        <w:rPr>
          <w:rFonts w:eastAsia="IRNazanin" w:cs="IRNazanin"/>
          <w:b w:val="false"/>
          <w:bCs w:val="false"/>
          <w:i w:val="false"/>
          <w:iCs w:val="false"/>
          <w:color w:val="333333"/>
          <w:sz w:val="20"/>
          <w:szCs w:val="20"/>
        </w:rPr>
        <w:t>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و أصول الأحكام قطعة من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نقلا بالمضمون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هو أنّ الأقوى أنّ نسيان المقدّمات مطلقا سواء كان بتبع نسيان الفريضة أو لم يكن بل كان نسيانها مستقلا لا يوجب سقوطها، لأنّ العمدة في سقوط المقدّمات المنسية إنّما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تعاد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 في الصلاة،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يستفاد منه عدم إعادة الصلاة عند نسيان مقدّماتها أو أجزائها غير الخمسة، فمع عدم الصلاة رأسا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فيما نحن فيه حيث نسي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وجه لسقوط مقدّماتها عند نسيانها و لو لم يكن نسيانها بتبع نسيان الفريضة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وقعت العصر بتمام أجزائها في الوقت المختصّ بالظهر، و أمّا إذا وقع جزء منها في الوقت المشترك، و لم يتذكّر حتّى فرغ منها فالأقوى صحّتها عصرا كما نسب إلى المشهور، لإطلاق رواية إسماعيل بن رياح عن أبي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صلّيت و أنت ترى أنّك في وقت و لم يدخل الوقت فدخل الوقت و أنت في الصلاة فقد أجزأت عنك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الشامل لدخول الوقت المشترك في أثناء صلاة العصر و لو قبل التسليم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وقعت العصر بتمام أجزائها في الوقت المختصّ بالظهر، و أمّا إذا وقع جزء منها في الوقت المشترك، و لم يتذكّر حتّى فرغ منها فالأقوى صحّتها عصرا كما نسب إلى المشهور، لإطلاق رواية إسماعيل بن رياح عن أبي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صلّيت و أنت ترى أنّك في وقت و لم يدخل الوقت فدخل الوقت و أنت في الصلاة فقد أجزأت عنك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الشامل لدخول الوقت المشترك في أثناء صلاة العصر و لو قبل التسليم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أوقات الصلاة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لدينا هذا الكتاب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أوقات الصلاة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الفرائض اليومية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بالمضمون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قيّدنا ببعد دخول الوقت فإنّه لو كان بعد الفراغ شاكّا في دخول الوقت أيضا لما كان محلّ لقاعدة الفراغ، فإنّها من القواعد الممهّدة لمرحلة الامتثال و الخروج عن عهدة التكليف، و ذلك فرع ثبوت التكليف و اشتغال الذمّة به، فلو كان بعد الفراغ عالما بدخول الوقت الآن و إن شكّ في وقوع الظهر خارجه، فحيث إنّه الآن عالم باشتغال ذمّته بالظهر و توجّه التكليف عليه كان موردا لقاعدة الفراغ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لو كان بعد الفراغ الآن أيضا شاكا في دخول الوقت فهو الآن بعد شاكّ في اشتغال ذمّته بصلاة الظهر و توجّه التكليف إليه، فكيف تجري القاعدة مع كونها من الأصول المجعولة في مقام الخروج عن عهدة ما اشتغلت الذمّة به و امتثاله؟ فتأمّل جيّدا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 الأصحاب قاعدتين ربّما يتوهّم المنافاة بينهما،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لو خاف الضيق صلّى العصر مقدّما على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لو شكّ في بقاء الوقت استصحب الوقت و صلّى الظهر مقدّما على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يتوهّم أنّه لا يمكن الجمع بين القاعدتين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يمكن الجمع بينهما أنّ مورد الخوف إنّما هو ما إذا علم مقدار الوقت كربع ساعة، و لكن شكّ في سعته لفعل الظهر و العصر، فهنا يقدّم العصر لأنّه لا استصحاب بالنسبة إلى الوقت بعد العلم به، و بالنسبة إلى سعته لفعل الصلاتين ليس له حالة سابقة حتّى تستصحب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مورد الاستصحاب إنّما هو فيما إذا لم يعلم المقدار الباقي من الوقت، و أنّه هل هو نصف ساعة حتّى يسع للصلاتين أو ربع ساعة حتّى لا يسع، فهنا يستصحب بقاء الوقت و يرتفع به موضوع الخوف بعد حكم الشارع بأنّ الوقت باق، و أنّه يسع للصلاتين بمقتضى التعبّد بالاستصحاب، فتأمّل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تغيب الشمس</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ليصلي الأولى بعد ذلك</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مع تفاوت في اللّفظ</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فيه اختلاف يسير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فيه اختلاف يسير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لو كان المساء بمعنى فعلها عند الاستتار لما كان فعله عليه السّلام لها في ذلك الوقت لأجل التقية و هذا مناف لظاهرة، فتأمّل جيّدا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اختلاف يسير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اختلاف يسير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اختلاف يسير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 نقلا بالمضمون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فيه اختلاف يسير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اختلاف يسير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الوقتين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 نقلا بالمضمون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اختلاف يسير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اختلاف يسير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في شرح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فيه اختلاف يسير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10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بالمضمون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في شرع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طبع 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في شرح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فيه اختلاف يسير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و المطهرات و أحكامها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يحمرّ و يصبح</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الغداة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 الوقتين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فيه اختلاف يسير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في بعض الروايات ما يدلّ على ذلك كما في صحيحة ابن يقطين سألت أبا الحسن عليه السّلام الرجل لا يصلّي الغداة حتّى يسفر و تظهر الحمرة و لم يركع ركعتي الفجر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الظاهر أنّ عطف و تظهر الحمرة على الإسفراء من باب عطف التفسير فتأمّل جيّدا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ينبغي</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وقت صلاة الفجر و نافلتها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فيه اختلاف يسير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بالمضمون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و الظاهر سقوط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حائط</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الظاهر من رواية زرارة هو بلوغ الظل الأعمّ من الباقي و الحادث بعد الزوال مقدار المثل، و هذا لا يستقيم في بعض الأزمنة و الأمكنة، فإنّه ربّما يكون الظلّ الباقي أكثر من المثل، فيلزم أن يكون وقت الفريضة قبل الزوال، و لا يمكن حملها على خصوص الظلّ الحادث، لأنّ 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كان ظلّك مثلك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ينافي ذلك، فإنّه لو كان المراد خصوص الظلّ الحادث لكان حقّ التعبير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صار ظلّك مثلك، كما لا يخفى، هذا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فيه اختلاف يسير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نوافلها،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نوافلها،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فيه 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وليد الغفاري</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تقديم النوافل و تأخيرها و قضائها و صلاة الضحى،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فيه اختلاف يسير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الإنصاف عدم قيام دليل معتدّ به في امتداد وقت النافلة إلى طلوع الحمرة و إن ذهب المشهور إليه،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عشرة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السابع من المقصد الثالث فيما يتعلق بأوقات القضاء و حكم التنفل في وقت الفريضة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فيه اختلاف يسير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في 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اختلاف يسير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التطوع في وقت الفريضة،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و فيه اختلاف يسير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فيه اختلاف يسير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فيه اختلاف يسير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تطوع الليل و النهار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يظهر من رواية حبل المتين</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الإمام عليه السّلام بنفسه قاس المقام بذلك المقام فقد عرفت احتمال وحدة الرواية، مع أنّه على تقدير التعدّد فلا بدّ من حملها، لأنّه ليس من شأنه القياس فيما يقوله من الأحكام، مع أنّه هو بنفسه يمنع عنه و يحثّ في عدمه، فلا بدّ من حملها على ما لا ينافي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فيه اختلاف يسير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نام عن الصلاة أو سها عنها،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فيه اختلاف يسير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نام عن الصلاة أو سها عنها،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نقلا بالمضمون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النذور و العهد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لم توجد في النسخة و أثبتناه لاقتضاء السياق</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الصلاة،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هذا مستفاد من الخبر لا أنّه بنفسه خبر مستقل، 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 و الظاهر ان الثانية زائدة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فيه اختلاف يسير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و الاستحاضة و النفاس،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اختلاف يسير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1</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فيه اختلاف يسير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فيه اختلاف يسير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اختلاف يسير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اختلاف يسير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اختلاف يسير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فيه اختلاف يسير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 موثقة ابن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صلّيت فوق أبي قبيس العصر، فهل يجزي ذلك و الكعبة تحتي؟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إنّما هي قبلة من موضعها إلى السماء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البيت من الأرض السابعة إلى السماء العليا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اختلاف</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ذلك</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فيه اختلاف يسير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فيه اختلاف يسير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القبلة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فيه اختلاف يسير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اعتبار البيّنة في أمثال المقام إنّما هو من باب اعتبار قول أهل الخبرة، لا من باب الشهادة حتّى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يعتبر أن تكون عن حسّ و الحسّ مفقود في مثل المقام فتأمّل فإنه لو كان اعتبار ذلك من باب أهل الخبر لم يكن وجه لاعتبار التعدّد،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أنّه قال للصادق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إنّ هؤلاء المخالفين علينا يقولون إذا أطبقت السماء علينا أو أظلمت فلم نعرف ممّا كنّا و أنتم سواء في الاجتهاد، 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كما يقولون، إذا كان ذلك فليصلّي إلى أربع وجوه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اختلاف يسير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اختلاف يسير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القبلة ذيل ح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هنا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الإتيان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فيه اختلاف يسير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بالمضمون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بالمضمون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لم توجد في النسخة و أثبتناه لاقتضاء السياق</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ذكري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فيه اختلاف يسير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القبلة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لم توجد في النسخة و أثبتناه لاقتضاء السياق</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القلة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القبلة، ح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صلّى من الظهر ركعتين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 اختلاف يسير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 اختلاف يسير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القبلة و أحكامها،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الى المشرق و المغرب</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يمكن أن يكون مساقها الاختصاص بصورة النسيان، لأنّ أخذ قيد الالتفات بكلّه أو إلى الخلف كما في بعض أخبار الالتفات إنّما يناسب صورة النسيان و لا يعمّ العامد، إذ في صورة العمد لا يحتاج إلى الالتفات بالكلّ أو الخلف بل تبطل الصلاة بأقلّ من ذلك، و نفس الأدلّة الأولية الدالّة على شرطية القبلة تكفي في بطلان الصلاة عند التعمّد و لا يحتاج إلى أخبار الالتفات، فأخبار الالتفات سؤالا و جوابا إنّما تكون مسوقة لصورة النسيان كما لا يخفى</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وجه التفرقة بين الطائفتين في آخر البحث فانتظر و راجع</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عدل شيخنا الأستاذ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هذا التقريب عند البحث في القواطع في مسألة قاطعية الالتفات، و قوى في نظره عدم ثبوت المفهوم لصحيحة البزنطي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هذا التقريب مبني على ثبوت المفهوم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نقلا بالمضمون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السادس من الشرط الرابع للعمل بالاستصحاب</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الأول</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لم توجد في النسخة و أثبتناه لاقتضاء السياق</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المصلّى،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لباس المصلّي، ح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رأيتموهم يصلّون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جامعة المدرّسين بقم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أحمد بن محمّد بن أبي نصر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لباس المصلّي، ح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ص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عن أبيه إسماعيل بن عيسى</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لباس المصلي، ح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خبر إسحاق بن عمّار المذكور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لباس المصلّي، ح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بالمضمون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لاعتبار قيد الاستعمال زائدا على الاستيلاء، فإنّ نفس استيلاء المسلم على شي‌ء أمارة على الملكية و الملكية تلازم التذكية و مثبتات الأمارة حجّة فلا وجه لاعتبار الاستعمال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 المسلم إنّما تكون أمارة على الملك فيما إذا أحرز قابلية ما في يده للتملّك، فلو كان هناك في يده شي‌ء لم يعلم كونه ترابا غير قابل للتملّك أو نحاسا قابلا له فمن مجرد كونه في يده لا يحكم كونه نحاسا، و كذا لو كان في يده لحم لا يحكم كونه من مذكّى ما لم يستعمله فيما يستعمل فيه الذكي، فالمخرج عن أصالة عدم التذكية ليست اليد فقط بل هي مع الاستعمال، و هذا هو المتيقّن من أدلّة الباب، و من هنا يعلم أنّ المبنى الأول من المبنيين الذي ذكرناهما فاسد من أصله فتأمّل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لباس المصلي، ح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لباس المصلّي، ح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اختلاف يسير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اختلاف يسير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رواه الهاشمي،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عن لباس الجلود و الخفاف و النعال و الصلاة فيها إذا لم يكن من أرض المسلمين، 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النعال و الخفاف فلا بأس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بالمضمون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الأطعمة و الأشربة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يؤكل لحمه من غير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بإسقاط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أفاد شيخنا الأستاذ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النسبة بين التعليلين إنما هي بالأعم الأخص المطلق، و ان 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أكثرها مسوخ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أخص من 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لا يأكل اللّحم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الوبر ليس ممّا تحلّه الحياة حتى يعتبر فيه التذكية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شرطية الوضع كما في باب العقود و الإيقاعات، و كذلك في باب الطهارة و النجاسة و أمثال ذلك، و بالجملة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المدّعى هو أنّ الشرطية و الجزئية و المانعية و السببية غير قابلة للجعل في أي باب من الأبواب، سواء كان في باب التكليف أو في باب المتعلّق و المكلّف به أو في باب الوضع، لأنّ ملاك استحالة الجعل في الجميع واحد كما لا يخفى وجهه، فتأمّل جيّدا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أيضا لا يدلّ على شرطية المأكولية بقول مطلق، بل غايته انّه يدلّ على شرطية المأكولية فيما يعتبر فيه التذكية كالجلد و غيره ممّا تحلّه الحياة، لا مثل الوبر و الشعر و غير ذلك ممّا لا تحلّه الحياة فتأمّل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اختلاف يسير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وقت وجوب الطهور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الثالث في الاشتغال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4</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لو فرض اتحاد الموضوع و اتحاد المرتبة فلا بدّ من التخصيص، لأعمّية أصالة الحلّ و أخصّية حكم 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4</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مع تفاوت يسير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لباس المصلّي، ح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 لا بأس إنما حرم اللّٰه أكله و شربه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ما استعمل لفظ الحلّ و الحرمة في شي‌ء من الروايات بمعنى الصحّة و الفساد بل المراد من الحلّ و الحرمة في جميع الموارد حتّى في باب المعاملات هو الترخيص و المنع الشرعي غايته أنّ الترخيص و المنع الشرعي يختلف أثره باختلاف متعلّقه ففي باب المعاملات يكون الأثر هو النفوذ و عدم النفوذ و في باب العبادات يكون الأثر هو الإجزاء و الصحّة و عدمها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الأشرف</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1</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و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ينفع</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بداهة أنّ مثل مانعية الحرير أو الذهب أو النجاسة الخبثية إنّما تعتبر في نفس الأجزاء و ما هو أفعال الصلاة فلو لبس الحرير في بين السكونات و الأكوان، أو تنجّس لباسه في أثنائها، ثمّ نزع الحرير أو زال النجاسة عند اشتغاله بأفعال الصلاة لم يكن ذلك مخلا بصلاته مع عدم فوت الموالاة، و هذا بخلاف القهقهة و البكاء و الالتفات و غير ذلك من القواطع، فإنّها معتبرة في جميع الصلاة حتّى سكوناتها و أكوانها، و لذا لو وقع البكاء في أثناء السكون بطلت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النجفيّة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الركوع</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 آدابه،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فيه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النساء عيّ و عورة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اختلاف يسير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سيأتي الكلام في الطين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كون التستّر بالطين و الحفيرة و الماء الكدر في عرض واحد أو بينها ترتّب كلام للأصحاب، لا يخفى على المراجع، و إن اختار شيخنا الأستاذ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العرضية فتأمّل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الأقوى وجوب تحصيل المأمن مقدّمة للقيام الواجب في الصلاة كما يأتي الإشارة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نثر عليه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11</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3</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3</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3</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7</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3</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 عن الرجل يصلي</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اختلاف يسير</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و فيه اختلاف يسير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image" Target="media/image2.jpeg"/><Relationship Id="rId420" Type="http://schemas.openxmlformats.org/officeDocument/2006/relationships/image" Target="media/image2.jpeg"/><Relationship Id="rId421" Type="http://schemas.openxmlformats.org/officeDocument/2006/relationships/footer" Target="footer414.xml"/><Relationship Id="rId422" Type="http://schemas.openxmlformats.org/officeDocument/2006/relationships/footnotes" Target="footnotes.xml"/><Relationship Id="rId423" Type="http://schemas.openxmlformats.org/officeDocument/2006/relationships/numbering" Target="numbering.xml"/><Relationship Id="rId424" Type="http://schemas.openxmlformats.org/officeDocument/2006/relationships/fontTable" Target="fontTable.xml"/><Relationship Id="rId425" Type="http://schemas.openxmlformats.org/officeDocument/2006/relationships/settings" Target="settings.xml"/><Relationship Id="rId4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422</Pages>
  <Words>57279</Words>
  <Characters>232513</Characters>
  <CharactersWithSpaces>288777</CharactersWithSpaces>
  <Paragraphs>1016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2026-08-26T01:41:45Z</dcterms:created>
  <dc:creator>ghaemiyeh.com</dc:creator>
  <dc:description/>
  <dc:language>en-US</dc:language>
  <cp:lastModifiedBy/>
  <dcterms:modified xsi:type="dcterms:W3CDTF">2026-08-26T05:12:09Z</dcterms:modified>
  <cp:revision>1</cp:revision>
  <dc:subject/>
  <dc:title>کتاب الصلاه جلد 1</dc:title>
</cp:coreProperties>
</file>

<file path=docProps/custom.xml><?xml version="1.0" encoding="utf-8"?>
<Properties xmlns="http://schemas.openxmlformats.org/officeDocument/2006/custom-properties" xmlns:vt="http://schemas.openxmlformats.org/officeDocument/2006/docPropsVTypes"/>
</file>