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1604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61606_2314609296">
            <w:r>
              <w:rPr>
                <w:webHidden/>
                <w:rStyle w:val="IndexLink"/>
                <w:rtl w:val="true"/>
              </w:rPr>
              <w:t>[</w:t>
            </w:r>
            <w:r>
              <w:rPr>
                <w:rStyle w:val="IndexLink"/>
                <w:rtl w:val="true"/>
              </w:rPr>
              <w:t>مقدمة التحقيق</w:t>
            </w:r>
            <w:r>
              <w:rPr>
                <w:rStyle w:val="IndexLink"/>
                <w:rtl w:val="true"/>
              </w:rPr>
              <w:t>]</w:t>
              <w:tab/>
            </w:r>
            <w:r>
              <w:rPr>
                <w:rStyle w:val="IndexLink"/>
              </w:rPr>
              <w:t>5</w:t>
            </w:r>
          </w:hyperlink>
        </w:p>
        <w:p>
          <w:pPr>
            <w:pStyle w:val="Contents2"/>
            <w:tabs>
              <w:tab w:val="clear" w:pos="8743"/>
              <w:tab w:val="right" w:pos="9026" w:leader="dot"/>
            </w:tabs>
            <w:rPr/>
          </w:pPr>
          <w:hyperlink w:anchor="__RefHeading___Toc2061608_2314609296">
            <w:r>
              <w:rPr>
                <w:webHidden/>
                <w:rStyle w:val="IndexLink"/>
                <w:rtl w:val="true"/>
              </w:rPr>
              <w:t xml:space="preserve">شرح </w:t>
            </w:r>
            <w:r>
              <w:rPr>
                <w:rStyle w:val="IndexLink"/>
                <w:rtl w:val="true"/>
              </w:rPr>
              <w:t>[</w:t>
            </w:r>
            <w:r>
              <w:rPr>
                <w:rStyle w:val="IndexLink"/>
                <w:rtl w:val="true"/>
              </w:rPr>
              <w:t>كتاب الصوم من</w:t>
            </w:r>
            <w:r>
              <w:rPr>
                <w:rStyle w:val="IndexLink"/>
                <w:rtl w:val="true"/>
              </w:rPr>
              <w:t xml:space="preserve">] </w:t>
            </w:r>
            <w:r>
              <w:rPr>
                <w:rStyle w:val="IndexLink"/>
                <w:rtl w:val="true"/>
              </w:rPr>
              <w:t>إرشاد الأذهان</w:t>
            </w:r>
            <w:r>
              <w:rPr>
                <w:rStyle w:val="IndexLink"/>
                <w:rtl w:val="true"/>
              </w:rPr>
              <w:tab/>
            </w:r>
            <w:r>
              <w:rPr>
                <w:rStyle w:val="IndexLink"/>
              </w:rPr>
              <w:t>10</w:t>
            </w:r>
          </w:hyperlink>
        </w:p>
        <w:p>
          <w:pPr>
            <w:pStyle w:val="Contents3"/>
            <w:tabs>
              <w:tab w:val="clear" w:pos="8459"/>
              <w:tab w:val="right" w:pos="9026" w:leader="dot"/>
            </w:tabs>
            <w:rPr/>
          </w:pPr>
          <w:hyperlink w:anchor="__RefHeading___Toc2061610_231460929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061612_2314609296">
            <w:r>
              <w:rPr>
                <w:webHidden/>
                <w:rStyle w:val="IndexLink"/>
                <w:rtl w:val="true"/>
              </w:rPr>
              <w:t>[</w:t>
            </w:r>
            <w:r>
              <w:rPr>
                <w:rStyle w:val="IndexLink"/>
                <w:rtl w:val="true"/>
              </w:rPr>
              <w:t>النظر الأول في ماهية الصوم</w:t>
            </w:r>
            <w:r>
              <w:rPr>
                <w:rStyle w:val="IndexLink"/>
                <w:rtl w:val="true"/>
              </w:rPr>
              <w:t>]</w:t>
              <w:tab/>
            </w:r>
            <w:r>
              <w:rPr>
                <w:rStyle w:val="IndexLink"/>
              </w:rPr>
              <w:t>11</w:t>
            </w:r>
          </w:hyperlink>
        </w:p>
        <w:p>
          <w:pPr>
            <w:pStyle w:val="Contents4"/>
            <w:tabs>
              <w:tab w:val="clear" w:pos="8176"/>
              <w:tab w:val="right" w:pos="9026" w:leader="dot"/>
            </w:tabs>
            <w:rPr/>
          </w:pPr>
          <w:hyperlink w:anchor="__RefHeading___Toc2061614_2314609296">
            <w:r>
              <w:rPr>
                <w:webHidden/>
                <w:rStyle w:val="IndexLink"/>
                <w:rtl w:val="true"/>
              </w:rPr>
              <w:t>[</w:t>
            </w:r>
            <w:r>
              <w:rPr>
                <w:rStyle w:val="IndexLink"/>
                <w:rtl w:val="true"/>
              </w:rPr>
              <w:t>الصوم لغة و شرعا</w:t>
            </w:r>
            <w:r>
              <w:rPr>
                <w:rStyle w:val="IndexLink"/>
                <w:rtl w:val="true"/>
              </w:rPr>
              <w:t>]</w:t>
              <w:tab/>
            </w:r>
            <w:r>
              <w:rPr>
                <w:rStyle w:val="IndexLink"/>
              </w:rPr>
              <w:t>11</w:t>
            </w:r>
          </w:hyperlink>
        </w:p>
        <w:p>
          <w:pPr>
            <w:pStyle w:val="Contents4"/>
            <w:tabs>
              <w:tab w:val="clear" w:pos="8176"/>
              <w:tab w:val="right" w:pos="9026" w:leader="dot"/>
            </w:tabs>
            <w:rPr/>
          </w:pPr>
          <w:hyperlink w:anchor="__RefHeading___Toc2061616_2314609296">
            <w:r>
              <w:rPr>
                <w:webHidden/>
                <w:rStyle w:val="IndexLink"/>
                <w:rtl w:val="true"/>
              </w:rPr>
              <w:t>[</w:t>
            </w:r>
            <w:r>
              <w:rPr>
                <w:rStyle w:val="IndexLink"/>
                <w:rtl w:val="true"/>
              </w:rPr>
              <w:t>مسألة لا يتحقّق الإفطار بتناول موجبه سهوا</w:t>
            </w:r>
            <w:r>
              <w:rPr>
                <w:rStyle w:val="IndexLink"/>
                <w:rtl w:val="true"/>
              </w:rPr>
              <w:t>]</w:t>
              <w:tab/>
            </w:r>
            <w:r>
              <w:rPr>
                <w:rStyle w:val="IndexLink"/>
              </w:rPr>
              <w:t>78</w:t>
            </w:r>
          </w:hyperlink>
        </w:p>
        <w:p>
          <w:pPr>
            <w:pStyle w:val="Contents4"/>
            <w:tabs>
              <w:tab w:val="clear" w:pos="8176"/>
              <w:tab w:val="right" w:pos="9026" w:leader="dot"/>
            </w:tabs>
            <w:rPr/>
          </w:pPr>
          <w:hyperlink w:anchor="__RefHeading___Toc2061618_2314609296">
            <w:r>
              <w:rPr>
                <w:webHidden/>
                <w:rStyle w:val="IndexLink"/>
                <w:rtl w:val="true"/>
              </w:rPr>
              <w:t xml:space="preserve">مسألة </w:t>
            </w:r>
            <w:r>
              <w:rPr>
                <w:rStyle w:val="IndexLink"/>
                <w:rtl w:val="true"/>
              </w:rPr>
              <w:t>[</w:t>
            </w:r>
            <w:r>
              <w:rPr>
                <w:rStyle w:val="IndexLink"/>
              </w:rPr>
              <w:t>2</w:t>
            </w:r>
            <w:r>
              <w:rPr>
                <w:rStyle w:val="IndexLink"/>
                <w:rtl w:val="true"/>
              </w:rPr>
              <w:t xml:space="preserve">] </w:t>
            </w:r>
            <w:r>
              <w:rPr>
                <w:rStyle w:val="IndexLink"/>
                <w:rtl w:val="true"/>
              </w:rPr>
              <w:t>لو أكل مكرها، فإن بلغ حدّا يرفع القصد فلا إشكال في عدم الإفساد،</w:t>
            </w:r>
            <w:r>
              <w:rPr>
                <w:rStyle w:val="IndexLink"/>
                <w:rtl w:val="true"/>
              </w:rPr>
              <w:tab/>
            </w:r>
            <w:r>
              <w:rPr>
                <w:rStyle w:val="IndexLink"/>
              </w:rPr>
              <w:t>83</w:t>
            </w:r>
          </w:hyperlink>
        </w:p>
        <w:p>
          <w:pPr>
            <w:pStyle w:val="Contents4"/>
            <w:tabs>
              <w:tab w:val="clear" w:pos="8176"/>
              <w:tab w:val="right" w:pos="9026" w:leader="dot"/>
            </w:tabs>
            <w:rPr/>
          </w:pPr>
          <w:hyperlink w:anchor="__RefHeading___Toc2061620_2314609296">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الكفّارة في صوم رمضان</w:t>
            </w:r>
            <w:r>
              <w:rPr>
                <w:rStyle w:val="IndexLink"/>
                <w:rtl w:val="true"/>
              </w:rPr>
              <w:t>]</w:t>
              <w:tab/>
            </w:r>
            <w:r>
              <w:rPr>
                <w:rStyle w:val="IndexLink"/>
              </w:rPr>
              <w:t>89</w:t>
            </w:r>
          </w:hyperlink>
        </w:p>
        <w:p>
          <w:pPr>
            <w:pStyle w:val="Contents4"/>
            <w:tabs>
              <w:tab w:val="clear" w:pos="8176"/>
              <w:tab w:val="right" w:pos="9026" w:leader="dot"/>
            </w:tabs>
            <w:rPr/>
          </w:pPr>
          <w:hyperlink w:anchor="__RefHeading___Toc2061622_2314609296">
            <w:r>
              <w:rPr>
                <w:webHidden/>
                <w:rStyle w:val="IndexLink"/>
                <w:rtl w:val="true"/>
              </w:rPr>
              <w:t>[</w:t>
            </w:r>
            <w:r>
              <w:rPr>
                <w:rStyle w:val="IndexLink"/>
                <w:rtl w:val="true"/>
              </w:rPr>
              <w:t>خاتمة</w:t>
            </w:r>
            <w:r>
              <w:rPr>
                <w:rStyle w:val="IndexLink"/>
                <w:rtl w:val="true"/>
              </w:rPr>
              <w:t>]</w:t>
              <w:tab/>
            </w:r>
            <w:r>
              <w:rPr>
                <w:rStyle w:val="IndexLink"/>
              </w:rPr>
              <w:t>95</w:t>
            </w:r>
          </w:hyperlink>
        </w:p>
        <w:p>
          <w:pPr>
            <w:pStyle w:val="Contents2"/>
            <w:tabs>
              <w:tab w:val="clear" w:pos="8743"/>
              <w:tab w:val="right" w:pos="9026" w:leader="dot"/>
            </w:tabs>
            <w:rPr/>
          </w:pPr>
          <w:hyperlink w:anchor="__RefHeading___Toc2061624_2314609296">
            <w:r>
              <w:rPr>
                <w:webHidden/>
                <w:rStyle w:val="IndexLink"/>
                <w:rtl w:val="true"/>
              </w:rPr>
              <w:t>[</w:t>
            </w:r>
            <w:r>
              <w:rPr>
                <w:rStyle w:val="IndexLink"/>
                <w:rtl w:val="true"/>
              </w:rPr>
              <w:t>شرح</w:t>
            </w:r>
            <w:r>
              <w:rPr>
                <w:rStyle w:val="IndexLink"/>
                <w:rtl w:val="true"/>
              </w:rPr>
              <w:t xml:space="preserve">] </w:t>
            </w:r>
            <w:r>
              <w:rPr>
                <w:rStyle w:val="IndexLink"/>
                <w:rtl w:val="true"/>
              </w:rPr>
              <w:t xml:space="preserve">كتاب الصوم من </w:t>
            </w:r>
            <w:r>
              <w:rPr>
                <w:rStyle w:val="IndexLink"/>
                <w:rtl w:val="true"/>
              </w:rPr>
              <w:t>[</w:t>
            </w:r>
            <w:r>
              <w:rPr>
                <w:rStyle w:val="IndexLink"/>
                <w:rtl w:val="true"/>
              </w:rPr>
              <w:t>قواعد الأحكام</w:t>
            </w:r>
            <w:r>
              <w:rPr>
                <w:rStyle w:val="IndexLink"/>
                <w:rtl w:val="true"/>
              </w:rPr>
              <w:t>]</w:t>
              <w:tab/>
            </w:r>
            <w:r>
              <w:rPr>
                <w:rStyle w:val="IndexLink"/>
              </w:rPr>
              <w:t>128</w:t>
            </w:r>
          </w:hyperlink>
        </w:p>
        <w:p>
          <w:pPr>
            <w:pStyle w:val="Contents3"/>
            <w:tabs>
              <w:tab w:val="clear" w:pos="8459"/>
              <w:tab w:val="right" w:pos="9026" w:leader="dot"/>
            </w:tabs>
            <w:rPr/>
          </w:pPr>
          <w:hyperlink w:anchor="__RefHeading___Toc2061626_2314609296">
            <w:r>
              <w:rPr>
                <w:webHidden/>
                <w:rStyle w:val="IndexLink"/>
                <w:rtl w:val="true"/>
              </w:rPr>
              <w:t>[</w:t>
            </w:r>
            <w:r>
              <w:rPr>
                <w:rStyle w:val="IndexLink"/>
                <w:rtl w:val="true"/>
              </w:rPr>
              <w:t>المقصد الأول في ماهية الصوم</w:t>
            </w:r>
            <w:r>
              <w:rPr>
                <w:rStyle w:val="IndexLink"/>
                <w:rtl w:val="true"/>
              </w:rPr>
              <w:t>]</w:t>
              <w:tab/>
            </w:r>
            <w:r>
              <w:rPr>
                <w:rStyle w:val="IndexLink"/>
              </w:rPr>
              <w:t>128</w:t>
            </w:r>
          </w:hyperlink>
        </w:p>
        <w:p>
          <w:pPr>
            <w:pStyle w:val="Contents4"/>
            <w:tabs>
              <w:tab w:val="clear" w:pos="8176"/>
              <w:tab w:val="right" w:pos="9026" w:leader="dot"/>
            </w:tabs>
            <w:rPr/>
          </w:pPr>
          <w:hyperlink w:anchor="__RefHeading___Toc2061628_2314609296">
            <w:r>
              <w:rPr>
                <w:webHidden/>
                <w:rStyle w:val="IndexLink"/>
                <w:rtl w:val="true"/>
              </w:rPr>
              <w:t>[</w:t>
            </w:r>
            <w:r>
              <w:rPr>
                <w:rStyle w:val="IndexLink"/>
                <w:rtl w:val="true"/>
              </w:rPr>
              <w:t>الفصل الثاني في الإمساك</w:t>
            </w:r>
            <w:r>
              <w:rPr>
                <w:rStyle w:val="IndexLink"/>
                <w:rtl w:val="true"/>
              </w:rPr>
              <w:t>]</w:t>
              <w:tab/>
            </w:r>
            <w:r>
              <w:rPr>
                <w:rStyle w:val="IndexLink"/>
              </w:rPr>
              <w:t>128</w:t>
            </w:r>
          </w:hyperlink>
        </w:p>
        <w:p>
          <w:pPr>
            <w:pStyle w:val="Contents5"/>
            <w:tabs>
              <w:tab w:val="clear" w:pos="7892"/>
              <w:tab w:val="right" w:pos="9026" w:leader="dot"/>
            </w:tabs>
            <w:rPr/>
          </w:pPr>
          <w:hyperlink w:anchor="__RefHeading___Toc2061630_2314609296">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061632_2314609296">
            <w:r>
              <w:rPr>
                <w:webHidden/>
                <w:rStyle w:val="IndexLink"/>
                <w:rtl w:val="true"/>
              </w:rPr>
              <w:t>[</w:t>
            </w:r>
            <w:r>
              <w:rPr>
                <w:rStyle w:val="IndexLink"/>
                <w:rtl w:val="true"/>
              </w:rPr>
              <w:t>المطلب الثاني في ما يوجب الإفطار</w:t>
            </w:r>
            <w:r>
              <w:rPr>
                <w:rStyle w:val="IndexLink"/>
                <w:rtl w:val="true"/>
              </w:rPr>
              <w:t>]</w:t>
              <w:tab/>
            </w:r>
            <w:r>
              <w:rPr>
                <w:rStyle w:val="IndexLink"/>
              </w:rPr>
              <w:t>129</w:t>
            </w:r>
          </w:hyperlink>
        </w:p>
        <w:p>
          <w:pPr>
            <w:pStyle w:val="Contents6"/>
            <w:tabs>
              <w:tab w:val="clear" w:pos="7609"/>
              <w:tab w:val="right" w:pos="9026" w:leader="dot"/>
            </w:tabs>
            <w:rPr/>
          </w:pPr>
          <w:hyperlink w:anchor="__RefHeading___Toc2061634_2314609296">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2061636_2314609296">
            <w:r>
              <w:rPr>
                <w:webHidden/>
                <w:rStyle w:val="IndexLink"/>
                <w:rtl w:val="true"/>
              </w:rPr>
              <w:t>[</w:t>
            </w:r>
            <w:r>
              <w:rPr>
                <w:rStyle w:val="IndexLink"/>
                <w:rtl w:val="true"/>
              </w:rPr>
              <w:t>الإفطار بتقليد الغير أو الظلمة الموهمة</w:t>
            </w:r>
            <w:r>
              <w:rPr>
                <w:rStyle w:val="IndexLink"/>
                <w:rtl w:val="true"/>
              </w:rPr>
              <w:t>]</w:t>
              <w:tab/>
            </w:r>
            <w:r>
              <w:rPr>
                <w:rStyle w:val="IndexLink"/>
              </w:rPr>
              <w:t>129</w:t>
            </w:r>
          </w:hyperlink>
        </w:p>
        <w:p>
          <w:pPr>
            <w:pStyle w:val="Contents6"/>
            <w:tabs>
              <w:tab w:val="clear" w:pos="7609"/>
              <w:tab w:val="right" w:pos="9026" w:leader="dot"/>
            </w:tabs>
            <w:rPr/>
          </w:pPr>
          <w:hyperlink w:anchor="__RefHeading___Toc2061638_2314609296">
            <w:r>
              <w:rPr>
                <w:webHidden/>
                <w:rStyle w:val="IndexLink"/>
                <w:rtl w:val="true"/>
              </w:rPr>
              <w:t>[</w:t>
            </w:r>
            <w:r>
              <w:rPr>
                <w:rStyle w:val="IndexLink"/>
                <w:rtl w:val="true"/>
              </w:rPr>
              <w:t>الإفطار بسبب الظن بالغروب</w:t>
            </w:r>
            <w:r>
              <w:rPr>
                <w:rStyle w:val="IndexLink"/>
                <w:rtl w:val="true"/>
              </w:rPr>
              <w:t>]</w:t>
              <w:tab/>
            </w:r>
            <w:r>
              <w:rPr>
                <w:rStyle w:val="IndexLink"/>
              </w:rPr>
              <w:t>136</w:t>
            </w:r>
          </w:hyperlink>
        </w:p>
        <w:p>
          <w:pPr>
            <w:pStyle w:val="Contents6"/>
            <w:tabs>
              <w:tab w:val="clear" w:pos="7609"/>
              <w:tab w:val="right" w:pos="9026" w:leader="dot"/>
            </w:tabs>
            <w:rPr/>
          </w:pPr>
          <w:hyperlink w:anchor="__RefHeading___Toc2061640_2314609296">
            <w:r>
              <w:rPr>
                <w:webHidden/>
                <w:rStyle w:val="IndexLink"/>
                <w:rtl w:val="true"/>
              </w:rPr>
              <w:t>[</w:t>
            </w:r>
            <w:r>
              <w:rPr>
                <w:rStyle w:val="IndexLink"/>
                <w:rtl w:val="true"/>
              </w:rPr>
              <w:t>التقليد في عدم الطلوع مع قدرة المراعاة</w:t>
            </w:r>
            <w:r>
              <w:rPr>
                <w:rStyle w:val="IndexLink"/>
                <w:rtl w:val="true"/>
              </w:rPr>
              <w:t>]</w:t>
              <w:tab/>
            </w:r>
            <w:r>
              <w:rPr>
                <w:rStyle w:val="IndexLink"/>
              </w:rPr>
              <w:t>139</w:t>
            </w:r>
          </w:hyperlink>
        </w:p>
        <w:p>
          <w:pPr>
            <w:pStyle w:val="Contents6"/>
            <w:tabs>
              <w:tab w:val="clear" w:pos="7609"/>
              <w:tab w:val="right" w:pos="9026" w:leader="dot"/>
            </w:tabs>
            <w:rPr/>
          </w:pPr>
          <w:hyperlink w:anchor="__RefHeading___Toc2061642_2314609296">
            <w:r>
              <w:rPr>
                <w:webHidden/>
                <w:rStyle w:val="IndexLink"/>
                <w:rtl w:val="true"/>
              </w:rPr>
              <w:t>[</w:t>
            </w:r>
            <w:r>
              <w:rPr>
                <w:rStyle w:val="IndexLink"/>
                <w:rtl w:val="true"/>
              </w:rPr>
              <w:t>ترك تقليد المخبر بالطلوع لظنّ كذبه</w:t>
            </w:r>
            <w:r>
              <w:rPr>
                <w:rStyle w:val="IndexLink"/>
                <w:rtl w:val="true"/>
              </w:rPr>
              <w:t>]</w:t>
              <w:tab/>
            </w:r>
            <w:r>
              <w:rPr>
                <w:rStyle w:val="IndexLink"/>
              </w:rPr>
              <w:t>141</w:t>
            </w:r>
          </w:hyperlink>
        </w:p>
        <w:p>
          <w:pPr>
            <w:pStyle w:val="Contents6"/>
            <w:tabs>
              <w:tab w:val="clear" w:pos="7609"/>
              <w:tab w:val="right" w:pos="9026" w:leader="dot"/>
            </w:tabs>
            <w:rPr/>
          </w:pPr>
          <w:hyperlink w:anchor="__RefHeading___Toc2061644_2314609296">
            <w:r>
              <w:rPr>
                <w:webHidden/>
                <w:rStyle w:val="IndexLink"/>
                <w:rtl w:val="true"/>
              </w:rPr>
              <w:t>[</w:t>
            </w:r>
            <w:r>
              <w:rPr>
                <w:rStyle w:val="IndexLink"/>
                <w:rtl w:val="true"/>
              </w:rPr>
              <w:t>تعمّد القي‌ء</w:t>
            </w:r>
            <w:r>
              <w:rPr>
                <w:rStyle w:val="IndexLink"/>
                <w:rtl w:val="true"/>
              </w:rPr>
              <w:t>]</w:t>
              <w:tab/>
            </w:r>
            <w:r>
              <w:rPr>
                <w:rStyle w:val="IndexLink"/>
              </w:rPr>
              <w:t>143</w:t>
            </w:r>
          </w:hyperlink>
        </w:p>
        <w:p>
          <w:pPr>
            <w:pStyle w:val="Contents6"/>
            <w:tabs>
              <w:tab w:val="clear" w:pos="7609"/>
              <w:tab w:val="right" w:pos="9026" w:leader="dot"/>
            </w:tabs>
            <w:rPr/>
          </w:pPr>
          <w:hyperlink w:anchor="__RefHeading___Toc2061646_2314609296">
            <w:r>
              <w:rPr>
                <w:webHidden/>
                <w:rStyle w:val="IndexLink"/>
                <w:rtl w:val="true"/>
              </w:rPr>
              <w:t>[</w:t>
            </w:r>
            <w:r>
              <w:rPr>
                <w:rStyle w:val="IndexLink"/>
                <w:rtl w:val="true"/>
              </w:rPr>
              <w:t>الحقنة بالمائع و دخول ماء المضمضة الحلق</w:t>
            </w:r>
            <w:r>
              <w:rPr>
                <w:rStyle w:val="IndexLink"/>
                <w:rtl w:val="true"/>
              </w:rPr>
              <w:t>]</w:t>
              <w:tab/>
            </w:r>
            <w:r>
              <w:rPr>
                <w:rStyle w:val="IndexLink"/>
              </w:rPr>
              <w:t>145</w:t>
            </w:r>
          </w:hyperlink>
        </w:p>
        <w:p>
          <w:pPr>
            <w:pStyle w:val="Contents6"/>
            <w:tabs>
              <w:tab w:val="clear" w:pos="7609"/>
              <w:tab w:val="right" w:pos="9026" w:leader="dot"/>
            </w:tabs>
            <w:rPr/>
          </w:pPr>
          <w:hyperlink w:anchor="__RefHeading___Toc2061648_2314609296">
            <w:r>
              <w:rPr>
                <w:webHidden/>
                <w:rStyle w:val="IndexLink"/>
                <w:rtl w:val="true"/>
              </w:rPr>
              <w:t>[</w:t>
            </w:r>
            <w:r>
              <w:rPr>
                <w:rStyle w:val="IndexLink"/>
                <w:rtl w:val="true"/>
              </w:rPr>
              <w:t>معاودة الجنب للنوم ثانيا</w:t>
            </w:r>
            <w:r>
              <w:rPr>
                <w:rStyle w:val="IndexLink"/>
                <w:rtl w:val="true"/>
              </w:rPr>
              <w:t>]</w:t>
              <w:tab/>
            </w:r>
            <w:r>
              <w:rPr>
                <w:rStyle w:val="IndexLink"/>
              </w:rPr>
              <w:t>147</w:t>
            </w:r>
          </w:hyperlink>
        </w:p>
        <w:p>
          <w:pPr>
            <w:pStyle w:val="Contents6"/>
            <w:tabs>
              <w:tab w:val="clear" w:pos="7609"/>
              <w:tab w:val="right" w:pos="9026" w:leader="dot"/>
            </w:tabs>
            <w:rPr/>
          </w:pPr>
          <w:hyperlink w:anchor="__RefHeading___Toc2061650_2314609296">
            <w:r>
              <w:rPr>
                <w:webHidden/>
                <w:rStyle w:val="IndexLink"/>
                <w:rtl w:val="true"/>
              </w:rPr>
              <w:t>[</w:t>
            </w:r>
            <w:r>
              <w:rPr>
                <w:rStyle w:val="IndexLink"/>
                <w:rtl w:val="true"/>
              </w:rPr>
              <w:t>الإمناء عقيب النظر إلى المحرّمة</w:t>
            </w:r>
            <w:r>
              <w:rPr>
                <w:rStyle w:val="IndexLink"/>
                <w:rtl w:val="true"/>
              </w:rPr>
              <w:t>]</w:t>
              <w:tab/>
            </w:r>
            <w:r>
              <w:rPr>
                <w:rStyle w:val="IndexLink"/>
              </w:rPr>
              <w:t>149</w:t>
            </w:r>
          </w:hyperlink>
        </w:p>
        <w:p>
          <w:pPr>
            <w:pStyle w:val="Contents6"/>
            <w:tabs>
              <w:tab w:val="clear" w:pos="7609"/>
              <w:tab w:val="right" w:pos="9026" w:leader="dot"/>
            </w:tabs>
            <w:rPr/>
          </w:pPr>
          <w:hyperlink w:anchor="__RefHeading___Toc2061652_2314609296">
            <w:r>
              <w:rPr>
                <w:webHidden/>
                <w:rStyle w:val="IndexLink"/>
                <w:rtl w:val="true"/>
              </w:rPr>
              <w:t>[</w:t>
            </w:r>
            <w:r>
              <w:rPr>
                <w:rStyle w:val="IndexLink"/>
                <w:rtl w:val="true"/>
              </w:rPr>
              <w:t>ابتلاع بقايا الغذاء من بين الأسنان عمدا</w:t>
            </w:r>
            <w:r>
              <w:rPr>
                <w:rStyle w:val="IndexLink"/>
                <w:rtl w:val="true"/>
              </w:rPr>
              <w:t>]</w:t>
              <w:tab/>
            </w:r>
            <w:r>
              <w:rPr>
                <w:rStyle w:val="IndexLink"/>
              </w:rPr>
              <w:t>150</w:t>
            </w:r>
          </w:hyperlink>
        </w:p>
        <w:p>
          <w:pPr>
            <w:pStyle w:val="Contents6"/>
            <w:tabs>
              <w:tab w:val="clear" w:pos="7609"/>
              <w:tab w:val="right" w:pos="9026" w:leader="dot"/>
            </w:tabs>
            <w:rPr/>
          </w:pPr>
          <w:hyperlink w:anchor="__RefHeading___Toc2061654_2314609296">
            <w:r>
              <w:rPr>
                <w:webHidden/>
                <w:rStyle w:val="IndexLink"/>
                <w:rtl w:val="true"/>
              </w:rPr>
              <w:t>[</w:t>
            </w:r>
            <w:r>
              <w:rPr>
                <w:rStyle w:val="IndexLink"/>
                <w:rtl w:val="true"/>
              </w:rPr>
              <w:t>ابتلاع الماء عند المضمضة عبثا</w:t>
            </w:r>
            <w:r>
              <w:rPr>
                <w:rStyle w:val="IndexLink"/>
                <w:rtl w:val="true"/>
              </w:rPr>
              <w:t>]</w:t>
              <w:tab/>
            </w:r>
            <w:r>
              <w:rPr>
                <w:rStyle w:val="IndexLink"/>
              </w:rPr>
              <w:t>152</w:t>
            </w:r>
          </w:hyperlink>
        </w:p>
        <w:p>
          <w:pPr>
            <w:pStyle w:val="Contents6"/>
            <w:tabs>
              <w:tab w:val="clear" w:pos="7609"/>
              <w:tab w:val="right" w:pos="9026" w:leader="dot"/>
            </w:tabs>
            <w:rPr/>
          </w:pPr>
          <w:hyperlink w:anchor="__RefHeading___Toc2061656_2314609296">
            <w:r>
              <w:rPr>
                <w:webHidden/>
                <w:rStyle w:val="IndexLink"/>
                <w:rtl w:val="true"/>
              </w:rPr>
              <w:t>[</w:t>
            </w:r>
            <w:r>
              <w:rPr>
                <w:rStyle w:val="IndexLink"/>
                <w:rtl w:val="true"/>
              </w:rPr>
              <w:t>وصول الدواء إلى الجوف من الإحليل بالحقنة بالمائع</w:t>
            </w:r>
            <w:r>
              <w:rPr>
                <w:rStyle w:val="IndexLink"/>
                <w:rtl w:val="true"/>
              </w:rPr>
              <w:t>]</w:t>
              <w:tab/>
            </w:r>
            <w:r>
              <w:rPr>
                <w:rStyle w:val="IndexLink"/>
              </w:rPr>
              <w:t>152</w:t>
            </w:r>
          </w:hyperlink>
        </w:p>
        <w:p>
          <w:pPr>
            <w:pStyle w:val="Contents6"/>
            <w:tabs>
              <w:tab w:val="clear" w:pos="7609"/>
              <w:tab w:val="right" w:pos="9026" w:leader="dot"/>
            </w:tabs>
            <w:rPr/>
          </w:pPr>
          <w:hyperlink w:anchor="__RefHeading___Toc2061658_2314609296">
            <w:r>
              <w:rPr>
                <w:webHidden/>
                <w:rStyle w:val="IndexLink"/>
                <w:rtl w:val="true"/>
              </w:rPr>
              <w:t>[</w:t>
            </w:r>
            <w:r>
              <w:rPr>
                <w:rStyle w:val="IndexLink"/>
                <w:rtl w:val="true"/>
              </w:rPr>
              <w:t>السعوط بما يتعدى إلى الحلق</w:t>
            </w:r>
            <w:r>
              <w:rPr>
                <w:rStyle w:val="IndexLink"/>
                <w:rtl w:val="true"/>
              </w:rPr>
              <w:t>]</w:t>
              <w:tab/>
            </w:r>
            <w:r>
              <w:rPr>
                <w:rStyle w:val="IndexLink"/>
              </w:rPr>
              <w:t>153</w:t>
            </w:r>
          </w:hyperlink>
        </w:p>
        <w:p>
          <w:pPr>
            <w:pStyle w:val="Contents6"/>
            <w:tabs>
              <w:tab w:val="clear" w:pos="7609"/>
              <w:tab w:val="right" w:pos="9026" w:leader="dot"/>
            </w:tabs>
            <w:rPr/>
          </w:pPr>
          <w:hyperlink w:anchor="__RefHeading___Toc2061660_2314609296">
            <w:r>
              <w:rPr>
                <w:webHidden/>
                <w:rStyle w:val="IndexLink"/>
                <w:rtl w:val="true"/>
              </w:rPr>
              <w:t>[</w:t>
            </w:r>
            <w:r>
              <w:rPr>
                <w:rStyle w:val="IndexLink"/>
                <w:rtl w:val="true"/>
              </w:rPr>
              <w:t>السعوط بما يتعدى إلى الدماغ</w:t>
            </w:r>
            <w:r>
              <w:rPr>
                <w:rStyle w:val="IndexLink"/>
                <w:rtl w:val="true"/>
              </w:rPr>
              <w:t>]</w:t>
              <w:tab/>
            </w:r>
            <w:r>
              <w:rPr>
                <w:rStyle w:val="IndexLink"/>
              </w:rPr>
              <w:t>154</w:t>
            </w:r>
          </w:hyperlink>
        </w:p>
        <w:p>
          <w:pPr>
            <w:pStyle w:val="Contents6"/>
            <w:tabs>
              <w:tab w:val="clear" w:pos="7609"/>
              <w:tab w:val="right" w:pos="9026" w:leader="dot"/>
            </w:tabs>
            <w:rPr/>
          </w:pPr>
          <w:hyperlink w:anchor="__RefHeading___Toc2061662_2314609296">
            <w:r>
              <w:rPr>
                <w:webHidden/>
                <w:rStyle w:val="IndexLink"/>
                <w:rtl w:val="true"/>
              </w:rPr>
              <w:t>[</w:t>
            </w:r>
            <w:r>
              <w:rPr>
                <w:rStyle w:val="IndexLink"/>
                <w:rtl w:val="true"/>
              </w:rPr>
              <w:t>حكم الاكتحال للصائم</w:t>
            </w:r>
            <w:r>
              <w:rPr>
                <w:rStyle w:val="IndexLink"/>
                <w:rtl w:val="true"/>
              </w:rPr>
              <w:t>]</w:t>
              <w:tab/>
            </w:r>
            <w:r>
              <w:rPr>
                <w:rStyle w:val="IndexLink"/>
              </w:rPr>
              <w:t>154</w:t>
            </w:r>
          </w:hyperlink>
        </w:p>
        <w:p>
          <w:pPr>
            <w:pStyle w:val="Contents6"/>
            <w:tabs>
              <w:tab w:val="clear" w:pos="7609"/>
              <w:tab w:val="right" w:pos="9026" w:leader="dot"/>
            </w:tabs>
            <w:rPr/>
          </w:pPr>
          <w:hyperlink w:anchor="__RefHeading___Toc2061664_2314609296">
            <w:r>
              <w:rPr>
                <w:webHidden/>
                <w:rStyle w:val="IndexLink"/>
                <w:rtl w:val="true"/>
              </w:rPr>
              <w:t>[</w:t>
            </w:r>
            <w:r>
              <w:rPr>
                <w:rStyle w:val="IndexLink"/>
                <w:rtl w:val="true"/>
              </w:rPr>
              <w:t>التقطير في الأذُن</w:t>
            </w:r>
            <w:r>
              <w:rPr>
                <w:rStyle w:val="IndexLink"/>
                <w:rtl w:val="true"/>
              </w:rPr>
              <w:t>]</w:t>
              <w:tab/>
            </w:r>
            <w:r>
              <w:rPr>
                <w:rStyle w:val="IndexLink"/>
              </w:rPr>
              <w:t>155</w:t>
            </w:r>
          </w:hyperlink>
        </w:p>
        <w:p>
          <w:pPr>
            <w:pStyle w:val="Contents6"/>
            <w:tabs>
              <w:tab w:val="clear" w:pos="7609"/>
              <w:tab w:val="right" w:pos="9026" w:leader="dot"/>
            </w:tabs>
            <w:rPr/>
          </w:pPr>
          <w:hyperlink w:anchor="__RefHeading___Toc2061666_2314609296">
            <w:r>
              <w:rPr>
                <w:webHidden/>
                <w:rStyle w:val="IndexLink"/>
                <w:rtl w:val="true"/>
              </w:rPr>
              <w:t>[</w:t>
            </w:r>
            <w:r>
              <w:rPr>
                <w:rStyle w:val="IndexLink"/>
                <w:rtl w:val="true"/>
              </w:rPr>
              <w:t>الفصد و الحجامة</w:t>
            </w:r>
            <w:r>
              <w:rPr>
                <w:rStyle w:val="IndexLink"/>
                <w:rtl w:val="true"/>
              </w:rPr>
              <w:t>]</w:t>
              <w:tab/>
            </w:r>
            <w:r>
              <w:rPr>
                <w:rStyle w:val="IndexLink"/>
              </w:rPr>
              <w:t>155</w:t>
            </w:r>
          </w:hyperlink>
        </w:p>
        <w:p>
          <w:pPr>
            <w:pStyle w:val="Contents6"/>
            <w:tabs>
              <w:tab w:val="clear" w:pos="7609"/>
              <w:tab w:val="right" w:pos="9026" w:leader="dot"/>
            </w:tabs>
            <w:rPr/>
          </w:pPr>
          <w:hyperlink w:anchor="__RefHeading___Toc2061668_2314609296">
            <w:r>
              <w:rPr>
                <w:webHidden/>
                <w:rStyle w:val="IndexLink"/>
                <w:rtl w:val="true"/>
              </w:rPr>
              <w:t>[</w:t>
            </w:r>
            <w:r>
              <w:rPr>
                <w:rStyle w:val="IndexLink"/>
                <w:rtl w:val="true"/>
              </w:rPr>
              <w:t>دخول الذبابة في الحلق من غير قصد</w:t>
            </w:r>
            <w:r>
              <w:rPr>
                <w:rStyle w:val="IndexLink"/>
                <w:rtl w:val="true"/>
              </w:rPr>
              <w:t>]</w:t>
              <w:tab/>
            </w:r>
            <w:r>
              <w:rPr>
                <w:rStyle w:val="IndexLink"/>
              </w:rPr>
              <w:t>155</w:t>
            </w:r>
          </w:hyperlink>
        </w:p>
        <w:p>
          <w:pPr>
            <w:pStyle w:val="Contents6"/>
            <w:tabs>
              <w:tab w:val="clear" w:pos="7609"/>
              <w:tab w:val="right" w:pos="9026" w:leader="dot"/>
            </w:tabs>
            <w:rPr/>
          </w:pPr>
          <w:hyperlink w:anchor="__RefHeading___Toc2061670_2314609296">
            <w:r>
              <w:rPr>
                <w:webHidden/>
                <w:rStyle w:val="IndexLink"/>
                <w:rtl w:val="true"/>
              </w:rPr>
              <w:t>[</w:t>
            </w:r>
            <w:r>
              <w:rPr>
                <w:rStyle w:val="IndexLink"/>
                <w:rtl w:val="true"/>
              </w:rPr>
              <w:t>ابتلاع النخامة</w:t>
            </w:r>
            <w:r>
              <w:rPr>
                <w:rStyle w:val="IndexLink"/>
                <w:rtl w:val="true"/>
              </w:rPr>
              <w:t>]</w:t>
              <w:tab/>
            </w:r>
            <w:r>
              <w:rPr>
                <w:rStyle w:val="IndexLink"/>
              </w:rPr>
              <w:t>156</w:t>
            </w:r>
          </w:hyperlink>
        </w:p>
        <w:p>
          <w:pPr>
            <w:pStyle w:val="Contents6"/>
            <w:tabs>
              <w:tab w:val="clear" w:pos="7609"/>
              <w:tab w:val="right" w:pos="9026" w:leader="dot"/>
            </w:tabs>
            <w:rPr/>
          </w:pPr>
          <w:hyperlink w:anchor="__RefHeading___Toc2061672_2314609296">
            <w:r>
              <w:rPr>
                <w:webHidden/>
                <w:rStyle w:val="IndexLink"/>
                <w:rtl w:val="true"/>
              </w:rPr>
              <w:t>[</w:t>
            </w:r>
            <w:r>
              <w:rPr>
                <w:rStyle w:val="IndexLink"/>
                <w:rtl w:val="true"/>
              </w:rPr>
              <w:t>دخول الماء بالاستنشاق إلى الدماغ</w:t>
            </w:r>
            <w:r>
              <w:rPr>
                <w:rStyle w:val="IndexLink"/>
                <w:rtl w:val="true"/>
              </w:rPr>
              <w:t>]</w:t>
              <w:tab/>
            </w:r>
            <w:r>
              <w:rPr>
                <w:rStyle w:val="IndexLink"/>
              </w:rPr>
              <w:t>158</w:t>
            </w:r>
          </w:hyperlink>
        </w:p>
        <w:p>
          <w:pPr>
            <w:pStyle w:val="Contents6"/>
            <w:tabs>
              <w:tab w:val="clear" w:pos="7609"/>
              <w:tab w:val="right" w:pos="9026" w:leader="dot"/>
            </w:tabs>
            <w:rPr/>
          </w:pPr>
          <w:hyperlink w:anchor="__RefHeading___Toc2061674_2314609296">
            <w:r>
              <w:rPr>
                <w:webHidden/>
                <w:rStyle w:val="IndexLink"/>
                <w:rtl w:val="true"/>
              </w:rPr>
              <w:t>[</w:t>
            </w:r>
            <w:r>
              <w:rPr>
                <w:rStyle w:val="IndexLink"/>
                <w:rtl w:val="true"/>
              </w:rPr>
              <w:t>في ما يكره للصائم</w:t>
            </w:r>
            <w:r>
              <w:rPr>
                <w:rStyle w:val="IndexLink"/>
                <w:rtl w:val="true"/>
              </w:rPr>
              <w:t>]</w:t>
              <w:tab/>
            </w:r>
            <w:r>
              <w:rPr>
                <w:rStyle w:val="IndexLink"/>
              </w:rPr>
              <w:t>158</w:t>
            </w:r>
          </w:hyperlink>
        </w:p>
        <w:p>
          <w:pPr>
            <w:pStyle w:val="Contents6"/>
            <w:tabs>
              <w:tab w:val="clear" w:pos="7609"/>
              <w:tab w:val="right" w:pos="9026" w:leader="dot"/>
            </w:tabs>
            <w:rPr/>
          </w:pPr>
          <w:hyperlink w:anchor="__RefHeading___Toc2061676_2314609296">
            <w:r>
              <w:rPr>
                <w:webHidden/>
                <w:rStyle w:val="IndexLink"/>
                <w:rtl w:val="true"/>
              </w:rPr>
              <w:t>[</w:t>
            </w:r>
            <w:r>
              <w:rPr>
                <w:rStyle w:val="IndexLink"/>
                <w:rtl w:val="true"/>
              </w:rPr>
              <w:t>تقبيل النساء و اللمس و الملاعبة</w:t>
            </w:r>
            <w:r>
              <w:rPr>
                <w:rStyle w:val="IndexLink"/>
                <w:rtl w:val="true"/>
              </w:rPr>
              <w:t>]</w:t>
              <w:tab/>
            </w:r>
            <w:r>
              <w:rPr>
                <w:rStyle w:val="IndexLink"/>
              </w:rPr>
              <w:t>158</w:t>
            </w:r>
          </w:hyperlink>
        </w:p>
        <w:p>
          <w:pPr>
            <w:pStyle w:val="Contents6"/>
            <w:tabs>
              <w:tab w:val="clear" w:pos="7609"/>
              <w:tab w:val="right" w:pos="9026" w:leader="dot"/>
            </w:tabs>
            <w:rPr/>
          </w:pPr>
          <w:hyperlink w:anchor="__RefHeading___Toc2061678_2314609296">
            <w:r>
              <w:rPr>
                <w:webHidden/>
                <w:rStyle w:val="IndexLink"/>
                <w:rtl w:val="true"/>
              </w:rPr>
              <w:t>[</w:t>
            </w:r>
            <w:r>
              <w:rPr>
                <w:rStyle w:val="IndexLink"/>
                <w:rtl w:val="true"/>
              </w:rPr>
              <w:t>إخراج الدم و دخول الحمّام المضعفان</w:t>
            </w:r>
            <w:r>
              <w:rPr>
                <w:rStyle w:val="IndexLink"/>
                <w:rtl w:val="true"/>
              </w:rPr>
              <w:t>]</w:t>
              <w:tab/>
            </w:r>
            <w:r>
              <w:rPr>
                <w:rStyle w:val="IndexLink"/>
              </w:rPr>
              <w:t>160</w:t>
            </w:r>
          </w:hyperlink>
        </w:p>
        <w:p>
          <w:pPr>
            <w:pStyle w:val="Contents6"/>
            <w:tabs>
              <w:tab w:val="clear" w:pos="7609"/>
              <w:tab w:val="right" w:pos="9026" w:leader="dot"/>
            </w:tabs>
            <w:rPr/>
          </w:pPr>
          <w:hyperlink w:anchor="__RefHeading___Toc2061680_2314609296">
            <w:r>
              <w:rPr>
                <w:webHidden/>
                <w:rStyle w:val="IndexLink"/>
                <w:rtl w:val="true"/>
              </w:rPr>
              <w:t>[</w:t>
            </w:r>
            <w:r>
              <w:rPr>
                <w:rStyle w:val="IndexLink"/>
                <w:rtl w:val="true"/>
              </w:rPr>
              <w:t>السعوط بما لا يتعدّى إلى الحلق</w:t>
            </w:r>
            <w:r>
              <w:rPr>
                <w:rStyle w:val="IndexLink"/>
                <w:rtl w:val="true"/>
              </w:rPr>
              <w:t>]</w:t>
              <w:tab/>
            </w:r>
            <w:r>
              <w:rPr>
                <w:rStyle w:val="IndexLink"/>
              </w:rPr>
              <w:t>161</w:t>
            </w:r>
          </w:hyperlink>
        </w:p>
        <w:p>
          <w:pPr>
            <w:pStyle w:val="Contents6"/>
            <w:tabs>
              <w:tab w:val="clear" w:pos="7609"/>
              <w:tab w:val="right" w:pos="9026" w:leader="dot"/>
            </w:tabs>
            <w:rPr/>
          </w:pPr>
          <w:hyperlink w:anchor="__RefHeading___Toc2061682_2314609296">
            <w:r>
              <w:rPr>
                <w:webHidden/>
                <w:rStyle w:val="IndexLink"/>
                <w:rtl w:val="true"/>
              </w:rPr>
              <w:t>[</w:t>
            </w:r>
            <w:r>
              <w:rPr>
                <w:rStyle w:val="IndexLink"/>
                <w:rtl w:val="true"/>
              </w:rPr>
              <w:t>شمّ الرياحين</w:t>
            </w:r>
            <w:r>
              <w:rPr>
                <w:rStyle w:val="IndexLink"/>
                <w:rtl w:val="true"/>
              </w:rPr>
              <w:t>]</w:t>
              <w:tab/>
            </w:r>
            <w:r>
              <w:rPr>
                <w:rStyle w:val="IndexLink"/>
              </w:rPr>
              <w:t>161</w:t>
            </w:r>
          </w:hyperlink>
        </w:p>
        <w:p>
          <w:pPr>
            <w:pStyle w:val="Contents6"/>
            <w:tabs>
              <w:tab w:val="clear" w:pos="7609"/>
              <w:tab w:val="right" w:pos="9026" w:leader="dot"/>
            </w:tabs>
            <w:rPr/>
          </w:pPr>
          <w:hyperlink w:anchor="__RefHeading___Toc2061684_2314609296">
            <w:r>
              <w:rPr>
                <w:webHidden/>
                <w:rStyle w:val="IndexLink"/>
                <w:rtl w:val="true"/>
              </w:rPr>
              <w:t>[</w:t>
            </w:r>
            <w:r>
              <w:rPr>
                <w:rStyle w:val="IndexLink"/>
                <w:rtl w:val="true"/>
              </w:rPr>
              <w:t>الحقنة بالجامد</w:t>
            </w:r>
            <w:r>
              <w:rPr>
                <w:rStyle w:val="IndexLink"/>
                <w:rtl w:val="true"/>
              </w:rPr>
              <w:t>]</w:t>
              <w:tab/>
            </w:r>
            <w:r>
              <w:rPr>
                <w:rStyle w:val="IndexLink"/>
              </w:rPr>
              <w:t>162</w:t>
            </w:r>
          </w:hyperlink>
        </w:p>
        <w:p>
          <w:pPr>
            <w:pStyle w:val="Contents6"/>
            <w:tabs>
              <w:tab w:val="clear" w:pos="7609"/>
              <w:tab w:val="right" w:pos="9026" w:leader="dot"/>
            </w:tabs>
            <w:rPr/>
          </w:pPr>
          <w:hyperlink w:anchor="__RefHeading___Toc2061686_2314609296">
            <w:r>
              <w:rPr>
                <w:webHidden/>
                <w:rStyle w:val="IndexLink"/>
                <w:rtl w:val="true"/>
              </w:rPr>
              <w:t>[</w:t>
            </w:r>
            <w:r>
              <w:rPr>
                <w:rStyle w:val="IndexLink"/>
                <w:rtl w:val="true"/>
              </w:rPr>
              <w:t>بلّ الثوب على الجسد</w:t>
            </w:r>
            <w:r>
              <w:rPr>
                <w:rStyle w:val="IndexLink"/>
                <w:rtl w:val="true"/>
              </w:rPr>
              <w:t>]</w:t>
              <w:tab/>
            </w:r>
            <w:r>
              <w:rPr>
                <w:rStyle w:val="IndexLink"/>
              </w:rPr>
              <w:t>162</w:t>
            </w:r>
          </w:hyperlink>
        </w:p>
        <w:p>
          <w:pPr>
            <w:pStyle w:val="Contents6"/>
            <w:tabs>
              <w:tab w:val="clear" w:pos="7609"/>
              <w:tab w:val="right" w:pos="9026" w:leader="dot"/>
            </w:tabs>
            <w:rPr/>
          </w:pPr>
          <w:hyperlink w:anchor="__RefHeading___Toc2061688_2314609296">
            <w:r>
              <w:rPr>
                <w:webHidden/>
                <w:rStyle w:val="IndexLink"/>
                <w:rtl w:val="true"/>
              </w:rPr>
              <w:t>[</w:t>
            </w:r>
            <w:r>
              <w:rPr>
                <w:rStyle w:val="IndexLink"/>
                <w:rtl w:val="true"/>
              </w:rPr>
              <w:t>قاعدة</w:t>
            </w:r>
            <w:r>
              <w:rPr>
                <w:rStyle w:val="IndexLink"/>
                <w:rtl w:val="true"/>
              </w:rPr>
              <w:t>]</w:t>
              <w:tab/>
            </w:r>
            <w:r>
              <w:rPr>
                <w:rStyle w:val="IndexLink"/>
              </w:rPr>
              <w:t>164</w:t>
            </w:r>
          </w:hyperlink>
        </w:p>
        <w:p>
          <w:pPr>
            <w:pStyle w:val="Contents5"/>
            <w:tabs>
              <w:tab w:val="clear" w:pos="7892"/>
              <w:tab w:val="right" w:pos="9026" w:leader="dot"/>
            </w:tabs>
            <w:rPr/>
          </w:pPr>
          <w:hyperlink w:anchor="__RefHeading___Toc2061690_2314609296">
            <w:r>
              <w:rPr>
                <w:webHidden/>
                <w:rStyle w:val="IndexLink"/>
                <w:rtl w:val="true"/>
              </w:rPr>
              <w:t>[</w:t>
            </w:r>
            <w:r>
              <w:rPr>
                <w:rStyle w:val="IndexLink"/>
                <w:rtl w:val="true"/>
              </w:rPr>
              <w:t>المطلب الثالث في ما يجب بالإفطار</w:t>
            </w:r>
            <w:r>
              <w:rPr>
                <w:rStyle w:val="IndexLink"/>
                <w:rtl w:val="true"/>
              </w:rPr>
              <w:t>]</w:t>
              <w:tab/>
            </w:r>
            <w:r>
              <w:rPr>
                <w:rStyle w:val="IndexLink"/>
              </w:rPr>
              <w:t>166</w:t>
            </w:r>
          </w:hyperlink>
        </w:p>
        <w:p>
          <w:pPr>
            <w:pStyle w:val="Contents6"/>
            <w:tabs>
              <w:tab w:val="clear" w:pos="7609"/>
              <w:tab w:val="right" w:pos="9026" w:leader="dot"/>
            </w:tabs>
            <w:rPr/>
          </w:pPr>
          <w:hyperlink w:anchor="__RefHeading___Toc2061692_2314609296">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2061694_2314609296">
            <w:r>
              <w:rPr>
                <w:webHidden/>
                <w:rStyle w:val="IndexLink"/>
                <w:rtl w:val="true"/>
              </w:rPr>
              <w:t>[</w:t>
            </w:r>
            <w:r>
              <w:rPr>
                <w:rStyle w:val="IndexLink"/>
                <w:rtl w:val="true"/>
              </w:rPr>
              <w:t>القضاء و الكفارة في الأكل و الشرب</w:t>
            </w:r>
            <w:r>
              <w:rPr>
                <w:rStyle w:val="IndexLink"/>
                <w:rtl w:val="true"/>
              </w:rPr>
              <w:t>]</w:t>
              <w:tab/>
            </w:r>
            <w:r>
              <w:rPr>
                <w:rStyle w:val="IndexLink"/>
              </w:rPr>
              <w:t>166</w:t>
            </w:r>
          </w:hyperlink>
        </w:p>
        <w:p>
          <w:pPr>
            <w:pStyle w:val="Contents6"/>
            <w:tabs>
              <w:tab w:val="clear" w:pos="7609"/>
              <w:tab w:val="right" w:pos="9026" w:leader="dot"/>
            </w:tabs>
            <w:rPr/>
          </w:pPr>
          <w:hyperlink w:anchor="__RefHeading___Toc2061696_2314609296">
            <w:r>
              <w:rPr>
                <w:webHidden/>
                <w:rStyle w:val="IndexLink"/>
                <w:rtl w:val="true"/>
              </w:rPr>
              <w:t>[</w:t>
            </w:r>
            <w:r>
              <w:rPr>
                <w:rStyle w:val="IndexLink"/>
                <w:rtl w:val="true"/>
              </w:rPr>
              <w:t>القضاء و الكفارة في الجماع و الوطء</w:t>
            </w:r>
            <w:r>
              <w:rPr>
                <w:rStyle w:val="IndexLink"/>
                <w:rtl w:val="true"/>
              </w:rPr>
              <w:t>]</w:t>
              <w:tab/>
            </w:r>
            <w:r>
              <w:rPr>
                <w:rStyle w:val="IndexLink"/>
              </w:rPr>
              <w:t>167</w:t>
            </w:r>
          </w:hyperlink>
        </w:p>
        <w:p>
          <w:pPr>
            <w:pStyle w:val="Contents6"/>
            <w:tabs>
              <w:tab w:val="clear" w:pos="7609"/>
              <w:tab w:val="right" w:pos="9026" w:leader="dot"/>
            </w:tabs>
            <w:rPr/>
          </w:pPr>
          <w:hyperlink w:anchor="__RefHeading___Toc2061698_2314609296">
            <w:r>
              <w:rPr>
                <w:webHidden/>
                <w:rStyle w:val="IndexLink"/>
                <w:rtl w:val="true"/>
              </w:rPr>
              <w:t>[</w:t>
            </w:r>
            <w:r>
              <w:rPr>
                <w:rStyle w:val="IndexLink"/>
                <w:rtl w:val="true"/>
              </w:rPr>
              <w:t>القضاء و الكفارة في البقاء على الجنابة</w:t>
            </w:r>
            <w:r>
              <w:rPr>
                <w:rStyle w:val="IndexLink"/>
                <w:rtl w:val="true"/>
              </w:rPr>
              <w:t>]</w:t>
              <w:tab/>
            </w:r>
            <w:r>
              <w:rPr>
                <w:rStyle w:val="IndexLink"/>
              </w:rPr>
              <w:t>168</w:t>
            </w:r>
          </w:hyperlink>
        </w:p>
        <w:p>
          <w:pPr>
            <w:pStyle w:val="Contents6"/>
            <w:tabs>
              <w:tab w:val="clear" w:pos="7609"/>
              <w:tab w:val="right" w:pos="9026" w:leader="dot"/>
            </w:tabs>
            <w:rPr/>
          </w:pPr>
          <w:hyperlink w:anchor="__RefHeading___Toc2061700_2314609296">
            <w:r>
              <w:rPr>
                <w:webHidden/>
                <w:rStyle w:val="IndexLink"/>
                <w:rtl w:val="true"/>
              </w:rPr>
              <w:t>[</w:t>
            </w:r>
            <w:r>
              <w:rPr>
                <w:rStyle w:val="IndexLink"/>
                <w:rtl w:val="true"/>
              </w:rPr>
              <w:t>القضاء و الكفارة في الاستمناء و إيصال الغبار و معاودة الجنب النوم ثالثا</w:t>
            </w:r>
            <w:r>
              <w:rPr>
                <w:rStyle w:val="IndexLink"/>
                <w:rtl w:val="true"/>
              </w:rPr>
              <w:t>]</w:t>
              <w:tab/>
            </w:r>
            <w:r>
              <w:rPr>
                <w:rStyle w:val="IndexLink"/>
              </w:rPr>
              <w:t>168</w:t>
            </w:r>
          </w:hyperlink>
        </w:p>
        <w:p>
          <w:pPr>
            <w:pStyle w:val="Contents6"/>
            <w:tabs>
              <w:tab w:val="clear" w:pos="7609"/>
              <w:tab w:val="right" w:pos="9026" w:leader="dot"/>
            </w:tabs>
            <w:rPr/>
          </w:pPr>
          <w:hyperlink w:anchor="__RefHeading___Toc2061702_2314609296">
            <w:r>
              <w:rPr>
                <w:webHidden/>
                <w:rStyle w:val="IndexLink"/>
                <w:rtl w:val="true"/>
              </w:rPr>
              <w:t>[</w:t>
            </w:r>
            <w:r>
              <w:rPr>
                <w:rStyle w:val="IndexLink"/>
                <w:rtl w:val="true"/>
              </w:rPr>
              <w:t>انحصار وجوب الكفارة في الصوم المعين</w:t>
            </w:r>
            <w:r>
              <w:rPr>
                <w:rStyle w:val="IndexLink"/>
                <w:rtl w:val="true"/>
              </w:rPr>
              <w:t>]</w:t>
              <w:tab/>
            </w:r>
            <w:r>
              <w:rPr>
                <w:rStyle w:val="IndexLink"/>
              </w:rPr>
              <w:t>172</w:t>
            </w:r>
          </w:hyperlink>
        </w:p>
        <w:p>
          <w:pPr>
            <w:pStyle w:val="Contents6"/>
            <w:tabs>
              <w:tab w:val="clear" w:pos="7609"/>
              <w:tab w:val="right" w:pos="9026" w:leader="dot"/>
            </w:tabs>
            <w:rPr/>
          </w:pPr>
          <w:hyperlink w:anchor="__RefHeading___Toc2061704_2314609296">
            <w:r>
              <w:rPr>
                <w:webHidden/>
                <w:rStyle w:val="IndexLink"/>
                <w:rtl w:val="true"/>
              </w:rPr>
              <w:t>[</w:t>
            </w:r>
            <w:r>
              <w:rPr>
                <w:rStyle w:val="IndexLink"/>
                <w:rtl w:val="true"/>
              </w:rPr>
              <w:t>تكرّر الكفارة بتكرّر السبب</w:t>
            </w:r>
            <w:r>
              <w:rPr>
                <w:rStyle w:val="IndexLink"/>
                <w:rtl w:val="true"/>
              </w:rPr>
              <w:t>]</w:t>
              <w:tab/>
            </w:r>
            <w:r>
              <w:rPr>
                <w:rStyle w:val="IndexLink"/>
              </w:rPr>
              <w:t>174</w:t>
            </w:r>
          </w:hyperlink>
        </w:p>
        <w:p>
          <w:pPr>
            <w:pStyle w:val="Contents6"/>
            <w:tabs>
              <w:tab w:val="clear" w:pos="7609"/>
              <w:tab w:val="right" w:pos="9026" w:leader="dot"/>
            </w:tabs>
            <w:rPr/>
          </w:pPr>
          <w:hyperlink w:anchor="__RefHeading___Toc2061706_2314609296">
            <w:r>
              <w:rPr>
                <w:webHidden/>
                <w:rStyle w:val="IndexLink"/>
                <w:rtl w:val="true"/>
              </w:rPr>
              <w:t>[</w:t>
            </w:r>
            <w:r>
              <w:rPr>
                <w:rStyle w:val="IndexLink"/>
                <w:rtl w:val="true"/>
              </w:rPr>
              <w:t>عقوبة الإفطار مع العلم و التعمد</w:t>
            </w:r>
            <w:r>
              <w:rPr>
                <w:rStyle w:val="IndexLink"/>
                <w:rtl w:val="true"/>
              </w:rPr>
              <w:t>]</w:t>
              <w:tab/>
            </w:r>
            <w:r>
              <w:rPr>
                <w:rStyle w:val="IndexLink"/>
              </w:rPr>
              <w:t>176</w:t>
            </w:r>
          </w:hyperlink>
        </w:p>
        <w:p>
          <w:pPr>
            <w:pStyle w:val="Contents6"/>
            <w:tabs>
              <w:tab w:val="clear" w:pos="7609"/>
              <w:tab w:val="right" w:pos="9026" w:leader="dot"/>
            </w:tabs>
            <w:rPr/>
          </w:pPr>
          <w:hyperlink w:anchor="__RefHeading___Toc2061708_2314609296">
            <w:r>
              <w:rPr>
                <w:webHidden/>
                <w:rStyle w:val="IndexLink"/>
                <w:rtl w:val="true"/>
              </w:rPr>
              <w:t>[</w:t>
            </w:r>
            <w:r>
              <w:rPr>
                <w:rStyle w:val="IndexLink"/>
                <w:rtl w:val="true"/>
              </w:rPr>
              <w:t>المكره زوجته على الجماع</w:t>
            </w:r>
            <w:r>
              <w:rPr>
                <w:rStyle w:val="IndexLink"/>
                <w:rtl w:val="true"/>
              </w:rPr>
              <w:t>]</w:t>
              <w:tab/>
            </w:r>
            <w:r>
              <w:rPr>
                <w:rStyle w:val="IndexLink"/>
              </w:rPr>
              <w:t>176</w:t>
            </w:r>
          </w:hyperlink>
        </w:p>
        <w:p>
          <w:pPr>
            <w:pStyle w:val="Contents6"/>
            <w:tabs>
              <w:tab w:val="clear" w:pos="7609"/>
              <w:tab w:val="right" w:pos="9026" w:leader="dot"/>
            </w:tabs>
            <w:rPr/>
          </w:pPr>
          <w:hyperlink w:anchor="__RefHeading___Toc2061710_2314609296">
            <w:r>
              <w:rPr>
                <w:webHidden/>
                <w:rStyle w:val="IndexLink"/>
                <w:rtl w:val="true"/>
              </w:rPr>
              <w:t>[</w:t>
            </w:r>
            <w:r>
              <w:rPr>
                <w:rStyle w:val="IndexLink"/>
                <w:rtl w:val="true"/>
              </w:rPr>
              <w:t>إكراه الأجنبية و الأمة على الجماع</w:t>
            </w:r>
            <w:r>
              <w:rPr>
                <w:rStyle w:val="IndexLink"/>
                <w:rtl w:val="true"/>
              </w:rPr>
              <w:t>]</w:t>
              <w:tab/>
            </w:r>
            <w:r>
              <w:rPr>
                <w:rStyle w:val="IndexLink"/>
              </w:rPr>
              <w:t>177</w:t>
            </w:r>
          </w:hyperlink>
        </w:p>
        <w:p>
          <w:pPr>
            <w:pStyle w:val="Contents6"/>
            <w:tabs>
              <w:tab w:val="clear" w:pos="7609"/>
              <w:tab w:val="right" w:pos="9026" w:leader="dot"/>
            </w:tabs>
            <w:rPr/>
          </w:pPr>
          <w:hyperlink w:anchor="__RefHeading___Toc2061712_2314609296">
            <w:r>
              <w:rPr>
                <w:webHidden/>
                <w:rStyle w:val="IndexLink"/>
                <w:rtl w:val="true"/>
              </w:rPr>
              <w:t>[</w:t>
            </w:r>
            <w:r>
              <w:rPr>
                <w:rStyle w:val="IndexLink"/>
                <w:rtl w:val="true"/>
              </w:rPr>
              <w:t>فروع</w:t>
            </w:r>
            <w:r>
              <w:rPr>
                <w:rStyle w:val="IndexLink"/>
                <w:rtl w:val="true"/>
              </w:rPr>
              <w:t>]</w:t>
              <w:tab/>
            </w:r>
            <w:r>
              <w:rPr>
                <w:rStyle w:val="IndexLink"/>
              </w:rPr>
              <w:t>179</w:t>
            </w:r>
          </w:hyperlink>
        </w:p>
        <w:p>
          <w:pPr>
            <w:pStyle w:val="Contents6"/>
            <w:tabs>
              <w:tab w:val="clear" w:pos="7609"/>
              <w:tab w:val="right" w:pos="9026" w:leader="dot"/>
            </w:tabs>
            <w:rPr/>
          </w:pPr>
          <w:hyperlink w:anchor="__RefHeading___Toc2061714_2314609296">
            <w:r>
              <w:rPr>
                <w:webHidden/>
                <w:rStyle w:val="IndexLink"/>
                <w:rtl w:val="true"/>
              </w:rPr>
              <w:t>[</w:t>
            </w:r>
            <w:r>
              <w:rPr>
                <w:rStyle w:val="IndexLink"/>
                <w:rtl w:val="true"/>
              </w:rPr>
              <w:t>الأوّل لو طلع الفجر لفظ ما في فيه من الطعام</w:t>
            </w:r>
            <w:r>
              <w:rPr>
                <w:rStyle w:val="IndexLink"/>
                <w:rtl w:val="true"/>
              </w:rPr>
              <w:t>]</w:t>
              <w:tab/>
            </w:r>
            <w:r>
              <w:rPr>
                <w:rStyle w:val="IndexLink"/>
              </w:rPr>
              <w:t>179</w:t>
            </w:r>
          </w:hyperlink>
        </w:p>
        <w:p>
          <w:pPr>
            <w:pStyle w:val="Contents6"/>
            <w:tabs>
              <w:tab w:val="clear" w:pos="7609"/>
              <w:tab w:val="right" w:pos="9026" w:leader="dot"/>
            </w:tabs>
            <w:rPr/>
          </w:pPr>
          <w:hyperlink w:anchor="__RefHeading___Toc2061716_2314609296">
            <w:r>
              <w:rPr>
                <w:webHidden/>
                <w:rStyle w:val="IndexLink"/>
                <w:rtl w:val="true"/>
              </w:rPr>
              <w:t>[</w:t>
            </w:r>
            <w:r>
              <w:rPr>
                <w:rStyle w:val="IndexLink"/>
                <w:rtl w:val="true"/>
              </w:rPr>
              <w:t>الثاني يجوز لمريد صوم الغد الجماع في الليل</w:t>
            </w:r>
            <w:r>
              <w:rPr>
                <w:rStyle w:val="IndexLink"/>
                <w:rtl w:val="true"/>
              </w:rPr>
              <w:t>]</w:t>
              <w:tab/>
            </w:r>
            <w:r>
              <w:rPr>
                <w:rStyle w:val="IndexLink"/>
              </w:rPr>
              <w:t>179</w:t>
            </w:r>
          </w:hyperlink>
        </w:p>
        <w:p>
          <w:pPr>
            <w:pStyle w:val="Contents6"/>
            <w:tabs>
              <w:tab w:val="clear" w:pos="7609"/>
              <w:tab w:val="right" w:pos="9026" w:leader="dot"/>
            </w:tabs>
            <w:rPr/>
          </w:pPr>
          <w:hyperlink w:anchor="__RefHeading___Toc2061718_2314609296">
            <w:r>
              <w:rPr>
                <w:webHidden/>
                <w:rStyle w:val="IndexLink"/>
                <w:rtl w:val="true"/>
              </w:rPr>
              <w:t>[</w:t>
            </w:r>
            <w:r>
              <w:rPr>
                <w:rStyle w:val="IndexLink"/>
                <w:rtl w:val="true"/>
              </w:rPr>
              <w:t>الثالث لو أفطر المنفرد برؤية هلال رمضان</w:t>
            </w:r>
            <w:r>
              <w:rPr>
                <w:rStyle w:val="IndexLink"/>
                <w:rtl w:val="true"/>
              </w:rPr>
              <w:t>]</w:t>
              <w:tab/>
            </w:r>
            <w:r>
              <w:rPr>
                <w:rStyle w:val="IndexLink"/>
              </w:rPr>
              <w:t>180</w:t>
            </w:r>
          </w:hyperlink>
        </w:p>
        <w:p>
          <w:pPr>
            <w:pStyle w:val="Contents6"/>
            <w:tabs>
              <w:tab w:val="clear" w:pos="7609"/>
              <w:tab w:val="right" w:pos="9026" w:leader="dot"/>
            </w:tabs>
            <w:rPr/>
          </w:pPr>
          <w:hyperlink w:anchor="__RefHeading___Toc2061720_2314609296">
            <w:r>
              <w:rPr>
                <w:webHidden/>
                <w:rStyle w:val="IndexLink"/>
                <w:rtl w:val="true"/>
              </w:rPr>
              <w:t>[</w:t>
            </w:r>
            <w:r>
              <w:rPr>
                <w:rStyle w:val="IndexLink"/>
                <w:rtl w:val="true"/>
              </w:rPr>
              <w:t>الرابع لو سقط فرض الصوم بعد إفساده</w:t>
            </w:r>
            <w:r>
              <w:rPr>
                <w:rStyle w:val="IndexLink"/>
                <w:rtl w:val="true"/>
              </w:rPr>
              <w:t>]</w:t>
              <w:tab/>
            </w:r>
            <w:r>
              <w:rPr>
                <w:rStyle w:val="IndexLink"/>
              </w:rPr>
              <w:t>180</w:t>
            </w:r>
          </w:hyperlink>
        </w:p>
        <w:p>
          <w:pPr>
            <w:pStyle w:val="Contents6"/>
            <w:tabs>
              <w:tab w:val="clear" w:pos="7609"/>
              <w:tab w:val="right" w:pos="9026" w:leader="dot"/>
            </w:tabs>
            <w:rPr/>
          </w:pPr>
          <w:hyperlink w:anchor="__RefHeading___Toc2061722_2314609296">
            <w:r>
              <w:rPr>
                <w:webHidden/>
                <w:rStyle w:val="IndexLink"/>
                <w:rtl w:val="true"/>
              </w:rPr>
              <w:t>[</w:t>
            </w:r>
            <w:r>
              <w:rPr>
                <w:rStyle w:val="IndexLink"/>
                <w:rtl w:val="true"/>
              </w:rPr>
              <w:t>الخامس لو وجب شهران متتابعان فعجز، صام ثمانية عشر يوما</w:t>
            </w:r>
            <w:r>
              <w:rPr>
                <w:rStyle w:val="IndexLink"/>
                <w:rtl w:val="true"/>
              </w:rPr>
              <w:t>]</w:t>
              <w:tab/>
            </w:r>
            <w:r>
              <w:rPr>
                <w:rStyle w:val="IndexLink"/>
              </w:rPr>
              <w:t>185</w:t>
            </w:r>
          </w:hyperlink>
        </w:p>
        <w:p>
          <w:pPr>
            <w:pStyle w:val="Contents6"/>
            <w:tabs>
              <w:tab w:val="clear" w:pos="7609"/>
              <w:tab w:val="right" w:pos="9026" w:leader="dot"/>
            </w:tabs>
            <w:rPr/>
          </w:pPr>
          <w:hyperlink w:anchor="__RefHeading___Toc2061724_2314609296">
            <w:r>
              <w:rPr>
                <w:webHidden/>
                <w:rStyle w:val="IndexLink"/>
                <w:rtl w:val="true"/>
              </w:rPr>
              <w:t>[</w:t>
            </w:r>
            <w:r>
              <w:rPr>
                <w:rStyle w:val="IndexLink"/>
                <w:rtl w:val="true"/>
              </w:rPr>
              <w:t>السادس لو أجنب ليلا و تعذر الماء بعد تمكّنه من الغسل حتى أصبح فالقضاء على إشكال</w:t>
            </w:r>
            <w:r>
              <w:rPr>
                <w:rStyle w:val="IndexLink"/>
                <w:rtl w:val="true"/>
              </w:rPr>
              <w:t>]</w:t>
              <w:tab/>
            </w:r>
            <w:r>
              <w:rPr>
                <w:rStyle w:val="IndexLink"/>
              </w:rPr>
              <w:t>188</w:t>
            </w:r>
          </w:hyperlink>
        </w:p>
        <w:p>
          <w:pPr>
            <w:pStyle w:val="Contents5"/>
            <w:tabs>
              <w:tab w:val="clear" w:pos="7892"/>
              <w:tab w:val="right" w:pos="9026" w:leader="dot"/>
            </w:tabs>
            <w:rPr/>
          </w:pPr>
          <w:hyperlink w:anchor="__RefHeading___Toc2061726_2314609296">
            <w:r>
              <w:rPr>
                <w:webHidden/>
                <w:rStyle w:val="IndexLink"/>
                <w:rtl w:val="true"/>
              </w:rPr>
              <w:t>[</w:t>
            </w:r>
            <w:r>
              <w:rPr>
                <w:rStyle w:val="IndexLink"/>
                <w:rtl w:val="true"/>
              </w:rPr>
              <w:t>المطلب الرابع في بقايا مباحث موجبات الإفطار</w:t>
            </w:r>
            <w:r>
              <w:rPr>
                <w:rStyle w:val="IndexLink"/>
                <w:rtl w:val="true"/>
              </w:rPr>
              <w:t>]</w:t>
              <w:tab/>
            </w:r>
            <w:r>
              <w:rPr>
                <w:rStyle w:val="IndexLink"/>
              </w:rPr>
              <w:t>189</w:t>
            </w:r>
          </w:hyperlink>
        </w:p>
        <w:p>
          <w:pPr>
            <w:pStyle w:val="Contents2"/>
            <w:tabs>
              <w:tab w:val="clear" w:pos="8743"/>
              <w:tab w:val="right" w:pos="9026" w:leader="dot"/>
            </w:tabs>
            <w:rPr/>
          </w:pPr>
          <w:hyperlink w:anchor="__RefHeading___Toc2061728_2314609296">
            <w:r>
              <w:rPr>
                <w:webHidden/>
                <w:rStyle w:val="IndexLink"/>
                <w:rtl w:val="true"/>
              </w:rPr>
              <w:t xml:space="preserve">مسائل متفرّقة </w:t>
            </w:r>
            <w:r>
              <w:rPr>
                <w:rStyle w:val="IndexLink"/>
                <w:rtl w:val="true"/>
              </w:rPr>
              <w:t>[</w:t>
            </w:r>
            <w:r>
              <w:rPr>
                <w:rStyle w:val="IndexLink"/>
                <w:rtl w:val="true"/>
              </w:rPr>
              <w:t>من كتاب الصوم</w:t>
            </w:r>
            <w:r>
              <w:rPr>
                <w:rStyle w:val="IndexLink"/>
                <w:rtl w:val="true"/>
              </w:rPr>
              <w:t>]</w:t>
              <w:tab/>
            </w:r>
            <w:r>
              <w:rPr>
                <w:rStyle w:val="IndexLink"/>
              </w:rPr>
              <w:t>199</w:t>
            </w:r>
          </w:hyperlink>
        </w:p>
        <w:p>
          <w:pPr>
            <w:pStyle w:val="Contents3"/>
            <w:tabs>
              <w:tab w:val="clear" w:pos="8459"/>
              <w:tab w:val="right" w:pos="9026" w:leader="dot"/>
            </w:tabs>
            <w:rPr/>
          </w:pPr>
          <w:hyperlink w:anchor="__RefHeading___Toc2061730_2314609296">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2061732_2314609296">
            <w:r>
              <w:rPr>
                <w:webHidden/>
                <w:rStyle w:val="IndexLink"/>
                <w:rtl w:val="true"/>
              </w:rPr>
              <w:t xml:space="preserve">مسألة </w:t>
            </w:r>
            <w:r>
              <w:rPr>
                <w:rStyle w:val="IndexLink"/>
                <w:rtl w:val="true"/>
              </w:rPr>
              <w:t>[</w:t>
            </w:r>
            <w:r>
              <w:rPr>
                <w:rStyle w:val="IndexLink"/>
              </w:rPr>
              <w:t>1</w:t>
            </w:r>
            <w:r>
              <w:rPr>
                <w:rStyle w:val="IndexLink"/>
                <w:rtl w:val="true"/>
              </w:rPr>
              <w:t xml:space="preserve">] </w:t>
            </w:r>
            <w:r>
              <w:rPr>
                <w:rStyle w:val="IndexLink"/>
                <w:rtl w:val="true"/>
              </w:rPr>
              <w:t>يعلم البلوغ بالسن و خروج المني و انبات الشعر الخشن على العانة</w:t>
            </w:r>
            <w:r>
              <w:rPr>
                <w:rStyle w:val="IndexLink"/>
                <w:rtl w:val="true"/>
              </w:rPr>
              <w:t>.</w:t>
              <w:tab/>
            </w:r>
            <w:r>
              <w:rPr>
                <w:rStyle w:val="IndexLink"/>
              </w:rPr>
              <w:t>201</w:t>
            </w:r>
          </w:hyperlink>
        </w:p>
        <w:p>
          <w:pPr>
            <w:pStyle w:val="Contents3"/>
            <w:tabs>
              <w:tab w:val="clear" w:pos="8459"/>
              <w:tab w:val="right" w:pos="9026" w:leader="dot"/>
            </w:tabs>
            <w:rPr/>
          </w:pPr>
          <w:hyperlink w:anchor="__RefHeading___Toc2061734_2314609296">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ادّعاء الصبيّ الاحتلام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2061736_2314609296">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بلوغ الصبيّ في أثناء النهار</w:t>
            </w:r>
            <w:r>
              <w:rPr>
                <w:rStyle w:val="IndexLink"/>
                <w:rtl w:val="true"/>
              </w:rPr>
              <w:t>]</w:t>
              <w:tab/>
            </w:r>
            <w:r>
              <w:rPr>
                <w:rStyle w:val="IndexLink"/>
              </w:rPr>
              <w:t>211</w:t>
            </w:r>
          </w:hyperlink>
        </w:p>
        <w:p>
          <w:pPr>
            <w:pStyle w:val="Contents3"/>
            <w:tabs>
              <w:tab w:val="clear" w:pos="8459"/>
              <w:tab w:val="right" w:pos="9026" w:leader="dot"/>
            </w:tabs>
            <w:rPr/>
          </w:pPr>
          <w:hyperlink w:anchor="__RefHeading___Toc2061738_2314609296">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عدم جواز التطوّع في الصوم ممّن عليه صوم واجب</w:t>
            </w:r>
            <w:r>
              <w:rPr>
                <w:rStyle w:val="IndexLink"/>
                <w:rtl w:val="true"/>
              </w:rPr>
              <w:t>]</w:t>
              <w:tab/>
            </w:r>
            <w:r>
              <w:rPr>
                <w:rStyle w:val="IndexLink"/>
              </w:rPr>
              <w:t>217</w:t>
            </w:r>
          </w:hyperlink>
        </w:p>
        <w:p>
          <w:pPr>
            <w:pStyle w:val="Contents3"/>
            <w:tabs>
              <w:tab w:val="clear" w:pos="8459"/>
              <w:tab w:val="right" w:pos="9026" w:leader="dot"/>
            </w:tabs>
            <w:rPr/>
          </w:pPr>
          <w:hyperlink w:anchor="__RefHeading___Toc2061740_2314609296">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وجوب قضاء الصوم على من فاته صيام شهر رمضان</w:t>
            </w:r>
            <w:r>
              <w:rPr>
                <w:rStyle w:val="IndexLink"/>
                <w:rtl w:val="true"/>
              </w:rPr>
              <w:t>]</w:t>
              <w:tab/>
            </w:r>
            <w:r>
              <w:rPr>
                <w:rStyle w:val="IndexLink"/>
              </w:rPr>
              <w:t>221</w:t>
            </w:r>
          </w:hyperlink>
        </w:p>
        <w:p>
          <w:pPr>
            <w:pStyle w:val="Contents3"/>
            <w:tabs>
              <w:tab w:val="clear" w:pos="8459"/>
              <w:tab w:val="right" w:pos="9026" w:leader="dot"/>
            </w:tabs>
            <w:rPr/>
          </w:pPr>
          <w:hyperlink w:anchor="__RefHeading___Toc2061742_2314609296">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عدم وجوب الفوريّة في قضاء رمضان</w:t>
            </w:r>
            <w:r>
              <w:rPr>
                <w:rStyle w:val="IndexLink"/>
                <w:rtl w:val="true"/>
              </w:rPr>
              <w:t>]</w:t>
              <w:tab/>
            </w:r>
            <w:r>
              <w:rPr>
                <w:rStyle w:val="IndexLink"/>
              </w:rPr>
              <w:t>224</w:t>
            </w:r>
          </w:hyperlink>
        </w:p>
        <w:p>
          <w:pPr>
            <w:pStyle w:val="Contents3"/>
            <w:tabs>
              <w:tab w:val="clear" w:pos="8459"/>
              <w:tab w:val="right" w:pos="9026" w:leader="dot"/>
            </w:tabs>
            <w:rPr/>
          </w:pPr>
          <w:hyperlink w:anchor="__RefHeading___Toc2061744_2314609296">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من فاته شهر رمضان لمرض أو دم، فإن مات قبل البرء و الطهر فلا قضاء عنه</w:t>
            </w:r>
            <w:r>
              <w:rPr>
                <w:rStyle w:val="IndexLink"/>
                <w:rtl w:val="true"/>
              </w:rPr>
              <w:t>]</w:t>
              <w:tab/>
            </w:r>
            <w:r>
              <w:rPr>
                <w:rStyle w:val="IndexLink"/>
              </w:rPr>
              <w:t>226</w:t>
            </w:r>
          </w:hyperlink>
        </w:p>
        <w:p>
          <w:pPr>
            <w:pStyle w:val="Contents3"/>
            <w:tabs>
              <w:tab w:val="clear" w:pos="8459"/>
              <w:tab w:val="right" w:pos="9026" w:leader="dot"/>
            </w:tabs>
            <w:rPr/>
          </w:pPr>
          <w:hyperlink w:anchor="__RefHeading___Toc2061746_2314609296">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عدم تحريم إفطار قضاء رمضان قبل الزوال</w:t>
            </w:r>
            <w:r>
              <w:rPr>
                <w:rStyle w:val="IndexLink"/>
                <w:rtl w:val="true"/>
              </w:rPr>
              <w:t>]</w:t>
              <w:tab/>
            </w:r>
            <w:r>
              <w:rPr>
                <w:rStyle w:val="IndexLink"/>
              </w:rPr>
              <w:t>233</w:t>
            </w:r>
          </w:hyperlink>
        </w:p>
        <w:p>
          <w:pPr>
            <w:pStyle w:val="Contents3"/>
            <w:tabs>
              <w:tab w:val="clear" w:pos="8459"/>
              <w:tab w:val="right" w:pos="9026" w:leader="dot"/>
            </w:tabs>
            <w:rPr/>
          </w:pPr>
          <w:hyperlink w:anchor="__RefHeading___Toc2061748_2314609296">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شرعية صوم المميّز</w:t>
            </w:r>
            <w:r>
              <w:rPr>
                <w:rStyle w:val="IndexLink"/>
                <w:rtl w:val="true"/>
              </w:rPr>
              <w:t>]</w:t>
              <w:tab/>
            </w:r>
            <w:r>
              <w:rPr>
                <w:rStyle w:val="IndexLink"/>
              </w:rPr>
              <w:t>237</w:t>
            </w:r>
          </w:hyperlink>
        </w:p>
        <w:p>
          <w:pPr>
            <w:pStyle w:val="Contents3"/>
            <w:tabs>
              <w:tab w:val="clear" w:pos="8459"/>
              <w:tab w:val="right" w:pos="9026" w:leader="dot"/>
            </w:tabs>
            <w:rPr/>
          </w:pPr>
          <w:hyperlink w:anchor="__RefHeading___Toc2061750_2314609296">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صحة صوم المستحاضة</w:t>
            </w:r>
            <w:r>
              <w:rPr>
                <w:rStyle w:val="IndexLink"/>
                <w:rtl w:val="true"/>
              </w:rPr>
              <w:t>]</w:t>
              <w:tab/>
            </w:r>
            <w:r>
              <w:rPr>
                <w:rStyle w:val="IndexLink"/>
              </w:rPr>
              <w:t>239</w:t>
            </w:r>
          </w:hyperlink>
        </w:p>
        <w:p>
          <w:pPr>
            <w:pStyle w:val="Contents3"/>
            <w:tabs>
              <w:tab w:val="clear" w:pos="8459"/>
              <w:tab w:val="right" w:pos="9026" w:leader="dot"/>
            </w:tabs>
            <w:rPr/>
          </w:pPr>
          <w:hyperlink w:anchor="__RefHeading___Toc2061752_2314609296">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حكم ثبوت الهلال للبلاد المتقاربة</w:t>
            </w:r>
            <w:r>
              <w:rPr>
                <w:rStyle w:val="IndexLink"/>
                <w:rtl w:val="true"/>
              </w:rPr>
              <w:t>]</w:t>
              <w:tab/>
            </w:r>
            <w:r>
              <w:rPr>
                <w:rStyle w:val="IndexLink"/>
              </w:rPr>
              <w:t>246</w:t>
            </w:r>
          </w:hyperlink>
        </w:p>
        <w:p>
          <w:pPr>
            <w:pStyle w:val="Contents3"/>
            <w:tabs>
              <w:tab w:val="clear" w:pos="8459"/>
              <w:tab w:val="right" w:pos="9026" w:leader="dot"/>
            </w:tabs>
            <w:rPr/>
          </w:pPr>
          <w:hyperlink w:anchor="__RefHeading___Toc2061754_2314609296">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في وجوب الإفطار على المسافر و عدم صحّة الصوم منه</w:t>
            </w:r>
            <w:r>
              <w:rPr>
                <w:rStyle w:val="IndexLink"/>
                <w:rtl w:val="true"/>
              </w:rPr>
              <w:t>]</w:t>
              <w:tab/>
            </w:r>
            <w:r>
              <w:rPr>
                <w:rStyle w:val="IndexLink"/>
              </w:rPr>
              <w:t>250</w:t>
            </w:r>
          </w:hyperlink>
        </w:p>
        <w:p>
          <w:pPr>
            <w:pStyle w:val="Contents3"/>
            <w:tabs>
              <w:tab w:val="clear" w:pos="8459"/>
              <w:tab w:val="right" w:pos="9026" w:leader="dot"/>
            </w:tabs>
            <w:rPr/>
          </w:pPr>
          <w:hyperlink w:anchor="__RefHeading___Toc2061756_2314609296">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الظاهر عدم صحّة الصوم الواجب في السفر إلّا في المواضع المستثناة</w:t>
            </w:r>
            <w:r>
              <w:rPr>
                <w:rStyle w:val="IndexLink"/>
                <w:rtl w:val="true"/>
              </w:rPr>
              <w:t>]</w:t>
              <w:tab/>
            </w:r>
            <w:r>
              <w:rPr>
                <w:rStyle w:val="IndexLink"/>
              </w:rPr>
              <w:t>259</w:t>
            </w:r>
          </w:hyperlink>
        </w:p>
        <w:p>
          <w:pPr>
            <w:pStyle w:val="Contents3"/>
            <w:tabs>
              <w:tab w:val="clear" w:pos="8459"/>
              <w:tab w:val="right" w:pos="9026" w:leader="dot"/>
            </w:tabs>
            <w:rPr/>
          </w:pPr>
          <w:hyperlink w:anchor="__RefHeading___Toc2061758_2314609296">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يسقط الصوم عن المريض الذي يتضرّر به</w:t>
            </w:r>
            <w:r>
              <w:rPr>
                <w:rStyle w:val="IndexLink"/>
                <w:rtl w:val="true"/>
              </w:rPr>
              <w:t>]</w:t>
              <w:tab/>
            </w:r>
            <w:r>
              <w:rPr>
                <w:rStyle w:val="IndexLink"/>
              </w:rPr>
              <w:t>264</w:t>
            </w:r>
          </w:hyperlink>
        </w:p>
        <w:p>
          <w:pPr>
            <w:pStyle w:val="Contents3"/>
            <w:tabs>
              <w:tab w:val="clear" w:pos="8459"/>
              <w:tab w:val="right" w:pos="9026" w:leader="dot"/>
            </w:tabs>
            <w:rPr/>
          </w:pPr>
          <w:hyperlink w:anchor="__RefHeading___Toc2061760_2314609296">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الحامل المقرب و المرضعة يجوز لهما الإفطار</w:t>
            </w:r>
            <w:r>
              <w:rPr>
                <w:rStyle w:val="IndexLink"/>
                <w:rtl w:val="true"/>
              </w:rPr>
              <w:t>]</w:t>
              <w:tab/>
            </w:r>
            <w:r>
              <w:rPr>
                <w:rStyle w:val="IndexLink"/>
              </w:rPr>
              <w:t>267</w:t>
            </w:r>
          </w:hyperlink>
        </w:p>
        <w:p>
          <w:pPr>
            <w:pStyle w:val="Contents3"/>
            <w:tabs>
              <w:tab w:val="clear" w:pos="8459"/>
              <w:tab w:val="right" w:pos="9026" w:leader="dot"/>
            </w:tabs>
            <w:rPr/>
          </w:pPr>
          <w:hyperlink w:anchor="__RefHeading___Toc2061762_2314609296">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في جواز الإفطار للشيخ و الشيخة</w:t>
            </w:r>
            <w:r>
              <w:rPr>
                <w:rStyle w:val="IndexLink"/>
                <w:rtl w:val="true"/>
              </w:rPr>
              <w:t>]</w:t>
              <w:tab/>
            </w:r>
            <w:r>
              <w:rPr>
                <w:rStyle w:val="IndexLink"/>
              </w:rPr>
              <w:t>271</w:t>
            </w:r>
          </w:hyperlink>
        </w:p>
        <w:p>
          <w:pPr>
            <w:pStyle w:val="Contents3"/>
            <w:tabs>
              <w:tab w:val="clear" w:pos="8459"/>
              <w:tab w:val="right" w:pos="9026" w:leader="dot"/>
            </w:tabs>
            <w:rPr/>
          </w:pPr>
          <w:hyperlink w:anchor="__RefHeading___Toc2061764_2314609296">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من فاته شهر رمضان أو بعضه فمات في ذلك المرض، لم يجب عنه القضاء</w:t>
            </w:r>
            <w:r>
              <w:rPr>
                <w:rStyle w:val="IndexLink"/>
                <w:rtl w:val="true"/>
              </w:rPr>
              <w:t>]</w:t>
              <w:tab/>
            </w:r>
            <w:r>
              <w:rPr>
                <w:rStyle w:val="IndexLink"/>
              </w:rPr>
              <w:t>277</w:t>
            </w:r>
          </w:hyperlink>
        </w:p>
        <w:p>
          <w:pPr>
            <w:pStyle w:val="Contents3"/>
            <w:tabs>
              <w:tab w:val="clear" w:pos="8459"/>
              <w:tab w:val="right" w:pos="9026" w:leader="dot"/>
            </w:tabs>
            <w:rPr/>
          </w:pPr>
          <w:hyperlink w:anchor="__RefHeading___Toc2061766_2314609296">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إذا استمرّ بالمريض مرضه إلى رمضان القابل، سقط القضاء عنه</w:t>
            </w:r>
            <w:r>
              <w:rPr>
                <w:rStyle w:val="IndexLink"/>
                <w:rtl w:val="true"/>
              </w:rPr>
              <w:t>]</w:t>
              <w:tab/>
            </w:r>
            <w:r>
              <w:rPr>
                <w:rStyle w:val="IndexLink"/>
              </w:rPr>
              <w:t>279</w:t>
            </w:r>
          </w:hyperlink>
        </w:p>
        <w:p>
          <w:pPr>
            <w:pStyle w:val="Contents3"/>
            <w:tabs>
              <w:tab w:val="clear" w:pos="8459"/>
              <w:tab w:val="right" w:pos="9026" w:leader="dot"/>
            </w:tabs>
            <w:rPr/>
          </w:pPr>
          <w:hyperlink w:anchor="__RefHeading___Toc2061768_2314609296">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حكم المريض إذا برء بعد خروج رمضان و لم يقض ما فات عنه رمضان القابل</w:t>
            </w:r>
            <w:r>
              <w:rPr>
                <w:rStyle w:val="IndexLink"/>
                <w:rtl w:val="true"/>
              </w:rPr>
              <w:t>]</w:t>
              <w:tab/>
            </w:r>
            <w:r>
              <w:rPr>
                <w:rStyle w:val="IndexLink"/>
              </w:rPr>
              <w:t>283</w:t>
            </w:r>
          </w:hyperlink>
        </w:p>
        <w:p>
          <w:pPr>
            <w:pStyle w:val="Contents3"/>
            <w:tabs>
              <w:tab w:val="clear" w:pos="8459"/>
              <w:tab w:val="right" w:pos="9026" w:leader="dot"/>
            </w:tabs>
            <w:rPr/>
          </w:pPr>
          <w:hyperlink w:anchor="__RefHeading___Toc2061770_2314609296">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لو مات الرجل و عليه شي‌ء من الصيام فالقضاء عنه على أولى الناس به</w:t>
            </w:r>
            <w:r>
              <w:rPr>
                <w:rStyle w:val="IndexLink"/>
                <w:rtl w:val="true"/>
              </w:rPr>
              <w:t>.]</w:t>
              <w:tab/>
            </w:r>
            <w:r>
              <w:rPr>
                <w:rStyle w:val="IndexLink"/>
              </w:rPr>
              <w:t>288</w:t>
            </w:r>
          </w:hyperlink>
        </w:p>
        <w:p>
          <w:pPr>
            <w:pStyle w:val="Contents3"/>
            <w:tabs>
              <w:tab w:val="clear" w:pos="8459"/>
              <w:tab w:val="right" w:pos="9026" w:leader="dot"/>
            </w:tabs>
            <w:rPr/>
          </w:pPr>
          <w:hyperlink w:anchor="__RefHeading___Toc2061772_2314609296">
            <w:r>
              <w:rPr>
                <w:webHidden/>
                <w:rStyle w:val="IndexLink"/>
                <w:rtl w:val="true"/>
              </w:rPr>
              <w:t>[</w:t>
            </w:r>
            <w:r>
              <w:rPr>
                <w:rStyle w:val="IndexLink"/>
                <w:rtl w:val="true"/>
              </w:rPr>
              <w:t xml:space="preserve">مسألة </w:t>
            </w:r>
            <w:r>
              <w:rPr>
                <w:rStyle w:val="IndexLink"/>
              </w:rPr>
              <w:t>21</w:t>
            </w:r>
            <w:r>
              <w:rPr>
                <w:rStyle w:val="IndexLink"/>
                <w:rtl w:val="true"/>
              </w:rPr>
              <w:t xml:space="preserve"> </w:t>
            </w:r>
            <w:r>
              <w:rPr>
                <w:rStyle w:val="IndexLink"/>
                <w:rtl w:val="true"/>
              </w:rPr>
              <w:t>جواز الإفطار في القضاء إلى زوال الشمس</w:t>
            </w:r>
            <w:r>
              <w:rPr>
                <w:rStyle w:val="IndexLink"/>
                <w:rtl w:val="true"/>
              </w:rPr>
              <w:t>]</w:t>
              <w:tab/>
            </w:r>
            <w:r>
              <w:rPr>
                <w:rStyle w:val="IndexLink"/>
              </w:rPr>
              <w:t>291</w:t>
            </w:r>
          </w:hyperlink>
        </w:p>
        <w:p>
          <w:pPr>
            <w:pStyle w:val="Contents3"/>
            <w:tabs>
              <w:tab w:val="clear" w:pos="8459"/>
              <w:tab w:val="right" w:pos="9026" w:leader="dot"/>
            </w:tabs>
            <w:rPr/>
          </w:pPr>
          <w:hyperlink w:anchor="__RefHeading___Toc2061774_2314609296">
            <w:r>
              <w:rPr>
                <w:webHidden/>
                <w:rStyle w:val="IndexLink"/>
                <w:rtl w:val="true"/>
              </w:rPr>
              <w:t>[</w:t>
            </w:r>
            <w:r>
              <w:rPr>
                <w:rStyle w:val="IndexLink"/>
                <w:rtl w:val="true"/>
              </w:rPr>
              <w:t xml:space="preserve">مسألة </w:t>
            </w:r>
            <w:r>
              <w:rPr>
                <w:rStyle w:val="IndexLink"/>
              </w:rPr>
              <w:t>22</w:t>
            </w:r>
            <w:r>
              <w:rPr>
                <w:rStyle w:val="IndexLink"/>
                <w:rtl w:val="true"/>
              </w:rPr>
              <w:t xml:space="preserve"> </w:t>
            </w:r>
            <w:r>
              <w:rPr>
                <w:rStyle w:val="IndexLink"/>
                <w:rtl w:val="true"/>
              </w:rPr>
              <w:t>في شرعيّة صوم الصبيّ المميز</w:t>
            </w:r>
            <w:r>
              <w:rPr>
                <w:rStyle w:val="IndexLink"/>
                <w:rtl w:val="true"/>
              </w:rPr>
              <w:t>]</w:t>
              <w:tab/>
            </w:r>
            <w:r>
              <w:rPr>
                <w:rStyle w:val="IndexLink"/>
              </w:rPr>
              <w:t>296</w:t>
            </w:r>
          </w:hyperlink>
        </w:p>
        <w:p>
          <w:pPr>
            <w:pStyle w:val="Contents3"/>
            <w:tabs>
              <w:tab w:val="clear" w:pos="8459"/>
              <w:tab w:val="right" w:pos="9026" w:leader="dot"/>
            </w:tabs>
            <w:rPr/>
          </w:pPr>
          <w:hyperlink w:anchor="__RefHeading___Toc2061776_2314609296">
            <w:r>
              <w:rPr>
                <w:webHidden/>
                <w:rStyle w:val="IndexLink"/>
                <w:rtl w:val="true"/>
              </w:rPr>
              <w:t>[</w:t>
            </w:r>
            <w:r>
              <w:rPr>
                <w:rStyle w:val="IndexLink"/>
                <w:rtl w:val="true"/>
              </w:rPr>
              <w:t xml:space="preserve">مسألة </w:t>
            </w:r>
            <w:r>
              <w:rPr>
                <w:rStyle w:val="IndexLink"/>
              </w:rPr>
              <w:t>23</w:t>
            </w:r>
            <w:r>
              <w:rPr>
                <w:rStyle w:val="IndexLink"/>
                <w:rtl w:val="true"/>
              </w:rPr>
              <w:t xml:space="preserve"> </w:t>
            </w:r>
            <w:r>
              <w:rPr>
                <w:rStyle w:val="IndexLink"/>
                <w:rtl w:val="true"/>
              </w:rPr>
              <w:t>صحّة صوم النائم إذا سبقت منه النيّة و إن استمرّ نومه في مجموع النهار</w:t>
            </w:r>
            <w:r>
              <w:rPr>
                <w:rStyle w:val="IndexLink"/>
                <w:rtl w:val="true"/>
              </w:rPr>
              <w:t>]</w:t>
              <w:tab/>
            </w:r>
            <w:r>
              <w:rPr>
                <w:rStyle w:val="IndexLink"/>
              </w:rPr>
              <w:t>301</w:t>
            </w:r>
          </w:hyperlink>
        </w:p>
        <w:p>
          <w:pPr>
            <w:pStyle w:val="Contents3"/>
            <w:tabs>
              <w:tab w:val="clear" w:pos="8459"/>
              <w:tab w:val="right" w:pos="9026" w:leader="dot"/>
            </w:tabs>
            <w:rPr/>
          </w:pPr>
          <w:hyperlink w:anchor="__RefHeading___Toc2061778_2314609296">
            <w:r>
              <w:rPr>
                <w:webHidden/>
                <w:rStyle w:val="IndexLink"/>
                <w:rtl w:val="true"/>
              </w:rPr>
              <w:t>[</w:t>
            </w:r>
            <w:r>
              <w:rPr>
                <w:rStyle w:val="IndexLink"/>
                <w:rtl w:val="true"/>
              </w:rPr>
              <w:t xml:space="preserve">مسألة </w:t>
            </w:r>
            <w:r>
              <w:rPr>
                <w:rStyle w:val="IndexLink"/>
              </w:rPr>
              <w:t>24</w:t>
            </w:r>
            <w:r>
              <w:rPr>
                <w:rStyle w:val="IndexLink"/>
                <w:rtl w:val="true"/>
              </w:rPr>
              <w:t xml:space="preserve"> </w:t>
            </w:r>
            <w:r>
              <w:rPr>
                <w:rStyle w:val="IndexLink"/>
                <w:rtl w:val="true"/>
              </w:rPr>
              <w:t>في عدم صحة الصوم من الكافر و المخالف</w:t>
            </w:r>
            <w:r>
              <w:rPr>
                <w:rStyle w:val="IndexLink"/>
                <w:rtl w:val="true"/>
              </w:rPr>
              <w:t>.]</w:t>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00_214482"/>
      <w:bookmarkStart w:id="1" w:name="pg19900_214482"/>
      <w:bookmarkEnd w:id="1"/>
    </w:p>
    <w:p>
      <w:pPr>
        <w:pStyle w:val="Heading2"/>
        <w:numPr>
          <w:ilvl w:val="1"/>
          <w:numId w:val="1"/>
        </w:numPr>
        <w:rPr/>
      </w:pPr>
      <w:bookmarkStart w:id="2" w:name="pg19900_214482"/>
      <w:bookmarkStart w:id="3" w:name="__RefHeading___Toc2061604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قمی، مرتضی،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الانصاری؛ اعداد لجنه تحقیق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مجمع‌الفکرالاسلامی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تراث‌الشيخ‌الاعظم؛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بمناسبةالموتمرالمئوی للشیخ‌الاعظم‌الانصاری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کتاب شرح قسمت صوم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ارشادالاذهان الی احکام‌الایمان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قواعدالاحکام فی مسایل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حسن‌بن‌یوسف علامه‌حلی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ارشاد‌الاذهان الی احکام‌الایمان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قواعدالاحکام في معرفةالحلال والحرام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۲۷۶۴۱۴۵</w:t>
      </w:r>
    </w:p>
    <w:p>
      <w:pPr>
        <w:pStyle w:val="Heading2"/>
        <w:numPr>
          <w:ilvl w:val="1"/>
          <w:numId w:val="1"/>
        </w:numPr>
        <w:rPr/>
      </w:pPr>
      <w:bookmarkStart w:id="5" w:name="__RefHeading___Toc2061606_2314609296"/>
      <w:bookmarkStart w:id="6" w:name="_Toc2"/>
      <w:bookmarkEnd w:id="5"/>
      <w:r>
        <w:rPr>
          <w:rtl w:val="true"/>
        </w:rPr>
        <w:t>[</w:t>
      </w:r>
      <w:r>
        <w:rPr>
          <w:rtl w:val="true"/>
        </w:rPr>
        <w:t>مقدمة التحقيق</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اللعنة الدائمة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فمن من اللّٰه تعالى علينا ان وفّقنا لإخراج كتاب الصوم من سلسلة تراث الشيخ الأعظم، الشيخ مرتضى الأنصاري قدّس سرّه بالشكل المناسب بعد جهد كثير بذله إخواننا في لجنة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ان يكون القراء الكرام على علم بخصوصيات الكتاب و مراحل التحقيق نشير إلى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يتكون الكتاب الحاضر من ثلاثة أقسام، و كل قسم منه يبحث عن جانب من الصوم، و ربما حصل التداخل في بعض الموارد، و الأقسام الثلاثة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إرشاد الأذهان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شرح مزجي لقسم من كتاب الصوم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قدّس سرّه يتضمّن البحث عن ماهية الصوم مع الخاتمة، أي من 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شرح لقسم من كتاب الصوم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المطلب الثاني في ما يوجب الإفطار،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بالغروب للتقليد أو للظلمة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يجب بالإفطار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المطلب الرابع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المبحث الأول منه، اي من صفحة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مجموعها اربع و عشرون مسألة اختلفت النسخ في ترتيبها، فقد جاء قسم منها بعد شرح الإرشاد و بعضها الآخر بعد شرح القواعد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و ع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وردت متتابعة بعد شرح الإرشاد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جعلناها في طبعتنا هذه مرتّبة حسب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ان نشير إلى أنّ بعض هذه المسائل قد تداخلت أو تكرّر البحث عنها كما وقع في مسألتي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قبل الزوال في 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مسألتي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صوم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بحث عنهما ببيانين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المعتمد عليها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من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بمصورتها المكتبة الرضوية بمشهد مشكورة، و 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تحتوي على الخمس و الزكاة أيضا تم كتابتها على يد مصطفى بن معصوم الحسيني المازندراني، و جاء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وجد من مسائل الصوم في مؤلفاته تغمّده بغفرانه و أسكنه بحبوحة جناته و زاد عليه بإكرامه و إحسانه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قابلت هذا الكتاب المستطاب بعد الاستكتاب مع فضلاء الأصحاب مع كمال الدقة بقدر الوسع و الطاقة من نسخة الأصل الذي كتبه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رمزنا</w:t>
      </w:r>
    </w:p>
    <w:p>
      <w:pPr>
        <w:pStyle w:val="BookText"/>
        <w:rPr/>
      </w:pPr>
      <w:r>
        <w:rPr>
          <w:rFonts w:ascii="Amiri" w:hAnsi="Amiri" w:eastAsia="Amiri" w:cs="Amiri"/>
          <w:color w:val="111111"/>
          <w:sz w:val="28"/>
          <w:sz w:val="28"/>
          <w:szCs w:val="28"/>
          <w:rtl w:val="true"/>
          <w:lang w:bidi="ar-SA"/>
        </w:rPr>
        <w:t xml:space="preserve">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ثانية وقفنا عليها في مكتبة مدرسة الفيضية بقم، و تقدمت بمصورتها مشكورة، و هي 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تحتوي على الخمس و الزكاة أيضا و جاء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جميع ما وجد في الصوم من المرحوم قدّس سرّه و قد كتبت من نسخة كتبت من خطه الشريف رحمه اللّٰه، و قد وقع الفراغ منه في سلخ رجب عام السادس و الثمانين بعد المأتين و الالف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حجرية طبعت في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ضمن كتاب الطهارة للشيخ الأنصاري نفسه، و عدد صفحاتها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الكبير، و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حجرية اخرى مطبوعة في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ضمن كتاب الطهارة أيضا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الكبير، و يظهر أنها قد قوبلت مع نسخة معتبرة، لأنها تمتاز بتصحيحات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كتابتها بيد المستنسخ المعروف زين العابدين،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الطريقة المتخذة في تحقيق هذا الكتاب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 مقابلة النسخ المعتمد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 ج و ع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 موارد اختلافها على يد مجموعة من الاخوة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الاستخراج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الاستخراج الابتدائي حيث استخرجت الأقوال و المصادر استخراجا ابتدائيا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تلك الاستخراجات مراجعة دقيقة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و تنظيمه و جعل ما هو المناسب من اختلافات النسخ في</w:t>
      </w:r>
    </w:p>
    <w:p>
      <w:pPr>
        <w:pStyle w:val="BookText"/>
        <w:rPr/>
      </w:pPr>
      <w:r>
        <w:rPr>
          <w:rFonts w:ascii="Amiri" w:hAnsi="Amiri" w:eastAsia="Amiri" w:cs="Amiri"/>
          <w:color w:val="111111"/>
          <w:sz w:val="28"/>
          <w:sz w:val="28"/>
          <w:szCs w:val="28"/>
          <w:rtl w:val="true"/>
          <w:lang w:bidi="ar-SA"/>
        </w:rPr>
        <w:t>المتن و غيره في الهوامش مع ضبط الأقوال و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الهوامش صياغة فنّية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بمراجعة الكتاب بعد إكماله مراجعة نهائية و ملاحظته من ناحية المتن و النواحي الفنية بعض الإخوة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صعوبات في طريق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المناسب ان نشير هنا الى جانب من الصعوبات التي واجهتنا في إخراج هذا الكتاب قلّ ما تخلو منها مؤلفات الشيخ الأعظم قدّس سرّه و لعل ذلك يرجع الى عاملين اساسيين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تركه الشيخ قدّس سرّه كان على نحو مسودات غير منتظمة تحتوي على هوامش و تعديلات كثيرة و عبارات مشطوب عليها بحيث يكون من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تنظيمها و تنسيقها حتى لذوي الخبرة 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النساخ في تنظيم تلك العبارات و إدخال الحواشي في غير مواضعها المناسبة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تمكّنا من كشف الكثير من الالتباسات الناشئة من جهة الاستنساخ في عدد من النسخ التي حصلنا فيها على نسخة الام بينهما وقفنا مكتوفي الأيدي بالنسبة الى ما لم نحصل فيها على مخطوطة للشيخ قدّس سرّه كما حصل بالنسبة الى هذا الكتاب بالذات، و نذكر على سبيل المثال النماذج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الصفحتين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ترتيب خمس عبارات فقد وردت مختلفة في النسخ التي بأيدينا، و رتبناها حسب ما رأينا انه أقرب الى ما أراده المؤلف قدّس سرّه مع إيراد الاختلافات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هامش 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بعض النساخ فيها بعدم اطلاعه على مكان العبارة في المتن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طويلة زهاء صفحة واحدة كتب ناسخ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أوردها 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و قال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مكتوبا في حاشية نسخة الأصل، و قد أسقطه بعض من كتب من وجه النسخ، و كان في الصفحتين اغتشاش كثير و خطوط من المتن إلى الحواشي البعيدة و حواش لا علامة لها، و ما علمت مكان هذا و لا أنه محتاج اليه أو زائدة و لذا كتبتها على حده ليتأمله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صفحة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طويلة أخرى و آثرنا إيرادها في الهامش لعدم ارتباطها بما قبلها 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صفحة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عبارة طويلة لم يتحقق لنا ارتباطها بما قبلها و رأينا انها تناسب المطالب التي أوردها الشيخ في 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ادرجناها في الهامش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إذ نشكر جميع الإخوة الذين ساهموا في إخراج الكتاب بالشكل المناسب نخص بالذكر سماحة حجة الإسلام و المسلمين السيد محمد جواد الجلالي الذي بذل جهدا واسعا في هذا المشروع و كذلك حجة الإسلام الشيخ محمد جعفر الطبسي و نسأل اللّٰه تعالى مزيد التوفيق لكل العاملين لإحياء تراث أهل البيت عليهم السلام و أن يتقبّل من الجميع انه ولي التوفيق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 لجنة التحقيق محمد علي الأنصاري</w:t>
      </w:r>
      <w:r>
        <w:rPr>
          <w:rFonts w:eastAsia="Amiri" w:cs="Amiri" w:ascii="Amiri" w:hAnsi="Amiri"/>
          <w:color w:val="111111"/>
          <w:sz w:val="28"/>
          <w:szCs w:val="28"/>
          <w:rtl w:val="true"/>
          <w:lang w:bidi="ar-SA"/>
        </w:rPr>
        <w:t>.</w:t>
      </w:r>
      <w:bookmarkStart w:id="7" w:name="pg19900_214494"/>
    </w:p>
    <w:p>
      <w:pPr>
        <w:pStyle w:val="Heading2"/>
        <w:numPr>
          <w:ilvl w:val="1"/>
          <w:numId w:val="1"/>
        </w:numPr>
        <w:rPr/>
      </w:pPr>
      <w:bookmarkStart w:id="8" w:name="__RefHeading___Toc2061608_2314609296"/>
      <w:bookmarkStart w:id="9" w:name="_Toc3"/>
      <w:bookmarkEnd w:id="7"/>
      <w:bookmarkEnd w:id="8"/>
      <w:r>
        <w:rPr>
          <w:rtl w:val="true"/>
        </w:rPr>
        <w:t xml:space="preserve">شرح </w:t>
      </w:r>
      <w:r>
        <w:rPr>
          <w:rtl w:val="true"/>
        </w:rPr>
        <w:t>[</w:t>
      </w:r>
      <w:r>
        <w:rPr>
          <w:rtl w:val="true"/>
        </w:rPr>
        <w:t>كتاب الصوم من</w:t>
      </w:r>
      <w:r>
        <w:rPr>
          <w:rtl w:val="true"/>
        </w:rPr>
        <w:t xml:space="preserve">] </w:t>
      </w:r>
      <w:r>
        <w:rPr>
          <w:rtl w:val="true"/>
        </w:rPr>
        <w:t>إرشاد الأذهان</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061610_2314609296"/>
      <w:bookmarkStart w:id="11" w:name="_Toc4"/>
      <w:bookmarkEnd w:id="10"/>
      <w:r>
        <w:rPr>
          <w:rtl w:val="true"/>
        </w:rPr>
        <w:t>اشارة</w:t>
      </w:r>
      <w:bookmarkStart w:id="12" w:name="pg19900_214496"/>
      <w:bookmarkEnd w:id="11"/>
    </w:p>
    <w:p>
      <w:pPr>
        <w:pStyle w:val="BookText"/>
        <w:rPr/>
      </w:pPr>
      <w:bookmarkEnd w:id="12"/>
      <w:r>
        <w:rPr>
          <w:rFonts w:ascii="Amiri" w:hAnsi="Amiri" w:eastAsia="Amiri" w:cs="Amiri"/>
          <w:color w:val="111111"/>
          <w:sz w:val="28"/>
          <w:sz w:val="28"/>
          <w:szCs w:val="28"/>
          <w:rtl w:val="true"/>
          <w:lang w:bidi="ar-SA"/>
        </w:rPr>
        <w:t xml:space="preserve">بسم اللّٰه الرحمن الرحيم الحمد للّٰه ربّ العالمين، و الصلاة و السلام على خير خلقه محمّد و آله الطاهرين و لعنة اللّٰه على أعدائهم أجمعين إلى يوم الدين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2061612_2314609296"/>
      <w:bookmarkStart w:id="14" w:name="_Toc5"/>
      <w:bookmarkEnd w:id="13"/>
      <w:r>
        <w:rPr>
          <w:rtl w:val="true"/>
        </w:rPr>
        <w:t>[</w:t>
      </w:r>
      <w:r>
        <w:rPr>
          <w:rtl w:val="true"/>
        </w:rPr>
        <w:t>النظر الأول في ماهية الصوم</w:t>
      </w:r>
      <w:r>
        <w:rPr>
          <w:rtl w:val="true"/>
        </w:rPr>
        <w:t>]</w:t>
      </w:r>
      <w:bookmarkEnd w:id="14"/>
    </w:p>
    <w:p>
      <w:pPr>
        <w:pStyle w:val="Heading4"/>
        <w:numPr>
          <w:ilvl w:val="3"/>
          <w:numId w:val="1"/>
        </w:numPr>
        <w:rPr/>
      </w:pPr>
      <w:bookmarkStart w:id="15" w:name="__RefHeading___Toc2061614_2314609296"/>
      <w:bookmarkStart w:id="16" w:name="_Toc6"/>
      <w:bookmarkEnd w:id="15"/>
      <w:r>
        <w:rPr>
          <w:rtl w:val="true"/>
        </w:rPr>
        <w:t>[</w:t>
      </w:r>
      <w:r>
        <w:rPr>
          <w:rtl w:val="true"/>
        </w:rPr>
        <w:t>الصوم لغة و شرعا</w:t>
      </w:r>
      <w:r>
        <w:rPr>
          <w:rtl w:val="true"/>
        </w:rPr>
        <w:t>]</w:t>
      </w:r>
      <w:bookmarkEnd w:id="16"/>
    </w:p>
    <w:p>
      <w:pPr>
        <w:pStyle w:val="BookText"/>
        <w:rPr/>
      </w:pPr>
      <w:r>
        <w:rPr>
          <w:rFonts w:ascii="Amiri" w:hAnsi="Amiri" w:eastAsia="Amiri" w:cs="Amiri"/>
          <w:color w:val="111111"/>
          <w:sz w:val="28"/>
          <w:sz w:val="28"/>
          <w:szCs w:val="28"/>
          <w:rtl w:val="true"/>
          <w:lang w:bidi="ar-SA"/>
        </w:rPr>
        <w:t>الصوم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الجوهري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3"/>
      </w:r>
      <w:r>
        <w:rPr>
          <w:rFonts w:ascii="Amiri" w:hAnsi="Amiri" w:eastAsia="Amiri" w:cs="Amiri"/>
          <w:color w:val="111111"/>
          <w:sz w:val="28"/>
          <w:sz w:val="28"/>
          <w:szCs w:val="28"/>
          <w:rtl w:val="true"/>
          <w:lang w:bidi="ar-SA"/>
        </w:rPr>
        <w:t xml:space="preserve">الإمساك </w:t>
      </w:r>
      <w:r>
        <w:rPr>
          <w:rStyle w:val="FootnoteAnchor"/>
          <w:rtl w:val="true"/>
        </w:rPr>
        <w:footnoteReference w:id="4"/>
      </w:r>
      <w:r>
        <w:rPr>
          <w:rFonts w:ascii="Amiri" w:hAnsi="Amiri" w:eastAsia="Amiri" w:cs="Amiri"/>
          <w:color w:val="111111"/>
          <w:sz w:val="28"/>
          <w:sz w:val="28"/>
          <w:szCs w:val="28"/>
          <w:rtl w:val="true"/>
          <w:lang w:bidi="ar-SA"/>
        </w:rPr>
        <w:t>و عن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سكنت حركته فقد </w:t>
      </w:r>
      <w:r>
        <w:rPr>
          <w:rStyle w:val="FootnoteAnchor"/>
          <w:rtl w:val="true"/>
        </w:rPr>
        <w:footnoteReference w:id="5"/>
      </w:r>
      <w:r>
        <w:rPr>
          <w:rFonts w:ascii="IRNazanin" w:hAnsi="IRNazanin" w:eastAsia="IRNazanin"/>
          <w:color w:val="111111"/>
          <w:sz w:val="28"/>
          <w:sz w:val="28"/>
          <w:szCs w:val="28"/>
          <w:rtl w:val="true"/>
          <w:lang w:bidi="fa-IR"/>
        </w:rPr>
        <w:t xml:space="preserve">صام صوما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عرف الشارع أو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الشرائع </w:t>
      </w:r>
      <w:r>
        <w:rPr>
          <w:rStyle w:val="FootnoteAnchor"/>
          <w:rtl w:val="true"/>
        </w:rPr>
        <w:footnoteReference w:id="7"/>
      </w:r>
      <w:r>
        <w:rPr>
          <w:rFonts w:ascii="IRNazanin" w:hAnsi="IRNazanin" w:eastAsia="IRNazanin"/>
          <w:color w:val="111111"/>
          <w:sz w:val="28"/>
          <w:sz w:val="28"/>
          <w:szCs w:val="28"/>
          <w:rtl w:val="true"/>
          <w:lang w:bidi="fa-IR"/>
        </w:rPr>
        <w:t xml:space="preserve">و النافع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الكفّ عن المفطرات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نقض في </w:t>
      </w:r>
      <w:r>
        <w:rPr>
          <w:rStyle w:val="FootnoteAnchor"/>
          <w:rtl w:val="true"/>
        </w:rPr>
        <w:footnoteReference w:id="9"/>
      </w:r>
      <w:r>
        <w:rPr>
          <w:rFonts w:ascii="Amiri" w:hAnsi="Amiri" w:eastAsia="Amiri" w:cs="Amiri"/>
          <w:color w:val="111111"/>
          <w:sz w:val="28"/>
          <w:sz w:val="28"/>
          <w:szCs w:val="28"/>
          <w:rtl w:val="true"/>
          <w:lang w:bidi="ar-SA"/>
        </w:rPr>
        <w:t>طرده، بالكفّ عنها مع النيّة وقتا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Style w:val="FootnoteAnchor"/>
          <w:rtl w:val="true"/>
        </w:rPr>
        <w:footnoteReference w:id="10"/>
      </w:r>
      <w:r>
        <w:rPr>
          <w:rFonts w:ascii="Amiri" w:hAnsi="Amiri" w:eastAsia="Amiri" w:cs="Amiri"/>
          <w:color w:val="111111"/>
          <w:sz w:val="28"/>
          <w:sz w:val="28"/>
          <w:szCs w:val="28"/>
          <w:rtl w:val="true"/>
          <w:lang w:bidi="ar-SA"/>
        </w:rPr>
        <w:t>الشرعيّة، و هي لا تتعلّق بغير الزمان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مشروعيّة النيّة في غير الزمان المخصوص لأجل عدم كون المنويّ صوما شرعا </w:t>
      </w:r>
      <w:r>
        <w:rPr>
          <w:rStyle w:val="FootnoteAnchor"/>
          <w:rtl w:val="true"/>
        </w:rPr>
        <w:footnoteReference w:id="11"/>
      </w:r>
      <w:r>
        <w:rPr>
          <w:rFonts w:ascii="Amiri" w:hAnsi="Amiri" w:eastAsia="Amiri" w:cs="Amiri"/>
          <w:color w:val="111111"/>
          <w:sz w:val="28"/>
          <w:sz w:val="28"/>
          <w:szCs w:val="28"/>
          <w:rtl w:val="true"/>
          <w:lang w:bidi="ar-SA"/>
        </w:rPr>
        <w:t xml:space="preserve">، لا لعدم شرعية أصل نيته </w:t>
      </w:r>
      <w:r>
        <w:rPr>
          <w:rStyle w:val="FootnoteAnchor"/>
          <w:rtl w:val="true"/>
        </w:rPr>
        <w:footnoteReference w:id="12"/>
      </w:r>
      <w:r>
        <w:rPr>
          <w:rFonts w:ascii="Amiri" w:hAnsi="Amiri" w:eastAsia="Amiri" w:cs="Amiri"/>
          <w:color w:val="111111"/>
          <w:sz w:val="28"/>
          <w:sz w:val="28"/>
          <w:szCs w:val="28"/>
          <w:rtl w:val="true"/>
          <w:lang w:bidi="ar-SA"/>
        </w:rPr>
        <w:t>، فيرجع الأمر إلى وجوب إخراج مثل ذلك عن حدّ الصوم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تعريف للصوم مع قطع النظر عن اعتبار وقوعه في الزمان المخصوص، بأن يجعل اليوم ظرفا له خارجا عن مفهومه، كما يشير إليه قوله تعالى ثُمَّ أَتِمُّوا الصِّيٰامَ إِلَى اللَّيْلِ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تعريف له بعد ملاحظة معروفية أخذ اليوم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نقض في عكسه بتناول المفطر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التناول على وجه النسيان لا ينافي الكفّ،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بإضمار قيد فيه </w:t>
      </w:r>
      <w:r>
        <w:rPr>
          <w:rStyle w:val="FootnoteAnchor"/>
          <w:rtl w:val="true"/>
        </w:rPr>
        <w:footnoteReference w:id="14"/>
      </w:r>
      <w:r>
        <w:rPr>
          <w:rFonts w:ascii="Amiri" w:hAnsi="Amiri" w:eastAsia="Amiri" w:cs="Amiri"/>
          <w:color w:val="111111"/>
          <w:sz w:val="28"/>
          <w:sz w:val="28"/>
          <w:szCs w:val="28"/>
          <w:rtl w:val="true"/>
          <w:lang w:bidi="ar-SA"/>
        </w:rPr>
        <w:t xml:space="preserve">بأنّ المراد </w:t>
      </w:r>
      <w:r>
        <w:rPr>
          <w:rStyle w:val="FootnoteAnchor"/>
          <w:rtl w:val="true"/>
        </w:rPr>
        <w:footnoteReference w:id="15"/>
      </w:r>
      <w:r>
        <w:rPr>
          <w:rFonts w:ascii="Amiri" w:hAnsi="Amiri" w:eastAsia="Amiri" w:cs="Amiri"/>
          <w:color w:val="111111"/>
          <w:sz w:val="28"/>
          <w:sz w:val="28"/>
          <w:szCs w:val="28"/>
          <w:rtl w:val="true"/>
          <w:lang w:bidi="ar-SA"/>
        </w:rPr>
        <w:t>الكفّ عن تعمّد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بذكره الفاضل المقداد في كنز العرفان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بتعمّد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الإفطار، فيدخل 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p>
    <w:p>
      <w:pPr>
        <w:pStyle w:val="BookText"/>
        <w:rPr/>
      </w:pPr>
      <w:r>
        <w:rPr>
          <w:rFonts w:ascii="Amiri" w:hAnsi="Amiri" w:eastAsia="Amiri" w:cs="Amiri"/>
          <w:color w:val="111111"/>
          <w:sz w:val="28"/>
          <w:sz w:val="28"/>
          <w:szCs w:val="28"/>
          <w:rtl w:val="true"/>
          <w:lang w:bidi="ar-SA"/>
        </w:rPr>
        <w:t xml:space="preserve">بكون الشي‌ء مفطرا و الناسي له </w:t>
      </w:r>
      <w:r>
        <w:rPr>
          <w:rStyle w:val="FootnoteAnchor"/>
          <w:rtl w:val="true"/>
        </w:rPr>
        <w:footnoteReference w:id="17"/>
      </w:r>
      <w:r>
        <w:rPr>
          <w:rFonts w:ascii="Amiri" w:hAnsi="Amiri" w:eastAsia="Amiri" w:cs="Amiri"/>
          <w:color w:val="111111"/>
          <w:sz w:val="28"/>
          <w:sz w:val="28"/>
          <w:szCs w:val="28"/>
          <w:rtl w:val="true"/>
          <w:lang w:bidi="ar-SA"/>
        </w:rPr>
        <w:t>، و إن أريد التعمّد بفعل الشي‌ء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الناسي للصوم متعمّد للأكل، فإنّ تعمّد الأكل لا ينافي الغفلة عن الصوم، أو القطع بعدم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بذلك ما ورد من التعليل في فساد صوم من تسحّر ثمّ تبيّن أنّه أكل و شرب بعد الفجر </w:t>
      </w:r>
      <w:r>
        <w:rPr>
          <w:rStyle w:val="FootnoteAnchor"/>
          <w:rtl w:val="true"/>
        </w:rPr>
        <w:footnoteReference w:id="18"/>
      </w:r>
      <w:r>
        <w:rPr>
          <w:rFonts w:ascii="Amiri" w:hAnsi="Amiri" w:eastAsia="Amiri" w:cs="Amiri"/>
          <w:color w:val="111111"/>
          <w:sz w:val="28"/>
          <w:sz w:val="28"/>
          <w:szCs w:val="28"/>
          <w:rtl w:val="true"/>
          <w:lang w:bidi="ar-SA"/>
        </w:rPr>
        <w:t xml:space="preserve">، و ما ورد في تعليل من أكل بظنّ اللّيل لأجل السحاب الأسود ثمّ تبيّن له بقاء النهار، بأنّه أكل متعمّدا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الفرق بين من اعتقد عدم الصوم، و بين من اعتقد انقضاء اليوم، و انّ الأوّل ليس بمتعمّد في أكله بخلاف الثاني،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مع الالتفات إلى مطلوبيّة الصوم منه وجوبا أو ندبا، فلا ريب أنّ أخذ هذا في تعريف </w:t>
      </w:r>
      <w:r>
        <w:rPr>
          <w:rStyle w:val="FootnoteAnchor"/>
          <w:rtl w:val="true"/>
        </w:rPr>
        <w:footnoteReference w:id="20"/>
      </w:r>
      <w:r>
        <w:rPr>
          <w:rFonts w:ascii="Amiri" w:hAnsi="Amiri" w:eastAsia="Amiri" w:cs="Amiri"/>
          <w:color w:val="111111"/>
          <w:sz w:val="28"/>
          <w:sz w:val="28"/>
          <w:szCs w:val="28"/>
          <w:rtl w:val="true"/>
          <w:lang w:bidi="ar-SA"/>
        </w:rPr>
        <w:t>الصوم الذي لا بدّ من معرفته مع قطع النظر عن تعلّق الطلب به غير مستقيم جدّا، مع أنّ الظاهر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في أصل الشرع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الأكل و الشرب و غيرهما رأسا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المفطرات ناسيا قادح في حقيقة الصوم، و إنّ الآكل ناسيا للصوم ليس بصائم حقيقة في زمان أكله، و لذا أفتى المصنّف قدّس سرّه في أجوبة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الصوم المندوب، و قضاء الواجب إذا كان موسّعا بفعل المفطر ناسيا، مستدلّا بعدم تحقّق الإمساك </w:t>
      </w:r>
      <w:r>
        <w:rPr>
          <w:rStyle w:val="FootnoteAnchor"/>
          <w:rtl w:val="true"/>
        </w:rPr>
        <w:footnoteReference w:id="21"/>
      </w:r>
      <w:r>
        <w:rPr>
          <w:rFonts w:ascii="Amiri" w:hAnsi="Amiri" w:eastAsia="Amiri" w:cs="Amiri"/>
          <w:color w:val="111111"/>
          <w:sz w:val="28"/>
          <w:sz w:val="28"/>
          <w:szCs w:val="28"/>
          <w:rtl w:val="true"/>
          <w:lang w:bidi="ar-SA"/>
        </w:rPr>
        <w:t>، و إن كان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الصوم الحقيقي في جزء من النهار لا يوجب فساد الصوم،</w:t>
      </w:r>
    </w:p>
    <w:p>
      <w:pPr>
        <w:pStyle w:val="BookText"/>
        <w:rPr/>
      </w:pPr>
      <w:r>
        <w:rPr>
          <w:rFonts w:ascii="Amiri" w:hAnsi="Amiri" w:eastAsia="Amiri" w:cs="Amiri"/>
          <w:color w:val="111111"/>
          <w:sz w:val="28"/>
          <w:sz w:val="28"/>
          <w:szCs w:val="28"/>
          <w:rtl w:val="true"/>
          <w:lang w:bidi="ar-SA"/>
        </w:rPr>
        <w:t xml:space="preserve">بعد حكم الشارع بالصحّة بمقتضى </w:t>
      </w:r>
      <w:r>
        <w:rPr>
          <w:rStyle w:val="FootnoteAnchor"/>
          <w:rtl w:val="true"/>
        </w:rPr>
        <w:footnoteReference w:id="22"/>
      </w:r>
      <w:r>
        <w:rPr>
          <w:rFonts w:ascii="IRNazanin" w:hAnsi="IRNazanin" w:eastAsia="IRNazanin"/>
          <w:color w:val="111111"/>
          <w:sz w:val="28"/>
          <w:sz w:val="28"/>
          <w:szCs w:val="28"/>
          <w:rtl w:val="true"/>
          <w:lang w:bidi="fa-IR"/>
        </w:rPr>
        <w:t xml:space="preserve">إطلاق </w:t>
      </w:r>
      <w:r>
        <w:rPr>
          <w:rStyle w:val="FootnoteAnchor"/>
          <w:rtl w:val="true"/>
        </w:rPr>
        <w:footnoteReference w:id="23"/>
      </w:r>
      <w:r>
        <w:rPr>
          <w:rFonts w:ascii="Amiri" w:hAnsi="Amiri" w:eastAsia="Amiri" w:cs="Amiri"/>
          <w:color w:val="111111"/>
          <w:sz w:val="28"/>
          <w:sz w:val="28"/>
          <w:szCs w:val="28"/>
          <w:rtl w:val="true"/>
          <w:lang w:bidi="ar-SA"/>
        </w:rPr>
        <w:t xml:space="preserve">ما دلّ على نفي البأس عن الأكل و الشرب ناسيا </w:t>
      </w:r>
      <w:r>
        <w:rPr>
          <w:rStyle w:val="FootnoteAnchor"/>
          <w:rtl w:val="true"/>
        </w:rPr>
        <w:footnoteReference w:id="24"/>
      </w:r>
      <w:r>
        <w:rPr>
          <w:rFonts w:ascii="Amiri" w:hAnsi="Amiri" w:eastAsia="Amiri" w:cs="Amiri"/>
          <w:color w:val="111111"/>
          <w:sz w:val="28"/>
          <w:sz w:val="28"/>
          <w:szCs w:val="28"/>
          <w:rtl w:val="true"/>
          <w:lang w:bidi="ar-SA"/>
        </w:rPr>
        <w:t>الشامل بإطلاقه لجميع أفراد الصوم، بل الرواية واردة في خصوص الصوم المندوب، فيكون حينئذ انتفاء الإمساك في جزء من النهار بمنزلة الأجزاء الغير الركنيّة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لو استغرق النهار بالمفطرات المختلفة أو بمفطر واحد، كما لو استنقعت المرأة في الماء طول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 الحلبي </w:t>
      </w:r>
      <w:r>
        <w:rPr>
          <w:rStyle w:val="FootnoteAnchor"/>
          <w:rtl w:val="true"/>
        </w:rPr>
        <w:footnoteReference w:id="25"/>
      </w:r>
      <w:r>
        <w:rPr>
          <w:rFonts w:ascii="Amiri" w:hAnsi="Amiri" w:eastAsia="Amiri" w:cs="Amiri"/>
          <w:color w:val="111111"/>
          <w:sz w:val="28"/>
          <w:sz w:val="28"/>
          <w:szCs w:val="28"/>
          <w:rtl w:val="true"/>
          <w:lang w:bidi="ar-SA"/>
        </w:rPr>
        <w:t xml:space="preserve">، و القاضي </w:t>
      </w:r>
      <w:r>
        <w:rPr>
          <w:rStyle w:val="FootnoteAnchor"/>
          <w:rtl w:val="true"/>
        </w:rPr>
        <w:footnoteReference w:id="26"/>
      </w:r>
      <w:r>
        <w:rPr>
          <w:rFonts w:ascii="IRNazanin" w:hAnsi="IRNazanin" w:eastAsia="IRNazanin"/>
          <w:color w:val="111111"/>
          <w:sz w:val="28"/>
          <w:sz w:val="28"/>
          <w:szCs w:val="28"/>
          <w:rtl w:val="true"/>
          <w:lang w:bidi="fa-IR"/>
        </w:rPr>
        <w:t>بفساد صومها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 بكون الإمساك عن كلّ مفطر مفطر أيضا بمنزلة الأجزاء الغير الركنية، فماهيّة الصوم هي الكفّ في كلّ جزء جزء من النهار عن كلّ مفطر مفطر، و فوات الكفّ في بعض النهار نسيانا أو فوات الكفّ في جميعه عن مفطر واحد نسيانا، لا يقدح 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الحقيقي هو الكفّ عن المفطرات حقيقة أو حكما، و يكون الناسي في حكم الكافّ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تعريف الصوم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لخروج الترك الحاصل في حال الذهول فضلا عن حال النوم، بل الترك مع عدم القدرة على المفطرات كلّا أو بعضا، فالعدول عن الترك إلى الكفّ؛ إن كان باعتبار كون الترك غير مقدور، فمع كونه ممنوعا مختلّ، و إن كان التعبير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المناقشة،</w:t>
      </w:r>
    </w:p>
    <w:p>
      <w:pPr>
        <w:pStyle w:val="BookText"/>
        <w:rPr/>
      </w:pPr>
      <w:r>
        <w:rPr>
          <w:rFonts w:ascii="Amiri" w:hAnsi="Amiri" w:eastAsia="Amiri" w:cs="Amiri"/>
          <w:color w:val="111111"/>
          <w:sz w:val="28"/>
          <w:sz w:val="28"/>
          <w:szCs w:val="28"/>
          <w:rtl w:val="true"/>
          <w:lang w:bidi="ar-SA"/>
        </w:rPr>
        <w:t>بناء على أنّ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الحاصل عن قدرة و اختيار، فلا يشمل الترك الاضطراري كما في حال النوم و عدم القدرة على التروك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بالكفّ عن المفطرات مجرّد تركها، و يقال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المفطرات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ترك النائم، إذا سبق منه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عزم على الإفطار في جزء من النهار، فإنّ الكفّ في ذلك الجزء </w:t>
      </w:r>
      <w:r>
        <w:rPr>
          <w:rStyle w:val="FootnoteAnchor"/>
          <w:rtl w:val="true"/>
        </w:rPr>
        <w:footnoteReference w:id="29"/>
      </w:r>
      <w:r>
        <w:rPr>
          <w:rFonts w:ascii="Amiri" w:hAnsi="Amiri" w:eastAsia="Amiri" w:cs="Amiri"/>
          <w:color w:val="111111"/>
          <w:sz w:val="28"/>
          <w:sz w:val="28"/>
          <w:szCs w:val="28"/>
          <w:rtl w:val="true"/>
          <w:lang w:bidi="ar-SA"/>
        </w:rPr>
        <w:t>ليس عن توطين، و لا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الفعليّة الحاصلة في اللّيل، فمع مخالفته لظاهر العبارة، يرد على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سبق منه النيّة ثمّ نوى الإفطار و لم يجدّد النيّة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النيّة إلى ما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المستمرّة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اللّيل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وجب عليه الإمساك إذا ثبت </w:t>
      </w:r>
      <w:r>
        <w:rPr>
          <w:rStyle w:val="FootnoteAnchor"/>
          <w:rtl w:val="true"/>
        </w:rPr>
        <w:footnoteReference w:id="30"/>
      </w:r>
      <w:r>
        <w:rPr>
          <w:rFonts w:ascii="Amiri" w:hAnsi="Amiri" w:eastAsia="Amiri" w:cs="Amiri"/>
          <w:color w:val="111111"/>
          <w:sz w:val="28"/>
          <w:sz w:val="28"/>
          <w:szCs w:val="28"/>
          <w:rtl w:val="true"/>
          <w:lang w:bidi="ar-SA"/>
        </w:rPr>
        <w:t>الهلال بعد الزوال؛ لوجوب النيّة فيه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طلوع الفجر الثاني </w:t>
      </w:r>
      <w:r>
        <w:rPr>
          <w:rStyle w:val="FootnoteAnchor"/>
          <w:rtl w:val="true"/>
        </w:rPr>
        <w:footnoteReference w:id="31"/>
      </w:r>
      <w:r>
        <w:rPr>
          <w:rFonts w:ascii="Amiri" w:hAnsi="Amiri" w:eastAsia="Amiri" w:cs="Amiri"/>
          <w:color w:val="111111"/>
          <w:sz w:val="28"/>
          <w:sz w:val="28"/>
          <w:szCs w:val="28"/>
          <w:rtl w:val="true"/>
          <w:lang w:bidi="ar-SA"/>
        </w:rPr>
        <w:t xml:space="preserve">إلى ذهاب الحمرة المشرقيّة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عن الأكل و الشرب</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على الوجه المعتاد و غيره للمأكول و المشروب المعتادين كالخبز</w:t>
      </w:r>
    </w:p>
    <w:p>
      <w:pPr>
        <w:pStyle w:val="BookText"/>
        <w:rPr/>
      </w:pPr>
      <w:r>
        <w:rPr>
          <w:rFonts w:ascii="Amiri" w:hAnsi="Amiri" w:eastAsia="Amiri" w:cs="Amiri"/>
          <w:color w:val="111111"/>
          <w:sz w:val="28"/>
          <w:sz w:val="28"/>
          <w:szCs w:val="28"/>
          <w:rtl w:val="true"/>
          <w:lang w:bidi="ar-SA"/>
        </w:rPr>
        <w:t>و الفواكه و الماء، بالإجماع و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المعتادين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الغنية </w:t>
      </w:r>
      <w:r>
        <w:rPr>
          <w:rStyle w:val="FootnoteAnchor"/>
          <w:rtl w:val="true"/>
        </w:rPr>
        <w:footnoteReference w:id="35"/>
      </w:r>
      <w:r>
        <w:rPr>
          <w:rFonts w:ascii="Amiri" w:hAnsi="Amiri" w:eastAsia="Amiri" w:cs="Amiri"/>
          <w:color w:val="111111"/>
          <w:sz w:val="28"/>
          <w:sz w:val="28"/>
          <w:szCs w:val="28"/>
          <w:rtl w:val="true"/>
          <w:lang w:bidi="ar-SA"/>
        </w:rPr>
        <w:t xml:space="preserve">كما عن السرائر </w:t>
      </w:r>
      <w:r>
        <w:rPr>
          <w:rStyle w:val="FootnoteAnchor"/>
          <w:rtl w:val="true"/>
        </w:rPr>
        <w:footnoteReference w:id="36"/>
      </w:r>
      <w:r>
        <w:rPr>
          <w:rFonts w:ascii="IRNazanin" w:hAnsi="IRNazanin" w:eastAsia="IRNazanin"/>
          <w:color w:val="111111"/>
          <w:sz w:val="28"/>
          <w:sz w:val="28"/>
          <w:szCs w:val="28"/>
          <w:rtl w:val="true"/>
          <w:lang w:bidi="fa-IR"/>
        </w:rPr>
        <w:t xml:space="preserve">و ظاهر المنتهى </w:t>
      </w:r>
      <w:r>
        <w:rPr>
          <w:rStyle w:val="FootnoteAnchor"/>
          <w:rtl w:val="true"/>
        </w:rPr>
        <w:footnoteReference w:id="3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بل عن الناصريّة </w:t>
      </w:r>
      <w:r>
        <w:rPr>
          <w:rStyle w:val="FootnoteAnchor"/>
          <w:rtl w:val="true"/>
        </w:rPr>
        <w:footnoteReference w:id="38"/>
      </w:r>
      <w:r>
        <w:rPr>
          <w:rFonts w:ascii="IRNazanin" w:hAnsi="IRNazanin" w:eastAsia="IRNazanin"/>
          <w:color w:val="111111"/>
          <w:sz w:val="28"/>
          <w:sz w:val="28"/>
          <w:szCs w:val="28"/>
          <w:rtl w:val="true"/>
          <w:lang w:bidi="fa-IR"/>
        </w:rPr>
        <w:t xml:space="preserve">و الخلاف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جميع العلماء إلّا النادر من المخالفين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رحمه اللّٰه في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فيما يصل إلى جوف الصائم من جهة فمه إذا اعتمده </w:t>
      </w:r>
      <w:r>
        <w:rPr>
          <w:rStyle w:val="FootnoteAnchor"/>
          <w:rtl w:val="true"/>
        </w:rPr>
        <w:footnoteReference w:id="41"/>
      </w:r>
      <w:r>
        <w:rPr>
          <w:rFonts w:ascii="Amiri" w:hAnsi="Amiri" w:eastAsia="Amiri" w:cs="Amiri"/>
          <w:color w:val="111111"/>
          <w:sz w:val="28"/>
          <w:sz w:val="28"/>
          <w:szCs w:val="28"/>
          <w:rtl w:val="true"/>
          <w:lang w:bidi="ar-SA"/>
        </w:rPr>
        <w:t>، فإنّه يفطره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الحصاة و الخرزة و ما لا يؤكل و لا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خالف في ذلك الحسن بن صالح، و نحوه روي عن أبي طلحة، و الإجماع متقدّم و متأخّر عن هذا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الإجماع على الإفساد بما يصل إلى جوف الصائم، و إن كان غير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الغنية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المسلمين على أنّ أكل البرد مفطر، و حكم بانقراض المخالف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إلّا الحسن بن صالح و أبي طلحة الأنصاري، فإنّه كان يأكل البرد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بطعام و لا شراب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لصدق </w:t>
      </w:r>
      <w:r>
        <w:rPr>
          <w:rStyle w:val="FootnoteAnchor"/>
          <w:rtl w:val="true"/>
        </w:rPr>
        <w:footnoteReference w:id="46"/>
      </w:r>
      <w:r>
        <w:rPr>
          <w:rFonts w:ascii="Amiri" w:hAnsi="Amiri" w:eastAsia="Amiri" w:cs="Amiri"/>
          <w:color w:val="111111"/>
          <w:sz w:val="28"/>
          <w:sz w:val="28"/>
          <w:szCs w:val="28"/>
          <w:rtl w:val="true"/>
          <w:lang w:bidi="ar-SA"/>
        </w:rPr>
        <w:t xml:space="preserve">جنس الأكل و الشرب المنوط بهما الإفطار في الكتاب و السنّة، و منع الانصراف </w:t>
      </w:r>
      <w:r>
        <w:rPr>
          <w:rStyle w:val="FootnoteAnchor"/>
          <w:rtl w:val="true"/>
        </w:rPr>
        <w:footnoteReference w:id="47"/>
      </w:r>
      <w:r>
        <w:rPr>
          <w:rFonts w:ascii="Amiri" w:hAnsi="Amiri" w:eastAsia="Amiri" w:cs="Amiri"/>
          <w:color w:val="111111"/>
          <w:sz w:val="28"/>
          <w:sz w:val="28"/>
          <w:szCs w:val="28"/>
          <w:rtl w:val="true"/>
          <w:lang w:bidi="ar-SA"/>
        </w:rPr>
        <w:t>المعتدّ به إلى المأكول و المشروب المعتادين، و إلّا لوجب تخصيصهما بالمتعارف من حيث أصل الأكل و الشرب، و لم يقل به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حذف المتعلّق يدلّ على تعلّق الحكم بالاجتناب بالطبيعة </w:t>
      </w:r>
      <w:r>
        <w:rPr>
          <w:rStyle w:val="FootnoteAnchor"/>
          <w:rtl w:val="true"/>
        </w:rPr>
        <w:footnoteReference w:id="48"/>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يعطي 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فحوى ما سيجي‌ء </w:t>
      </w:r>
      <w:r>
        <w:rPr>
          <w:rStyle w:val="FootnoteAnchor"/>
          <w:rtl w:val="true"/>
        </w:rPr>
        <w:footnoteReference w:id="49"/>
      </w:r>
      <w:r>
        <w:rPr>
          <w:rFonts w:ascii="Amiri" w:hAnsi="Amiri" w:eastAsia="Amiri" w:cs="Amiri"/>
          <w:color w:val="111111"/>
          <w:sz w:val="28"/>
          <w:sz w:val="28"/>
          <w:szCs w:val="28"/>
          <w:rtl w:val="true"/>
          <w:lang w:bidi="ar-SA"/>
        </w:rPr>
        <w:t>من الإفطار بإيصال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خصوص الغليظ</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قضاء سيرة المسلمين بمنافاة مطلق الأكل و الشرب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كلّه فلا وجه للتأمّل في المسألة </w:t>
      </w:r>
      <w:r>
        <w:rPr>
          <w:rStyle w:val="FootnoteAnchor"/>
          <w:rtl w:val="true"/>
        </w:rPr>
        <w:footnoteReference w:id="50"/>
      </w:r>
      <w:r>
        <w:rPr>
          <w:rFonts w:ascii="IRNazanin" w:hAnsi="IRNazanin" w:eastAsia="IRNazanin"/>
          <w:color w:val="111111"/>
          <w:sz w:val="28"/>
          <w:sz w:val="28"/>
          <w:szCs w:val="28"/>
          <w:rtl w:val="true"/>
          <w:lang w:bidi="fa-IR"/>
        </w:rPr>
        <w:t xml:space="preserve">، بل </w:t>
      </w:r>
      <w:r>
        <w:rPr>
          <w:rStyle w:val="FootnoteAnchor"/>
          <w:rtl w:val="true"/>
        </w:rPr>
        <w:footnoteReference w:id="51"/>
      </w:r>
      <w:r>
        <w:rPr>
          <w:rFonts w:ascii="Amiri" w:hAnsi="Amiri" w:eastAsia="Amiri" w:cs="Amiri"/>
          <w:color w:val="111111"/>
          <w:sz w:val="28"/>
          <w:sz w:val="28"/>
          <w:szCs w:val="28"/>
          <w:rtl w:val="true"/>
          <w:lang w:bidi="ar-SA"/>
        </w:rPr>
        <w:t>و لا للخلاف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و الإسكافي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انصراف إطلاق </w:t>
      </w:r>
      <w:r>
        <w:rPr>
          <w:rStyle w:val="FootnoteAnchor"/>
          <w:rtl w:val="true"/>
        </w:rPr>
        <w:footnoteReference w:id="53"/>
      </w:r>
      <w:r>
        <w:rPr>
          <w:rFonts w:ascii="Amiri" w:hAnsi="Amiri" w:eastAsia="Amiri" w:cs="Amiri"/>
          <w:color w:val="111111"/>
          <w:sz w:val="28"/>
          <w:sz w:val="28"/>
          <w:szCs w:val="28"/>
          <w:rtl w:val="true"/>
          <w:lang w:bidi="ar-SA"/>
        </w:rPr>
        <w:t xml:space="preserve">الأكل و الشرب الناشئ من حذف </w:t>
      </w:r>
      <w:r>
        <w:rPr>
          <w:rStyle w:val="FootnoteAnchor"/>
          <w:rtl w:val="true"/>
        </w:rPr>
        <w:footnoteReference w:id="54"/>
      </w:r>
      <w:r>
        <w:rPr>
          <w:rFonts w:ascii="Amiri" w:hAnsi="Amiri" w:eastAsia="Amiri" w:cs="Amiri"/>
          <w:color w:val="111111"/>
          <w:sz w:val="28"/>
          <w:sz w:val="28"/>
          <w:szCs w:val="28"/>
          <w:rtl w:val="true"/>
          <w:lang w:bidi="ar-SA"/>
        </w:rPr>
        <w:t>متعلّقهما إلى أكل و شرب ما تعارف أكله و شربه، فيبقى غير المتعارف في عموم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من الطعام و الشراب</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الصيام من الطعام و الشراب وحده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تعليل عدم الإفطار بدخول الذبابة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بطعام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نفي البأس عن الاكتحال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بطعام و لا شراب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معلوميّة انصراف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المتعارف المعتاد، بل صراحة بعضها في ذلك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فإنّ ابتلاع الذباب و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مفطران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الجماع قبلا و دبرا الموجب للجنابة التي لا تحصل حتّى تغيب الحشفة أو قدرها من مقطوعها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تقرّر في باب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الجماع قبلا فلا خلاف و لا إشكال في كونه موجبا للإفطار،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و السنّة المتواترة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الإنزال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الجماع دبرا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العلماء، و يدلّ عليه فحوى ما سيأتي من الإفطار بالإنزال بغير الوطء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الإنزال، فالمعروف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كذلك، و عن الخلاف </w:t>
      </w:r>
      <w:r>
        <w:rPr>
          <w:rStyle w:val="FootnoteAnchor"/>
          <w:rtl w:val="true"/>
        </w:rPr>
        <w:footnoteReference w:id="63"/>
      </w:r>
      <w:r>
        <w:rPr>
          <w:rFonts w:ascii="Amiri" w:hAnsi="Amiri" w:eastAsia="Amiri" w:cs="Amiri"/>
          <w:color w:val="111111"/>
          <w:sz w:val="28"/>
          <w:sz w:val="28"/>
          <w:szCs w:val="28"/>
          <w:rtl w:val="true"/>
          <w:lang w:bidi="ar-SA"/>
        </w:rPr>
        <w:t xml:space="preserve">و الوسيلة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في الغنية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الفساد بحصول الجنابة </w:t>
      </w:r>
      <w:r>
        <w:rPr>
          <w:rStyle w:val="FootnoteAnchor"/>
          <w:rtl w:val="true"/>
        </w:rPr>
        <w:footnoteReference w:id="66"/>
      </w:r>
      <w:r>
        <w:rPr>
          <w:rFonts w:ascii="Amiri" w:hAnsi="Amiri" w:eastAsia="Amiri" w:cs="Amiri"/>
          <w:color w:val="111111"/>
          <w:sz w:val="28"/>
          <w:sz w:val="28"/>
          <w:szCs w:val="28"/>
          <w:rtl w:val="true"/>
          <w:lang w:bidi="ar-SA"/>
        </w:rPr>
        <w:t xml:space="preserve">فيدخل فيه ما نحن فيه، و في المعتبر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أشهر</w:t>
      </w:r>
    </w:p>
    <w:p>
      <w:pPr>
        <w:pStyle w:val="BookText"/>
        <w:rPr/>
      </w:pPr>
      <w:r>
        <w:rPr>
          <w:rFonts w:ascii="Amiri" w:hAnsi="Amiri" w:eastAsia="Amiri" w:cs="Amiri"/>
          <w:color w:val="111111"/>
          <w:sz w:val="28"/>
          <w:sz w:val="28"/>
          <w:szCs w:val="28"/>
          <w:rtl w:val="true"/>
          <w:lang w:bidi="ar-SA"/>
        </w:rPr>
        <w:t>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يظهر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الرواية المجبور إرسالها بالنسبة إلينا بالشهرة و ظهور عدم الخلاف و حكاية الإجماع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w:t>
      </w:r>
      <w:r>
        <w:rPr>
          <w:rStyle w:val="FootnoteAnchor"/>
          <w:rtl w:val="true"/>
        </w:rPr>
        <w:footnoteReference w:id="69"/>
      </w:r>
      <w:r>
        <w:rPr>
          <w:rFonts w:ascii="Amiri" w:hAnsi="Amiri" w:eastAsia="Amiri" w:cs="Amiri"/>
          <w:color w:val="111111"/>
          <w:sz w:val="28"/>
          <w:sz w:val="28"/>
          <w:szCs w:val="28"/>
          <w:rtl w:val="true"/>
          <w:lang w:bidi="ar-SA"/>
        </w:rPr>
        <w:t>ما دلّ من الكتاب و السنّة على وجوب اجتناب النساء و عدم جواز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Style w:val="FootnoteAnchor"/>
          <w:rtl w:val="true"/>
        </w:rPr>
        <w:footnoteReference w:id="70"/>
      </w:r>
      <w:r>
        <w:rPr>
          <w:rFonts w:ascii="Amiri" w:hAnsi="Amiri" w:eastAsia="Amiri" w:cs="Amiri"/>
          <w:color w:val="111111"/>
          <w:sz w:val="28"/>
          <w:sz w:val="28"/>
          <w:szCs w:val="28"/>
          <w:rtl w:val="true"/>
          <w:lang w:bidi="ar-SA"/>
        </w:rPr>
        <w:t xml:space="preserve">و الرواية الصحيحة المتقدّمة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من الأخبار على حصول الإفطار بالنكاح و المجامعة و الوطء و الإصابة و إتيان الأهل </w:t>
      </w:r>
      <w:r>
        <w:rPr>
          <w:rStyle w:val="FootnoteAnchor"/>
          <w:rtl w:val="true"/>
        </w:rPr>
        <w:footnoteReference w:id="72"/>
      </w:r>
      <w:r>
        <w:rPr>
          <w:rFonts w:ascii="Amiri" w:hAnsi="Amiri" w:eastAsia="Amiri" w:cs="Amiri"/>
          <w:color w:val="111111"/>
          <w:sz w:val="28"/>
          <w:sz w:val="28"/>
          <w:szCs w:val="28"/>
          <w:rtl w:val="true"/>
          <w:lang w:bidi="ar-SA"/>
        </w:rPr>
        <w:t>سيّما بملاحظة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فإنّه يدلّ على أنّ جميع الأحكام الثابتة لإتيان النساء ثابتة لإتيانها في الدبر، لأنّ الدبر أحد الفردين،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 أحد اللسانين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الأخبار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دعوى انصرافها من </w:t>
      </w:r>
      <w:r>
        <w:rPr>
          <w:rStyle w:val="FootnoteAnchor"/>
          <w:rtl w:val="true"/>
        </w:rPr>
        <w:footnoteReference w:id="76"/>
      </w:r>
      <w:r>
        <w:rPr>
          <w:rFonts w:ascii="Amiri" w:hAnsi="Amiri" w:eastAsia="Amiri" w:cs="Amiri"/>
          <w:color w:val="111111"/>
          <w:sz w:val="28"/>
          <w:sz w:val="28"/>
          <w:szCs w:val="28"/>
          <w:rtl w:val="true"/>
          <w:lang w:bidi="ar-SA"/>
        </w:rPr>
        <w:t>الإدخال في الدبر ممنوعة، سيّما في بعضها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نكح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جامع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ثلاث كفّارات</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فإنّ نكاح الحرام يشمل النكاح في دبر الأجنبيّة و الغلام شمولا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عن الصدوق في العلل، عن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لا يفطر الاحتلام الصائم، و النكاح يفطر الصائم؟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النكاح فعله </w:t>
      </w:r>
      <w:r>
        <w:rPr>
          <w:rStyle w:val="FootnoteAnchor"/>
          <w:rtl w:val="true"/>
        </w:rPr>
        <w:footnoteReference w:id="78"/>
      </w:r>
      <w:r>
        <w:rPr>
          <w:rFonts w:ascii="IRNazanin" w:hAnsi="IRNazanin" w:eastAsia="IRNazanin"/>
          <w:color w:val="111111"/>
          <w:sz w:val="28"/>
          <w:sz w:val="28"/>
          <w:szCs w:val="28"/>
          <w:rtl w:val="true"/>
          <w:lang w:bidi="fa-IR"/>
        </w:rPr>
        <w:t xml:space="preserve">، و الاحتلام </w:t>
      </w:r>
      <w:r>
        <w:rPr>
          <w:rStyle w:val="FootnoteAnchor"/>
          <w:rtl w:val="true"/>
        </w:rPr>
        <w:footnoteReference w:id="79"/>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فإنّ الظاهر من مقابلة النكاح بالاحتلام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بالوطء </w:t>
      </w:r>
      <w:r>
        <w:rPr>
          <w:rStyle w:val="FootnoteAnchor"/>
          <w:rtl w:val="true"/>
        </w:rPr>
        <w:footnoteReference w:id="81"/>
      </w:r>
      <w:r>
        <w:rPr>
          <w:rFonts w:ascii="Amiri" w:hAnsi="Amiri" w:eastAsia="Amiri" w:cs="Amiri"/>
          <w:color w:val="111111"/>
          <w:sz w:val="28"/>
          <w:sz w:val="28"/>
          <w:szCs w:val="28"/>
          <w:rtl w:val="true"/>
          <w:lang w:bidi="ar-SA"/>
        </w:rPr>
        <w:t>في القبل و الدبر من الغلام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النكاح الأعم أيضا، فكأنّه سأل عن علّة إفطار هذه الأمور إذا وقعت في اليقظة دون النوم؟ فأجابه عليه السلام بما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مستند الحكم بالإفطار بوطء الغلام </w:t>
      </w:r>
      <w:r>
        <w:rPr>
          <w:rStyle w:val="FootnoteAnchor"/>
          <w:rtl w:val="true"/>
        </w:rPr>
        <w:footnoteReference w:id="82"/>
      </w:r>
      <w:r>
        <w:rPr>
          <w:rFonts w:ascii="Amiri" w:hAnsi="Amiri" w:eastAsia="Amiri" w:cs="Amiri"/>
          <w:color w:val="111111"/>
          <w:sz w:val="28"/>
          <w:sz w:val="28"/>
          <w:szCs w:val="28"/>
          <w:rtl w:val="true"/>
          <w:lang w:bidi="ar-SA"/>
        </w:rPr>
        <w:t>و إن لم يوجب الغسل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في الخلاف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في الأوّل، لكن الظاهر من الفاضلين </w:t>
      </w:r>
      <w:r>
        <w:rPr>
          <w:rStyle w:val="FootnoteAnchor"/>
          <w:rtl w:val="true"/>
        </w:rPr>
        <w:footnoteReference w:id="84"/>
      </w:r>
      <w:r>
        <w:rPr>
          <w:rFonts w:ascii="Amiri" w:hAnsi="Amiri" w:eastAsia="Amiri" w:cs="Amiri"/>
          <w:color w:val="111111"/>
          <w:sz w:val="28"/>
          <w:sz w:val="28"/>
          <w:szCs w:val="28"/>
          <w:rtl w:val="true"/>
          <w:lang w:bidi="ar-SA"/>
        </w:rPr>
        <w:t xml:space="preserve">و المحقّق و الشهيد الثانيين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الإفطار على حصول الجنابة و هو مبنيّ على ثبوت التلازم بين الجنابة و الإفطار، و لم أقف على ما يدلّ على ذلك</w:t>
      </w:r>
    </w:p>
    <w:p>
      <w:pPr>
        <w:pStyle w:val="BookText"/>
        <w:rPr/>
      </w:pPr>
      <w:r>
        <w:rPr>
          <w:rFonts w:ascii="Amiri" w:hAnsi="Amiri" w:eastAsia="Amiri" w:cs="Amiri"/>
          <w:color w:val="111111"/>
          <w:sz w:val="28"/>
          <w:sz w:val="28"/>
          <w:szCs w:val="28"/>
          <w:rtl w:val="true"/>
          <w:lang w:bidi="ar-SA"/>
        </w:rPr>
        <w:t xml:space="preserve">صريحا و إن ادعى الإجماع عليه في الغنية </w:t>
      </w:r>
      <w:r>
        <w:rPr>
          <w:rStyle w:val="FootnoteAnchor"/>
          <w:rtl w:val="true"/>
        </w:rPr>
        <w:footnoteReference w:id="86"/>
      </w:r>
      <w:r>
        <w:rPr>
          <w:rFonts w:ascii="Amiri" w:hAnsi="Amiri" w:eastAsia="Amiri" w:cs="Amiri"/>
          <w:color w:val="111111"/>
          <w:sz w:val="28"/>
          <w:sz w:val="28"/>
          <w:szCs w:val="28"/>
          <w:rtl w:val="true"/>
          <w:lang w:bidi="ar-SA"/>
        </w:rPr>
        <w:t xml:space="preserve">عدا ما يتراءى </w:t>
      </w:r>
      <w:r>
        <w:rPr>
          <w:rStyle w:val="FootnoteAnchor"/>
          <w:rtl w:val="true"/>
        </w:rPr>
        <w:footnoteReference w:id="87"/>
      </w:r>
      <w:r>
        <w:rPr>
          <w:rFonts w:ascii="Amiri" w:hAnsi="Amiri" w:eastAsia="Amiri" w:cs="Amiri"/>
          <w:color w:val="111111"/>
          <w:sz w:val="28"/>
          <w:sz w:val="28"/>
          <w:szCs w:val="28"/>
          <w:rtl w:val="true"/>
          <w:lang w:bidi="ar-SA"/>
        </w:rPr>
        <w:t>من أخبار البقاء على الجنابة التي لا دلالة فيها إلّا على عدم انعقاد الصوم مع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حصلت بالقصد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هو من انتقاض الصوم بإحداث الجنابة قصدا </w:t>
      </w:r>
      <w:r>
        <w:rPr>
          <w:rStyle w:val="FootnoteAnchor"/>
          <w:rtl w:val="true"/>
        </w:rPr>
        <w:footnoteReference w:id="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يمنع شي‌ء من انعقاده و لا يمنع من 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ادعى الإجماع عليه في الغنية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الروايات، مثل ما رواه في الفقيه، عن يونس بن عبد الرحمن،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المسافر يدخل أهله و هو جنب قبل الزوال و لم يكن أكل، فعليه أن يتمّ صومه و لا قضاء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جنابته من احتلام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بملاحظة حكاية الراوي لقصد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أصل الجنابة إذا كان اختياريا </w:t>
      </w:r>
      <w:r>
        <w:rPr>
          <w:rStyle w:val="FootnoteAnchor"/>
          <w:rtl w:val="true"/>
        </w:rPr>
        <w:footnoteReference w:id="91"/>
      </w:r>
      <w:r>
        <w:rPr>
          <w:rFonts w:ascii="IRNazanin" w:hAnsi="IRNazanin" w:eastAsia="IRNazanin"/>
          <w:color w:val="111111"/>
          <w:sz w:val="28"/>
          <w:sz w:val="28"/>
          <w:szCs w:val="28"/>
          <w:rtl w:val="true"/>
          <w:lang w:bidi="fa-IR"/>
        </w:rPr>
        <w:t>مناف للصوم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الخدشة في قبول حكاية مقصود الإمام عليه السلام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معناه </w:t>
      </w:r>
      <w:r>
        <w:rPr>
          <w:rStyle w:val="FootnoteAnchor"/>
          <w:rtl w:val="true"/>
        </w:rPr>
        <w:footnoteReference w:id="92"/>
      </w:r>
      <w:r>
        <w:rPr>
          <w:rFonts w:ascii="Amiri" w:hAnsi="Amiri" w:eastAsia="Amiri" w:cs="Amiri"/>
          <w:color w:val="111111"/>
          <w:sz w:val="28"/>
          <w:sz w:val="28"/>
          <w:szCs w:val="28"/>
          <w:rtl w:val="true"/>
          <w:lang w:bidi="ar-SA"/>
        </w:rPr>
        <w:t>مخلا للاجتهاد و النظر بل كان من الألفاظ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سدّ باب تجويز </w:t>
      </w:r>
      <w:r>
        <w:rPr>
          <w:rStyle w:val="FootnoteAnchor"/>
          <w:rtl w:val="true"/>
        </w:rPr>
        <w:footnoteReference w:id="93"/>
      </w:r>
      <w:r>
        <w:rPr>
          <w:rFonts w:ascii="IRNazanin" w:hAnsi="IRNazanin" w:eastAsia="IRNazanin"/>
          <w:color w:val="111111"/>
          <w:sz w:val="28"/>
          <w:sz w:val="28"/>
          <w:szCs w:val="28"/>
          <w:rtl w:val="true"/>
          <w:lang w:bidi="fa-IR"/>
        </w:rPr>
        <w:t xml:space="preserve">النقل بالمعنى </w:t>
      </w:r>
      <w:r>
        <w:rPr>
          <w:rStyle w:val="FootnoteAnchor"/>
          <w:rtl w:val="true"/>
        </w:rPr>
        <w:footnoteReference w:id="94"/>
      </w:r>
      <w:r>
        <w:rPr>
          <w:rFonts w:ascii="Amiri" w:hAnsi="Amiri" w:eastAsia="Amiri" w:cs="Amiri"/>
          <w:color w:val="111111"/>
          <w:sz w:val="28"/>
          <w:sz w:val="28"/>
          <w:szCs w:val="28"/>
          <w:rtl w:val="true"/>
          <w:lang w:bidi="ar-SA"/>
        </w:rPr>
        <w:t xml:space="preserve">فتأمّل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اعتبار مثل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الرواة بضبطه في الكتب و جعله بمنزلة جزء الرواية، مع أنّ ظاهر الرواية في التهذيب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كلام الإمام عليه السلام مع احتمال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الفقيه </w:t>
      </w:r>
      <w:r>
        <w:rPr>
          <w:rStyle w:val="FootnoteAnchor"/>
          <w:rtl w:val="true"/>
        </w:rPr>
        <w:footnoteReference w:id="97"/>
      </w:r>
      <w:r>
        <w:rPr>
          <w:rFonts w:ascii="Amiri" w:hAnsi="Amiri" w:eastAsia="Amiri" w:cs="Amiri"/>
          <w:color w:val="111111"/>
          <w:sz w:val="28"/>
          <w:sz w:val="28"/>
          <w:szCs w:val="28"/>
          <w:rtl w:val="true"/>
          <w:lang w:bidi="ar-SA"/>
        </w:rPr>
        <w:t>إلى الإمام عليه السلام فيوافق رواية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فساد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بناء على المختار من تحقّق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المبسوط من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كالوطء في دبر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 الفساد أحوط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وطء البهيمة، فعن الخلاف </w:t>
      </w:r>
      <w:r>
        <w:rPr>
          <w:rStyle w:val="FootnoteAnchor"/>
          <w:rtl w:val="true"/>
        </w:rPr>
        <w:footnoteReference w:id="99"/>
      </w:r>
      <w:r>
        <w:rPr>
          <w:rFonts w:ascii="Amiri" w:hAnsi="Amiri" w:eastAsia="Amiri" w:cs="Amiri"/>
          <w:color w:val="111111"/>
          <w:sz w:val="28"/>
          <w:sz w:val="28"/>
          <w:szCs w:val="28"/>
          <w:rtl w:val="true"/>
          <w:lang w:bidi="ar-SA"/>
        </w:rPr>
        <w:t xml:space="preserve">عدم الخلاف في إيجابه القضاء، و هو حسن بناء على تحقّق الجنابة به </w:t>
      </w:r>
      <w:r>
        <w:rPr>
          <w:rStyle w:val="FootnoteAnchor"/>
          <w:rtl w:val="true"/>
        </w:rPr>
        <w:footnoteReference w:id="100"/>
      </w:r>
      <w:r>
        <w:rPr>
          <w:rFonts w:ascii="Amiri" w:hAnsi="Amiri" w:eastAsia="Amiri" w:cs="Amiri"/>
          <w:color w:val="111111"/>
          <w:sz w:val="28"/>
          <w:sz w:val="28"/>
          <w:szCs w:val="28"/>
          <w:rtl w:val="true"/>
          <w:lang w:bidi="ar-SA"/>
        </w:rPr>
        <w:t xml:space="preserve">خلافا للمحكيّ عن الحلي </w:t>
      </w:r>
      <w:r>
        <w:rPr>
          <w:rStyle w:val="FootnoteAnchor"/>
          <w:rtl w:val="true"/>
        </w:rPr>
        <w:footnoteReference w:id="101"/>
      </w:r>
      <w:r>
        <w:rPr>
          <w:rFonts w:ascii="Amiri" w:hAnsi="Amiri" w:eastAsia="Amiri" w:cs="Amiri"/>
          <w:color w:val="111111"/>
          <w:sz w:val="28"/>
          <w:sz w:val="28"/>
          <w:szCs w:val="28"/>
          <w:rtl w:val="true"/>
          <w:lang w:bidi="ar-SA"/>
        </w:rPr>
        <w:t xml:space="preserve">فلم يوجب به </w:t>
      </w:r>
      <w:r>
        <w:rPr>
          <w:rStyle w:val="FootnoteAnchor"/>
          <w:rtl w:val="true"/>
        </w:rPr>
        <w:footnoteReference w:id="102"/>
      </w:r>
      <w:r>
        <w:rPr>
          <w:rFonts w:ascii="Amiri" w:hAnsi="Amiri" w:eastAsia="Amiri" w:cs="Amiri"/>
          <w:color w:val="111111"/>
          <w:sz w:val="28"/>
          <w:sz w:val="28"/>
          <w:szCs w:val="28"/>
          <w:rtl w:val="true"/>
          <w:lang w:bidi="ar-SA"/>
        </w:rPr>
        <w:t xml:space="preserve">شيئا، و هو ضعيف، نعم هو حسن لو قلنا بعدم إيجابه الجنابة، كما عن الشيخ </w:t>
      </w:r>
      <w:r>
        <w:rPr>
          <w:rStyle w:val="FootnoteAnchor"/>
          <w:rtl w:val="true"/>
        </w:rPr>
        <w:footnoteReference w:id="103"/>
      </w:r>
      <w:r>
        <w:rPr>
          <w:rFonts w:ascii="Amiri" w:hAnsi="Amiri" w:eastAsia="Amiri" w:cs="Amiri"/>
          <w:color w:val="111111"/>
          <w:sz w:val="28"/>
          <w:sz w:val="28"/>
          <w:szCs w:val="28"/>
          <w:rtl w:val="true"/>
          <w:lang w:bidi="ar-SA"/>
        </w:rPr>
        <w:t xml:space="preserve">مع حكمه بإيجاب </w:t>
      </w:r>
      <w:r>
        <w:rPr>
          <w:rStyle w:val="FootnoteAnchor"/>
          <w:rtl w:val="true"/>
        </w:rPr>
        <w:footnoteReference w:id="104"/>
      </w:r>
      <w:r>
        <w:rPr>
          <w:rFonts w:ascii="Amiri" w:hAnsi="Amiri" w:eastAsia="Amiri" w:cs="Amiri"/>
          <w:color w:val="111111"/>
          <w:sz w:val="28"/>
          <w:sz w:val="28"/>
          <w:szCs w:val="28"/>
          <w:rtl w:val="true"/>
          <w:lang w:bidi="ar-SA"/>
        </w:rPr>
        <w:t>القضاء، و لعلّه لصدق النكاح، و فيه نظر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أدخلت </w:t>
      </w:r>
      <w:r>
        <w:rPr>
          <w:rStyle w:val="FootnoteAnchor"/>
          <w:rtl w:val="true"/>
        </w:rPr>
        <w:footnoteReference w:id="105"/>
      </w:r>
      <w:r>
        <w:rPr>
          <w:rFonts w:ascii="Amiri" w:hAnsi="Amiri" w:eastAsia="Amiri" w:cs="Amiri"/>
          <w:color w:val="111111"/>
          <w:sz w:val="28"/>
          <w:sz w:val="28"/>
          <w:szCs w:val="28"/>
          <w:rtl w:val="true"/>
          <w:lang w:bidi="ar-SA"/>
        </w:rPr>
        <w:t xml:space="preserve">المرأة ذكر البهيمة ففي البطلان إشكال، من جهة </w:t>
      </w:r>
      <w:r>
        <w:rPr>
          <w:rStyle w:val="FootnoteAnchor"/>
          <w:rtl w:val="true"/>
        </w:rPr>
        <w:footnoteReference w:id="106"/>
      </w:r>
      <w:r>
        <w:rPr>
          <w:rFonts w:ascii="Amiri" w:hAnsi="Amiri" w:eastAsia="Amiri" w:cs="Amiri"/>
          <w:color w:val="111111"/>
          <w:sz w:val="28"/>
          <w:sz w:val="28"/>
          <w:szCs w:val="28"/>
          <w:rtl w:val="true"/>
          <w:lang w:bidi="ar-SA"/>
        </w:rPr>
        <w:t>الإشكال في حصول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أدخلت ذكر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w:t>
      </w:r>
    </w:p>
    <w:p>
      <w:pPr>
        <w:pStyle w:val="BookText"/>
        <w:rPr/>
      </w:pPr>
      <w:r>
        <w:rPr>
          <w:rFonts w:ascii="Amiri" w:hAnsi="Amiri" w:eastAsia="Amiri" w:cs="Amiri"/>
          <w:color w:val="111111"/>
          <w:sz w:val="28"/>
          <w:sz w:val="28"/>
          <w:szCs w:val="28"/>
          <w:rtl w:val="true"/>
          <w:lang w:bidi="ar-SA"/>
        </w:rPr>
        <w:t>تحقّق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يجب الإمساك عن تعمّد إحداث الجنابة في أثناء النهار، فيجب عن تعمد البقاء على الجنابة الحاصلة بالاختيار أو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المعروف عن </w:t>
      </w:r>
      <w:r>
        <w:rPr>
          <w:rStyle w:val="FootnoteAnchor"/>
          <w:rtl w:val="true"/>
        </w:rPr>
        <w:footnoteReference w:id="107"/>
      </w:r>
      <w:r>
        <w:rPr>
          <w:rFonts w:ascii="Amiri" w:hAnsi="Amiri" w:eastAsia="Amiri" w:cs="Amiri"/>
          <w:color w:val="111111"/>
          <w:sz w:val="28"/>
          <w:sz w:val="28"/>
          <w:szCs w:val="28"/>
          <w:rtl w:val="true"/>
          <w:lang w:bidi="ar-SA"/>
        </w:rPr>
        <w:t>غير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السرائر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الغنية </w:t>
      </w:r>
      <w:r>
        <w:rPr>
          <w:rStyle w:val="FootnoteAnchor"/>
          <w:rtl w:val="true"/>
        </w:rPr>
        <w:footnoteReference w:id="110"/>
      </w:r>
      <w:r>
        <w:rPr>
          <w:rFonts w:ascii="IRNazanin" w:hAnsi="IRNazanin" w:eastAsia="IRNazanin"/>
          <w:color w:val="111111"/>
          <w:sz w:val="28"/>
          <w:sz w:val="28"/>
          <w:szCs w:val="28"/>
          <w:rtl w:val="true"/>
          <w:lang w:bidi="fa-IR"/>
        </w:rPr>
        <w:t xml:space="preserve">و الروض </w:t>
      </w:r>
      <w:r>
        <w:rPr>
          <w:rStyle w:val="FootnoteAnchor"/>
          <w:rtl w:val="true"/>
        </w:rPr>
        <w:footnoteReference w:id="111"/>
      </w:r>
      <w:r>
        <w:rPr>
          <w:rFonts w:ascii="Amiri" w:hAnsi="Amiri" w:eastAsia="Amiri" w:cs="Amiri"/>
          <w:color w:val="111111"/>
          <w:sz w:val="28"/>
          <w:sz w:val="28"/>
          <w:szCs w:val="28"/>
          <w:rtl w:val="true"/>
          <w:lang w:bidi="ar-SA"/>
        </w:rPr>
        <w:t xml:space="preserve">كما عن الانتصار </w:t>
      </w:r>
      <w:r>
        <w:rPr>
          <w:rStyle w:val="FootnoteAnchor"/>
          <w:rtl w:val="true"/>
        </w:rPr>
        <w:footnoteReference w:id="112"/>
      </w:r>
      <w:r>
        <w:rPr>
          <w:rFonts w:ascii="IRNazanin" w:hAnsi="IRNazanin" w:eastAsia="IRNazanin"/>
          <w:color w:val="111111"/>
          <w:sz w:val="28"/>
          <w:sz w:val="28"/>
          <w:szCs w:val="28"/>
          <w:rtl w:val="true"/>
          <w:lang w:bidi="fa-IR"/>
        </w:rPr>
        <w:t xml:space="preserve">و الخلاف </w:t>
      </w:r>
      <w:r>
        <w:rPr>
          <w:rStyle w:val="FootnoteAnchor"/>
          <w:rtl w:val="true"/>
        </w:rPr>
        <w:footnoteReference w:id="113"/>
      </w:r>
      <w:r>
        <w:rPr>
          <w:rFonts w:ascii="Amiri" w:hAnsi="Amiri" w:eastAsia="Amiri" w:cs="Amiri"/>
          <w:color w:val="111111"/>
          <w:sz w:val="28"/>
          <w:sz w:val="28"/>
          <w:szCs w:val="28"/>
          <w:rtl w:val="true"/>
          <w:lang w:bidi="ar-SA"/>
        </w:rPr>
        <w:t xml:space="preserve">و الوسيلة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السرائر </w:t>
      </w:r>
      <w:r>
        <w:rPr>
          <w:rStyle w:val="FootnoteAnchor"/>
          <w:rtl w:val="true"/>
        </w:rPr>
        <w:footnoteReference w:id="115"/>
      </w:r>
      <w:r>
        <w:rPr>
          <w:rFonts w:ascii="Amiri" w:hAnsi="Amiri" w:eastAsia="Amiri" w:cs="Amiri"/>
          <w:color w:val="111111"/>
          <w:sz w:val="28"/>
          <w:sz w:val="28"/>
          <w:szCs w:val="28"/>
          <w:rtl w:val="true"/>
          <w:lang w:bidi="ar-SA"/>
        </w:rPr>
        <w:t xml:space="preserve">و التذكرة </w:t>
      </w:r>
      <w:r>
        <w:rPr>
          <w:rStyle w:val="FootnoteAnchor"/>
          <w:rtl w:val="true"/>
        </w:rPr>
        <w:footnoteReference w:id="116"/>
      </w:r>
      <w:r>
        <w:rPr>
          <w:rFonts w:ascii="Amiri" w:hAnsi="Amiri" w:eastAsia="Amiri" w:cs="Amiri"/>
          <w:color w:val="111111"/>
          <w:sz w:val="28"/>
          <w:sz w:val="28"/>
          <w:szCs w:val="28"/>
          <w:rtl w:val="true"/>
          <w:lang w:bidi="ar-SA"/>
        </w:rPr>
        <w:t>الإجماع، للأخبار الكثيرة،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متواترة </w:t>
      </w:r>
      <w:r>
        <w:rPr>
          <w:rStyle w:val="FootnoteAnchor"/>
          <w:rtl w:val="true"/>
        </w:rPr>
        <w:footnoteReference w:id="117"/>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في شهر رمضان باللّيل، ثمّ ترك الغسل متعمّدا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 شهرين متتابعين، أو يطعم ستّين مسكينا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أخذ علماؤنا إلّا شاذّا </w:t>
      </w:r>
      <w:r>
        <w:rPr>
          <w:rStyle w:val="FootnoteAnchor"/>
          <w:rtl w:val="true"/>
        </w:rPr>
        <w:footnoteReference w:id="119"/>
      </w:r>
      <w:r>
        <w:rPr>
          <w:rFonts w:ascii="Amiri" w:hAnsi="Amiri" w:eastAsia="Amiri" w:cs="Amiri"/>
          <w:color w:val="111111"/>
          <w:sz w:val="28"/>
          <w:sz w:val="28"/>
          <w:szCs w:val="28"/>
          <w:rtl w:val="true"/>
          <w:lang w:bidi="ar-SA"/>
        </w:rPr>
        <w:t xml:space="preserve">و مثلها رواية المروزي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مرسلة إبراهيم بن عبد الحميد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ظاهر المقنع </w:t>
      </w:r>
      <w:r>
        <w:rPr>
          <w:rStyle w:val="FootnoteAnchor"/>
          <w:rtl w:val="true"/>
        </w:rPr>
        <w:footnoteReference w:id="122"/>
      </w:r>
      <w:r>
        <w:rPr>
          <w:rFonts w:ascii="Amiri" w:hAnsi="Amiri" w:eastAsia="Amiri" w:cs="Amiri"/>
          <w:color w:val="111111"/>
          <w:sz w:val="28"/>
          <w:sz w:val="28"/>
          <w:szCs w:val="28"/>
          <w:rtl w:val="true"/>
          <w:lang w:bidi="ar-SA"/>
        </w:rPr>
        <w:t xml:space="preserve">و الرسالة الرضاعية للسيّد الداماد </w:t>
      </w:r>
      <w:r>
        <w:rPr>
          <w:rStyle w:val="FootnoteAnchor"/>
          <w:rtl w:val="true"/>
        </w:rPr>
        <w:footnoteReference w:id="123"/>
      </w:r>
      <w:r>
        <w:rPr>
          <w:rFonts w:ascii="Amiri" w:hAnsi="Amiri" w:eastAsia="Amiri" w:cs="Amiri"/>
          <w:color w:val="111111"/>
          <w:sz w:val="28"/>
          <w:sz w:val="28"/>
          <w:szCs w:val="28"/>
          <w:rtl w:val="true"/>
          <w:lang w:bidi="ar-SA"/>
        </w:rPr>
        <w:t xml:space="preserve">، و عن الأردبيلي الميل اليه </w:t>
      </w:r>
      <w:r>
        <w:rPr>
          <w:rStyle w:val="FootnoteAnchor"/>
          <w:rtl w:val="true"/>
        </w:rPr>
        <w:footnoteReference w:id="124"/>
      </w:r>
      <w:r>
        <w:rPr>
          <w:rFonts w:ascii="Amiri" w:hAnsi="Amiri" w:eastAsia="Amiri" w:cs="Amiri"/>
          <w:color w:val="111111"/>
          <w:sz w:val="28"/>
          <w:sz w:val="28"/>
          <w:szCs w:val="28"/>
          <w:rtl w:val="true"/>
          <w:lang w:bidi="ar-SA"/>
        </w:rPr>
        <w:t xml:space="preserve">، و عن الذخيرة تقويته </w:t>
      </w:r>
      <w:r>
        <w:rPr>
          <w:rStyle w:val="FootnoteAnchor"/>
          <w:rtl w:val="true"/>
        </w:rPr>
        <w:footnoteReference w:id="125"/>
      </w:r>
      <w:r>
        <w:rPr>
          <w:rFonts w:ascii="Amiri" w:hAnsi="Amiri" w:eastAsia="Amiri" w:cs="Amiri"/>
          <w:color w:val="111111"/>
          <w:sz w:val="28"/>
          <w:sz w:val="28"/>
          <w:szCs w:val="28"/>
          <w:rtl w:val="true"/>
          <w:lang w:bidi="ar-SA"/>
        </w:rPr>
        <w:t xml:space="preserve">، لعموم آية الرخصة في الرفث إلى النساء </w:t>
      </w:r>
      <w:r>
        <w:rPr>
          <w:rStyle w:val="FootnoteAnchor"/>
          <w:rtl w:val="true"/>
        </w:rPr>
        <w:footnoteReference w:id="126"/>
      </w:r>
      <w:r>
        <w:rPr>
          <w:rFonts w:ascii="Amiri" w:hAnsi="Amiri" w:eastAsia="Amiri" w:cs="Amiri"/>
          <w:color w:val="111111"/>
          <w:sz w:val="28"/>
          <w:sz w:val="28"/>
          <w:szCs w:val="28"/>
          <w:rtl w:val="true"/>
          <w:lang w:bidi="ar-SA"/>
        </w:rPr>
        <w:t xml:space="preserve">ليلة الصوم </w:t>
      </w:r>
      <w:r>
        <w:rPr>
          <w:rStyle w:val="FootnoteAnchor"/>
          <w:rtl w:val="true"/>
        </w:rPr>
        <w:footnoteReference w:id="127"/>
      </w:r>
      <w:r>
        <w:rPr>
          <w:rFonts w:ascii="Amiri" w:hAnsi="Amiri" w:eastAsia="Amiri" w:cs="Amiri"/>
          <w:color w:val="111111"/>
          <w:sz w:val="28"/>
          <w:sz w:val="28"/>
          <w:szCs w:val="28"/>
          <w:rtl w:val="true"/>
          <w:lang w:bidi="ar-SA"/>
        </w:rPr>
        <w:t xml:space="preserve">الصادق في جزئها الأخير، و خصوص الإذن </w:t>
      </w:r>
      <w:r>
        <w:rPr>
          <w:rStyle w:val="FootnoteAnchor"/>
          <w:rtl w:val="true"/>
        </w:rPr>
        <w:footnoteReference w:id="128"/>
      </w:r>
      <w:r>
        <w:rPr>
          <w:rFonts w:ascii="Amiri" w:hAnsi="Amiri" w:eastAsia="Amiri" w:cs="Amiri"/>
          <w:color w:val="111111"/>
          <w:sz w:val="28"/>
          <w:sz w:val="28"/>
          <w:szCs w:val="28"/>
          <w:rtl w:val="true"/>
          <w:lang w:bidi="ar-SA"/>
        </w:rPr>
        <w:t>في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يتبيّن الخيط الأبيض، و لرواية إسماعيل بن عيسى،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أصابته جنابة في شهر رمضان فنام عمدا حتّى يصبح،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هذا، و لا يفطر و لا يبالي، فإنّ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أصبح جنبا من جماع غير احتلام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صحيحة عيص بن القاسم </w:t>
      </w:r>
      <w:r>
        <w:rPr>
          <w:rStyle w:val="FootnoteAnchor"/>
          <w:rtl w:val="true"/>
        </w:rPr>
        <w:footnoteReference w:id="130"/>
      </w:r>
      <w:r>
        <w:rPr>
          <w:rFonts w:ascii="Amiri" w:hAnsi="Amiri" w:eastAsia="Amiri" w:cs="Amiri"/>
          <w:color w:val="111111"/>
          <w:sz w:val="28"/>
          <w:sz w:val="28"/>
          <w:szCs w:val="28"/>
          <w:rtl w:val="true"/>
          <w:lang w:bidi="ar-SA"/>
        </w:rPr>
        <w:t xml:space="preserve">و مكاتبة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زينبة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صحيحة حبيب الخثعمي،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رسول اللّٰه صلّى اللّٰه عليه و آله و سلّم يصلّي صلاة الليل في شهر رمضان، ثمّ يجنب، ثمّ يؤخّر الغسل متعمّدا حتّى يطلع الفجر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 ضعيف لمنع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3"/>
      </w:r>
      <w:r>
        <w:rPr>
          <w:rFonts w:ascii="Amiri" w:hAnsi="Amiri" w:eastAsia="Amiri" w:cs="Amiri"/>
          <w:color w:val="111111"/>
          <w:sz w:val="28"/>
          <w:sz w:val="28"/>
          <w:szCs w:val="28"/>
          <w:rtl w:val="true"/>
          <w:lang w:bidi="ar-SA"/>
        </w:rPr>
        <w:t>لورود إطلاقها في مقام جواز أصل الرفث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شمول الغاية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4"/>
      </w:r>
      <w:r>
        <w:rPr>
          <w:rFonts w:ascii="Amiri" w:hAnsi="Amiri" w:eastAsia="Amiri" w:cs="Amiri"/>
          <w:color w:val="111111"/>
          <w:sz w:val="28"/>
          <w:sz w:val="28"/>
          <w:szCs w:val="28"/>
          <w:rtl w:val="true"/>
          <w:lang w:bidi="ar-SA"/>
        </w:rPr>
        <w:t>لغير الجملة الأخيرة، مع وجوب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الكثيرة السليمة عن مزاحمة ما ذكر من الأخبار المخالفة للمشهور الموافقة للجمهور، كما في المعتبر </w:t>
      </w:r>
      <w:r>
        <w:rPr>
          <w:rStyle w:val="FootnoteAnchor"/>
          <w:rtl w:val="true"/>
        </w:rPr>
        <w:footnoteReference w:id="135"/>
      </w:r>
      <w:r>
        <w:rPr>
          <w:rFonts w:ascii="Amiri" w:hAnsi="Amiri" w:eastAsia="Amiri" w:cs="Amiri"/>
          <w:color w:val="111111"/>
          <w:sz w:val="28"/>
          <w:sz w:val="28"/>
          <w:szCs w:val="28"/>
          <w:rtl w:val="true"/>
          <w:lang w:bidi="ar-SA"/>
        </w:rPr>
        <w:t xml:space="preserve">، و قد أشار إليه مولانا الرضا عليه السلام بحكايته عن أبيه عليه السلام عن عائشة </w:t>
      </w:r>
      <w:r>
        <w:rPr>
          <w:rStyle w:val="FootnoteAnchor"/>
          <w:rtl w:val="true"/>
        </w:rPr>
        <w:footnoteReference w:id="136"/>
      </w:r>
      <w:r>
        <w:rPr>
          <w:rFonts w:ascii="Amiri" w:hAnsi="Amiri" w:eastAsia="Amiri" w:cs="Amiri"/>
          <w:color w:val="111111"/>
          <w:sz w:val="28"/>
          <w:sz w:val="28"/>
          <w:szCs w:val="28"/>
          <w:rtl w:val="true"/>
          <w:lang w:bidi="ar-SA"/>
        </w:rPr>
        <w:t xml:space="preserve">، مع انّ المتعارف في ذلك نسبته إلى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حملها على بعض المحامل كالعذر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138"/>
      </w:r>
      <w:r>
        <w:rPr>
          <w:rFonts w:ascii="IRNazanin" w:hAnsi="IRNazanin" w:eastAsia="IRNazanin"/>
          <w:color w:val="111111"/>
          <w:sz w:val="28"/>
          <w:sz w:val="28"/>
          <w:szCs w:val="28"/>
          <w:rtl w:val="true"/>
          <w:lang w:bidi="fa-IR"/>
        </w:rPr>
        <w:t xml:space="preserve">، و المعتبر </w:t>
      </w:r>
      <w:r>
        <w:rPr>
          <w:rStyle w:val="FootnoteAnchor"/>
          <w:rtl w:val="true"/>
        </w:rPr>
        <w:footnoteReference w:id="139"/>
      </w:r>
      <w:r>
        <w:rPr>
          <w:rFonts w:ascii="Amiri" w:hAnsi="Amiri" w:eastAsia="Amiri" w:cs="Amiri"/>
          <w:color w:val="111111"/>
          <w:sz w:val="28"/>
          <w:sz w:val="28"/>
          <w:szCs w:val="28"/>
          <w:rtl w:val="true"/>
          <w:lang w:bidi="ar-SA"/>
        </w:rPr>
        <w:t xml:space="preserve">، أو النوم بقصد الاغتسال مع اعتياد </w:t>
      </w:r>
      <w:r>
        <w:rPr>
          <w:rStyle w:val="FootnoteAnchor"/>
          <w:rtl w:val="true"/>
        </w:rPr>
        <w:footnoteReference w:id="140"/>
      </w:r>
      <w:r>
        <w:rPr>
          <w:rFonts w:ascii="IRNazanin" w:hAnsi="IRNazanin" w:eastAsia="IRNazanin"/>
          <w:color w:val="111111"/>
          <w:sz w:val="28"/>
          <w:sz w:val="28"/>
          <w:szCs w:val="28"/>
          <w:rtl w:val="true"/>
          <w:lang w:bidi="fa-IR"/>
        </w:rPr>
        <w:t>الانتباه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تعمّد البقاء بين أن يبقى مستيقظا عازما على ترك الغسل، و بين أن ينام متعمّدا عازما على الترك، بل يجب الاجتناب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النوم عليها من غير نيّة الغسل حتّى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فلو نام كذلك فسد الصوم، لا لما دلّ على</w:t>
      </w:r>
    </w:p>
    <w:p>
      <w:pPr>
        <w:pStyle w:val="BookText"/>
        <w:rPr/>
      </w:pPr>
      <w:r>
        <w:rPr>
          <w:rFonts w:ascii="Amiri" w:hAnsi="Amiri" w:eastAsia="Amiri" w:cs="Amiri"/>
          <w:color w:val="111111"/>
          <w:sz w:val="28"/>
          <w:sz w:val="28"/>
          <w:szCs w:val="28"/>
          <w:rtl w:val="true"/>
          <w:lang w:bidi="ar-SA"/>
        </w:rPr>
        <w:t>وجوب القضاء إذا نام الجنب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الحلبي </w:t>
      </w:r>
      <w:r>
        <w:rPr>
          <w:rStyle w:val="FootnoteAnchor"/>
          <w:rtl w:val="true"/>
        </w:rPr>
        <w:footnoteReference w:id="141"/>
      </w:r>
      <w:r>
        <w:rPr>
          <w:rFonts w:ascii="Amiri" w:hAnsi="Amiri" w:eastAsia="Amiri" w:cs="Amiri"/>
          <w:color w:val="111111"/>
          <w:sz w:val="28"/>
          <w:sz w:val="28"/>
          <w:szCs w:val="28"/>
          <w:rtl w:val="true"/>
          <w:lang w:bidi="ar-SA"/>
        </w:rPr>
        <w:t xml:space="preserve">و البزنطي </w:t>
      </w:r>
      <w:r>
        <w:rPr>
          <w:rStyle w:val="FootnoteAnchor"/>
          <w:rtl w:val="true"/>
        </w:rPr>
        <w:footnoteReference w:id="142"/>
      </w:r>
      <w:r>
        <w:rPr>
          <w:rFonts w:ascii="Amiri" w:hAnsi="Amiri" w:eastAsia="Amiri" w:cs="Amiri"/>
          <w:color w:val="111111"/>
          <w:sz w:val="28"/>
          <w:sz w:val="28"/>
          <w:szCs w:val="28"/>
          <w:rtl w:val="true"/>
          <w:lang w:bidi="ar-SA"/>
        </w:rPr>
        <w:t xml:space="preserve">، كما استدلّ به في المدارك </w:t>
      </w:r>
      <w:r>
        <w:rPr>
          <w:rStyle w:val="FootnoteAnchor"/>
          <w:rtl w:val="true"/>
        </w:rPr>
        <w:footnoteReference w:id="143"/>
      </w:r>
      <w:r>
        <w:rPr>
          <w:rFonts w:ascii="Amiri" w:hAnsi="Amiri" w:eastAsia="Amiri" w:cs="Amiri"/>
          <w:color w:val="111111"/>
          <w:sz w:val="28"/>
          <w:sz w:val="28"/>
          <w:szCs w:val="28"/>
          <w:rtl w:val="true"/>
          <w:lang w:bidi="ar-SA"/>
        </w:rPr>
        <w:t xml:space="preserve">ثمّ ردّه بأنّ الظاهر من تعمّد النوم العزم على ترك الاغتسال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لإطلاق مرسلة إبراهيم بن عبد الحميد المتقدّمة </w:t>
      </w:r>
      <w:r>
        <w:rPr>
          <w:rStyle w:val="FootnoteAnchor"/>
          <w:rtl w:val="true"/>
        </w:rPr>
        <w:footnoteReference w:id="145"/>
      </w:r>
      <w:r>
        <w:rPr>
          <w:rFonts w:ascii="Amiri" w:hAnsi="Amiri" w:eastAsia="Amiri" w:cs="Amiri"/>
          <w:color w:val="111111"/>
          <w:sz w:val="28"/>
          <w:sz w:val="28"/>
          <w:szCs w:val="28"/>
          <w:rtl w:val="true"/>
          <w:lang w:bidi="ar-SA"/>
        </w:rPr>
        <w:t>في من أجنب في شهر رمضان فنام حتى يصبح فعليه عتق رقبة أو إطعام ستّين مسكينا، و قضاء ذلك اليوم، و يتمّ صيامه، و لن يدركه أبدا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المروزي </w:t>
      </w:r>
      <w:r>
        <w:rPr>
          <w:rStyle w:val="FootnoteAnchor"/>
          <w:rtl w:val="true"/>
        </w:rPr>
        <w:footnoteReference w:id="147"/>
      </w:r>
      <w:r>
        <w:rPr>
          <w:rFonts w:ascii="Amiri" w:hAnsi="Amiri" w:eastAsia="Amiri" w:cs="Amiri"/>
          <w:color w:val="111111"/>
          <w:sz w:val="28"/>
          <w:sz w:val="28"/>
          <w:szCs w:val="28"/>
          <w:rtl w:val="true"/>
          <w:lang w:bidi="ar-SA"/>
        </w:rPr>
        <w:t xml:space="preserve">و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تصيبه الجنابة في رمضان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 يقضي ذلك اليوم إلّا أن يستيقظ قبل أن يطلع الفجر، فإن انتظر ماء يسخن أو يستقى </w:t>
      </w:r>
      <w:r>
        <w:rPr>
          <w:rStyle w:val="FootnoteAnchor"/>
          <w:rtl w:val="true"/>
        </w:rPr>
        <w:footnoteReference w:id="148"/>
      </w:r>
      <w:r>
        <w:rPr>
          <w:rFonts w:ascii="Amiri" w:hAnsi="Amiri" w:eastAsia="Amiri" w:cs="Amiri"/>
          <w:color w:val="111111"/>
          <w:sz w:val="28"/>
          <w:sz w:val="28"/>
          <w:szCs w:val="28"/>
          <w:rtl w:val="true"/>
          <w:lang w:bidi="ar-SA"/>
        </w:rPr>
        <w:t>فطلع الفجر فلا شي‌ء</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فحوى ما سيجي‌ء من وجوب القضاء على الحائض إن طهرت بليل،</w:t>
      </w:r>
    </w:p>
    <w:p>
      <w:pPr>
        <w:pStyle w:val="BookText"/>
        <w:rPr/>
      </w:pPr>
      <w:r>
        <w:rPr>
          <w:rFonts w:ascii="IRNazanin" w:hAnsi="IRNazanin" w:eastAsia="IRNazanin"/>
          <w:color w:val="111111"/>
          <w:sz w:val="28"/>
          <w:sz w:val="28"/>
          <w:szCs w:val="28"/>
          <w:rtl w:val="true"/>
          <w:lang w:bidi="fa-IR"/>
        </w:rPr>
        <w:t xml:space="preserve">و توانت أن تغتسل </w:t>
      </w:r>
      <w:r>
        <w:rPr>
          <w:rStyle w:val="FootnoteAnchor"/>
          <w:rtl w:val="true"/>
        </w:rPr>
        <w:footnoteReference w:id="150"/>
      </w:r>
      <w:r>
        <w:rPr>
          <w:rFonts w:ascii="Amiri" w:hAnsi="Amiri" w:eastAsia="Amiri" w:cs="Amiri"/>
          <w:color w:val="111111"/>
          <w:sz w:val="28"/>
          <w:sz w:val="28"/>
          <w:szCs w:val="28"/>
          <w:rtl w:val="true"/>
          <w:lang w:bidi="ar-SA"/>
        </w:rPr>
        <w:t>فإنّ وجوب القضاء مع 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لما إذا قصده لكن مع التكاهل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وجوبه مع عدم نية الفعل </w:t>
      </w:r>
      <w:r>
        <w:rPr>
          <w:rStyle w:val="FootnoteAnchor"/>
          <w:rtl w:val="true"/>
        </w:rPr>
        <w:footnoteReference w:id="151"/>
      </w:r>
      <w:r>
        <w:rPr>
          <w:rFonts w:ascii="Amiri" w:hAnsi="Amiri" w:eastAsia="Amiri" w:cs="Amiri"/>
          <w:color w:val="111111"/>
          <w:sz w:val="28"/>
          <w:sz w:val="28"/>
          <w:szCs w:val="28"/>
          <w:rtl w:val="true"/>
          <w:lang w:bidi="ar-SA"/>
        </w:rPr>
        <w:t>بطريق 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أنّ الأقوى حرمة النوم مع التردّد في الغسل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يتمكّن المكلّف من الغسل فهل يجب عليه التيمّم؟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عموم المنزلة في صحيحة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الطهورين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هو مذهب المحقّق </w:t>
      </w:r>
      <w:r>
        <w:rPr>
          <w:rStyle w:val="FootnoteAnchor"/>
          <w:rtl w:val="true"/>
        </w:rPr>
        <w:footnoteReference w:id="154"/>
      </w:r>
      <w:r>
        <w:rPr>
          <w:rFonts w:ascii="Amiri" w:hAnsi="Amiri" w:eastAsia="Amiri" w:cs="Amiri"/>
          <w:color w:val="111111"/>
          <w:sz w:val="28"/>
          <w:sz w:val="28"/>
          <w:szCs w:val="28"/>
          <w:rtl w:val="true"/>
          <w:lang w:bidi="ar-SA"/>
        </w:rPr>
        <w:t xml:space="preserve">و الشهيد الثانيين </w:t>
      </w:r>
      <w:r>
        <w:rPr>
          <w:rStyle w:val="FootnoteAnchor"/>
          <w:rtl w:val="true"/>
        </w:rPr>
        <w:footnoteReference w:id="155"/>
      </w:r>
      <w:r>
        <w:rPr>
          <w:rFonts w:ascii="Amiri" w:hAnsi="Amiri" w:eastAsia="Amiri" w:cs="Amiri"/>
          <w:color w:val="111111"/>
          <w:sz w:val="28"/>
          <w:sz w:val="28"/>
          <w:szCs w:val="28"/>
          <w:rtl w:val="true"/>
          <w:lang w:bidi="ar-SA"/>
        </w:rPr>
        <w:t xml:space="preserve">، خلافا للمحكيّ عن المنتهى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 </w:t>
      </w:r>
      <w:r>
        <w:rPr>
          <w:rStyle w:val="FootnoteAnchor"/>
          <w:rtl w:val="true"/>
        </w:rPr>
        <w:footnoteReference w:id="157"/>
      </w:r>
      <w:r>
        <w:rPr>
          <w:rFonts w:ascii="Amiri" w:hAnsi="Amiri" w:eastAsia="Amiri" w:cs="Amiri"/>
          <w:color w:val="111111"/>
          <w:sz w:val="28"/>
          <w:sz w:val="28"/>
          <w:szCs w:val="28"/>
          <w:rtl w:val="true"/>
          <w:lang w:bidi="ar-SA"/>
        </w:rPr>
        <w:t xml:space="preserve">المانع هو حدث الجنابة، و التّيمم لا يرفعه، و هو طهور بمنزلة الماء في كلّ ما يجب فيه الغسل، لا فيما يتوقّف على رفع الجنابة </w:t>
      </w:r>
      <w:r>
        <w:rPr>
          <w:rStyle w:val="FootnoteAnchor"/>
          <w:rtl w:val="true"/>
        </w:rPr>
        <w:footnoteReference w:id="158"/>
      </w:r>
      <w:r>
        <w:rPr>
          <w:rFonts w:ascii="Amiri" w:hAnsi="Amiri" w:eastAsia="Amiri" w:cs="Amiri"/>
          <w:color w:val="111111"/>
          <w:sz w:val="28"/>
          <w:sz w:val="28"/>
          <w:szCs w:val="28"/>
          <w:rtl w:val="true"/>
          <w:lang w:bidi="ar-SA"/>
        </w:rPr>
        <w:t>، و يشعر به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انتظر ماء يسخن، أو يستقى فطلع الفجر فلا شي‌ء</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حيث انّه لم يؤمر بالتيمم، و لذا لم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التيمّم </w:t>
      </w:r>
      <w:r>
        <w:rPr>
          <w:rStyle w:val="FootnoteAnchor"/>
          <w:rtl w:val="true"/>
        </w:rPr>
        <w:footnoteReference w:id="160"/>
      </w:r>
      <w:r>
        <w:rPr>
          <w:rFonts w:ascii="Amiri" w:hAnsi="Amiri" w:eastAsia="Amiri" w:cs="Amiri"/>
          <w:color w:val="111111"/>
          <w:sz w:val="28"/>
          <w:sz w:val="28"/>
          <w:szCs w:val="28"/>
          <w:rtl w:val="true"/>
          <w:lang w:bidi="ar-SA"/>
        </w:rPr>
        <w:t xml:space="preserve">الواجب ما كان لصوم واجب، كما عدّوا للصلاة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الطواف الواجبين، بل مقتضى ذكرهم وجوب الغسل للصوم ذكر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62"/>
      </w:r>
      <w:r>
        <w:rPr>
          <w:rFonts w:ascii="Amiri" w:hAnsi="Amiri" w:eastAsia="Amiri" w:cs="Amiri"/>
          <w:color w:val="111111"/>
          <w:sz w:val="28"/>
          <w:sz w:val="28"/>
          <w:szCs w:val="28"/>
          <w:rtl w:val="true"/>
          <w:lang w:bidi="ar-SA"/>
        </w:rPr>
        <w:t>بمقتضى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أنّه يجب التيمم لكلّ ما يجب له المائية، لكن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حدّ الإجماع، مع مخالفة المصنّف رحمه اللّٰه في المنتهى </w:t>
      </w:r>
      <w:r>
        <w:rPr>
          <w:rStyle w:val="FootnoteAnchor"/>
          <w:rtl w:val="true"/>
        </w:rPr>
        <w:footnoteReference w:id="163"/>
      </w:r>
      <w:r>
        <w:rPr>
          <w:rFonts w:ascii="Amiri" w:hAnsi="Amiri" w:eastAsia="Amiri" w:cs="Amiri"/>
          <w:color w:val="111111"/>
          <w:sz w:val="28"/>
          <w:sz w:val="28"/>
          <w:szCs w:val="28"/>
          <w:rtl w:val="true"/>
          <w:lang w:bidi="ar-SA"/>
        </w:rPr>
        <w:t xml:space="preserve">و تردّده في النهاية </w:t>
      </w:r>
      <w:r>
        <w:rPr>
          <w:rStyle w:val="FootnoteAnchor"/>
          <w:rtl w:val="true"/>
        </w:rPr>
        <w:footnoteReference w:id="164"/>
      </w:r>
      <w:r>
        <w:rPr>
          <w:rFonts w:ascii="Amiri" w:hAnsi="Amiri" w:eastAsia="Amiri" w:cs="Amiri"/>
          <w:color w:val="111111"/>
          <w:sz w:val="28"/>
          <w:sz w:val="28"/>
          <w:szCs w:val="28"/>
          <w:rtl w:val="true"/>
          <w:lang w:bidi="ar-SA"/>
        </w:rPr>
        <w:t xml:space="preserve">كما عن الذكرى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لكلّ من وجب عليه الطهارة المائية، و ادّعى عليه إجماع المسلمين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يجب أن يبقى مستيقظا لئلّا يبطل تيمّمه أم لا؟ أقواهما و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تعمّد تأخير الغسل حتّى ضاق الوقت عصى و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إطلاقات ترك الغسل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بصير السابقة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عليه، بل الكفّارة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يلحق بالجنابة الحيض؟ المشهور نعم، بل عن المقاصد العليّة نفي الخلاف فيه </w:t>
      </w:r>
      <w:r>
        <w:rPr>
          <w:rStyle w:val="FootnoteAnchor"/>
          <w:rtl w:val="true"/>
        </w:rPr>
        <w:footnoteReference w:id="168"/>
      </w:r>
      <w:r>
        <w:rPr>
          <w:rFonts w:ascii="Amiri" w:hAnsi="Amiri" w:eastAsia="Amiri" w:cs="Amiri"/>
          <w:color w:val="111111"/>
          <w:sz w:val="28"/>
          <w:sz w:val="28"/>
          <w:szCs w:val="28"/>
          <w:rtl w:val="true"/>
          <w:lang w:bidi="ar-SA"/>
        </w:rPr>
        <w:t xml:space="preserve">، لرواية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طهرت بليل ثمّ توانت أن تغتسل فعليها قضاء ذلك اليوم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خلافا للمحكيّ عن صاحب المدارك </w:t>
      </w:r>
      <w:r>
        <w:rPr>
          <w:rStyle w:val="FootnoteAnchor"/>
          <w:rtl w:val="true"/>
        </w:rPr>
        <w:footnoteReference w:id="170"/>
      </w:r>
      <w:r>
        <w:rPr>
          <w:rFonts w:ascii="Amiri" w:hAnsi="Amiri" w:eastAsia="Amiri" w:cs="Amiri"/>
          <w:color w:val="111111"/>
          <w:sz w:val="28"/>
          <w:sz w:val="28"/>
          <w:szCs w:val="28"/>
          <w:rtl w:val="true"/>
          <w:lang w:bidi="ar-SA"/>
        </w:rPr>
        <w:t xml:space="preserve">و الأردبيلي </w:t>
      </w:r>
      <w:r>
        <w:rPr>
          <w:rStyle w:val="FootnoteAnchor"/>
          <w:rtl w:val="true"/>
        </w:rPr>
        <w:footnoteReference w:id="171"/>
      </w:r>
      <w:r>
        <w:rPr>
          <w:rFonts w:ascii="Amiri" w:hAnsi="Amiri" w:eastAsia="Amiri" w:cs="Amiri"/>
          <w:color w:val="111111"/>
          <w:sz w:val="28"/>
          <w:sz w:val="28"/>
          <w:szCs w:val="28"/>
          <w:rtl w:val="true"/>
          <w:lang w:bidi="ar-SA"/>
        </w:rPr>
        <w:t>و محكيّ</w:t>
      </w:r>
    </w:p>
    <w:p>
      <w:pPr>
        <w:pStyle w:val="BookText"/>
        <w:rPr/>
      </w:pPr>
      <w:r>
        <w:rPr>
          <w:rFonts w:ascii="Amiri" w:hAnsi="Amiri" w:eastAsia="Amiri" w:cs="Amiri"/>
          <w:color w:val="111111"/>
          <w:sz w:val="28"/>
          <w:sz w:val="28"/>
          <w:szCs w:val="28"/>
          <w:rtl w:val="true"/>
          <w:lang w:bidi="ar-SA"/>
        </w:rPr>
        <w:t xml:space="preserve">النهاية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النفساء مثل الحائض بلا خلاف ظاهرا، كما حكي التصريح بالوفاق عن الغنية </w:t>
      </w:r>
      <w:r>
        <w:rPr>
          <w:rStyle w:val="FootnoteAnchor"/>
          <w:rtl w:val="true"/>
        </w:rPr>
        <w:footnoteReference w:id="173"/>
      </w:r>
      <w:r>
        <w:rPr>
          <w:rFonts w:ascii="IRNazanin" w:hAnsi="IRNazanin" w:eastAsia="IRNazanin"/>
          <w:color w:val="111111"/>
          <w:sz w:val="28"/>
          <w:sz w:val="28"/>
          <w:szCs w:val="28"/>
          <w:rtl w:val="true"/>
          <w:lang w:bidi="fa-IR"/>
        </w:rPr>
        <w:t xml:space="preserve">و السرائر </w:t>
      </w:r>
      <w:r>
        <w:rPr>
          <w:rStyle w:val="FootnoteAnchor"/>
          <w:rtl w:val="true"/>
        </w:rPr>
        <w:footnoteReference w:id="174"/>
      </w:r>
      <w:r>
        <w:rPr>
          <w:rFonts w:ascii="IRNazanin" w:hAnsi="IRNazanin" w:eastAsia="IRNazanin"/>
          <w:color w:val="111111"/>
          <w:sz w:val="28"/>
          <w:sz w:val="28"/>
          <w:szCs w:val="28"/>
          <w:rtl w:val="true"/>
          <w:lang w:bidi="fa-IR"/>
        </w:rPr>
        <w:t xml:space="preserve">و المعتبر </w:t>
      </w:r>
      <w:r>
        <w:rPr>
          <w:rStyle w:val="FootnoteAnchor"/>
          <w:rtl w:val="true"/>
        </w:rPr>
        <w:footnoteReference w:id="175"/>
      </w:r>
      <w:r>
        <w:rPr>
          <w:rFonts w:ascii="Amiri" w:hAnsi="Amiri" w:eastAsia="Amiri" w:cs="Amiri"/>
          <w:color w:val="111111"/>
          <w:sz w:val="28"/>
          <w:sz w:val="28"/>
          <w:szCs w:val="28"/>
          <w:rtl w:val="true"/>
          <w:lang w:bidi="ar-SA"/>
        </w:rPr>
        <w:t xml:space="preserve">و التذكرة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الرواية المصحّحة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مثل النفساء</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و لأنّ دم النفاس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غسل المسّ فلم يذكر الأصحاب قولا بتوقف الصوم عليه، بل عن مجمع الفائدة عدم القول به </w:t>
      </w:r>
      <w:r>
        <w:rPr>
          <w:rStyle w:val="FootnoteAnchor"/>
          <w:rtl w:val="true"/>
        </w:rPr>
        <w:footnoteReference w:id="181"/>
      </w:r>
      <w:r>
        <w:rPr>
          <w:rFonts w:ascii="Amiri" w:hAnsi="Amiri" w:eastAsia="Amiri" w:cs="Amiri"/>
          <w:color w:val="111111"/>
          <w:sz w:val="28"/>
          <w:sz w:val="28"/>
          <w:szCs w:val="28"/>
          <w:rtl w:val="true"/>
          <w:lang w:bidi="ar-SA"/>
        </w:rPr>
        <w:t xml:space="preserve">، إلّا انّه حكى بعض مشايخنا عن بعض نسخ رسالة عليّ بن بابويه القول بالتوقّف </w:t>
      </w:r>
      <w:r>
        <w:rPr>
          <w:rStyle w:val="FootnoteAnchor"/>
          <w:rtl w:val="true"/>
        </w:rPr>
        <w:footnoteReference w:id="182"/>
      </w:r>
      <w:r>
        <w:rPr>
          <w:rFonts w:ascii="Amiri" w:hAnsi="Amiri" w:eastAsia="Amiri" w:cs="Amiri"/>
          <w:color w:val="111111"/>
          <w:sz w:val="28"/>
          <w:sz w:val="28"/>
          <w:szCs w:val="28"/>
          <w:rtl w:val="true"/>
          <w:lang w:bidi="ar-SA"/>
        </w:rPr>
        <w:t xml:space="preserve">و هو ضعيف على فرضه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184"/>
      </w:r>
      <w:r>
        <w:rPr>
          <w:rFonts w:ascii="Amiri" w:hAnsi="Amiri" w:eastAsia="Amiri" w:cs="Amiri"/>
          <w:color w:val="111111"/>
          <w:sz w:val="28"/>
          <w:sz w:val="28"/>
          <w:szCs w:val="28"/>
          <w:rtl w:val="true"/>
          <w:lang w:bidi="ar-SA"/>
        </w:rPr>
        <w:t>أنّه ذكر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النوم الثاني للجنب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 على الغسل و اعتاد الانتباه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فيجب الإمساك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معاودة النوم بعد انتباهة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 لو فعل كان آثما و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الإثم فلم أجد عليه دليلا سوى ما في بعض الأخبار الآتية من وجوب القضاء عقوبة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إثبات التحريم بهذا المقدار إشكال، لورود نظيره فيما 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 الشارع </w:t>
      </w:r>
      <w:r>
        <w:rPr>
          <w:rStyle w:val="FootnoteAnchor"/>
          <w:rtl w:val="true"/>
        </w:rPr>
        <w:footnoteReference w:id="188"/>
      </w:r>
      <w:r>
        <w:rPr>
          <w:rFonts w:ascii="Amiri" w:hAnsi="Amiri" w:eastAsia="Amiri" w:cs="Amiri"/>
          <w:color w:val="111111"/>
          <w:sz w:val="28"/>
          <w:sz w:val="28"/>
          <w:szCs w:val="28"/>
          <w:rtl w:val="true"/>
          <w:lang w:bidi="ar-SA"/>
        </w:rPr>
        <w:t>بوجوب إعادة الصلاة على ناسي النجاسة عقوبة لنسيانه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دالّ على كون القضاء عقوبة للنوم، و ليس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صدق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عليه </w:t>
      </w:r>
      <w:r>
        <w:rPr>
          <w:rStyle w:val="FootnoteAnchor"/>
          <w:rtl w:val="true"/>
        </w:rPr>
        <w:footnoteReference w:id="189"/>
      </w:r>
      <w:r>
        <w:rPr>
          <w:rFonts w:ascii="Amiri" w:hAnsi="Amiri" w:eastAsia="Amiri" w:cs="Amiri"/>
          <w:color w:val="111111"/>
          <w:sz w:val="28"/>
          <w:sz w:val="28"/>
          <w:szCs w:val="28"/>
          <w:rtl w:val="true"/>
          <w:lang w:bidi="ar-SA"/>
        </w:rPr>
        <w:t>بعموم مصحّحة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احتلم أوّل الليل أو أصاب من أهله، ثمّ نام متعمّدا في شهر رمضان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إذا أفطر من شهر رمضان و يستغفر ربّه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النومة الأولى، فالأمر بالاستغفار ليس إلّا لتحريم النوم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النوم متعمّدا هو النوم عازما على ترك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حينئذ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w:t>
      </w:r>
      <w:r>
        <w:rPr>
          <w:rStyle w:val="FootnoteAnchor"/>
          <w:rtl w:val="true"/>
        </w:rPr>
        <w:footnoteReference w:id="192"/>
      </w:r>
      <w:r>
        <w:rPr>
          <w:rFonts w:ascii="Amiri" w:hAnsi="Amiri" w:eastAsia="Amiri" w:cs="Amiri"/>
          <w:color w:val="111111"/>
          <w:sz w:val="28"/>
          <w:sz w:val="28"/>
          <w:szCs w:val="28"/>
          <w:rtl w:val="true"/>
          <w:lang w:bidi="ar-SA"/>
        </w:rPr>
        <w:t>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الكفّارة، لأنّه كمتعمّد </w:t>
      </w:r>
      <w:r>
        <w:rPr>
          <w:rStyle w:val="FootnoteAnchor"/>
          <w:rtl w:val="true"/>
        </w:rPr>
        <w:footnoteReference w:id="193"/>
      </w:r>
      <w:r>
        <w:rPr>
          <w:rFonts w:ascii="Amiri" w:hAnsi="Amiri" w:eastAsia="Amiri" w:cs="Amiri"/>
          <w:color w:val="111111"/>
          <w:sz w:val="28"/>
          <w:sz w:val="28"/>
          <w:szCs w:val="28"/>
          <w:rtl w:val="true"/>
          <w:lang w:bidi="ar-SA"/>
        </w:rPr>
        <w:t xml:space="preserve">البقاء على الجنابة، فعدم ذكرها دليل على عدم وجوبها </w:t>
      </w:r>
      <w:r>
        <w:rPr>
          <w:rStyle w:val="FootnoteAnchor"/>
          <w:rtl w:val="true"/>
        </w:rPr>
        <w:footnoteReference w:id="194"/>
      </w:r>
      <w:r>
        <w:rPr>
          <w:rFonts w:ascii="Amiri" w:hAnsi="Amiri" w:eastAsia="Amiri" w:cs="Amiri"/>
          <w:color w:val="111111"/>
          <w:sz w:val="28"/>
          <w:sz w:val="28"/>
          <w:szCs w:val="28"/>
          <w:rtl w:val="true"/>
          <w:lang w:bidi="ar-SA"/>
        </w:rPr>
        <w:t>، و هو يكشف عن عدم إرادة العزم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النومة الأولى، فإن كان </w:t>
      </w:r>
      <w:r>
        <w:rPr>
          <w:rStyle w:val="FootnoteAnchor"/>
          <w:rtl w:val="true"/>
        </w:rPr>
        <w:footnoteReference w:id="195"/>
      </w:r>
      <w:r>
        <w:rPr>
          <w:rFonts w:ascii="IRNazanin" w:hAnsi="IRNazanin" w:eastAsia="IRNazanin"/>
          <w:color w:val="111111"/>
          <w:sz w:val="28"/>
          <w:sz w:val="28"/>
          <w:szCs w:val="28"/>
          <w:rtl w:val="true"/>
          <w:lang w:bidi="fa-IR"/>
        </w:rPr>
        <w:t xml:space="preserve">مع العزم </w:t>
      </w:r>
      <w:r>
        <w:rPr>
          <w:rStyle w:val="FootnoteAnchor"/>
          <w:rtl w:val="true"/>
        </w:rPr>
        <w:footnoteReference w:id="196"/>
      </w:r>
      <w:r>
        <w:rPr>
          <w:rFonts w:ascii="Amiri" w:hAnsi="Amiri" w:eastAsia="Amiri" w:cs="Amiri"/>
          <w:color w:val="111111"/>
          <w:sz w:val="28"/>
          <w:sz w:val="28"/>
          <w:szCs w:val="28"/>
          <w:rtl w:val="true"/>
          <w:lang w:bidi="ar-SA"/>
        </w:rPr>
        <w:t>على الاغتسال مع اعتياد الانتباه فليس بحرام قطعا، و أمّا مع اعتياد عدم الانتباه فحرام قطعا و موجب للقضاء و الكفّارة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عدم العزم على الاغتسال، فإن كان مع الذهول فهو غير حرام، و أمّا مع الالتفات و التردّد فقد لا تستبعد الحرمة، نظرا إلى أنّ النوم على حالة يوجب </w:t>
      </w:r>
      <w:r>
        <w:rPr>
          <w:rStyle w:val="FootnoteAnchor"/>
          <w:rtl w:val="true"/>
        </w:rPr>
        <w:footnoteReference w:id="197"/>
      </w:r>
      <w:r>
        <w:rPr>
          <w:rFonts w:ascii="Amiri" w:hAnsi="Amiri" w:eastAsia="Amiri" w:cs="Amiri"/>
          <w:color w:val="111111"/>
          <w:sz w:val="28"/>
          <w:sz w:val="28"/>
          <w:szCs w:val="28"/>
          <w:rtl w:val="true"/>
          <w:lang w:bidi="ar-SA"/>
        </w:rPr>
        <w:t xml:space="preserve">استمرارها حكما </w:t>
      </w:r>
      <w:r>
        <w:rPr>
          <w:rStyle w:val="FootnoteAnchor"/>
          <w:rtl w:val="true"/>
        </w:rPr>
        <w:footnoteReference w:id="198"/>
      </w:r>
      <w:r>
        <w:rPr>
          <w:rFonts w:ascii="Amiri" w:hAnsi="Amiri" w:eastAsia="Amiri" w:cs="Amiri"/>
          <w:color w:val="111111"/>
          <w:sz w:val="28"/>
          <w:sz w:val="28"/>
          <w:szCs w:val="28"/>
          <w:rtl w:val="true"/>
          <w:lang w:bidi="ar-SA"/>
        </w:rPr>
        <w:t xml:space="preserve">إلى آخر النوم عقلا و عرفا، فالنائم على حالة كالباقي عليها مستيقظا، و لذا كان النوم مع عزم ترك </w:t>
      </w:r>
      <w:r>
        <w:rPr>
          <w:rStyle w:val="FootnoteAnchor"/>
          <w:rtl w:val="true"/>
        </w:rPr>
        <w:footnoteReference w:id="199"/>
      </w:r>
      <w:r>
        <w:rPr>
          <w:rFonts w:ascii="Amiri" w:hAnsi="Amiri" w:eastAsia="Amiri" w:cs="Amiri"/>
          <w:color w:val="111111"/>
          <w:sz w:val="28"/>
          <w:sz w:val="28"/>
          <w:szCs w:val="28"/>
          <w:rtl w:val="true"/>
          <w:lang w:bidi="ar-SA"/>
        </w:rPr>
        <w:t xml:space="preserve">الاغتسال كتعمّد البقاء على الجنابة </w:t>
      </w:r>
      <w:r>
        <w:rPr>
          <w:rStyle w:val="FootnoteAnchor"/>
          <w:rtl w:val="true"/>
        </w:rPr>
        <w:footnoteReference w:id="200"/>
      </w:r>
      <w:r>
        <w:rPr>
          <w:rFonts w:ascii="Amiri" w:hAnsi="Amiri" w:eastAsia="Amiri" w:cs="Amiri"/>
          <w:color w:val="111111"/>
          <w:sz w:val="28"/>
          <w:sz w:val="28"/>
          <w:szCs w:val="28"/>
          <w:rtl w:val="true"/>
          <w:lang w:bidi="ar-SA"/>
        </w:rPr>
        <w:t>، فالنائم متردّدا كالمستيقظ متردّدا إلى أن يفجأه الصبح، و لذا</w:t>
      </w:r>
    </w:p>
    <w:p>
      <w:pPr>
        <w:pStyle w:val="BookText"/>
        <w:rPr/>
      </w:pPr>
      <w:r>
        <w:rPr>
          <w:rFonts w:ascii="Amiri" w:hAnsi="Amiri" w:eastAsia="Amiri" w:cs="Amiri"/>
          <w:color w:val="111111"/>
          <w:sz w:val="28"/>
          <w:sz w:val="28"/>
          <w:szCs w:val="28"/>
          <w:rtl w:val="true"/>
          <w:lang w:bidi="ar-SA"/>
        </w:rPr>
        <w:t xml:space="preserve">اتّفقوا على أنّ من بات عازما على ترك الصوم أو متردّدا فيه فسد صومه، لترك تبييت النيّة ليلا مع أنّه لم يترك النيّة الواجبة موسّعا في جميع </w:t>
      </w:r>
      <w:r>
        <w:rPr>
          <w:rStyle w:val="FootnoteAnchor"/>
          <w:rtl w:val="true"/>
        </w:rPr>
        <w:footnoteReference w:id="201"/>
      </w:r>
      <w:r>
        <w:rPr>
          <w:rFonts w:ascii="Amiri" w:hAnsi="Amiri" w:eastAsia="Amiri" w:cs="Amiri"/>
          <w:color w:val="111111"/>
          <w:sz w:val="28"/>
          <w:sz w:val="28"/>
          <w:szCs w:val="28"/>
          <w:rtl w:val="true"/>
          <w:lang w:bidi="ar-SA"/>
        </w:rPr>
        <w:t xml:space="preserve">أجزاء الليل إلّا في جزء واحد من وقته الموسّع، و لا ريب أنّ المتردّد في الغسل متردّد في النيّة للصوم الصحيح، فالنائم على التردّد في الغسل إذا فاجأه الصبح فهو كالباقي مستيقظا إلى الفجر مع التردّد في الغسل و في الصوم، و لا شبهة في استحقاقه العقاب لإفساد </w:t>
      </w:r>
      <w:r>
        <w:rPr>
          <w:rStyle w:val="FootnoteAnchor"/>
          <w:rtl w:val="true"/>
        </w:rPr>
        <w:footnoteReference w:id="202"/>
      </w:r>
      <w:r>
        <w:rPr>
          <w:rFonts w:ascii="Amiri" w:hAnsi="Amiri" w:eastAsia="Amiri" w:cs="Amiri"/>
          <w:color w:val="111111"/>
          <w:sz w:val="28"/>
          <w:sz w:val="28"/>
          <w:szCs w:val="28"/>
          <w:rtl w:val="true"/>
          <w:lang w:bidi="ar-SA"/>
        </w:rPr>
        <w:t>الصوم و 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إفساد الصوم في أوّل مطلع الفجر إنّما كان لتسبيبه </w:t>
      </w:r>
      <w:r>
        <w:rPr>
          <w:rStyle w:val="FootnoteAnchor"/>
          <w:rtl w:val="true"/>
        </w:rPr>
        <w:footnoteReference w:id="203"/>
      </w:r>
      <w:r>
        <w:rPr>
          <w:rFonts w:ascii="Amiri" w:hAnsi="Amiri" w:eastAsia="Amiri" w:cs="Amiri"/>
          <w:color w:val="111111"/>
          <w:sz w:val="28"/>
          <w:sz w:val="28"/>
          <w:szCs w:val="28"/>
          <w:rtl w:val="true"/>
          <w:lang w:bidi="ar-SA"/>
        </w:rPr>
        <w:t xml:space="preserve">اليه بالنوم، فيستحقّ العقاب عند النوم، مع أنّ الأصل عدم الانتباه، فهو كمن ترك الفعل </w:t>
      </w:r>
      <w:r>
        <w:rPr>
          <w:rStyle w:val="FootnoteAnchor"/>
          <w:rtl w:val="true"/>
        </w:rPr>
        <w:footnoteReference w:id="204"/>
      </w:r>
      <w:r>
        <w:rPr>
          <w:rFonts w:ascii="Amiri" w:hAnsi="Amiri" w:eastAsia="Amiri" w:cs="Amiri"/>
          <w:color w:val="111111"/>
          <w:sz w:val="28"/>
          <w:sz w:val="28"/>
          <w:szCs w:val="28"/>
          <w:rtl w:val="true"/>
          <w:lang w:bidi="ar-SA"/>
        </w:rPr>
        <w:t xml:space="preserve">في الجزء الأوّل مع علمه بطروّ العجز </w:t>
      </w:r>
      <w:r>
        <w:rPr>
          <w:rStyle w:val="FootnoteAnchor"/>
          <w:rtl w:val="true"/>
        </w:rPr>
        <w:footnoteReference w:id="205"/>
      </w:r>
      <w:r>
        <w:rPr>
          <w:rFonts w:ascii="Amiri" w:hAnsi="Amiri" w:eastAsia="Amiri" w:cs="Amiri"/>
          <w:color w:val="111111"/>
          <w:sz w:val="28"/>
          <w:sz w:val="28"/>
          <w:szCs w:val="28"/>
          <w:rtl w:val="true"/>
          <w:lang w:bidi="ar-SA"/>
        </w:rPr>
        <w:t xml:space="preserve">بعده، و عدم العلم بارتفاع العجز في آخر الوقت فإنّ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فالعبارات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إذا لم يعتد الانتباه واضح، و اما إذا اعتاده فهو أيضا لا يجدي في رفع استحقاق العقاب عنه، فانّ العلم بسعة الوقت إنما توجب الرخصة، من جهة رجاء إدراك الفعل في بعض أجزائه، إذ مع التردد و عدم العزم على الفعل لا فرق بين اعتياده الانتباه فإنه إنما يفيد إذا كان علمه بذلك موجبا لعزمه على الفعل بعد الانتباه إذا لم يتفق الانتباه، أمّا إذا اتفق الانتباه فيصير حاله كالحالة الاولى قبل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حرمة النوم الأولى إلا مع القصد، المحكي عن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اصابتك جنابة في أول الليل فلا بأس ان تنام متعمدا و في نيتك ان تقوم و تغتسل، فان غلبك النوم حتى تصبح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إذا لم يعتد الانتباه واضح، و اما إذا اعتاده فهو أيضا لا يجدي في رفع استحقاق العقاب عنه إذا لم يتفق الانتباه؛ إذ مع التردد و عدم العزم على الفعل لا فرق بين اعتياده للانتباه فإنه إنما يفيد إذا كان علمه بذلك موجبا لعزمه على الفعل بعد الانتباه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العلم بسعة الوقت انما يوجب الرخصة من جهة رجاء إدراك الفعل في بعض أجزائه، اما إذا اتفق الانتباه فيصير حاله كالحالة الاولى قبل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حرمة النوم الأولى إلا مع القصد المحكي عن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اصابتك جنابة في أول الليل فلا بأس ان تنام متعمدا و في نيتك ان تقوم و تغتسل فان غلبك النوم حتى تصبح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إذا لم يعتد الانتباه واضح، و أما إذا اعتاده فهو أيضا لا يجدي في رفع استحقاق العقاب عنه إذا لم يتفق الانتباه، إذ مع التردد و عدم العزم على الفعل لا فرق بين اعتياده للانتباه فإنه إنما يفيد إذا كان علمه بذلك موجبا لعزمه على الفعل بعد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اتفق الانتباه فيصير حاله كالحالة الاولى قبل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حرمة النوم الأولى إلا مع القصد المحكي عن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اصابتك جنابة في أول الليل فلا بأس ان تنام متعمدا و في نيتك ان تقوم و تغتسل فان غلبك العزم حتى يصبح 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بسعة الوقت انما يوجب الرخصة من جهة رجاء إدراك الفعل في بعض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يحدد موضعه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اتفقت النسخ على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الغسل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بسعة الوقت إنّما يوجب الرخصة من جهة رجاء</w:t>
      </w:r>
    </w:p>
    <w:p>
      <w:pPr>
        <w:pStyle w:val="BookText"/>
        <w:rPr/>
      </w:pPr>
      <w:r>
        <w:rPr>
          <w:rFonts w:ascii="Amiri" w:hAnsi="Amiri" w:eastAsia="Amiri" w:cs="Amiri"/>
          <w:color w:val="111111"/>
          <w:sz w:val="28"/>
          <w:sz w:val="28"/>
          <w:szCs w:val="28"/>
          <w:rtl w:val="true"/>
          <w:lang w:bidi="ar-SA"/>
        </w:rPr>
        <w:t>إدراك الفعل في 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إذا لم يعتد الانتباه واضح، و أمّا إذا اعتاده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رفع استحقاق العقاب عنه إذا لم يتّفق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التردد و عدم العزم على الفعل لا فرق بين اعتياده للانتباه و عدمه، فإنّه إنّما يفيد إذا كان علمه بذلك موجبا لعزمه على الفعل بعد الانتباه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اتّفق الانتباه فيصير حاله كالحالة الاولى قبل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النومة الأولى إلّا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أصابتك جنابة في أوّل اللّيل فلا بأس أن تنام متعمدا و في نيّتك أن تقوم و 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فإن غلبك النوم حتّى تصبح فليس عليك شي‌ء</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حرمة النوم الثاني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 على الاغتسال و اعتاد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الاستناد إلى ذكر العقوبة </w:t>
      </w:r>
      <w:r>
        <w:rPr>
          <w:rStyle w:val="FootnoteAnchor"/>
          <w:rtl w:val="true"/>
        </w:rPr>
        <w:footnoteReference w:id="209"/>
      </w:r>
      <w:r>
        <w:rPr>
          <w:rFonts w:ascii="Amiri" w:hAnsi="Amiri" w:eastAsia="Amiri" w:cs="Amiri"/>
          <w:color w:val="111111"/>
          <w:sz w:val="28"/>
          <w:sz w:val="28"/>
          <w:szCs w:val="28"/>
          <w:rtl w:val="true"/>
          <w:lang w:bidi="ar-SA"/>
        </w:rPr>
        <w:t xml:space="preserve">، و صحيحة الحلبي المتقدّمة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المدارك أنّه مذهب الأصحاب </w:t>
      </w:r>
      <w:r>
        <w:rPr>
          <w:rStyle w:val="FootnoteAnchor"/>
          <w:rtl w:val="true"/>
        </w:rPr>
        <w:footnoteReference w:id="211"/>
      </w:r>
      <w:r>
        <w:rPr>
          <w:rFonts w:ascii="IRNazanin" w:hAnsi="IRNazanin" w:eastAsia="IRNazanin"/>
          <w:color w:val="111111"/>
          <w:sz w:val="28"/>
          <w:sz w:val="28"/>
          <w:szCs w:val="28"/>
          <w:rtl w:val="true"/>
          <w:lang w:bidi="fa-IR"/>
        </w:rPr>
        <w:t xml:space="preserve">و عن المنتهى عدم الخلاف </w:t>
      </w:r>
      <w:r>
        <w:rPr>
          <w:rStyle w:val="FootnoteAnchor"/>
          <w:rtl w:val="true"/>
        </w:rPr>
        <w:footnoteReference w:id="212"/>
      </w:r>
      <w:r>
        <w:rPr>
          <w:rFonts w:ascii="Amiri" w:hAnsi="Amiri" w:eastAsia="Amiri" w:cs="Amiri"/>
          <w:color w:val="111111"/>
          <w:sz w:val="28"/>
          <w:sz w:val="28"/>
          <w:szCs w:val="28"/>
          <w:rtl w:val="true"/>
          <w:lang w:bidi="ar-SA"/>
        </w:rPr>
        <w:t xml:space="preserve">و في كلام بعض مشايخنا استفاضة نقل الإجماع عليه </w:t>
      </w:r>
      <w:r>
        <w:rPr>
          <w:rStyle w:val="FootnoteAnchor"/>
          <w:rtl w:val="true"/>
        </w:rPr>
        <w:footnoteReference w:id="213"/>
      </w:r>
      <w:r>
        <w:rPr>
          <w:rFonts w:ascii="Amiri" w:hAnsi="Amiri" w:eastAsia="Amiri" w:cs="Amiri"/>
          <w:color w:val="111111"/>
          <w:sz w:val="28"/>
          <w:sz w:val="28"/>
          <w:szCs w:val="28"/>
          <w:rtl w:val="true"/>
          <w:lang w:bidi="ar-SA"/>
        </w:rPr>
        <w:t xml:space="preserve">و يدلّ عليه صحيحة معاوية بن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يجنب من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اليوم عقوبة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مضمرة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w:t>
      </w:r>
      <w:r>
        <w:rPr>
          <w:rStyle w:val="FootnoteAnchor"/>
          <w:rtl w:val="true"/>
        </w:rPr>
        <w:footnoteReference w:id="215"/>
      </w:r>
      <w:r>
        <w:rPr>
          <w:rFonts w:ascii="Amiri" w:hAnsi="Amiri" w:eastAsia="Amiri" w:cs="Amiri"/>
          <w:color w:val="111111"/>
          <w:sz w:val="28"/>
          <w:sz w:val="28"/>
          <w:szCs w:val="28"/>
          <w:rtl w:val="true"/>
          <w:lang w:bidi="ar-SA"/>
        </w:rPr>
        <w:t>أصابته جنابة في جوف الليل فنام و قد علم بها فلم يستيقظ حتّى يدركه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يومه و يقضي يوما آخر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يجنب في شهر رمضان، ثمّ </w:t>
      </w:r>
      <w:r>
        <w:rPr>
          <w:rStyle w:val="FootnoteAnchor"/>
          <w:rtl w:val="true"/>
        </w:rPr>
        <w:footnoteReference w:id="217"/>
      </w:r>
      <w:r>
        <w:rPr>
          <w:rFonts w:ascii="Amiri" w:hAnsi="Amiri" w:eastAsia="Amiri" w:cs="Amiri"/>
          <w:color w:val="111111"/>
          <w:sz w:val="28"/>
          <w:sz w:val="28"/>
          <w:szCs w:val="28"/>
          <w:rtl w:val="true"/>
          <w:lang w:bidi="ar-SA"/>
        </w:rPr>
        <w:t>يستيقظ، ثمّ ينام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يومه و يقضي يوما، و إن لم يستيقظ حتّى يصبح أتمّ يومه و جاز 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نومة المحتلم التي يحتلم فيها تعدّ </w:t>
      </w:r>
      <w:r>
        <w:rPr>
          <w:rStyle w:val="FootnoteAnchor"/>
          <w:rtl w:val="true"/>
        </w:rPr>
        <w:footnoteReference w:id="219"/>
      </w:r>
      <w:r>
        <w:rPr>
          <w:rFonts w:ascii="Amiri" w:hAnsi="Amiri" w:eastAsia="Amiri" w:cs="Amiri"/>
          <w:color w:val="111111"/>
          <w:sz w:val="28"/>
          <w:sz w:val="28"/>
          <w:szCs w:val="28"/>
          <w:rtl w:val="true"/>
          <w:lang w:bidi="ar-SA"/>
        </w:rPr>
        <w:t xml:space="preserve">نومة اولى، حتّى يكون النوم بعد الاستيقاظ نومة ثانية، أو يقال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المحتلم ليس كالجنب </w:t>
      </w:r>
      <w:r>
        <w:rPr>
          <w:rStyle w:val="FootnoteAnchor"/>
          <w:rtl w:val="true"/>
        </w:rPr>
        <w:footnoteReference w:id="221"/>
      </w:r>
      <w:r>
        <w:rPr>
          <w:rFonts w:ascii="Amiri" w:hAnsi="Amiri" w:eastAsia="Amiri" w:cs="Amiri"/>
          <w:color w:val="111111"/>
          <w:sz w:val="28"/>
          <w:sz w:val="28"/>
          <w:szCs w:val="28"/>
          <w:rtl w:val="true"/>
          <w:lang w:bidi="ar-SA"/>
        </w:rPr>
        <w:t>يقظانا، بل يجب القضاء على المحتلم إذا نام محتلما و استمرّ إلى طلوع الفجر، بخلاف غيره من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فرّق بعض المعاصرين بين المحتلم و غيره بما ذكرنا </w:t>
      </w:r>
      <w:r>
        <w:rPr>
          <w:rStyle w:val="FootnoteAnchor"/>
          <w:rtl w:val="true"/>
        </w:rPr>
        <w:footnoteReference w:id="222"/>
      </w:r>
      <w:r>
        <w:rPr>
          <w:rFonts w:ascii="Amiri" w:hAnsi="Amiri" w:eastAsia="Amiri" w:cs="Amiri"/>
          <w:color w:val="111111"/>
          <w:sz w:val="28"/>
          <w:sz w:val="28"/>
          <w:szCs w:val="28"/>
          <w:rtl w:val="true"/>
          <w:lang w:bidi="ar-SA"/>
        </w:rPr>
        <w:t xml:space="preserve">مستندا إلى تخصيص </w:t>
      </w:r>
      <w:r>
        <w:rPr>
          <w:rStyle w:val="FootnoteAnchor"/>
          <w:rtl w:val="true"/>
        </w:rPr>
        <w:footnoteReference w:id="223"/>
      </w:r>
      <w:r>
        <w:rPr>
          <w:rFonts w:ascii="Amiri" w:hAnsi="Amiri" w:eastAsia="Amiri" w:cs="Amiri"/>
          <w:color w:val="111111"/>
          <w:sz w:val="28"/>
          <w:sz w:val="28"/>
          <w:szCs w:val="28"/>
          <w:rtl w:val="true"/>
          <w:lang w:bidi="ar-SA"/>
        </w:rPr>
        <w:t>عموم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تحريم النومة الثانية،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ظاهرها وجوب القضاء بمطلق النوم للمحتلم و غيره، خرج غيره بمقتضى صحيحة معاوية بن عمّار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غير المحتلم من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الباقي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الحلبي قد نصّ فيها بذكر المحتلم و غيره، فالنوم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على مطلقه فيدلّ على وجوب القضاء بالنومة الأولى فيهما، و إن قيّد بالنوم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ظاهر الصحيحة على ثبوت القضاء فيهما بمطلق </w:t>
      </w:r>
      <w:r>
        <w:rPr>
          <w:rStyle w:val="FootnoteAnchor"/>
          <w:rtl w:val="true"/>
        </w:rPr>
        <w:footnoteReference w:id="226"/>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إلّا بإخراج غير المحتلم عن الصحيحة، و هو غير صحيح، لذكر غير المحتلم </w:t>
      </w:r>
      <w:r>
        <w:rPr>
          <w:rStyle w:val="FootnoteAnchor"/>
          <w:rtl w:val="true"/>
        </w:rPr>
        <w:footnoteReference w:id="227"/>
      </w:r>
      <w:r>
        <w:rPr>
          <w:rFonts w:ascii="Amiri" w:hAnsi="Amiri" w:eastAsia="Amiri" w:cs="Amiri"/>
          <w:color w:val="111111"/>
          <w:sz w:val="28"/>
          <w:sz w:val="28"/>
          <w:szCs w:val="28"/>
          <w:rtl w:val="true"/>
          <w:lang w:bidi="ar-SA"/>
        </w:rPr>
        <w:t>فيها بالنصوصيّة فلا يمكن الإخراج، و إمّا بتقييد النوم فيهما بالنومة الثانية، و المفروض أنّ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Style w:val="FootnoteAnchor"/>
          <w:rtl w:val="true"/>
        </w:rPr>
        <w:footnoteReference w:id="228"/>
      </w:r>
      <w:r>
        <w:rPr>
          <w:rFonts w:ascii="Amiri" w:hAnsi="Amiri" w:eastAsia="Amiri" w:cs="Amiri"/>
          <w:color w:val="111111"/>
          <w:sz w:val="28"/>
          <w:sz w:val="28"/>
          <w:szCs w:val="28"/>
          <w:rtl w:val="true"/>
          <w:lang w:bidi="ar-SA"/>
        </w:rPr>
        <w:t>إلى المحتلم و غيره، فيلزم تخصيص القضاء في كليهما بالنومة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للتفرقة بصحيحة ابن أبي يعفور و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 نحوهما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تصيبه الجنابة في رمضان،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ذلك اليوم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بمعارضتها </w:t>
      </w:r>
      <w:r>
        <w:rPr>
          <w:rStyle w:val="FootnoteAnchor"/>
          <w:rtl w:val="true"/>
        </w:rPr>
        <w:footnoteReference w:id="231"/>
      </w:r>
      <w:r>
        <w:rPr>
          <w:rFonts w:ascii="Amiri" w:hAnsi="Amiri" w:eastAsia="Amiri" w:cs="Amiri"/>
          <w:color w:val="111111"/>
          <w:sz w:val="28"/>
          <w:sz w:val="28"/>
          <w:szCs w:val="28"/>
          <w:rtl w:val="true"/>
          <w:lang w:bidi="ar-SA"/>
        </w:rPr>
        <w:t>بمصحّحة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في شهر رمضان فيحتلم ثمّ يستيقظ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بناء على أنّ السؤال عن حكم النوم المستمرّ إلى الفجر، و أنّه يوجب القضاء أم 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حمل السؤال و الجواب على جواز نوم المحتلم في الليل أو النهار، في مقام دفع التوهّم الناشئ من النهي عنه في بعض الأخبار الناهية عنه ليلا و نهارا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أخبار وجوب القضاء بنومة المحتلم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الفقهاء عدم الفرق بين المحتلم و غيره، إلّا أن يحمل إطلاق </w:t>
      </w:r>
      <w:r>
        <w:rPr>
          <w:rStyle w:val="FootnoteAnchor"/>
          <w:rtl w:val="true"/>
        </w:rPr>
        <w:footnoteReference w:id="233"/>
      </w: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الأوّل 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 المتّصل بالجنابة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كالنومة التي يحتلم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صرّح بأنّ نومة الاحتلام لا تعدّ أوّلا </w:t>
      </w:r>
      <w:r>
        <w:rPr>
          <w:rStyle w:val="FootnoteAnchor"/>
          <w:rtl w:val="true"/>
        </w:rPr>
        <w:footnoteReference w:id="234"/>
      </w:r>
      <w:r>
        <w:rPr>
          <w:rFonts w:ascii="Amiri" w:hAnsi="Amiri" w:eastAsia="Amiri" w:cs="Amiri"/>
          <w:color w:val="111111"/>
          <w:sz w:val="28"/>
          <w:sz w:val="28"/>
          <w:szCs w:val="28"/>
          <w:rtl w:val="true"/>
          <w:lang w:bidi="ar-SA"/>
        </w:rPr>
        <w:t xml:space="preserve">الشهيد الثاني في الروضة </w:t>
      </w:r>
      <w:r>
        <w:rPr>
          <w:rStyle w:val="FootnoteAnchor"/>
          <w:rtl w:val="true"/>
        </w:rPr>
        <w:footnoteReference w:id="235"/>
      </w:r>
      <w:r>
        <w:rPr>
          <w:rFonts w:ascii="Amiri" w:hAnsi="Amiri" w:eastAsia="Amiri" w:cs="Amiri"/>
          <w:color w:val="111111"/>
          <w:sz w:val="28"/>
          <w:sz w:val="28"/>
          <w:szCs w:val="28"/>
          <w:rtl w:val="true"/>
          <w:lang w:bidi="ar-SA"/>
        </w:rPr>
        <w:t xml:space="preserve">و سبطه في المدارك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حكي عن فخر الإسلام في حاشية الإرشاد انّ الانتباه </w:t>
      </w:r>
      <w:r>
        <w:rPr>
          <w:rStyle w:val="FootnoteAnchor"/>
          <w:rtl w:val="true"/>
        </w:rPr>
        <w:footnoteReference w:id="237"/>
      </w:r>
      <w:r>
        <w:rPr>
          <w:rFonts w:ascii="Amiri" w:hAnsi="Amiri" w:eastAsia="Amiri" w:cs="Amiri"/>
          <w:color w:val="111111"/>
          <w:sz w:val="28"/>
          <w:sz w:val="28"/>
          <w:szCs w:val="28"/>
          <w:rtl w:val="true"/>
          <w:lang w:bidi="ar-SA"/>
        </w:rPr>
        <w:t>من الاحتلام و في حال الجماع لا يعدّ من الانتباهتين، بل المعتبر انتباهه بعد نومه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أيّده الفاضل بالنصوص من الفتاوى و الأخبار </w:t>
      </w:r>
      <w:r>
        <w:rPr>
          <w:rStyle w:val="FootnoteAnchor"/>
          <w:rtl w:val="true"/>
        </w:rPr>
        <w:footnoteReference w:id="238"/>
      </w:r>
      <w:r>
        <w:rPr>
          <w:rFonts w:ascii="Amiri" w:hAnsi="Amiri" w:eastAsia="Amiri" w:cs="Amiri"/>
          <w:color w:val="111111"/>
          <w:sz w:val="28"/>
          <w:sz w:val="28"/>
          <w:szCs w:val="28"/>
          <w:rtl w:val="true"/>
          <w:lang w:bidi="ar-SA"/>
        </w:rPr>
        <w:t xml:space="preserve">، فإنّ الحكم إنّما علّق على النوم ثلاثا يتخلّلها انتباهتان بعد الجنابة، قال </w:t>
      </w:r>
      <w:r>
        <w:rPr>
          <w:rStyle w:val="FootnoteAnchor"/>
          <w:rtl w:val="true"/>
        </w:rPr>
        <w:footnoteReference w:id="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أجنب في النوم و لم ينتبه بالاحتلام ثم انتبه، فالظاهر انّه </w:t>
      </w:r>
      <w:r>
        <w:rPr>
          <w:rStyle w:val="FootnoteAnchor"/>
          <w:rtl w:val="true"/>
        </w:rPr>
        <w:footnoteReference w:id="240"/>
      </w:r>
      <w:r>
        <w:rPr>
          <w:rFonts w:ascii="Amiri" w:hAnsi="Amiri" w:eastAsia="Amiri" w:cs="Amiri"/>
          <w:color w:val="111111"/>
          <w:sz w:val="28"/>
          <w:sz w:val="28"/>
          <w:szCs w:val="28"/>
          <w:rtl w:val="true"/>
          <w:lang w:bidi="ar-SA"/>
        </w:rPr>
        <w:t xml:space="preserve">غير معدود، و إنّما المعدود ما بعد العلم بالجنابة </w:t>
      </w:r>
      <w:r>
        <w:rPr>
          <w:rStyle w:val="FootnoteAnchor"/>
          <w:rtl w:val="true"/>
        </w:rPr>
        <w:footnoteReference w:id="241"/>
      </w:r>
      <w:r>
        <w:rPr>
          <w:rFonts w:ascii="Amiri" w:hAnsi="Amiri" w:eastAsia="Amiri" w:cs="Amiri"/>
          <w:color w:val="111111"/>
          <w:sz w:val="28"/>
          <w:sz w:val="28"/>
          <w:szCs w:val="28"/>
          <w:rtl w:val="true"/>
          <w:lang w:bidi="ar-SA"/>
        </w:rPr>
        <w:t>، كما هو نصّ</w:t>
      </w:r>
    </w:p>
    <w:p>
      <w:pPr>
        <w:pStyle w:val="BookText"/>
        <w:rPr/>
      </w:pPr>
      <w:r>
        <w:rPr>
          <w:rFonts w:ascii="IRNazanin" w:hAnsi="IRNazanin" w:eastAsia="IRNazanin"/>
          <w:color w:val="111111"/>
          <w:sz w:val="28"/>
          <w:sz w:val="28"/>
          <w:szCs w:val="28"/>
          <w:rtl w:val="true"/>
          <w:lang w:bidi="fa-IR"/>
        </w:rPr>
        <w:t xml:space="preserve">الشارع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النصوص، فقد عرفت أنّ ظاهرها كون النومة بعد الانتباه محتلما موجبا للقضاء، و أمّا الفتاوى فكما ذكره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احتمال كون النومة الأولى للجنب موجبا للقضاء، لأنّه بعد انتباه و علم بالجنابة، بخلاف نوم المحتلم إذا أصبح به، فهو خلاف ظاهر النصوص و الفتاوى</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النوم الثالث و الرابع في حكم النوم الثاني في وجوب القضاء، و لا يهدم العدد بتجديد الجنابة بعد ما عدا النومة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ثبوت الكفّارة في النوم الثالث، فإنّ ظاهر المشهور ثبوتها فيه، بل عن الغنية </w:t>
      </w:r>
      <w:r>
        <w:rPr>
          <w:rStyle w:val="FootnoteAnchor"/>
          <w:rtl w:val="true"/>
        </w:rPr>
        <w:footnoteReference w:id="245"/>
      </w:r>
      <w:r>
        <w:rPr>
          <w:rFonts w:ascii="Amiri" w:hAnsi="Amiri" w:eastAsia="Amiri" w:cs="Amiri"/>
          <w:color w:val="111111"/>
          <w:sz w:val="28"/>
          <w:sz w:val="28"/>
          <w:szCs w:val="28"/>
          <w:rtl w:val="true"/>
          <w:lang w:bidi="ar-SA"/>
        </w:rPr>
        <w:t xml:space="preserve">و الوسيلة </w:t>
      </w:r>
      <w:r>
        <w:rPr>
          <w:rStyle w:val="FootnoteAnchor"/>
          <w:rtl w:val="true"/>
        </w:rPr>
        <w:footnoteReference w:id="246"/>
      </w:r>
      <w:r>
        <w:rPr>
          <w:rFonts w:ascii="IRNazanin" w:hAnsi="IRNazanin" w:eastAsia="IRNazanin"/>
          <w:color w:val="111111"/>
          <w:sz w:val="28"/>
          <w:sz w:val="28"/>
          <w:szCs w:val="28"/>
          <w:rtl w:val="true"/>
          <w:lang w:bidi="fa-IR"/>
        </w:rPr>
        <w:t xml:space="preserve">و الخلاف </w:t>
      </w:r>
      <w:r>
        <w:rPr>
          <w:rStyle w:val="FootnoteAnchor"/>
          <w:rtl w:val="true"/>
        </w:rPr>
        <w:footnoteReference w:id="247"/>
      </w:r>
      <w:r>
        <w:rPr>
          <w:rFonts w:ascii="Amiri" w:hAnsi="Amiri" w:eastAsia="Amiri" w:cs="Amiri"/>
          <w:color w:val="111111"/>
          <w:sz w:val="28"/>
          <w:sz w:val="28"/>
          <w:szCs w:val="28"/>
          <w:rtl w:val="true"/>
          <w:lang w:bidi="ar-SA"/>
        </w:rPr>
        <w:t xml:space="preserve">و غيرها </w:t>
      </w:r>
      <w:r>
        <w:rPr>
          <w:rStyle w:val="FootnoteAnchor"/>
          <w:rtl w:val="true"/>
        </w:rPr>
        <w:footnoteReference w:id="248"/>
      </w:r>
      <w:r>
        <w:rPr>
          <w:rFonts w:ascii="Amiri" w:hAnsi="Amiri" w:eastAsia="Amiri" w:cs="Amiri"/>
          <w:color w:val="111111"/>
          <w:sz w:val="28"/>
          <w:sz w:val="28"/>
          <w:szCs w:val="28"/>
          <w:rtl w:val="true"/>
          <w:lang w:bidi="ar-SA"/>
        </w:rPr>
        <w:t xml:space="preserve">دعوى الإجماع، إلّا أنّه لا دليل عليه كما اعترف به في الروضة </w:t>
      </w:r>
      <w:r>
        <w:rPr>
          <w:rStyle w:val="FootnoteAnchor"/>
          <w:rtl w:val="true"/>
        </w:rPr>
        <w:footnoteReference w:id="249"/>
      </w:r>
      <w:r>
        <w:rPr>
          <w:rFonts w:ascii="Amiri" w:hAnsi="Amiri" w:eastAsia="Amiri" w:cs="Amiri"/>
          <w:color w:val="111111"/>
          <w:sz w:val="28"/>
          <w:sz w:val="28"/>
          <w:szCs w:val="28"/>
          <w:rtl w:val="true"/>
          <w:lang w:bidi="ar-SA"/>
        </w:rPr>
        <w:t xml:space="preserve">و غيرها، عدا ما استدلّ به الشيخ من رواية المروزي </w:t>
      </w:r>
      <w:r>
        <w:rPr>
          <w:rStyle w:val="FootnoteAnchor"/>
          <w:rtl w:val="true"/>
        </w:rPr>
        <w:footnoteReference w:id="250"/>
      </w:r>
      <w:r>
        <w:rPr>
          <w:rFonts w:ascii="Amiri" w:hAnsi="Amiri" w:eastAsia="Amiri" w:cs="Amiri"/>
          <w:color w:val="111111"/>
          <w:sz w:val="28"/>
          <w:sz w:val="28"/>
          <w:szCs w:val="28"/>
          <w:rtl w:val="true"/>
          <w:lang w:bidi="ar-SA"/>
        </w:rPr>
        <w:t xml:space="preserve">و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Style w:val="FootnoteAnchor"/>
          <w:rtl w:val="true"/>
        </w:rPr>
        <w:footnoteReference w:id="251"/>
      </w:r>
      <w:r>
        <w:rPr>
          <w:rFonts w:ascii="Amiri" w:hAnsi="Amiri" w:eastAsia="Amiri" w:cs="Amiri"/>
          <w:color w:val="111111"/>
          <w:sz w:val="28"/>
          <w:sz w:val="28"/>
          <w:szCs w:val="28"/>
          <w:rtl w:val="true"/>
          <w:lang w:bidi="ar-SA"/>
        </w:rPr>
        <w:t xml:space="preserve">و رواية أبي بصير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مسألة تعمّد البقاء على الجنابة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اختصاص الثالثة بمن تركه متعمّدا، و إن كانتا مطلقتين في النوم إلّا أنّ التمسك بإطلاقهما و ارتكاب خروج النومة</w:t>
      </w:r>
    </w:p>
    <w:p>
      <w:pPr>
        <w:pStyle w:val="BookText"/>
        <w:rPr/>
      </w:pPr>
      <w:r>
        <w:rPr>
          <w:rFonts w:ascii="Amiri" w:hAnsi="Amiri" w:eastAsia="Amiri" w:cs="Amiri"/>
          <w:color w:val="111111"/>
          <w:sz w:val="28"/>
          <w:sz w:val="28"/>
          <w:szCs w:val="28"/>
          <w:rtl w:val="true"/>
          <w:lang w:bidi="ar-SA"/>
        </w:rPr>
        <w:t>الاولى و الثانية ليس بأولى من تقييدهما بالنوم معرضا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النومة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المرسلة آبية عن الحمل على ما عدا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Style w:val="FootnoteAnchor"/>
          <w:rtl w:val="true"/>
        </w:rPr>
        <w:footnoteReference w:id="254"/>
      </w: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255"/>
      </w:r>
      <w:r>
        <w:rPr>
          <w:rFonts w:ascii="Amiri" w:hAnsi="Amiri" w:eastAsia="Amiri" w:cs="Amiri"/>
          <w:color w:val="111111"/>
          <w:sz w:val="28"/>
          <w:sz w:val="28"/>
          <w:szCs w:val="28"/>
          <w:rtl w:val="true"/>
          <w:lang w:bidi="ar-SA"/>
        </w:rPr>
        <w:t xml:space="preserve">و جماعة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يجري في النوم عن غسل الحيض و النفاس و الاستحاضة ما يجري في النوم على الجنابة من الأقسام الثلاثة؟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 إن كان الجريان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يجري النسيان عن غسل الجنابة مع الاستيقاظ مجرى النوم عنه في الأحكام و الأقسام؟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إيصال الغبار الغليظ إلى الحلق على المشهور، بل لم يعلم مصرّح بالخلاف فيه إلى زمان بعض متأخّري المتأخّرين، كما اعترف به في الرياض </w:t>
      </w:r>
      <w:r>
        <w:rPr>
          <w:rStyle w:val="FootnoteAnchor"/>
          <w:rtl w:val="true"/>
        </w:rPr>
        <w:footnoteReference w:id="257"/>
      </w:r>
      <w:r>
        <w:rPr>
          <w:rFonts w:ascii="Amiri" w:hAnsi="Amiri" w:eastAsia="Amiri" w:cs="Amiri"/>
          <w:color w:val="111111"/>
          <w:sz w:val="28"/>
          <w:sz w:val="28"/>
          <w:szCs w:val="28"/>
          <w:rtl w:val="true"/>
          <w:lang w:bidi="ar-SA"/>
        </w:rPr>
        <w:t xml:space="preserve">، بل يظهر من الروضة تحقّق الإجماع عليه، حيث جعل الحكم بوجوب القضاء و الكفّارة له قطعيا، ثمّ جعل وجوبهما </w:t>
      </w:r>
      <w:r>
        <w:rPr>
          <w:rStyle w:val="FootnoteAnchor"/>
          <w:rtl w:val="true"/>
        </w:rPr>
        <w:footnoteReference w:id="258"/>
      </w:r>
      <w:r>
        <w:rPr>
          <w:rFonts w:ascii="Amiri" w:hAnsi="Amiri" w:eastAsia="Amiri" w:cs="Amiri"/>
          <w:color w:val="111111"/>
          <w:sz w:val="28"/>
          <w:sz w:val="28"/>
          <w:szCs w:val="28"/>
          <w:rtl w:val="true"/>
          <w:lang w:bidi="ar-SA"/>
        </w:rPr>
        <w:t xml:space="preserve">لمعاودة النوم جنبا بعد انتباهتين مشهوريّا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الظاهر من الدروس </w:t>
      </w:r>
      <w:r>
        <w:rPr>
          <w:rStyle w:val="FootnoteAnchor"/>
          <w:rtl w:val="true"/>
        </w:rPr>
        <w:footnoteReference w:id="260"/>
      </w:r>
      <w:r>
        <w:rPr>
          <w:rFonts w:ascii="Amiri" w:hAnsi="Amiri" w:eastAsia="Amiri" w:cs="Amiri"/>
          <w:color w:val="111111"/>
          <w:sz w:val="28"/>
          <w:sz w:val="28"/>
          <w:szCs w:val="28"/>
          <w:rtl w:val="true"/>
          <w:lang w:bidi="ar-SA"/>
        </w:rPr>
        <w:t>حيث ذكر جميع ما اختلف في وجوب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لم يذكر في الغبار خلافا، و يشمله ظاهر </w:t>
      </w:r>
      <w:r>
        <w:rPr>
          <w:rStyle w:val="FootnoteAnchor"/>
          <w:rtl w:val="true"/>
        </w:rPr>
        <w:footnoteReference w:id="261"/>
      </w:r>
      <w:r>
        <w:rPr>
          <w:rFonts w:ascii="Amiri" w:hAnsi="Amiri" w:eastAsia="Amiri" w:cs="Amiri"/>
          <w:color w:val="111111"/>
          <w:sz w:val="28"/>
          <w:sz w:val="28"/>
          <w:szCs w:val="28"/>
          <w:rtl w:val="true"/>
          <w:lang w:bidi="ar-SA"/>
        </w:rPr>
        <w:t xml:space="preserve">ما تقدّم من دعوى الإجماع عن الناصرية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الغنية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الإفساد بكلّ ما يصل إلى جوف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التنقيح </w:t>
      </w:r>
      <w:r>
        <w:rPr>
          <w:rStyle w:val="FootnoteAnchor"/>
          <w:rtl w:val="true"/>
        </w:rPr>
        <w:footnoteReference w:id="264"/>
      </w:r>
      <w:r>
        <w:rPr>
          <w:rFonts w:ascii="IRNazanin" w:hAnsi="IRNazanin" w:eastAsia="IRNazanin"/>
          <w:color w:val="111111"/>
          <w:sz w:val="28"/>
          <w:sz w:val="28"/>
          <w:szCs w:val="28"/>
          <w:rtl w:val="true"/>
          <w:lang w:bidi="fa-IR"/>
        </w:rPr>
        <w:t xml:space="preserve">و السرائر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الحكاية عن نهج الحق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عن التذكرة نسبة الخلاف إلى الجمهور </w:t>
      </w:r>
      <w:r>
        <w:rPr>
          <w:rStyle w:val="FootnoteAnchor"/>
          <w:rtl w:val="true"/>
        </w:rPr>
        <w:footnoteReference w:id="267"/>
      </w:r>
      <w:r>
        <w:rPr>
          <w:rFonts w:ascii="Amiri" w:hAnsi="Amiri" w:eastAsia="Amiri" w:cs="Amiri"/>
          <w:color w:val="111111"/>
          <w:sz w:val="28"/>
          <w:sz w:val="28"/>
          <w:szCs w:val="28"/>
          <w:rtl w:val="true"/>
          <w:lang w:bidi="ar-SA"/>
        </w:rPr>
        <w:t>المشعرة بعدم الخلاف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الظاهر </w:t>
      </w:r>
      <w:r>
        <w:rPr>
          <w:rStyle w:val="FootnoteAnchor"/>
          <w:rtl w:val="true"/>
        </w:rPr>
        <w:footnoteReference w:id="268"/>
      </w:r>
      <w:r>
        <w:rPr>
          <w:rFonts w:ascii="Amiri" w:hAnsi="Amiri" w:eastAsia="Amiri" w:cs="Amiri"/>
          <w:color w:val="111111"/>
          <w:sz w:val="28"/>
          <w:sz w:val="28"/>
          <w:szCs w:val="28"/>
          <w:rtl w:val="true"/>
          <w:lang w:bidi="ar-SA"/>
        </w:rPr>
        <w:t xml:space="preserve">عدم صحّة سلب الأكل عنه </w:t>
      </w:r>
      <w:r>
        <w:rPr>
          <w:rStyle w:val="FootnoteAnchor"/>
          <w:rtl w:val="true"/>
        </w:rPr>
        <w:footnoteReference w:id="269"/>
      </w:r>
      <w:r>
        <w:rPr>
          <w:rFonts w:ascii="Amiri" w:hAnsi="Amiri" w:eastAsia="Amiri" w:cs="Amiri"/>
          <w:color w:val="111111"/>
          <w:sz w:val="28"/>
          <w:sz w:val="28"/>
          <w:szCs w:val="28"/>
          <w:rtl w:val="true"/>
          <w:lang w:bidi="ar-SA"/>
        </w:rPr>
        <w:t xml:space="preserve">، إلّا أنّه </w:t>
      </w:r>
      <w:r>
        <w:rPr>
          <w:rStyle w:val="FootnoteAnchor"/>
          <w:rtl w:val="true"/>
        </w:rPr>
        <w:footnoteReference w:id="270"/>
      </w:r>
      <w:r>
        <w:rPr>
          <w:rFonts w:ascii="Amiri" w:hAnsi="Amiri" w:eastAsia="Amiri" w:cs="Amiri"/>
          <w:color w:val="111111"/>
          <w:sz w:val="28"/>
          <w:sz w:val="28"/>
          <w:szCs w:val="28"/>
          <w:rtl w:val="true"/>
          <w:lang w:bidi="ar-SA"/>
        </w:rPr>
        <w:t xml:space="preserve">أكل غير معتاد، و إن كان المأكول معتادا، و قد عرفت العموم في الأكل و المأكول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يأتي على مذهب السيد </w:t>
      </w:r>
      <w:r>
        <w:rPr>
          <w:rStyle w:val="FootnoteAnchor"/>
          <w:rtl w:val="true"/>
        </w:rPr>
        <w:footnoteReference w:id="272"/>
      </w:r>
      <w:r>
        <w:rPr>
          <w:rFonts w:ascii="Amiri" w:hAnsi="Amiri" w:eastAsia="Amiri" w:cs="Amiri"/>
          <w:color w:val="111111"/>
          <w:sz w:val="28"/>
          <w:sz w:val="28"/>
          <w:szCs w:val="28"/>
          <w:rtl w:val="true"/>
          <w:lang w:bidi="ar-SA"/>
        </w:rPr>
        <w:t xml:space="preserve">و الإسكافي </w:t>
      </w:r>
      <w:r>
        <w:rPr>
          <w:rStyle w:val="FootnoteAnchor"/>
          <w:rtl w:val="true"/>
        </w:rPr>
        <w:footnoteReference w:id="273"/>
      </w:r>
      <w:r>
        <w:rPr>
          <w:rFonts w:ascii="Amiri" w:hAnsi="Amiri" w:eastAsia="Amiri" w:cs="Amiri"/>
          <w:color w:val="111111"/>
          <w:sz w:val="28"/>
          <w:sz w:val="28"/>
          <w:szCs w:val="28"/>
          <w:rtl w:val="true"/>
          <w:lang w:bidi="ar-SA"/>
        </w:rPr>
        <w:t>المنع عن إفساده لو كان ممّا لا يؤكل عادة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 ينجبر سندا و دلالة مضمرة سليمان الجعفري أو المروزي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تمضمض الصائم أو استنشق متعمّدا أو شمّ رائحة غليظة أو كنس بيتا، فدخل في أنفه و حلقه غبار، فعليه صوم شهرين متتابعين، فإنّ ذلك له فطر </w:t>
      </w:r>
      <w:r>
        <w:rPr>
          <w:rStyle w:val="FootnoteAnchor"/>
          <w:rtl w:val="true"/>
        </w:rPr>
        <w:footnoteReference w:id="275"/>
      </w:r>
      <w:r>
        <w:rPr>
          <w:rFonts w:ascii="Amiri" w:hAnsi="Amiri" w:eastAsia="Amiri" w:cs="Amiri"/>
          <w:color w:val="111111"/>
          <w:sz w:val="28"/>
          <w:sz w:val="28"/>
          <w:szCs w:val="28"/>
          <w:rtl w:val="true"/>
          <w:lang w:bidi="ar-SA"/>
        </w:rPr>
        <w:t>مثل الأكل و الشرب و النكاح</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قدحه، إغماضا عن القرائن، و عن كون الباعث عليه غالبا تقطيع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بعد الانجبار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الانجبار مختصّ بما نسب إلى الإمام عليه السلام حتّى يسمّى خبرا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الطعن في دلالتها باشتمالها على ما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الكفّارة بمجرّد المضمضة و الاستنشاق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شمّ رائحة، لجواز تقييد المضمضة و الاستنشاق</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بما إذا كان على وجه عدم التحفّظ فدخل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شمّ الرائحة الغليظة، فقد حكي </w:t>
      </w:r>
      <w:r>
        <w:rPr>
          <w:rStyle w:val="FootnoteAnchor"/>
          <w:rtl w:val="true"/>
        </w:rPr>
        <w:footnoteReference w:id="279"/>
      </w:r>
      <w:r>
        <w:rPr>
          <w:rFonts w:ascii="Amiri" w:hAnsi="Amiri" w:eastAsia="Amiri" w:cs="Amiri"/>
          <w:color w:val="111111"/>
          <w:sz w:val="28"/>
          <w:sz w:val="28"/>
          <w:szCs w:val="28"/>
          <w:rtl w:val="true"/>
          <w:lang w:bidi="ar-SA"/>
        </w:rPr>
        <w:t xml:space="preserve">عن المفيد </w:t>
      </w:r>
      <w:r>
        <w:rPr>
          <w:rStyle w:val="FootnoteAnchor"/>
          <w:rtl w:val="true"/>
        </w:rPr>
        <w:footnoteReference w:id="280"/>
      </w:r>
      <w:r>
        <w:rPr>
          <w:rFonts w:ascii="Amiri" w:hAnsi="Amiri" w:eastAsia="Amiri" w:cs="Amiri"/>
          <w:color w:val="111111"/>
          <w:sz w:val="28"/>
          <w:sz w:val="28"/>
          <w:szCs w:val="28"/>
          <w:rtl w:val="true"/>
          <w:lang w:bidi="ar-SA"/>
        </w:rPr>
        <w:t xml:space="preserve">و القاضي </w:t>
      </w:r>
      <w:r>
        <w:rPr>
          <w:rStyle w:val="FootnoteAnchor"/>
          <w:rtl w:val="true"/>
        </w:rPr>
        <w:footnoteReference w:id="281"/>
      </w:r>
      <w:r>
        <w:rPr>
          <w:rFonts w:ascii="Amiri" w:hAnsi="Amiri" w:eastAsia="Amiri" w:cs="Amiri"/>
          <w:color w:val="111111"/>
          <w:sz w:val="28"/>
          <w:sz w:val="28"/>
          <w:szCs w:val="28"/>
          <w:rtl w:val="true"/>
          <w:lang w:bidi="ar-SA"/>
        </w:rPr>
        <w:t xml:space="preserve">وجوب القضاء و الكفّارة به </w:t>
      </w:r>
      <w:r>
        <w:rPr>
          <w:rStyle w:val="FootnoteAnchor"/>
          <w:rtl w:val="true"/>
        </w:rPr>
        <w:footnoteReference w:id="282"/>
      </w:r>
      <w:r>
        <w:rPr>
          <w:rFonts w:ascii="Amiri" w:hAnsi="Amiri" w:eastAsia="Amiri" w:cs="Amiri"/>
          <w:color w:val="111111"/>
          <w:sz w:val="28"/>
          <w:sz w:val="28"/>
          <w:szCs w:val="28"/>
          <w:rtl w:val="true"/>
          <w:lang w:bidi="ar-SA"/>
        </w:rPr>
        <w:t xml:space="preserve">إذا وصل إلى الحلق، بل الشيخ ادّعى وجود الرواية </w:t>
      </w:r>
      <w:r>
        <w:rPr>
          <w:rStyle w:val="FootnoteAnchor"/>
          <w:rtl w:val="true"/>
        </w:rPr>
        <w:footnoteReference w:id="283"/>
      </w:r>
      <w:r>
        <w:rPr>
          <w:rFonts w:ascii="Amiri" w:hAnsi="Amiri" w:eastAsia="Amiri" w:cs="Amiri"/>
          <w:color w:val="111111"/>
          <w:sz w:val="28"/>
          <w:sz w:val="28"/>
          <w:szCs w:val="28"/>
          <w:rtl w:val="true"/>
          <w:lang w:bidi="ar-SA"/>
        </w:rPr>
        <w:t xml:space="preserve">بذلك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كنس البيت فهو محمول على ما إذا لم يتحفّظ عن الغبار، و وقف في</w:t>
      </w:r>
    </w:p>
    <w:p>
      <w:pPr>
        <w:pStyle w:val="BookText"/>
        <w:rPr/>
      </w:pPr>
      <w:r>
        <w:rPr>
          <w:rFonts w:ascii="Amiri" w:hAnsi="Amiri" w:eastAsia="Amiri" w:cs="Amiri"/>
          <w:color w:val="111111"/>
          <w:sz w:val="28"/>
          <w:sz w:val="28"/>
          <w:szCs w:val="28"/>
          <w:rtl w:val="true"/>
          <w:lang w:bidi="ar-SA"/>
        </w:rPr>
        <w:t>معرض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سقوط جزء من الرواية عن الحجّية </w:t>
      </w:r>
      <w:r>
        <w:rPr>
          <w:rStyle w:val="FootnoteAnchor"/>
          <w:rtl w:val="true"/>
        </w:rPr>
        <w:footnoteReference w:id="285"/>
      </w:r>
      <w:r>
        <w:rPr>
          <w:rFonts w:ascii="Amiri" w:hAnsi="Amiri" w:eastAsia="Amiri" w:cs="Amiri"/>
          <w:color w:val="111111"/>
          <w:sz w:val="28"/>
          <w:sz w:val="28"/>
          <w:szCs w:val="28"/>
          <w:rtl w:val="true"/>
          <w:lang w:bidi="ar-SA"/>
        </w:rPr>
        <w:t>لا يوجب سقوط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معارضته بالرواية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عن الصائم يدخل الغبار في حلقه؟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فلا دلالة فيه، لاحتمال أن يراد به الدخول لا </w:t>
      </w:r>
      <w:r>
        <w:rPr>
          <w:rStyle w:val="FootnoteAnchor"/>
          <w:rtl w:val="true"/>
        </w:rPr>
        <w:footnoteReference w:id="288"/>
      </w:r>
      <w:r>
        <w:rPr>
          <w:rFonts w:ascii="Amiri" w:hAnsi="Amiri" w:eastAsia="Amiri" w:cs="Amiri"/>
          <w:color w:val="111111"/>
          <w:sz w:val="28"/>
          <w:sz w:val="28"/>
          <w:szCs w:val="28"/>
          <w:rtl w:val="true"/>
          <w:lang w:bidi="ar-SA"/>
        </w:rPr>
        <w:t>على وجه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فيكفي في المسألة مثل هذه الرواية إذا انجبرت بفتوى جمهور </w:t>
      </w:r>
      <w:r>
        <w:rPr>
          <w:rStyle w:val="FootnoteAnchor"/>
          <w:rtl w:val="true"/>
        </w:rPr>
        <w:footnoteReference w:id="289"/>
      </w:r>
      <w:r>
        <w:rPr>
          <w:rFonts w:ascii="Amiri" w:hAnsi="Amiri" w:eastAsia="Amiri" w:cs="Amiri"/>
          <w:color w:val="111111"/>
          <w:sz w:val="28"/>
          <w:sz w:val="28"/>
          <w:szCs w:val="28"/>
          <w:rtl w:val="true"/>
          <w:lang w:bidi="ar-SA"/>
        </w:rPr>
        <w:t>الأساطين من القدماء و المتأخّرين، و إن 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خلافا </w:t>
      </w:r>
      <w:r>
        <w:rPr>
          <w:rStyle w:val="FootnoteAnchor"/>
          <w:rtl w:val="true"/>
        </w:rPr>
        <w:footnoteReference w:id="290"/>
      </w:r>
      <w:r>
        <w:rPr>
          <w:rFonts w:ascii="Amiri" w:hAnsi="Amiri" w:eastAsia="Amiri" w:cs="Amiri"/>
          <w:color w:val="111111"/>
          <w:sz w:val="28"/>
          <w:sz w:val="28"/>
          <w:szCs w:val="28"/>
          <w:rtl w:val="true"/>
          <w:lang w:bidi="ar-SA"/>
        </w:rPr>
        <w:t>، لكن الظاهر أنّ المخالف فيه من لا يرى الفساد بأكل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w:t>
      </w:r>
      <w:r>
        <w:rPr>
          <w:rStyle w:val="FootnoteAnchor"/>
          <w:rtl w:val="true"/>
        </w:rPr>
        <w:footnoteReference w:id="291"/>
      </w:r>
      <w:r>
        <w:rPr>
          <w:rFonts w:ascii="Amiri" w:hAnsi="Amiri" w:eastAsia="Amiri" w:cs="Amiri"/>
          <w:color w:val="111111"/>
          <w:sz w:val="28"/>
          <w:sz w:val="28"/>
          <w:szCs w:val="28"/>
          <w:rtl w:val="true"/>
          <w:lang w:bidi="ar-SA"/>
        </w:rPr>
        <w:t xml:space="preserve">و الإسكافي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الرواية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تردّد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المعتبر </w:t>
      </w:r>
      <w:r>
        <w:rPr>
          <w:rStyle w:val="FootnoteAnchor"/>
          <w:rtl w:val="true"/>
        </w:rPr>
        <w:footnoteReference w:id="295"/>
      </w:r>
      <w:r>
        <w:rPr>
          <w:rFonts w:ascii="Amiri" w:hAnsi="Amiri" w:eastAsia="Amiri" w:cs="Amiri"/>
          <w:color w:val="111111"/>
          <w:sz w:val="28"/>
          <w:sz w:val="28"/>
          <w:szCs w:val="28"/>
          <w:rtl w:val="true"/>
          <w:lang w:bidi="ar-SA"/>
        </w:rPr>
        <w:t>من جهة ضعف الرواية، و من جهة منع كونه كابتلاع الحصى و البرد، و كلا الوجهين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w:t>
      </w:r>
    </w:p>
    <w:p>
      <w:pPr>
        <w:pStyle w:val="BookText"/>
        <w:rPr/>
      </w:pPr>
      <w:r>
        <w:rPr>
          <w:rFonts w:ascii="Amiri" w:hAnsi="Amiri" w:eastAsia="Amiri" w:cs="Amiri"/>
          <w:color w:val="111111"/>
          <w:sz w:val="28"/>
          <w:sz w:val="28"/>
          <w:szCs w:val="28"/>
          <w:rtl w:val="true"/>
          <w:lang w:bidi="ar-SA"/>
        </w:rPr>
        <w:t xml:space="preserve">مال أخيرا في بيان ما يوجب القضاء و الكفّارة إلى ثبوتهما فيه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التقيّ وجوب القضاء فيه خاصة</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حكاه الشيخ عن بعض أصحابنا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الحلّي متمسّكا بأنّ القضاء مجمع عليه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299"/>
      </w:r>
      <w:r>
        <w:rPr>
          <w:rFonts w:ascii="IRNazanin" w:hAnsi="IRNazanin" w:eastAsia="IRNazanin"/>
          <w:color w:val="111111"/>
          <w:sz w:val="28"/>
          <w:sz w:val="28"/>
          <w:szCs w:val="28"/>
          <w:rtl w:val="true"/>
          <w:lang w:bidi="fa-IR"/>
        </w:rPr>
        <w:t xml:space="preserve">خلاف </w:t>
      </w:r>
      <w:r>
        <w:rPr>
          <w:rStyle w:val="FootnoteAnchor"/>
          <w:rtl w:val="true"/>
        </w:rPr>
        <w:footnoteReference w:id="300"/>
      </w:r>
      <w:r>
        <w:rPr>
          <w:rFonts w:ascii="Amiri" w:hAnsi="Amiri" w:eastAsia="Amiri" w:cs="Amiri"/>
          <w:color w:val="111111"/>
          <w:sz w:val="28"/>
          <w:sz w:val="28"/>
          <w:szCs w:val="28"/>
          <w:rtl w:val="true"/>
          <w:lang w:bidi="ar-SA"/>
        </w:rPr>
        <w:t>و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تقييد الغبار بالغليظ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المصنّف قدّس سرّه </w:t>
      </w:r>
      <w:r>
        <w:rPr>
          <w:rStyle w:val="FootnoteAnchor"/>
          <w:rtl w:val="true"/>
        </w:rPr>
        <w:footnoteReference w:id="301"/>
      </w:r>
      <w:r>
        <w:rPr>
          <w:rFonts w:ascii="Amiri" w:hAnsi="Amiri" w:eastAsia="Amiri" w:cs="Amiri"/>
          <w:color w:val="111111"/>
          <w:sz w:val="28"/>
          <w:sz w:val="28"/>
          <w:szCs w:val="28"/>
          <w:rtl w:val="true"/>
          <w:lang w:bidi="ar-SA"/>
        </w:rPr>
        <w:t xml:space="preserve">بل في الغنائم كما عن غيره نسبته إلى الأكثر </w:t>
      </w:r>
      <w:r>
        <w:rPr>
          <w:rStyle w:val="FootnoteAnchor"/>
          <w:rtl w:val="true"/>
        </w:rPr>
        <w:footnoteReference w:id="302"/>
      </w:r>
      <w:r>
        <w:rPr>
          <w:rFonts w:ascii="Amiri" w:hAnsi="Amiri" w:eastAsia="Amiri" w:cs="Amiri"/>
          <w:color w:val="111111"/>
          <w:sz w:val="28"/>
          <w:sz w:val="28"/>
          <w:szCs w:val="28"/>
          <w:rtl w:val="true"/>
          <w:lang w:bidi="ar-SA"/>
        </w:rPr>
        <w:t xml:space="preserve">، و عدمه كما هو صريح بعض، و بالغ فيه الشهيد الثاني حتّى نفى الوجه في التقييد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 الأقوى التقييد، لأنّه المتيقّن من الإجماعات و الشهرة، مع عدم صدق الأكل في غيره؛ و إلّا لفسد الصوم بإيصال مطلق الهواء الكدر المخلوط بالأجزاء الأرضيّة؛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أكل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الدقيق</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بخلاف ما إذا كان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عملنا بإطلاق الرواية </w:t>
      </w:r>
      <w:r>
        <w:rPr>
          <w:rStyle w:val="FootnoteAnchor"/>
          <w:rtl w:val="true"/>
        </w:rPr>
        <w:footnoteReference w:id="305"/>
      </w:r>
      <w:r>
        <w:rPr>
          <w:rFonts w:ascii="Amiri" w:hAnsi="Amiri" w:eastAsia="Amiri" w:cs="Amiri"/>
          <w:color w:val="111111"/>
          <w:sz w:val="28"/>
          <w:sz w:val="28"/>
          <w:szCs w:val="28"/>
          <w:rtl w:val="true"/>
          <w:lang w:bidi="ar-SA"/>
        </w:rPr>
        <w:t>كان المتّجه الإطلاق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الدخان الغليظ، ففي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المتأخّرين ألحقوه بالغبار، و استبعده </w:t>
      </w:r>
      <w:r>
        <w:rPr>
          <w:rStyle w:val="FootnoteAnchor"/>
          <w:rtl w:val="true"/>
        </w:rPr>
        <w:footnoteReference w:id="306"/>
      </w:r>
      <w:r>
        <w:rPr>
          <w:rFonts w:ascii="Amiri" w:hAnsi="Amiri" w:eastAsia="Amiri" w:cs="Amiri"/>
          <w:color w:val="111111"/>
          <w:sz w:val="28"/>
          <w:sz w:val="28"/>
          <w:szCs w:val="28"/>
          <w:rtl w:val="true"/>
          <w:lang w:bidi="ar-SA"/>
        </w:rPr>
        <w:t xml:space="preserve">تبعا للمحكيّ عن التنقيح </w:t>
      </w:r>
      <w:r>
        <w:rPr>
          <w:rStyle w:val="FootnoteAnchor"/>
          <w:rtl w:val="true"/>
        </w:rPr>
        <w:footnoteReference w:id="307"/>
      </w:r>
      <w:r>
        <w:rPr>
          <w:rFonts w:ascii="Amiri" w:hAnsi="Amiri" w:eastAsia="Amiri" w:cs="Amiri"/>
          <w:color w:val="111111"/>
          <w:sz w:val="28"/>
          <w:sz w:val="28"/>
          <w:szCs w:val="28"/>
          <w:rtl w:val="true"/>
          <w:lang w:bidi="ar-SA"/>
        </w:rPr>
        <w:t xml:space="preserve">و تبعهما في الكفاية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الذخيرة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الإلحاق لو عمّمنا الغبار لغير الغليظ، لتنقيح المناط أو الأولوية </w:t>
      </w:r>
      <w:r>
        <w:rPr>
          <w:rStyle w:val="FootnoteAnchor"/>
          <w:rtl w:val="true"/>
        </w:rPr>
        <w:footnoteReference w:id="310"/>
      </w:r>
      <w:r>
        <w:rPr>
          <w:rFonts w:ascii="Amiri" w:hAnsi="Amiri" w:eastAsia="Amiri" w:cs="Amiri"/>
          <w:color w:val="111111"/>
          <w:sz w:val="28"/>
          <w:sz w:val="28"/>
          <w:szCs w:val="28"/>
          <w:rtl w:val="true"/>
          <w:lang w:bidi="ar-SA"/>
        </w:rPr>
        <w:t xml:space="preserve">و إن قيّدناه بالغليظ فالأقوى عدم اللحوق، لأنّ الأجزاء الترابية تلصق بالحلق و تنزل </w:t>
      </w:r>
      <w:r>
        <w:rPr>
          <w:rStyle w:val="FootnoteAnchor"/>
          <w:rtl w:val="true"/>
        </w:rPr>
        <w:footnoteReference w:id="311"/>
      </w:r>
      <w:r>
        <w:rPr>
          <w:rFonts w:ascii="Amiri" w:hAnsi="Amiri" w:eastAsia="Amiri" w:cs="Amiri"/>
          <w:color w:val="111111"/>
          <w:sz w:val="28"/>
          <w:sz w:val="28"/>
          <w:szCs w:val="28"/>
          <w:rtl w:val="true"/>
          <w:lang w:bidi="ar-SA"/>
        </w:rPr>
        <w:t xml:space="preserve">مع الريق، بخلاف الأجزاء اللطيفة الرمادية في الدخان، فإنّها تدخل في الجوف مصاحبا </w:t>
      </w:r>
      <w:r>
        <w:rPr>
          <w:rStyle w:val="FootnoteAnchor"/>
          <w:rtl w:val="true"/>
        </w:rPr>
        <w:footnoteReference w:id="312"/>
      </w:r>
      <w:r>
        <w:rPr>
          <w:rFonts w:ascii="Amiri" w:hAnsi="Amiri" w:eastAsia="Amiri" w:cs="Amiri"/>
          <w:color w:val="111111"/>
          <w:sz w:val="28"/>
          <w:sz w:val="28"/>
          <w:szCs w:val="28"/>
          <w:rtl w:val="true"/>
          <w:lang w:bidi="ar-SA"/>
        </w:rPr>
        <w:t>للدخان النازل، و لا تلصق بالحلق و لا ينزل مع الريق منها شي‌ء، و الدخان ليس ممّا يؤكل، و الأجزاء الرمادية ليست منفردة عن الدخان حتّى يصدق الأكل بنزولها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فالفرق بين الأجزاء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في الحلق مع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الأجزاء الرمادية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مع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الاولى بنفسها في الحلق منفصلا عن الهواء مخالطا </w:t>
      </w:r>
      <w:r>
        <w:rPr>
          <w:rStyle w:val="FootnoteAnchor"/>
          <w:rtl w:val="true"/>
        </w:rPr>
        <w:footnoteReference w:id="313"/>
      </w:r>
      <w:r>
        <w:rPr>
          <w:rFonts w:ascii="Amiri" w:hAnsi="Amiri" w:eastAsia="Amiri" w:cs="Amiri"/>
          <w:color w:val="111111"/>
          <w:sz w:val="28"/>
          <w:sz w:val="28"/>
          <w:szCs w:val="28"/>
          <w:rtl w:val="true"/>
          <w:lang w:bidi="ar-SA"/>
        </w:rPr>
        <w:t>للريق، و نزول الثانية في ضمن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ينفصل عن الهواء الدخاني و لا يختلط بالريق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عبارة عن الإمساك عمّا يصل إلى الجوف </w:t>
      </w:r>
      <w:r>
        <w:rPr>
          <w:rStyle w:val="FootnoteAnchor"/>
          <w:rtl w:val="true"/>
        </w:rPr>
        <w:footnoteReference w:id="314"/>
      </w:r>
      <w:r>
        <w:rPr>
          <w:rFonts w:ascii="Amiri" w:hAnsi="Amiri" w:eastAsia="Amiri" w:cs="Amiri"/>
          <w:color w:val="111111"/>
          <w:sz w:val="28"/>
          <w:sz w:val="28"/>
          <w:szCs w:val="28"/>
          <w:rtl w:val="true"/>
          <w:lang w:bidi="ar-SA"/>
        </w:rPr>
        <w:t>مطلقا، أو من طريق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الدخان، أو حتّى الأجزاء الرمادية المختلطة مع الهواء الدخاني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للإفطار وجه، إلّا أنّ الأكل لا يصدق على الأوّل قطعا، لأنّ الدخان ليس مأكولا و لا مشروبا، و لا يصدق على الثاني أيضا أكل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الغبار المخلوط بالرماد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غلظة الدخان على وجه ينفصل منه أجزاء و يتحقّق معها</w:t>
      </w:r>
    </w:p>
    <w:p>
      <w:pPr>
        <w:pStyle w:val="BookText"/>
        <w:rPr/>
      </w:pPr>
      <w:r>
        <w:rPr>
          <w:rFonts w:ascii="Amiri" w:hAnsi="Amiri" w:eastAsia="Amiri" w:cs="Amiri"/>
          <w:color w:val="111111"/>
          <w:sz w:val="28"/>
          <w:sz w:val="28"/>
          <w:szCs w:val="28"/>
          <w:rtl w:val="true"/>
          <w:lang w:bidi="ar-SA"/>
        </w:rPr>
        <w:t>جسم فلا يبعد كونه كالغبار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و الشهيد الثانيان في حاشية الإرشاد </w:t>
      </w:r>
      <w:r>
        <w:rPr>
          <w:rStyle w:val="FootnoteAnchor"/>
          <w:rtl w:val="true"/>
        </w:rPr>
        <w:footnoteReference w:id="315"/>
      </w:r>
      <w:r>
        <w:rPr>
          <w:rFonts w:ascii="Amiri" w:hAnsi="Amiri" w:eastAsia="Amiri" w:cs="Amiri"/>
          <w:color w:val="111111"/>
          <w:sz w:val="28"/>
          <w:sz w:val="28"/>
          <w:szCs w:val="28"/>
          <w:rtl w:val="true"/>
          <w:lang w:bidi="ar-SA"/>
        </w:rPr>
        <w:t xml:space="preserve">و المسالك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w:t>
      </w:r>
      <w:r>
        <w:rPr>
          <w:rStyle w:val="FootnoteAnchor"/>
          <w:rtl w:val="true"/>
        </w:rPr>
        <w:footnoteReference w:id="317"/>
      </w:r>
      <w:r>
        <w:rPr>
          <w:rFonts w:ascii="Amiri" w:hAnsi="Amiri" w:eastAsia="Amiri" w:cs="Amiri"/>
          <w:color w:val="111111"/>
          <w:sz w:val="28"/>
          <w:sz w:val="28"/>
          <w:szCs w:val="28"/>
          <w:rtl w:val="true"/>
          <w:lang w:bidi="ar-SA"/>
        </w:rPr>
        <w:t>ظهر أنّ الاجتناب عن دخان التتن شي‌ء قضت به سيرة المسلمين و مراعاة الاحتياط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بإيصال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ما يعمّ جذبه بالنفس تعمّدا، أو إيجاد فعل يستلزمه، أو تمكينه </w:t>
      </w:r>
      <w:r>
        <w:rPr>
          <w:rStyle w:val="FootnoteAnchor"/>
          <w:rtl w:val="true"/>
        </w:rPr>
        <w:footnoteReference w:id="318"/>
      </w:r>
      <w:r>
        <w:rPr>
          <w:rFonts w:ascii="Amiri" w:hAnsi="Amiri" w:eastAsia="Amiri" w:cs="Amiri"/>
          <w:color w:val="111111"/>
          <w:sz w:val="28"/>
          <w:sz w:val="28"/>
          <w:szCs w:val="28"/>
          <w:rtl w:val="true"/>
          <w:lang w:bidi="ar-SA"/>
        </w:rPr>
        <w:t>من الوصول، بأن لا يتحفّظ عنه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 الثاني في حاشية الإرشاد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الحلبي </w:t>
      </w:r>
      <w:r>
        <w:rPr>
          <w:rStyle w:val="FootnoteAnchor"/>
          <w:rtl w:val="true"/>
        </w:rPr>
        <w:footnoteReference w:id="320"/>
      </w:r>
      <w:r>
        <w:rPr>
          <w:rFonts w:ascii="Amiri" w:hAnsi="Amiri" w:eastAsia="Amiri" w:cs="Amiri"/>
          <w:color w:val="111111"/>
          <w:sz w:val="28"/>
          <w:sz w:val="28"/>
          <w:szCs w:val="28"/>
          <w:rtl w:val="true"/>
          <w:lang w:bidi="ar-SA"/>
        </w:rPr>
        <w:t xml:space="preserve">إنّ مما يجب الاجتناب عنه الوقوف في الغبار المتكاثف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الإمساك عن الاستمناء أيضا، و هو استنزال المني بأيّ سبب كان، فإنّ نيّة القاطع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 لا يفسد إلّا إذا حصل بناء على عدم حصول الإفساد بمجرّد نيّة القاطع، و مع حصوله فلا ريب في الفساد، للإجماع عليه فتوى و نصّا، ففي صحيحة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لا التعليل </w:t>
      </w:r>
      <w:r>
        <w:rPr>
          <w:rStyle w:val="FootnoteAnchor"/>
          <w:rtl w:val="true"/>
        </w:rPr>
        <w:footnoteReference w:id="324"/>
      </w:r>
      <w:r>
        <w:rPr>
          <w:rFonts w:ascii="IRNazanin" w:hAnsi="IRNazanin" w:eastAsia="IRNazanin"/>
          <w:color w:val="111111"/>
          <w:sz w:val="28"/>
          <w:sz w:val="28"/>
          <w:szCs w:val="28"/>
          <w:rtl w:val="true"/>
          <w:lang w:bidi="fa-IR"/>
        </w:rPr>
        <w:t>، لأن</w:t>
      </w:r>
    </w:p>
    <w:p>
      <w:pPr>
        <w:pStyle w:val="BookText"/>
        <w:rPr/>
      </w:pPr>
      <w:r>
        <w:rPr>
          <w:rFonts w:ascii="Amiri" w:hAnsi="Amiri" w:eastAsia="Amiri" w:cs="Amiri"/>
          <w:color w:val="111111"/>
          <w:sz w:val="28"/>
          <w:sz w:val="28"/>
          <w:szCs w:val="28"/>
          <w:rtl w:val="true"/>
          <w:lang w:bidi="ar-SA"/>
        </w:rPr>
        <w:t>الإفطار لا يترتّب على مجرّد العبث لأجل الإمناء، بل على الإمناء الحاصل عقيب العبث لأجله، إلّا أنّ ظاهر السؤال استمرار العبث إلى حصول الإمناء، فيظهر منه كثرة العبث، و هي عادة موجبة للإمناء، فالرواية تدلّ على وجوب الكفّارة بإعمال السبب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w:t>
      </w:r>
      <w:r>
        <w:rPr>
          <w:rStyle w:val="FootnoteAnchor"/>
          <w:rtl w:val="true"/>
        </w:rPr>
        <w:footnoteReference w:id="325"/>
      </w:r>
      <w:r>
        <w:rPr>
          <w:rFonts w:ascii="Amiri" w:hAnsi="Amiri" w:eastAsia="Amiri" w:cs="Amiri"/>
          <w:color w:val="111111"/>
          <w:sz w:val="28"/>
          <w:sz w:val="28"/>
          <w:szCs w:val="28"/>
          <w:rtl w:val="true"/>
          <w:lang w:bidi="ar-SA"/>
        </w:rPr>
        <w:t xml:space="preserve">بصورة القصد كما يظهر من صاحب المدارك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ليرجع الى قصد الإمناء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قصد ما يترتب عليه شي‌ء في العادة مع الالتفات إلى الترتّب قصد لذلك الشي‌ء ظاهرا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يعمّ غير السبب العادي من أفراد الملامسة و إن لم يقصد به </w:t>
      </w:r>
      <w:r>
        <w:rPr>
          <w:rStyle w:val="FootnoteAnchor"/>
          <w:rtl w:val="true"/>
        </w:rPr>
        <w:footnoteReference w:id="329"/>
      </w:r>
      <w:r>
        <w:rPr>
          <w:rFonts w:ascii="Amiri" w:hAnsi="Amiri" w:eastAsia="Amiri" w:cs="Amiri"/>
          <w:color w:val="111111"/>
          <w:sz w:val="28"/>
          <w:sz w:val="28"/>
          <w:szCs w:val="28"/>
          <w:rtl w:val="true"/>
          <w:lang w:bidi="ar-SA"/>
        </w:rPr>
        <w:t>الانزال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يتخيّل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 على الأقوى، لإطلاقات </w:t>
      </w:r>
      <w:r>
        <w:rPr>
          <w:rStyle w:val="FootnoteAnchor"/>
          <w:rtl w:val="true"/>
        </w:rPr>
        <w:footnoteReference w:id="330"/>
      </w:r>
      <w:r>
        <w:rPr>
          <w:rFonts w:ascii="Amiri" w:hAnsi="Amiri" w:eastAsia="Amiri" w:cs="Amiri"/>
          <w:color w:val="111111"/>
          <w:sz w:val="28"/>
          <w:sz w:val="28"/>
          <w:szCs w:val="28"/>
          <w:rtl w:val="true"/>
          <w:lang w:bidi="ar-SA"/>
        </w:rPr>
        <w:t xml:space="preserve">العبث و ظاهر إطلاق روايات أخر، مثل رواية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وضع يده على شي‌ء من جسد امرأته فأدفق،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لزق بامرأته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مرسلة حفص بن 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يلاعب أهله أو جاريته و هو في قضاء رمضان فيسبقه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 في شهر رمضان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يمسّ من المرأة شيئا، أ يفسد ذلك صومه أو ينقضه؟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يكره للرجل </w:t>
      </w:r>
      <w:r>
        <w:rPr>
          <w:rStyle w:val="FootnoteAnchor"/>
          <w:rtl w:val="true"/>
        </w:rPr>
        <w:footnoteReference w:id="334"/>
      </w:r>
      <w:r>
        <w:rPr>
          <w:rFonts w:ascii="Amiri" w:hAnsi="Amiri" w:eastAsia="Amiri" w:cs="Amiri"/>
          <w:color w:val="111111"/>
          <w:sz w:val="28"/>
          <w:sz w:val="28"/>
          <w:szCs w:val="28"/>
          <w:rtl w:val="true"/>
          <w:lang w:bidi="ar-SA"/>
        </w:rPr>
        <w:t>الشاب مخافة أن يسبقه المني</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أنّ سبق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خروجه من غير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الفعل المعرّض له مفسد، و إلّا لم يكن معنى </w:t>
      </w:r>
      <w:r>
        <w:rPr>
          <w:rStyle w:val="FootnoteAnchor"/>
          <w:rtl w:val="true"/>
        </w:rPr>
        <w:footnoteReference w:id="336"/>
      </w:r>
      <w:r>
        <w:rPr>
          <w:rFonts w:ascii="Amiri" w:hAnsi="Amiri" w:eastAsia="Amiri" w:cs="Amiri"/>
          <w:color w:val="111111"/>
          <w:sz w:val="28"/>
          <w:sz w:val="28"/>
          <w:szCs w:val="28"/>
          <w:rtl w:val="true"/>
          <w:lang w:bidi="ar-SA"/>
        </w:rPr>
        <w:t xml:space="preserve">لتعليل كراهة التعرّض له بخوف سبقه و خروجه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صحيحة زرارة و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يباشر الصائم أو يقبّل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 فليتنزّه عن ذلك إلّا أن يثق أن لا يسبقه منيّه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 الجارية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 مثلك فلا بأس، و أمّا الشابّ</w:t>
      </w:r>
    </w:p>
    <w:p>
      <w:pPr>
        <w:pStyle w:val="BookText"/>
        <w:rPr/>
      </w:pPr>
      <w:r>
        <w:rPr>
          <w:rFonts w:ascii="IRNazanin" w:hAnsi="IRNazanin" w:eastAsia="IRNazanin"/>
          <w:color w:val="111111"/>
          <w:sz w:val="28"/>
          <w:sz w:val="28"/>
          <w:szCs w:val="28"/>
          <w:rtl w:val="true"/>
          <w:lang w:bidi="fa-IR"/>
        </w:rPr>
        <w:t xml:space="preserve">الشبق </w:t>
      </w:r>
      <w:r>
        <w:rPr>
          <w:rStyle w:val="FootnoteAnchor"/>
          <w:rtl w:val="true"/>
        </w:rPr>
        <w:footnoteReference w:id="339"/>
      </w:r>
      <w:r>
        <w:rPr>
          <w:rFonts w:ascii="Amiri" w:hAnsi="Amiri" w:eastAsia="Amiri" w:cs="Amiri"/>
          <w:color w:val="111111"/>
          <w:sz w:val="28"/>
          <w:sz w:val="28"/>
          <w:szCs w:val="28"/>
          <w:rtl w:val="true"/>
          <w:lang w:bidi="ar-SA"/>
        </w:rPr>
        <w:t>فلا، لأنّه لا يؤمن، و القبلة إحدى الشهوتين،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مثلي يكون له الجارية فيلاعبها؟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لشبق يا أبا حازم، كيف طعمك </w:t>
      </w:r>
      <w:r>
        <w:rPr>
          <w:rStyle w:val="FootnoteAnchor"/>
          <w:rtl w:val="true"/>
        </w:rPr>
        <w:footnoteReference w:id="3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شبعت أضرّني و إن جعت أضعفني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أنت و النساء؟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يا أبا حازم ما أشاء شيئا يكون منّي إلّا فعلت</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يلصق بأهله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هذه أن سبق المني عقيب التعرّض له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بالملامسة أو بالنظر و التكلّم، و سواء مع الاعتياد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منه ما لو اعتاد العدم و لم يقصد الإنزال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المفطر مطلقا </w:t>
      </w:r>
      <w:r>
        <w:rPr>
          <w:rStyle w:val="FootnoteAnchor"/>
          <w:rtl w:val="true"/>
        </w:rPr>
        <w:footnoteReference w:id="345"/>
      </w:r>
      <w:r>
        <w:rPr>
          <w:rFonts w:ascii="Amiri" w:hAnsi="Amiri" w:eastAsia="Amiri" w:cs="Amiri"/>
          <w:color w:val="111111"/>
          <w:sz w:val="28"/>
          <w:sz w:val="28"/>
          <w:szCs w:val="28"/>
          <w:rtl w:val="true"/>
          <w:lang w:bidi="ar-SA"/>
        </w:rPr>
        <w:t>قبل مباشرة مراعاة الفجر مع القدرة عليها و يكون الفجر طالعا في الواقع حين الأكل و إن كان مأذونا في الفعل، بلا خلاف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و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حقيقة الصوم لم يتحقّق عرفا و لا لغة، بل و لا شرعا، لعموم ما سيجي‌ء من التعليلات في الروايات الآتية، و الأمر في بعضها بإفطار اليوم الذي اتّفق فيه ذلك إذا كان غير معيّن أو مندوبا، الذي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فساد الصوم، و مجرّد الفساد و إن لم يوجب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 على فرض جديد ممنوع تحقّقه إلّا فيما إذا تحقّق الإفساد، لا مجرّد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تحقّق الإجماع على الملازمة بين فساد الصوم و وجوب القضاء فيما نحن فيه، مضافا إلى خصوص ما ورد في المسألة مثل قوله عليه السلام 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أكل أو شرب بعد ما طلع الفجر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قام فنظر فلم ير الفجر فأكل ثم عاد فرأى الفجر، فليتمّ صومه و لا إعادة عليه، و إن كان قام فأكل و شرب ثمّ نظر إلى الفجر فرأى أنّه قد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صومه و يقضي يوما آخر لأنّه بدأ بالأكل </w:t>
      </w:r>
      <w:r>
        <w:rPr>
          <w:rStyle w:val="FootnoteAnchor"/>
          <w:rtl w:val="true"/>
        </w:rPr>
        <w:footnoteReference w:id="346"/>
      </w:r>
      <w:r>
        <w:rPr>
          <w:rFonts w:ascii="Amiri" w:hAnsi="Amiri" w:eastAsia="Amiri" w:cs="Amiri"/>
          <w:color w:val="111111"/>
          <w:sz w:val="28"/>
          <w:sz w:val="28"/>
          <w:szCs w:val="28"/>
          <w:rtl w:val="true"/>
          <w:lang w:bidi="ar-SA"/>
        </w:rPr>
        <w:t>قبل النظر فعليه الإعادة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تسحّر ثمّ خرج من بيته و قد طلع الفجر و تبيّن؟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و إن تسحّر في غير شهر رمضان بعد الفجر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ليلة يصلّي و أنا آكل، فانصرف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جعفر فقد أكل و شرب بعد الفجر، فأمرني فأفطرت ذلك اليوم في غير شهر رمضان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إبراهيم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أبي الحسن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الوطء </w:t>
      </w:r>
      <w:r>
        <w:rPr>
          <w:rStyle w:val="FootnoteAnchor"/>
          <w:rtl w:val="true"/>
        </w:rPr>
        <w:footnoteReference w:id="349"/>
      </w:r>
      <w:r>
        <w:rPr>
          <w:rFonts w:ascii="Amiri" w:hAnsi="Amiri" w:eastAsia="Amiri" w:cs="Amiri"/>
          <w:color w:val="111111"/>
          <w:sz w:val="28"/>
          <w:sz w:val="28"/>
          <w:szCs w:val="28"/>
          <w:rtl w:val="true"/>
          <w:lang w:bidi="ar-SA"/>
        </w:rPr>
        <w:t>و النداء في شهر رمضان، فظنّ أنّ النداء للسحور، فجامع و خرج فإذا الصبح قد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اليوم إن شاء اللّٰه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صريح صدر الموثّقة </w:t>
      </w:r>
      <w:r>
        <w:rPr>
          <w:rStyle w:val="FootnoteAnchor"/>
          <w:rtl w:val="true"/>
        </w:rPr>
        <w:footnoteReference w:id="351"/>
      </w:r>
      <w:r>
        <w:rPr>
          <w:rFonts w:ascii="Amiri" w:hAnsi="Amiri" w:eastAsia="Amiri" w:cs="Amiri"/>
          <w:color w:val="111111"/>
          <w:sz w:val="28"/>
          <w:sz w:val="28"/>
          <w:szCs w:val="28"/>
          <w:rtl w:val="true"/>
          <w:lang w:bidi="ar-SA"/>
        </w:rPr>
        <w:t xml:space="preserve">و ذيل صحيحة معاوية بن عمّار الآتية في إخبار الغير </w:t>
      </w:r>
      <w:r>
        <w:rPr>
          <w:rStyle w:val="FootnoteAnchor"/>
          <w:rtl w:val="true"/>
        </w:rPr>
        <w:footnoteReference w:id="352"/>
      </w:r>
      <w:r>
        <w:rPr>
          <w:rFonts w:ascii="Amiri" w:hAnsi="Amiri" w:eastAsia="Amiri" w:cs="Amiri"/>
          <w:color w:val="111111"/>
          <w:sz w:val="28"/>
          <w:sz w:val="28"/>
          <w:szCs w:val="28"/>
          <w:rtl w:val="true"/>
          <w:lang w:bidi="ar-SA"/>
        </w:rPr>
        <w:t xml:space="preserve">، يعلم الوجه فيما </w:t>
      </w:r>
      <w:r>
        <w:rPr>
          <w:rStyle w:val="FootnoteAnchor"/>
          <w:rtl w:val="true"/>
        </w:rPr>
        <w:footnoteReference w:id="353"/>
      </w:r>
      <w:r>
        <w:rPr>
          <w:rFonts w:ascii="Amiri" w:hAnsi="Amiri" w:eastAsia="Amiri" w:cs="Amiri"/>
          <w:color w:val="111111"/>
          <w:sz w:val="28"/>
          <w:sz w:val="28"/>
          <w:szCs w:val="28"/>
          <w:rtl w:val="true"/>
          <w:lang w:bidi="ar-SA"/>
        </w:rPr>
        <w:t xml:space="preserve">حكي الإجماع عليه عن </w:t>
      </w:r>
      <w:r>
        <w:rPr>
          <w:rStyle w:val="FootnoteAnchor"/>
          <w:rtl w:val="true"/>
        </w:rPr>
        <w:footnoteReference w:id="354"/>
      </w:r>
      <w:r>
        <w:rPr>
          <w:rFonts w:ascii="Amiri" w:hAnsi="Amiri" w:eastAsia="Amiri" w:cs="Amiri"/>
          <w:color w:val="111111"/>
          <w:sz w:val="28"/>
          <w:sz w:val="28"/>
          <w:szCs w:val="28"/>
          <w:rtl w:val="true"/>
          <w:lang w:bidi="ar-SA"/>
        </w:rPr>
        <w:t xml:space="preserve">جماعة </w:t>
      </w:r>
      <w:r>
        <w:rPr>
          <w:rStyle w:val="FootnoteAnchor"/>
          <w:rtl w:val="true"/>
        </w:rPr>
        <w:footnoteReference w:id="355"/>
      </w:r>
      <w:r>
        <w:rPr>
          <w:rFonts w:ascii="Amiri" w:hAnsi="Amiri" w:eastAsia="Amiri" w:cs="Amiri"/>
          <w:color w:val="111111"/>
          <w:sz w:val="28"/>
          <w:sz w:val="28"/>
          <w:szCs w:val="28"/>
          <w:rtl w:val="true"/>
          <w:lang w:bidi="ar-SA"/>
        </w:rPr>
        <w:t>من عدم وجوب القضاء مع المراعاة و حصول الأكل بعدها، بحيث يكون مستندا عرفا إليها، بأن لا يتخلّل فصل محوج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تكرار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المراعي </w:t>
      </w:r>
      <w:r>
        <w:rPr>
          <w:rStyle w:val="FootnoteAnchor"/>
          <w:rtl w:val="true"/>
        </w:rPr>
        <w:footnoteReference w:id="356"/>
      </w:r>
      <w:r>
        <w:rPr>
          <w:rFonts w:ascii="Amiri" w:hAnsi="Amiri" w:eastAsia="Amiri" w:cs="Amiri"/>
          <w:color w:val="111111"/>
          <w:sz w:val="28"/>
          <w:sz w:val="28"/>
          <w:szCs w:val="28"/>
          <w:rtl w:val="true"/>
          <w:lang w:bidi="ar-SA"/>
        </w:rPr>
        <w:t>من يعلم أنّ المراعاة لا يثمر له ظنّا بالفجر؛ لانصراف الأدلّة إلى غيره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Style w:val="FootnoteAnchor"/>
          <w:rtl w:val="true"/>
        </w:rPr>
        <w:footnoteReference w:id="357"/>
      </w:r>
      <w:r>
        <w:rPr>
          <w:rFonts w:ascii="Amiri" w:hAnsi="Amiri" w:eastAsia="Amiri" w:cs="Amiri"/>
          <w:color w:val="111111"/>
          <w:sz w:val="28"/>
          <w:sz w:val="28"/>
          <w:szCs w:val="28"/>
          <w:rtl w:val="true"/>
          <w:lang w:bidi="ar-SA"/>
        </w:rPr>
        <w:t xml:space="preserve">غير واحد من العبائر دعوى عدم الخلاف فيه </w:t>
      </w:r>
      <w:r>
        <w:rPr>
          <w:rStyle w:val="FootnoteAnchor"/>
          <w:rtl w:val="true"/>
        </w:rPr>
        <w:footnoteReference w:id="358"/>
      </w:r>
      <w:r>
        <w:rPr>
          <w:rFonts w:ascii="Amiri" w:hAnsi="Amiri" w:eastAsia="Amiri" w:cs="Amiri"/>
          <w:color w:val="111111"/>
          <w:sz w:val="28"/>
          <w:sz w:val="28"/>
          <w:szCs w:val="28"/>
          <w:rtl w:val="true"/>
          <w:lang w:bidi="ar-SA"/>
        </w:rPr>
        <w:t xml:space="preserve">نعم حكي عن موهم كلام المفيد في المقنعة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يظهر من ذيل الموثّقة </w:t>
      </w:r>
      <w:r>
        <w:rPr>
          <w:rStyle w:val="FootnoteAnchor"/>
          <w:rtl w:val="true"/>
        </w:rPr>
        <w:footnoteReference w:id="360"/>
      </w:r>
      <w:r>
        <w:rPr>
          <w:rFonts w:ascii="Amiri" w:hAnsi="Amiri" w:eastAsia="Amiri" w:cs="Amiri"/>
          <w:color w:val="111111"/>
          <w:sz w:val="28"/>
          <w:sz w:val="28"/>
          <w:szCs w:val="28"/>
          <w:rtl w:val="true"/>
          <w:lang w:bidi="ar-SA"/>
        </w:rPr>
        <w:t>المعلّلة لوجوب الإعادة بالتقصير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بتقصير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ترك السؤال، فيجب عليه السؤال و مع عدمه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الإفطار </w:t>
      </w:r>
      <w:r>
        <w:rPr>
          <w:rStyle w:val="FootnoteAnchor"/>
          <w:rtl w:val="true"/>
        </w:rPr>
        <w:footnoteReference w:id="361"/>
      </w:r>
      <w:r>
        <w:rPr>
          <w:rFonts w:ascii="Amiri" w:hAnsi="Amiri" w:eastAsia="Amiri" w:cs="Amiri"/>
          <w:color w:val="111111"/>
          <w:sz w:val="28"/>
          <w:sz w:val="28"/>
          <w:szCs w:val="28"/>
          <w:rtl w:val="true"/>
          <w:lang w:bidi="ar-SA"/>
        </w:rPr>
        <w:t>بمجرّد الأكل في الواجب الغير المعيّن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الخلاف فيه، و يؤكّده أمر الإمام عليه السلام بالإفطار في صحيحة الحلبي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عليّ اليوم و اليومان من شهر رمضان فأتسحّر مصبحا، أفطر ذلك اليوم و أقضي مكان ذلك يوما آخر، أو أتمّ على صوم ذلك اليوم و أقضي يوما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تفطر ذلك اليوم لأنّك أكلت مصبحا و تقضي يوما آخر</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الأمر بالإفطار لا يكون إلّا لفساد الصوم، و مقتضى الأصل المذكور من انتفاء الحقيقة فساد المعيّن غير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بملاحظة ما دلّ من التعليل للإفطار بالأكل مصبحا </w:t>
      </w:r>
      <w:r>
        <w:rPr>
          <w:rStyle w:val="FootnoteAnchor"/>
          <w:rtl w:val="true"/>
        </w:rPr>
        <w:footnoteReference w:id="364"/>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طويلة كتب فوقها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وردت نفس تلك العبارة مع اختلاف يسير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الناسخ قبل إيرادها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مكتوبا في حاشية نسخة الأصل و قد أسقطه بعض من كتب من وجه النسخ، و كان في الصفحتين اغتشاش كثير و خطوط من المتن إلى الحواشي البعيدة و حواش لا علامة لها، و ما علمت مكان هذا، و لا انه محتاج اليه أو زائدة، و لذا كتبتها على حدة ليتأمّله الناظر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أورد نصّ العبارة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أنّ تعليل الموثقة أخصّ مطلقا من تعليل الفساد بمجرد الأكل في الروايات</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يقتضي تحقق </w:t>
      </w:r>
      <w:r>
        <w:rPr>
          <w:rStyle w:val="FootnoteAnchor"/>
          <w:rtl w:val="true"/>
        </w:rPr>
        <w:footnoteReference w:id="366"/>
      </w:r>
      <w:r>
        <w:rPr>
          <w:rFonts w:ascii="Amiri" w:hAnsi="Amiri" w:eastAsia="Amiri" w:cs="Amiri"/>
          <w:color w:val="111111"/>
          <w:sz w:val="28"/>
          <w:sz w:val="28"/>
          <w:szCs w:val="28"/>
          <w:rtl w:val="true"/>
          <w:lang w:bidi="ar-SA"/>
        </w:rPr>
        <w:t xml:space="preserve">الإفطار في المعيّن غير رمضان كالمنذور </w:t>
      </w:r>
      <w:r>
        <w:rPr>
          <w:rStyle w:val="FootnoteAnchor"/>
          <w:rtl w:val="true"/>
        </w:rPr>
        <w:footnoteReference w:id="367"/>
      </w:r>
      <w:r>
        <w:rPr>
          <w:rFonts w:ascii="Amiri" w:hAnsi="Amiri" w:eastAsia="Amiri" w:cs="Amiri"/>
          <w:color w:val="111111"/>
          <w:sz w:val="28"/>
          <w:sz w:val="28"/>
          <w:szCs w:val="28"/>
          <w:rtl w:val="true"/>
          <w:lang w:bidi="ar-SA"/>
        </w:rPr>
        <w:t xml:space="preserve">و ما ذكرنا من فساد الصوم و انتفاء حقيقته و ان لم يقتض وجوب القضاء في شهر رمضان إلا بمعونة الإجماع المنتفي </w:t>
      </w:r>
      <w:r>
        <w:rPr>
          <w:rStyle w:val="FootnoteAnchor"/>
          <w:rtl w:val="true"/>
        </w:rPr>
        <w:footnoteReference w:id="368"/>
      </w:r>
      <w:r>
        <w:rPr>
          <w:rFonts w:ascii="Amiri" w:hAnsi="Amiri" w:eastAsia="Amiri" w:cs="Amiri"/>
          <w:color w:val="111111"/>
          <w:sz w:val="28"/>
          <w:sz w:val="28"/>
          <w:szCs w:val="28"/>
          <w:rtl w:val="true"/>
          <w:lang w:bidi="ar-SA"/>
        </w:rPr>
        <w:t xml:space="preserve">في غير رمضان من المعيّن، الا انه بعد الحكم بجواز الإفطار هنا و انتقال الأمر </w:t>
      </w:r>
      <w:r>
        <w:rPr>
          <w:rStyle w:val="FootnoteAnchor"/>
          <w:rtl w:val="true"/>
        </w:rPr>
        <w:footnoteReference w:id="369"/>
      </w:r>
      <w:r>
        <w:rPr>
          <w:rFonts w:ascii="Amiri" w:hAnsi="Amiri" w:eastAsia="Amiri" w:cs="Amiri"/>
          <w:color w:val="111111"/>
          <w:sz w:val="28"/>
          <w:sz w:val="28"/>
          <w:szCs w:val="28"/>
          <w:rtl w:val="true"/>
          <w:lang w:bidi="ar-SA"/>
        </w:rPr>
        <w:t>بالإمساك الموجود في رمضان بالإجماع، لا بد من القضاء كبعض المعيّنات، حيث فرض ثبوته في إفطار ذلك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مما لا يجب قضاؤه كالصوم الواجب للنوم عن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قلنا بأن وجوب القضاء في المنذور المعيّن لم يثبت الا مع الإفطار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حصوله بغير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الأظهر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فيقوى حينئذ عدم وجوب القضاء في المعيّن غير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التقصير في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 في تعليل </w:t>
      </w:r>
      <w:r>
        <w:rPr>
          <w:rStyle w:val="FootnoteAnchor"/>
          <w:rtl w:val="true"/>
        </w:rPr>
        <w:footnoteReference w:id="370"/>
      </w:r>
      <w:r>
        <w:rPr>
          <w:rFonts w:ascii="Amiri" w:hAnsi="Amiri" w:eastAsia="Amiri" w:cs="Amiri"/>
          <w:color w:val="111111"/>
          <w:sz w:val="28"/>
          <w:sz w:val="28"/>
          <w:szCs w:val="28"/>
          <w:rtl w:val="true"/>
          <w:lang w:bidi="ar-SA"/>
        </w:rPr>
        <w:t>القضاء في رواية سماعة بالتقصير في النظر اشعار بوجوب القضاء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إطلاق ذيل صحيحة معاوية بن عمار الآتية دلالة على عدم لزوم القضاء مع عدم </w:t>
      </w:r>
      <w:r>
        <w:rPr>
          <w:rStyle w:val="FootnoteAnchor"/>
          <w:rtl w:val="true"/>
        </w:rPr>
        <w:footnoteReference w:id="371"/>
      </w:r>
      <w:r>
        <w:rPr>
          <w:rFonts w:ascii="Amiri" w:hAnsi="Amiri" w:eastAsia="Amiri" w:cs="Amiri"/>
          <w:color w:val="111111"/>
          <w:sz w:val="28"/>
          <w:sz w:val="28"/>
          <w:szCs w:val="28"/>
          <w:rtl w:val="true"/>
          <w:lang w:bidi="ar-SA"/>
        </w:rPr>
        <w:t xml:space="preserve">التقصير على أقوى الاحتمالين </w:t>
      </w:r>
      <w:r>
        <w:rPr>
          <w:rStyle w:val="FootnoteAnchor"/>
          <w:rtl w:val="true"/>
        </w:rPr>
        <w:footnoteReference w:id="372"/>
      </w:r>
      <w:r>
        <w:rPr>
          <w:rFonts w:ascii="Amiri" w:hAnsi="Amiri" w:eastAsia="Amiri" w:cs="Amiri"/>
          <w:color w:val="111111"/>
          <w:sz w:val="28"/>
          <w:sz w:val="28"/>
          <w:szCs w:val="28"/>
          <w:rtl w:val="true"/>
          <w:lang w:bidi="ar-SA"/>
        </w:rPr>
        <w:t>فيه، كما سيجي‌ء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التعارض بين ذيل هذه الصحيحة المعتضدة بتعليل الموثقة الشامل لصوم رمضان و غيره المختص بصورة النظر و بين إطلاق صحيحة الحلبي الشامل لصورتي النظر و عدمه المختص بغير رمضان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صحيحة ابن عمّار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كنت أنت الذي نظرت لم</w:t>
      </w:r>
    </w:p>
    <w:p>
      <w:pPr>
        <w:pStyle w:val="BookText"/>
        <w:rPr/>
      </w:pPr>
      <w:r>
        <w:rPr>
          <w:rFonts w:ascii="Amiri" w:hAnsi="Amiri" w:eastAsia="Amiri" w:cs="Amiri"/>
          <w:color w:val="111111"/>
          <w:sz w:val="28"/>
          <w:sz w:val="28"/>
          <w:szCs w:val="28"/>
          <w:rtl w:val="true"/>
          <w:lang w:bidi="ar-SA"/>
        </w:rPr>
        <w:t xml:space="preserve">يجب عليك القضاء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المعتضدة بالموثّقة المشعرة بأنّ علّة القضاء التقصير في النظر </w:t>
      </w:r>
      <w:r>
        <w:rPr>
          <w:rStyle w:val="FootnoteAnchor"/>
          <w:rtl w:val="true"/>
        </w:rPr>
        <w:footnoteReference w:id="376"/>
      </w:r>
      <w:r>
        <w:rPr>
          <w:rFonts w:ascii="Amiri" w:hAnsi="Amiri" w:eastAsia="Amiri" w:cs="Amiri"/>
          <w:color w:val="111111"/>
          <w:sz w:val="28"/>
          <w:sz w:val="28"/>
          <w:szCs w:val="28"/>
          <w:rtl w:val="true"/>
          <w:lang w:bidi="ar-SA"/>
        </w:rPr>
        <w:t>، فهما مختصّتان برمضان، للأمر فيهما بإتمام الصوم ثمّ القضاء، و هذا من خواصّ صوم رمضان، مضافا إلى ندرة غير رمضان من المعيّنات و لا يشمل غير المعيّن قطعا، لعدم وجوب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الحكم مع ذلك بوجوب القضاء مشكل، لعدم تلازم الفساد و القضاء في غير رمضان، اللّٰهم إلّا أن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 انّ الفساد مستلزم لوجوب الإفطار فيه، فيكون كيوم معيّن فات صومه اضطرارا فيجب قضاؤه، إلّا أن لا يكون له قضاء ككفّارة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معيّنا بالعارض كقضاء رمضان المضيّق، وجب بدله من غير حاجة إلى 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رواية معاوية بن عمّار مرويّة في الفقيه </w:t>
      </w:r>
      <w:r>
        <w:rPr>
          <w:rStyle w:val="FootnoteAnchor"/>
          <w:rtl w:val="true"/>
        </w:rPr>
        <w:footnoteReference w:id="377"/>
      </w:r>
      <w:r>
        <w:rPr>
          <w:rFonts w:ascii="Amiri" w:hAnsi="Amiri" w:eastAsia="Amiri" w:cs="Amiri"/>
          <w:color w:val="111111"/>
          <w:sz w:val="28"/>
          <w:sz w:val="28"/>
          <w:szCs w:val="28"/>
          <w:rtl w:val="true"/>
          <w:lang w:bidi="ar-SA"/>
        </w:rPr>
        <w:t xml:space="preserve">على وجه يفيد العموم لجميع أقسام الصيام فلاحظ، إلّا أنّ الظاهر اتّحادها مع رواية الكليني </w:t>
      </w:r>
      <w:r>
        <w:rPr>
          <w:rStyle w:val="FootnoteAnchor"/>
          <w:rtl w:val="true"/>
        </w:rPr>
        <w:footnoteReference w:id="378"/>
      </w:r>
      <w:r>
        <w:rPr>
          <w:rFonts w:ascii="Amiri" w:hAnsi="Amiri" w:eastAsia="Amiri" w:cs="Amiri"/>
          <w:color w:val="111111"/>
          <w:sz w:val="28"/>
          <w:sz w:val="28"/>
          <w:szCs w:val="28"/>
          <w:rtl w:val="true"/>
          <w:lang w:bidi="ar-SA"/>
        </w:rPr>
        <w:t>، و أنّ ما في الفقيه منقول بالمعنى، فلاحظ الكتابين و تأمّل فيما فيهما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الاستناد إلى ما في الفقيه أمكن القول بإلحاق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برمضان، و تعليل الموثّقة </w:t>
      </w:r>
      <w:r>
        <w:rPr>
          <w:rStyle w:val="FootnoteAnchor"/>
          <w:rtl w:val="true"/>
        </w:rPr>
        <w:footnoteReference w:id="379"/>
      </w:r>
      <w:r>
        <w:rPr>
          <w:rFonts w:ascii="Amiri" w:hAnsi="Amiri" w:eastAsia="Amiri" w:cs="Amiri"/>
          <w:color w:val="111111"/>
          <w:sz w:val="28"/>
          <w:sz w:val="28"/>
          <w:szCs w:val="28"/>
          <w:rtl w:val="true"/>
          <w:lang w:bidi="ar-SA"/>
        </w:rPr>
        <w:t>و إن كان مورده في رمضان إلّا أنّ المستفاد أنّ القضاء يتفرّع على الأكل قبل النظر، لا على مجرّد الأكل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يستفاد من تعليل 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التعليل يخصّص التعليل الوارد في الأخبار بمجرّد الأكل في النهار، مضافا إلى أنّ ظاهر موارد تلك الأخبار الأكل قبل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سيّما مع أنّ الظاهر أنّ ماهيّة الصوم حقيقة واحدة و لا تغاير بين أفراده من حيث الحقيقة، خصوصا بين صوم رمضان و قضائه، فإنّ اختلاف حقيقتهما في غاية البعد، فإذا كان حقيقة 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من حيث تبيّن الفجر بعد النظر و لا عبرة بطلوعه قبله للناظر الذي لم يتبيّن له، كذلك قضاء هذا الصوم سيّما بعد ما ورد في حقّ يوم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اللّٰه بمنزلة أيّام رمضان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بل الظاهر كون جميع أقسام الصيام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بالفساد في الجميع، إلّا أنّه رفع القضاء في صوم رمضان لأجل رفع العسر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القضاء أيضا بالإفطار لإخبار الغير بعدم الطلوع مع القدرة على المراعاة، مع طلوعه حين الإفطار </w:t>
      </w:r>
      <w:r>
        <w:rPr>
          <w:rStyle w:val="FootnoteAnchor"/>
          <w:rtl w:val="true"/>
        </w:rPr>
        <w:footnoteReference w:id="381"/>
      </w:r>
      <w:r>
        <w:rPr>
          <w:rFonts w:ascii="Amiri" w:hAnsi="Amiri" w:eastAsia="Amiri" w:cs="Amiri"/>
          <w:color w:val="111111"/>
          <w:sz w:val="28"/>
          <w:sz w:val="28"/>
          <w:szCs w:val="28"/>
          <w:rtl w:val="true"/>
          <w:lang w:bidi="ar-SA"/>
        </w:rPr>
        <w:t>، لما ذكرنا من انتفاء حقيقة الصوم المستلزم لوجوب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الإجماع على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لعموم التعليل المتقدّم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بدأ بالأكل قبل النظر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 الجارية تنظر أ طلع الفجر أم 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فآكل ثم أنظر فأجده قد طلع حين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صومك و تقضيه، أما انّك لو كنت أنت الذي نظرت ما كان عليك قضاؤه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عجز عن المراعاة سقط القضاء، لفحوى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سقوطه عن العاجز إذا لم ينظر عنه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أدلّة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القاعدة و تعليل الموثّقة </w:t>
      </w:r>
      <w:r>
        <w:rPr>
          <w:rStyle w:val="FootnoteAnchor"/>
          <w:rtl w:val="true"/>
        </w:rPr>
        <w:footnoteReference w:id="384"/>
      </w:r>
      <w:r>
        <w:rPr>
          <w:rFonts w:ascii="Amiri" w:hAnsi="Amiri" w:eastAsia="Amiri" w:cs="Amiri"/>
          <w:color w:val="111111"/>
          <w:sz w:val="28"/>
          <w:sz w:val="28"/>
          <w:szCs w:val="28"/>
          <w:rtl w:val="true"/>
          <w:lang w:bidi="ar-SA"/>
        </w:rPr>
        <w:t xml:space="preserve">و ذيل الصحيحة </w:t>
      </w:r>
      <w:r>
        <w:rPr>
          <w:rStyle w:val="FootnoteAnchor"/>
          <w:rtl w:val="true"/>
        </w:rPr>
        <w:footnoteReference w:id="385"/>
      </w:r>
      <w:r>
        <w:rPr>
          <w:rFonts w:ascii="Amiri" w:hAnsi="Amiri" w:eastAsia="Amiri" w:cs="Amiri"/>
          <w:color w:val="111111"/>
          <w:sz w:val="28"/>
          <w:sz w:val="28"/>
          <w:szCs w:val="28"/>
          <w:rtl w:val="true"/>
          <w:lang w:bidi="ar-SA"/>
        </w:rPr>
        <w:t>كإطلاق أكثر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المخبر بين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حجّية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 في إفادة الإذن على الاستصحاب، و لا تنافي وجوب القضاء مع انكشاف الخطأ، فيكون كما لو انكشف أنّ اليوم الذي ثبت </w:t>
      </w:r>
      <w:r>
        <w:rPr>
          <w:rStyle w:val="FootnoteAnchor"/>
          <w:rtl w:val="true"/>
        </w:rPr>
        <w:footnoteReference w:id="386"/>
      </w:r>
      <w:r>
        <w:rPr>
          <w:rFonts w:ascii="Amiri" w:hAnsi="Amiri" w:eastAsia="Amiri" w:cs="Amiri"/>
          <w:color w:val="111111"/>
          <w:sz w:val="28"/>
          <w:sz w:val="28"/>
          <w:szCs w:val="28"/>
          <w:rtl w:val="true"/>
          <w:lang w:bidi="ar-SA"/>
        </w:rPr>
        <w:t>كونه عيدا كان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الفرض نادرا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ضعف ما اختاره المحقّق و الشهيد الثانيان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صاحبي المدارك </w:t>
      </w:r>
      <w:r>
        <w:rPr>
          <w:rStyle w:val="FootnoteAnchor"/>
          <w:rtl w:val="true"/>
        </w:rPr>
        <w:footnoteReference w:id="388"/>
      </w:r>
      <w:r>
        <w:rPr>
          <w:rFonts w:ascii="Amiri" w:hAnsi="Amiri" w:eastAsia="Amiri" w:cs="Amiri"/>
          <w:color w:val="111111"/>
          <w:sz w:val="28"/>
          <w:sz w:val="28"/>
          <w:szCs w:val="28"/>
          <w:rtl w:val="true"/>
          <w:lang w:bidi="ar-SA"/>
        </w:rPr>
        <w:t xml:space="preserve">و الذخيرة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القضاء مع شهادة العدلين، لأنّهما </w:t>
      </w:r>
      <w:r>
        <w:rPr>
          <w:rStyle w:val="FootnoteAnchor"/>
          <w:rtl w:val="true"/>
        </w:rPr>
        <w:footnoteReference w:id="390"/>
      </w:r>
      <w:r>
        <w:rPr>
          <w:rFonts w:ascii="Amiri" w:hAnsi="Amiri" w:eastAsia="Amiri" w:cs="Amiri"/>
          <w:color w:val="111111"/>
          <w:sz w:val="28"/>
          <w:sz w:val="28"/>
          <w:szCs w:val="28"/>
          <w:rtl w:val="true"/>
          <w:lang w:bidi="ar-SA"/>
        </w:rPr>
        <w:t>حجّة شرعيّة، و الصحيحة لا تنافيه، لأنّ موردها كون المخبر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عرفت من أنّ الحجّة إنّما تفيد جواز التناول، و أمّا الصحيحة </w:t>
      </w:r>
      <w:r>
        <w:rPr>
          <w:rStyle w:val="FootnoteAnchor"/>
          <w:rtl w:val="true"/>
        </w:rPr>
        <w:footnoteReference w:id="391"/>
      </w:r>
      <w:r>
        <w:rPr>
          <w:rFonts w:ascii="Amiri" w:hAnsi="Amiri" w:eastAsia="Amiri" w:cs="Amiri"/>
          <w:color w:val="111111"/>
          <w:sz w:val="28"/>
          <w:sz w:val="28"/>
          <w:szCs w:val="28"/>
          <w:rtl w:val="true"/>
          <w:lang w:bidi="ar-SA"/>
        </w:rPr>
        <w:t>فموردها و إن كان خاصّا بالواحد، بل بالمرأة، بل بغير العادلة، إلّا أنّ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لو كنت أنت الذي نظرت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حصر عدم القضاء في صورة مباشرة النظر، و يؤيّده</w:t>
      </w:r>
    </w:p>
    <w:p>
      <w:pPr>
        <w:pStyle w:val="BookText"/>
        <w:rPr/>
      </w:pPr>
      <w:r>
        <w:rPr>
          <w:rFonts w:ascii="Amiri" w:hAnsi="Amiri" w:eastAsia="Amiri" w:cs="Amiri"/>
          <w:color w:val="111111"/>
          <w:sz w:val="28"/>
          <w:sz w:val="28"/>
          <w:szCs w:val="28"/>
          <w:rtl w:val="true"/>
          <w:lang w:bidi="ar-SA"/>
        </w:rPr>
        <w:t xml:space="preserve">التعليل في الموثّقة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اختصاص مورد الرواية لا يقدح، بعد اقتضاء انتفاء حقيقة الصوم للقضاء، و قد عرفت أنّ حجّية البيّنة لا تنافيه حتّى يحتاج إلى ارتكاب تخصيص أدلّتها بأدلّة ثبوت القضاء، كما ارتكبه في الرياض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لو سلّم التنافي فلا مناص عن الحكم بحكومة أدلّة الحجيّة على هذه الأدلّة، لجعل الشارع نظر العدلين بمنزلة نظر نفسه، بل بمنزلة القطع بالليل، لا كما توهّم من صيرورة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أدلّة الحجيّة و أدلّة المسألة عموما من وجه، فيرجع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و الاستصحاب و جميع ما يفيد الإذن في التناول تنافي الكفّارة، لما تقدّم من أنّ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كان أم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الكفارة عن الإفطار، بل قد يكون نفس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لذنوب أخر، كإنقاذ الغريق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القضاء أيضا بالإفطار مع الإخبار بطلوعه مع كذبه </w:t>
      </w:r>
      <w:r>
        <w:rPr>
          <w:rStyle w:val="FootnoteAnchor"/>
          <w:rtl w:val="true"/>
        </w:rPr>
        <w:footnoteReference w:id="395"/>
      </w:r>
      <w:r>
        <w:rPr>
          <w:rFonts w:ascii="Amiri" w:hAnsi="Amiri" w:eastAsia="Amiri" w:cs="Amiri"/>
          <w:color w:val="111111"/>
          <w:sz w:val="28"/>
          <w:sz w:val="28"/>
          <w:szCs w:val="28"/>
          <w:rtl w:val="true"/>
          <w:lang w:bidi="ar-SA"/>
        </w:rPr>
        <w:t xml:space="preserve">و القدرة على المراعاة مع طلوعه </w:t>
      </w:r>
      <w:r>
        <w:rPr>
          <w:rStyle w:val="FootnoteAnchor"/>
          <w:rtl w:val="true"/>
        </w:rPr>
        <w:footnoteReference w:id="396"/>
      </w:r>
      <w:r>
        <w:rPr>
          <w:rFonts w:ascii="IRNazanin" w:hAnsi="IRNazanin" w:eastAsia="IRNazanin"/>
          <w:color w:val="111111"/>
          <w:sz w:val="28"/>
          <w:sz w:val="28"/>
          <w:szCs w:val="28"/>
          <w:rtl w:val="true"/>
          <w:lang w:bidi="fa-IR"/>
        </w:rPr>
        <w:t xml:space="preserve">واقعا </w:t>
      </w:r>
      <w:r>
        <w:rPr>
          <w:rStyle w:val="FootnoteAnchor"/>
          <w:rtl w:val="true"/>
        </w:rPr>
        <w:footnoteReference w:id="397"/>
      </w:r>
      <w:r>
        <w:rPr>
          <w:rFonts w:ascii="Amiri" w:hAnsi="Amiri" w:eastAsia="Amiri" w:cs="Amiri"/>
          <w:color w:val="111111"/>
          <w:sz w:val="28"/>
          <w:sz w:val="28"/>
          <w:szCs w:val="28"/>
          <w:rtl w:val="true"/>
          <w:lang w:bidi="ar-SA"/>
        </w:rPr>
        <w:t xml:space="preserve">لما ذكرنا من انتفاء حقيقة الصوم، و خصوص صحيحة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خرج في رمضان و أصحابه يتسحّرون في بيت، فنظر إلى الفجر فناداهم، فكفّ بعضهم و ظنّ بعضهم أنّه يسخر، فأكل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مع العجز عن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القاعدة، مع أنّ تكليف العاجز الرجوع إلى الغير، 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يعتذر عن مخالفته بظنّ </w:t>
      </w:r>
      <w:r>
        <w:rPr>
          <w:rStyle w:val="FootnoteAnchor"/>
          <w:rtl w:val="true"/>
        </w:rPr>
        <w:footnoteReference w:id="399"/>
      </w:r>
      <w:r>
        <w:rPr>
          <w:rFonts w:ascii="Amiri" w:hAnsi="Amiri" w:eastAsia="Amiri" w:cs="Amiri"/>
          <w:color w:val="111111"/>
          <w:sz w:val="28"/>
          <w:sz w:val="28"/>
          <w:szCs w:val="28"/>
          <w:rtl w:val="true"/>
          <w:lang w:bidi="ar-SA"/>
        </w:rPr>
        <w:t xml:space="preserve">كذبه، فيكون وجود الخبر عنده كعدمه، بل و يكون بقاء الليل مظنونا مع عجزه عن المراعاة، و عدم خبر معتبر بخلافه، و قد تقدّم عدم القضاء في المسألة الأولى </w:t>
      </w:r>
      <w:r>
        <w:rPr>
          <w:rStyle w:val="FootnoteAnchor"/>
          <w:rtl w:val="true"/>
        </w:rPr>
        <w:footnoteReference w:id="400"/>
      </w:r>
      <w:r>
        <w:rPr>
          <w:rFonts w:ascii="Amiri" w:hAnsi="Amiri" w:eastAsia="Amiri" w:cs="Amiri"/>
          <w:color w:val="111111"/>
          <w:sz w:val="28"/>
          <w:sz w:val="28"/>
          <w:szCs w:val="28"/>
          <w:rtl w:val="true"/>
          <w:lang w:bidi="ar-SA"/>
        </w:rPr>
        <w:t xml:space="preserve">، لظاهر التعليل </w:t>
      </w:r>
      <w:r>
        <w:rPr>
          <w:rStyle w:val="FootnoteAnchor"/>
          <w:rtl w:val="true"/>
        </w:rPr>
        <w:footnoteReference w:id="401"/>
      </w:r>
      <w:r>
        <w:rPr>
          <w:rFonts w:ascii="Amiri" w:hAnsi="Amiri" w:eastAsia="Amiri" w:cs="Amiri"/>
          <w:color w:val="111111"/>
          <w:sz w:val="28"/>
          <w:sz w:val="28"/>
          <w:szCs w:val="28"/>
          <w:rtl w:val="true"/>
          <w:lang w:bidi="ar-SA"/>
        </w:rPr>
        <w:t xml:space="preserve">في الموثّقة </w:t>
      </w:r>
      <w:r>
        <w:rPr>
          <w:rStyle w:val="FootnoteAnchor"/>
          <w:rtl w:val="true"/>
        </w:rPr>
        <w:footnoteReference w:id="402"/>
      </w:r>
      <w:r>
        <w:rPr>
          <w:rFonts w:ascii="Amiri" w:hAnsi="Amiri" w:eastAsia="Amiri" w:cs="Amiri"/>
          <w:color w:val="111111"/>
          <w:sz w:val="28"/>
          <w:sz w:val="28"/>
          <w:szCs w:val="28"/>
          <w:rtl w:val="true"/>
          <w:lang w:bidi="ar-SA"/>
        </w:rPr>
        <w:t xml:space="preserve">، بل لعدم الخلاف في الظانّ بالبقاء العاجز عن المراعاة الغير المخبر بدخول النهار، إلّا أنّ ظاهر الرواية الظنّ بالسخرية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يستلزم الظنّ بالكذب فقد يظنّ بالسخرية</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بل يقطع بها مع الشكّ في بقاء الليل، بأن يكون الساخر يخبر مع عدم المراعاة، فيكون أصل الكلام مسخرة لا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إطلاق النصّ و الفتوى يقتضي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الأكل بظنّ كذب المخبر بعد النظر أو من دون نظر متّصل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في الأوّل من جهة عموم منطوق صدر الموثّقة السابقة </w:t>
      </w:r>
      <w:r>
        <w:rPr>
          <w:rStyle w:val="FootnoteAnchor"/>
          <w:rtl w:val="true"/>
        </w:rPr>
        <w:footnoteReference w:id="404"/>
      </w:r>
      <w:r>
        <w:rPr>
          <w:rFonts w:ascii="Amiri" w:hAnsi="Amiri" w:eastAsia="Amiri" w:cs="Amiri"/>
          <w:color w:val="111111"/>
          <w:sz w:val="28"/>
          <w:sz w:val="28"/>
          <w:szCs w:val="28"/>
          <w:rtl w:val="true"/>
          <w:lang w:bidi="ar-SA"/>
        </w:rPr>
        <w:t>و مفهوم تعليل ذيلها الحاكم بأنّ الأكل بعد النظر ليس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Style w:val="FootnoteAnchor"/>
          <w:rtl w:val="true"/>
        </w:rPr>
        <w:footnoteReference w:id="405"/>
      </w:r>
      <w:r>
        <w:rPr>
          <w:rFonts w:ascii="Amiri" w:hAnsi="Amiri" w:eastAsia="Amiri" w:cs="Amiri"/>
          <w:color w:val="111111"/>
          <w:sz w:val="28"/>
          <w:sz w:val="28"/>
          <w:szCs w:val="28"/>
          <w:rtl w:val="true"/>
          <w:lang w:bidi="ar-SA"/>
        </w:rPr>
        <w:t>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السابقة </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أنت الذي نظرت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شمولها لهذه الصورة إشكالا، بل الظاهر من الأكل بعد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اتّكالا عليه مع عدم حصول ما يوهنه، فإنّ إخبار الغير و إن كان فيه مظنّة السخرية إلّا أنّه يوجب التزلزل المحوج إلى النظر؛ فإنّ الظاهر أنّ اعتبار النظر في سقوط القضاء ليس تعبّدا، بل من جهة عدم التقصير، و ظاهر أنّ طرح إخبار الغير لا من جهة احتمال الكذب، بل من جهة احتمال السخرية،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الغلبة، و الاتّكال مع ذلك كلّه على النظر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نظره </w:t>
      </w:r>
      <w:r>
        <w:rPr>
          <w:rStyle w:val="FootnoteAnchor"/>
          <w:rtl w:val="true"/>
        </w:rPr>
        <w:footnoteReference w:id="407"/>
      </w:r>
      <w:r>
        <w:rPr>
          <w:rFonts w:ascii="Amiri" w:hAnsi="Amiri" w:eastAsia="Amiri" w:cs="Amiri"/>
          <w:color w:val="111111"/>
          <w:sz w:val="28"/>
          <w:sz w:val="28"/>
          <w:szCs w:val="28"/>
          <w:rtl w:val="true"/>
          <w:lang w:bidi="ar-SA"/>
        </w:rPr>
        <w:t>السابق مما يغلب على الإخبار حتّى يكون مثل من ينظر فلا يرى و ينظر غيره فيرى الفجر فلا يبعد عدم الاتّكال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رجلين قاما فنظرا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المخبر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 السخرية ففي وجوب الكفّ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عدمها، و من عدم كون البيّنة حجّة من باب التعبّد الصّرف، لا أقلّ من اعتبار عدم الظنّ </w:t>
      </w:r>
      <w:r>
        <w:rPr>
          <w:rStyle w:val="FootnoteAnchor"/>
          <w:rtl w:val="true"/>
        </w:rPr>
        <w:footnoteReference w:id="409"/>
      </w:r>
      <w:r>
        <w:rPr>
          <w:rFonts w:ascii="Amiri" w:hAnsi="Amiri" w:eastAsia="Amiri" w:cs="Amiri"/>
          <w:color w:val="111111"/>
          <w:sz w:val="28"/>
          <w:sz w:val="28"/>
          <w:szCs w:val="28"/>
          <w:rtl w:val="true"/>
          <w:lang w:bidi="ar-SA"/>
        </w:rPr>
        <w:t>على الخلاف، سيّما و انّ أكثر ما يمكن استفادة حجيّة العدل أو العدلين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وجوب تصديق العادل و عدم الاعتناء باحتمال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سخريته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السخرية معصية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كاحتمال خطأ المخبر في النظريات، لا يدلّ تلك الأدلّة على نفي مثل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رفعه بالأصول و الظواهر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يظنّ السخرية فلا إشكال في وجوب الكفّ، و لا في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المصنّف </w:t>
      </w:r>
      <w:r>
        <w:rPr>
          <w:rStyle w:val="FootnoteAnchor"/>
          <w:rtl w:val="true"/>
        </w:rPr>
        <w:footnoteReference w:id="411"/>
      </w:r>
      <w:r>
        <w:rPr>
          <w:rFonts w:ascii="Amiri" w:hAnsi="Amiri" w:eastAsia="Amiri" w:cs="Amiri"/>
          <w:color w:val="111111"/>
          <w:sz w:val="28"/>
          <w:sz w:val="28"/>
          <w:szCs w:val="28"/>
          <w:rtl w:val="true"/>
          <w:lang w:bidi="ar-SA"/>
        </w:rPr>
        <w:t xml:space="preserve">و الشهيدين </w:t>
      </w:r>
      <w:r>
        <w:rPr>
          <w:rStyle w:val="FootnoteAnchor"/>
          <w:rtl w:val="true"/>
        </w:rPr>
        <w:footnoteReference w:id="412"/>
      </w:r>
      <w:r>
        <w:rPr>
          <w:rFonts w:ascii="Amiri" w:hAnsi="Amiri" w:eastAsia="Amiri" w:cs="Amiri"/>
          <w:color w:val="111111"/>
          <w:sz w:val="28"/>
          <w:sz w:val="28"/>
          <w:szCs w:val="28"/>
          <w:rtl w:val="true"/>
          <w:lang w:bidi="ar-SA"/>
        </w:rPr>
        <w:t>قدّس اللّٰه أسرارهم، لانّه كمتعمّد الإفطار مع تيقّن الطلوع،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الكفّارة قد علّقت في أدلّتها على تعمّد الإفطار الذي لا يتحقّق إلّا مع العلم بالنهار، و مجرّد كون الزمان في حكم النهار بمقتضى البيّنة </w:t>
      </w:r>
      <w:r>
        <w:rPr>
          <w:rStyle w:val="FootnoteAnchor"/>
          <w:rtl w:val="true"/>
        </w:rPr>
        <w:footnoteReference w:id="413"/>
      </w:r>
      <w:r>
        <w:rPr>
          <w:rFonts w:ascii="Amiri" w:hAnsi="Amiri" w:eastAsia="Amiri" w:cs="Amiri"/>
          <w:color w:val="111111"/>
          <w:sz w:val="28"/>
          <w:sz w:val="28"/>
          <w:szCs w:val="28"/>
          <w:rtl w:val="true"/>
          <w:lang w:bidi="ar-SA"/>
        </w:rPr>
        <w:t>لا يوجب صدق التعمّد إلى الإفطار، و الأصل في ذلك التفرقة بين تعمّد الأكل في زمان حكم الشارع بكونه نهارا، فإنّه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إلى نقض الصوم، لكن فيه نظر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جواز التناول مع الظنّ ببقاء الليل، تعويلا على استصحاب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 السنّة و 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حَتّٰى يَتَبَيَّنَ لَكُمُ الْخَيْطُ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غاية جواز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النهار، لا 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قاما فنظرا إلى الفجر،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الذي لم يتبيّن له الفجر، و قد حرم على الّذي رأى أنه الفجر، إنّ اللّٰه عز و جل يقول كُلُوا وَ اشْرَبُوا حَتّٰى يَتَبَيَّنَ لَكُمُ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حتّى أشكّ؟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حتّى لا تشكّ</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التناول مع الشكّ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الاستصحاب و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التناول مع عدم الفحص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هذا </w:t>
      </w:r>
      <w:r>
        <w:rPr>
          <w:rStyle w:val="FootnoteAnchor"/>
          <w:rtl w:val="true"/>
        </w:rPr>
        <w:footnoteReference w:id="417"/>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فاسد، لأنّ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للناظر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الخلاف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مع الشكّ، و هو ضعيف خصوصا مع تعميم المنع لما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استند له إلى أنّ الصوم الواقعي المأمور به هو عبارة عن الإمساك في النهار، فيجب الكفّ في الجزء المشكوك كونه من النهار مقدّمة لتحصيل القطع بامتثال الأمر بالصوم النفس الأمري، و هذا الأصل و إن كان واردا على استصحاب حلّية الأكل، إلّا أنّ استصحاب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عليه، 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حتّى لا تشكّ</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ظنّ طلوع الفجر، فإن تمكّن من تحصيل العلم بحيث لا يجوز </w:t>
      </w:r>
      <w:r>
        <w:rPr>
          <w:rStyle w:val="FootnoteAnchor"/>
          <w:rtl w:val="true"/>
        </w:rPr>
        <w:footnoteReference w:id="420"/>
      </w:r>
      <w:r>
        <w:rPr>
          <w:rFonts w:ascii="Amiri" w:hAnsi="Amiri" w:eastAsia="Amiri" w:cs="Amiri"/>
          <w:color w:val="111111"/>
          <w:sz w:val="28"/>
          <w:sz w:val="28"/>
          <w:szCs w:val="28"/>
          <w:rtl w:val="true"/>
          <w:lang w:bidi="ar-SA"/>
        </w:rPr>
        <w:t xml:space="preserve">له الدخول في الصلاة مع هذا الظن، فالظاهر أنّه في حكم العدم، للاستصحاب و الرواية </w:t>
      </w:r>
      <w:r>
        <w:rPr>
          <w:rStyle w:val="FootnoteAnchor"/>
          <w:rtl w:val="true"/>
        </w:rPr>
        <w:footnoteReference w:id="421"/>
      </w:r>
      <w:r>
        <w:rPr>
          <w:rFonts w:ascii="Amiri" w:hAnsi="Amiri" w:eastAsia="Amiri" w:cs="Amiri"/>
          <w:color w:val="111111"/>
          <w:sz w:val="28"/>
          <w:sz w:val="28"/>
          <w:szCs w:val="28"/>
          <w:rtl w:val="true"/>
          <w:lang w:bidi="ar-SA"/>
        </w:rPr>
        <w:t>، بناء على أنّ المراد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الاحتمال، و إن لم يتمكّن من تحصيله بحيث يجوز له الصلاة في ذلك الزمان، فالظاهر وجوب الكفّ، بل لزوم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استمرار الاشتباه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أيضا القضاء بالإفطار بالإخبار </w:t>
      </w:r>
      <w:r>
        <w:rPr>
          <w:rStyle w:val="FootnoteAnchor"/>
          <w:rtl w:val="true"/>
        </w:rPr>
        <w:footnoteReference w:id="422"/>
      </w:r>
      <w:r>
        <w:rPr>
          <w:rFonts w:ascii="Amiri" w:hAnsi="Amiri" w:eastAsia="Amiri" w:cs="Amiri"/>
          <w:color w:val="111111"/>
          <w:sz w:val="28"/>
          <w:sz w:val="28"/>
          <w:szCs w:val="28"/>
          <w:rtl w:val="true"/>
          <w:lang w:bidi="ar-SA"/>
        </w:rPr>
        <w:t xml:space="preserve">بدخول الليل ثمّ ظهر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الفساد </w:t>
      </w:r>
      <w:r>
        <w:rPr>
          <w:rStyle w:val="FootnoteAnchor"/>
          <w:rtl w:val="true"/>
        </w:rPr>
        <w:footnoteReference w:id="424"/>
      </w:r>
      <w:r>
        <w:rPr>
          <w:rFonts w:ascii="Amiri" w:hAnsi="Amiri" w:eastAsia="Amiri" w:cs="Amiri"/>
          <w:color w:val="111111"/>
          <w:sz w:val="28"/>
          <w:sz w:val="28"/>
          <w:szCs w:val="28"/>
          <w:rtl w:val="true"/>
          <w:lang w:bidi="ar-SA"/>
        </w:rPr>
        <w:t xml:space="preserve">لما ذكرنا من انتفاء حقيقة الصوم، مضافا إلى فحوى ما مرّ من وجوب القضاء مع استصحاب الليل و إخبار المخبر ببقائه، و لا فرق بين كون المخبر ممّن يجوز للصائم تقليده أم لا، لأنّ جواز التقليد لا ينفي القضاء </w:t>
      </w:r>
      <w:r>
        <w:rPr>
          <w:rStyle w:val="FootnoteAnchor"/>
          <w:rtl w:val="true"/>
        </w:rPr>
        <w:footnoteReference w:id="425"/>
      </w:r>
      <w:r>
        <w:rPr>
          <w:rFonts w:ascii="Amiri" w:hAnsi="Amiri" w:eastAsia="Amiri" w:cs="Amiri"/>
          <w:color w:val="111111"/>
          <w:sz w:val="28"/>
          <w:sz w:val="28"/>
          <w:szCs w:val="28"/>
          <w:rtl w:val="true"/>
          <w:lang w:bidi="ar-SA"/>
        </w:rPr>
        <w:t>الثابت لأجل فساد الصوم، و لفحوى وجوبه مع الإذن في الاعتماد على استصحاب اللّيل، المعتضد بإخبار الغير، بل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جواز التقليد، فقد يقوى وجوب الكفّارة مع القضاء بالإفطار تعمّدا في زمان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بعدم انصراف أدلّة الكفّارة إلى وجوبها للإفطار في النهار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النهار الاستصحابيّ ليس قسيما للنهار الواقعي، و إنّما أثبت الشارع أحكام النهار الواقعيّ للزمان المشكوك فيه، فإذا سلّم أنّ من أحكام النهار الواقعي تعلّق الكفّارة بالإفطار فيه، كان الزمان المشكوك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الكفّارة إنّما علّقت في الأخبار على تعمّد الإفطار الّذي هو عبارة عن نقض الصوم، و قصد نقض الصوم لا يتأتّى من الشاكّ في النهار، بل الظانّ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 المتمكّن من العلم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الّذي هو أحد </w:t>
      </w:r>
      <w:r>
        <w:rPr>
          <w:rStyle w:val="FootnoteAnchor"/>
          <w:rtl w:val="true"/>
        </w:rPr>
        <w:footnoteReference w:id="427"/>
      </w:r>
      <w:r>
        <w:rPr>
          <w:rFonts w:ascii="Amiri" w:hAnsi="Amiri" w:eastAsia="Amiri" w:cs="Amiri"/>
          <w:color w:val="111111"/>
          <w:sz w:val="28"/>
          <w:sz w:val="28"/>
          <w:szCs w:val="28"/>
          <w:rtl w:val="true"/>
          <w:lang w:bidi="ar-SA"/>
        </w:rPr>
        <w:t>أفراد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الإفطار عليه لا يوجب ثبوت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الجاهل المقصّر، فإنّ ظاهر المشهور أنّه غير معذور في التحريم، و لم يوجب جماعة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ثبوت الكفّارة من لوازم تعمّد هتك حرمة اليوم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فمبنى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هل هي من لوازم الأكل في</w:t>
      </w:r>
    </w:p>
    <w:p>
      <w:pPr>
        <w:pStyle w:val="BookText"/>
        <w:rPr/>
      </w:pPr>
      <w:r>
        <w:rPr>
          <w:rFonts w:ascii="Amiri" w:hAnsi="Amiri" w:eastAsia="Amiri" w:cs="Amiri"/>
          <w:color w:val="111111"/>
          <w:sz w:val="28"/>
          <w:sz w:val="28"/>
          <w:szCs w:val="28"/>
          <w:rtl w:val="true"/>
          <w:lang w:bidi="ar-SA"/>
        </w:rPr>
        <w:t>نهار رمضان، أو أنّها من لوازم تعمّد نقض الصوم؟ فيجب الكفّارة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ظهور الفساد، و أمّا مع استمرار الاشتباه فلا إشكال في عدم وجوب القضاء مع جواز التقليد، و أمّا مع عدمه فمقتضى الاستصحاب وجوب القضاء، بل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الشهيد الثاني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صورة انكشاف الخلاف من أنّ الإفطار محرّم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احتمل وجوبهما </w:t>
      </w:r>
      <w:r>
        <w:rPr>
          <w:rStyle w:val="FootnoteAnchor"/>
          <w:rtl w:val="true"/>
        </w:rPr>
        <w:footnoteReference w:id="429"/>
      </w:r>
      <w:r>
        <w:rPr>
          <w:rFonts w:ascii="Amiri" w:hAnsi="Amiri" w:eastAsia="Amiri" w:cs="Amiri"/>
          <w:color w:val="111111"/>
          <w:sz w:val="28"/>
          <w:sz w:val="28"/>
          <w:szCs w:val="28"/>
          <w:rtl w:val="true"/>
          <w:lang w:bidi="ar-SA"/>
        </w:rPr>
        <w:t xml:space="preserve">مع انكشاف دخول الليل لثبوت التحريم ظاهرا في حقّه، فيترتّب عليه القضاء و الكفّارة، و انكشاف موافقة الواقع </w:t>
      </w:r>
      <w:r>
        <w:rPr>
          <w:rStyle w:val="FootnoteAnchor"/>
          <w:rtl w:val="true"/>
        </w:rPr>
        <w:footnoteReference w:id="430"/>
      </w:r>
      <w:r>
        <w:rPr>
          <w:rFonts w:ascii="Amiri" w:hAnsi="Amiri" w:eastAsia="Amiri" w:cs="Amiri"/>
          <w:color w:val="111111"/>
          <w:sz w:val="28"/>
          <w:sz w:val="28"/>
          <w:szCs w:val="28"/>
          <w:rtl w:val="true"/>
          <w:lang w:bidi="ar-SA"/>
        </w:rPr>
        <w:t>لا يجدي في رفع التحريم الموجب لتعلّق القضاء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الكفّارة و لا القضاء، كما أنّ جواز التناول لا يوجب سقوط القضاء مع انكشاف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الاعتماد في دخول الليل على العدلين هو الأظهر،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بعض العمومات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موارد اعتبارهما، و فحوى اعتبارهما في مثل حقوق الناس من الأموال و النفوس و الأعراض، و في إفطار تمام اليوم و وجوب صلاة العيد إذا شهد عدلان بالهلال و نحو ذلك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تلك الموارد اعتبارهما لحكمة تعذّر العلم</w:t>
      </w:r>
    </w:p>
    <w:p>
      <w:pPr>
        <w:pStyle w:val="BookText"/>
        <w:rPr/>
      </w:pPr>
      <w:r>
        <w:rPr>
          <w:rFonts w:ascii="Amiri" w:hAnsi="Amiri" w:eastAsia="Amiri" w:cs="Amiri"/>
          <w:color w:val="111111"/>
          <w:sz w:val="28"/>
          <w:sz w:val="28"/>
          <w:szCs w:val="28"/>
          <w:rtl w:val="true"/>
          <w:lang w:bidi="ar-SA"/>
        </w:rPr>
        <w:t>غالبا فطرّد الحكم في النادر، و أمّا أوقات الصلوات و الإفطار فالغلبة فيها بالعكس، فلا يبقى إلّا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بالإفطار </w:t>
      </w:r>
      <w:r>
        <w:rPr>
          <w:rStyle w:val="FootnoteAnchor"/>
          <w:rtl w:val="true"/>
        </w:rPr>
        <w:footnoteReference w:id="434"/>
      </w:r>
      <w:r>
        <w:rPr>
          <w:rFonts w:ascii="Amiri" w:hAnsi="Amiri" w:eastAsia="Amiri" w:cs="Amiri"/>
          <w:color w:val="111111"/>
          <w:sz w:val="28"/>
          <w:sz w:val="28"/>
          <w:szCs w:val="28"/>
          <w:rtl w:val="true"/>
          <w:lang w:bidi="ar-SA"/>
        </w:rPr>
        <w:t xml:space="preserve">للظلمة الموهمة </w:t>
      </w:r>
      <w:r>
        <w:rPr>
          <w:rStyle w:val="FootnoteAnchor"/>
          <w:rtl w:val="true"/>
        </w:rPr>
        <w:footnoteReference w:id="435"/>
      </w:r>
      <w:r>
        <w:rPr>
          <w:rFonts w:ascii="Amiri" w:hAnsi="Amiri" w:eastAsia="Amiri" w:cs="Amiri"/>
          <w:color w:val="111111"/>
          <w:sz w:val="28"/>
          <w:sz w:val="28"/>
          <w:szCs w:val="28"/>
          <w:rtl w:val="true"/>
          <w:lang w:bidi="ar-SA"/>
        </w:rPr>
        <w:t>أي المخيّلة في بادئ النظر دخول الليل و إن قطع به، مع عدم دخوله واقعا،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حقيقة الصوم المقتضي لوجوب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للصحيح عن أبي بصير و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43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صاموا شهر رمضان فغشيهم سحاب أسود عند غروب الشمس، فرأوا أنّه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 بعضهم، ثمّ إنّ السحاب انجلى فإذا الشمس</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أفطر صيام ذلك اليوم، إنّ اللّٰه عزّ و جل يقول أَتِمُّوا الصِّيٰامَ إِلَى اللَّيْلِ </w:t>
      </w:r>
      <w:r>
        <w:rPr>
          <w:rStyle w:val="FootnoteAnchor"/>
          <w:rtl w:val="true"/>
        </w:rPr>
        <w:footnoteReference w:id="438"/>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الخدشة في سندها بأنّ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مسموعة،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دلالتها بعدم دلالتها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 صيام ذلك اليوم إتمامه، و كون وجوب القضاء لمن أكل قبل دخول الليل إشارة إلى من أكل بعد انكشاف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مخالفة للظاهر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الرواية أنّهم تخيّلوا ذلك السحاب الليل،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توهّموا ظلمته</w:t>
      </w:r>
    </w:p>
    <w:p>
      <w:pPr>
        <w:pStyle w:val="BookText"/>
        <w:rPr/>
      </w:pPr>
      <w:r>
        <w:rPr>
          <w:rFonts w:ascii="Amiri" w:hAnsi="Amiri" w:eastAsia="Amiri" w:cs="Amiri"/>
          <w:color w:val="111111"/>
          <w:sz w:val="28"/>
          <w:sz w:val="28"/>
          <w:szCs w:val="28"/>
          <w:rtl w:val="true"/>
          <w:lang w:bidi="ar-SA"/>
        </w:rPr>
        <w:t>ظلمة الليل، و الظاهر عدم رضا الشارع بالإفطار بمثل هذا التخيّل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بلغ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صورة القطع غير مكلّف بالإمساك، و هو لا ينافي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وجوب الكفّارة مع عدم القطع إذا علم أن تكليفه عدم الاعتبار </w:t>
      </w:r>
      <w:r>
        <w:rPr>
          <w:rStyle w:val="FootnoteAnchor"/>
          <w:rtl w:val="true"/>
        </w:rPr>
        <w:footnoteReference w:id="440"/>
      </w:r>
      <w:r>
        <w:rPr>
          <w:rFonts w:ascii="Amiri" w:hAnsi="Amiri" w:eastAsia="Amiri" w:cs="Amiri"/>
          <w:color w:val="111111"/>
          <w:sz w:val="28"/>
          <w:sz w:val="28"/>
          <w:szCs w:val="28"/>
          <w:rtl w:val="true"/>
          <w:lang w:bidi="ar-SA"/>
        </w:rPr>
        <w:t xml:space="preserve">بهذا الظنّ الابتدائي الّذي يزول </w:t>
      </w:r>
      <w:r>
        <w:rPr>
          <w:rStyle w:val="FootnoteAnchor"/>
          <w:rtl w:val="true"/>
        </w:rPr>
        <w:footnoteReference w:id="441"/>
      </w:r>
      <w:r>
        <w:rPr>
          <w:rFonts w:ascii="Amiri" w:hAnsi="Amiri" w:eastAsia="Amiri" w:cs="Amiri"/>
          <w:color w:val="111111"/>
          <w:sz w:val="28"/>
          <w:sz w:val="28"/>
          <w:szCs w:val="28"/>
          <w:rtl w:val="true"/>
          <w:lang w:bidi="ar-SA"/>
        </w:rPr>
        <w:t>بأدنى تفطّن فإنّ الإنسان إذا تفحّص و علم أنّ هذه الظلمة من السحاب، فيكون وجودها عنده كعدمها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جهل أولئك بحرمة الإفطار و كون الزمان محكوما في حقّهم بالنهارية بمقتضى الاستصحاب، بل قد عرفت سابقا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يثبت به القصد إلى نقض الصوم الواقعي، لأنّ القصد لا يتحقّق من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محكوما بحكم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قاصد إلى ترك الإمساك في زمان يجب إمساكه، و ليس هذا قصدا إلى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ببقاء الصوم يوجب إعادة الكلام السابق، إذ لا يتحقّق معه القصد إلى نقض الصوم الواقعيّ، و لم يتحقّق الصوم بالاستصحاب، إنّما الثابت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الإمساك و حرمة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ظنّ بالغروب مع عدم التمكّن من العلم لم يفطر </w:t>
      </w:r>
      <w:r>
        <w:rPr>
          <w:rStyle w:val="FootnoteAnchor"/>
          <w:rtl w:val="true"/>
        </w:rPr>
        <w:footnoteReference w:id="442"/>
      </w:r>
      <w:r>
        <w:rPr>
          <w:rFonts w:ascii="Amiri" w:hAnsi="Amiri" w:eastAsia="Amiri" w:cs="Amiri"/>
          <w:color w:val="111111"/>
          <w:sz w:val="28"/>
          <w:sz w:val="28"/>
          <w:szCs w:val="28"/>
          <w:rtl w:val="true"/>
          <w:lang w:bidi="ar-SA"/>
        </w:rPr>
        <w:t xml:space="preserve">اي لم يقض الصوم مع الفساد </w:t>
      </w:r>
      <w:r>
        <w:rPr>
          <w:rStyle w:val="FootnoteAnchor"/>
          <w:rtl w:val="true"/>
        </w:rPr>
        <w:footnoteReference w:id="443"/>
      </w:r>
      <w:r>
        <w:rPr>
          <w:rFonts w:ascii="IRNazanin" w:hAnsi="IRNazanin" w:eastAsia="IRNazanin"/>
          <w:color w:val="111111"/>
          <w:sz w:val="28"/>
          <w:sz w:val="28"/>
          <w:szCs w:val="28"/>
          <w:rtl w:val="true"/>
          <w:lang w:bidi="fa-IR"/>
        </w:rPr>
        <w:t xml:space="preserve">و إن اقتضى </w:t>
      </w:r>
      <w:r>
        <w:rPr>
          <w:rStyle w:val="FootnoteAnchor"/>
          <w:rtl w:val="true"/>
        </w:rPr>
        <w:footnoteReference w:id="444"/>
      </w:r>
      <w:r>
        <w:rPr>
          <w:rFonts w:ascii="Amiri" w:hAnsi="Amiri" w:eastAsia="Amiri" w:cs="Amiri"/>
          <w:color w:val="111111"/>
          <w:sz w:val="28"/>
          <w:sz w:val="28"/>
          <w:szCs w:val="28"/>
          <w:rtl w:val="true"/>
          <w:lang w:bidi="ar-SA"/>
        </w:rPr>
        <w:t>قاعدة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لصحيحة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صام ثمّ ظنّ أنّ الشمس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ثمّ إنّ السحاب انجلى فإذا الشمس</w:t>
      </w:r>
    </w:p>
    <w:p>
      <w:pPr>
        <w:pStyle w:val="BookText"/>
        <w:rPr/>
      </w:pPr>
      <w:r>
        <w:rPr>
          <w:rFonts w:ascii="IRNazanin" w:hAnsi="IRNazanin" w:eastAsia="IRNazanin"/>
          <w:color w:val="111111"/>
          <w:sz w:val="28"/>
          <w:sz w:val="28"/>
          <w:szCs w:val="28"/>
          <w:rtl w:val="true"/>
          <w:lang w:bidi="fa-IR"/>
        </w:rPr>
        <w:t>لم تغب؟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و لا يقضيه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رواية زيد الشحّام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الصلاة و مضى صومك، و تكفّ عن الطعام 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أصبت منه شيئا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صحيحة أخرى لزرارة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محمولة على ما إذا ظنّ بالليل و لم يتمكّن من تحصيل العلم بالمراعاة، بقرينة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الظاهرة في المبادرة إلى الإفطار بمجرّد تخيّل الظلمة ظلمة الليل، من غير مراعاة مشخّصة لكون الظلمة من السحاب أو من الليل، إذ لو راعوا لتبيّن لهم أنّها ظلمة السحاب و أنّ وجودها كعدمها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حكم الموطوء في فساد الصوم حكم الواطئ بلا خلاف</w:t>
      </w:r>
    </w:p>
    <w:p>
      <w:pPr>
        <w:pStyle w:val="BookText"/>
        <w:rPr/>
      </w:pPr>
      <w:r>
        <w:rPr>
          <w:rFonts w:ascii="Amiri" w:hAnsi="Amiri" w:eastAsia="Amiri" w:cs="Amiri"/>
          <w:color w:val="111111"/>
          <w:sz w:val="28"/>
          <w:sz w:val="28"/>
          <w:szCs w:val="28"/>
          <w:rtl w:val="true"/>
          <w:lang w:bidi="ar-SA"/>
        </w:rPr>
        <w:t>ظاهرا، و لو بنينا الإفساد على الجنابة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وطء الدابّة في الصوم و غيره، و قد تقدّم أنّ إفساده للصوم لا يخلو عن قوّة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الكذب على اللّٰه و رسوله و الأئمّة صلوات اللّٰه عليهم أجمعين في الصوم و غيره بالضرورة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يحرم الارتماس على المشهور، و يدلّ عليه الأخبار الكثيرة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و سيجي‌ء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السيّد في أحد قوليه </w:t>
      </w:r>
      <w:r>
        <w:rPr>
          <w:rStyle w:val="FootnoteAnchor"/>
          <w:rtl w:val="true"/>
        </w:rPr>
        <w:footnoteReference w:id="456"/>
      </w:r>
      <w:r>
        <w:rPr>
          <w:rFonts w:ascii="Amiri" w:hAnsi="Amiri" w:eastAsia="Amiri" w:cs="Amiri"/>
          <w:color w:val="111111"/>
          <w:sz w:val="28"/>
          <w:sz w:val="28"/>
          <w:szCs w:val="28"/>
          <w:rtl w:val="true"/>
          <w:lang w:bidi="ar-SA"/>
        </w:rPr>
        <w:t xml:space="preserve">و العماني </w:t>
      </w:r>
      <w:r>
        <w:rPr>
          <w:rStyle w:val="FootnoteAnchor"/>
          <w:rtl w:val="true"/>
        </w:rPr>
        <w:footnoteReference w:id="457"/>
      </w:r>
      <w:r>
        <w:rPr>
          <w:rFonts w:ascii="Amiri" w:hAnsi="Amiri" w:eastAsia="Amiri" w:cs="Amiri"/>
          <w:color w:val="111111"/>
          <w:sz w:val="28"/>
          <w:sz w:val="28"/>
          <w:szCs w:val="28"/>
          <w:rtl w:val="true"/>
          <w:lang w:bidi="ar-SA"/>
        </w:rPr>
        <w:t xml:space="preserve">و الحلّي </w:t>
      </w:r>
      <w:r>
        <w:rPr>
          <w:rStyle w:val="FootnoteAnchor"/>
          <w:rtl w:val="true"/>
        </w:rPr>
        <w:footnoteReference w:id="458"/>
      </w:r>
      <w:r>
        <w:rPr>
          <w:rFonts w:ascii="Amiri" w:hAnsi="Amiri" w:eastAsia="Amiri" w:cs="Amiri"/>
          <w:color w:val="111111"/>
          <w:sz w:val="28"/>
          <w:sz w:val="28"/>
          <w:szCs w:val="28"/>
          <w:rtl w:val="true"/>
          <w:lang w:bidi="ar-SA"/>
        </w:rPr>
        <w:t xml:space="preserve">فكرهاه، و هو ضعيف، لكثرة ما يدلّ على التحريم، إلّا أنّه لا </w:t>
      </w:r>
      <w:r>
        <w:rPr>
          <w:rStyle w:val="FootnoteAnchor"/>
          <w:rtl w:val="true"/>
        </w:rPr>
        <w:footnoteReference w:id="459"/>
      </w:r>
      <w:r>
        <w:rPr>
          <w:rFonts w:ascii="Amiri" w:hAnsi="Amiri" w:eastAsia="Amiri" w:cs="Amiri"/>
          <w:color w:val="111111"/>
          <w:sz w:val="28"/>
          <w:sz w:val="28"/>
          <w:szCs w:val="28"/>
          <w:rtl w:val="true"/>
          <w:lang w:bidi="ar-SA"/>
        </w:rPr>
        <w:t xml:space="preserve">يترتّب على وقوعه و وقوع الكذب في حال الصوم قضاء و لا كفّارة على رأي المصنّف هنا، تبعا لشيخه المحقّق </w:t>
      </w:r>
      <w:r>
        <w:rPr>
          <w:rStyle w:val="FootnoteAnchor"/>
          <w:rtl w:val="true"/>
        </w:rPr>
        <w:footnoteReference w:id="460"/>
      </w:r>
      <w:r>
        <w:rPr>
          <w:rFonts w:ascii="Amiri" w:hAnsi="Amiri" w:eastAsia="Amiri" w:cs="Amiri"/>
          <w:color w:val="111111"/>
          <w:sz w:val="28"/>
          <w:sz w:val="28"/>
          <w:szCs w:val="28"/>
          <w:rtl w:val="true"/>
          <w:lang w:bidi="ar-SA"/>
        </w:rPr>
        <w:t xml:space="preserve">كما عن السيّد في الجمل </w:t>
      </w:r>
      <w:r>
        <w:rPr>
          <w:rStyle w:val="FootnoteAnchor"/>
          <w:rtl w:val="true"/>
        </w:rPr>
        <w:footnoteReference w:id="461"/>
      </w:r>
      <w:r>
        <w:rPr>
          <w:rFonts w:ascii="Amiri" w:hAnsi="Amiri" w:eastAsia="Amiri" w:cs="Amiri"/>
          <w:color w:val="111111"/>
          <w:sz w:val="28"/>
          <w:sz w:val="28"/>
          <w:szCs w:val="28"/>
          <w:rtl w:val="true"/>
          <w:lang w:bidi="ar-SA"/>
        </w:rPr>
        <w:t xml:space="preserve">و الحلّي </w:t>
      </w:r>
      <w:r>
        <w:rPr>
          <w:rStyle w:val="FootnoteAnchor"/>
          <w:rtl w:val="true"/>
        </w:rPr>
        <w:footnoteReference w:id="462"/>
      </w:r>
      <w:r>
        <w:rPr>
          <w:rFonts w:ascii="Amiri" w:hAnsi="Amiri" w:eastAsia="Amiri" w:cs="Amiri"/>
          <w:color w:val="111111"/>
          <w:sz w:val="28"/>
          <w:sz w:val="28"/>
          <w:szCs w:val="28"/>
          <w:rtl w:val="true"/>
          <w:lang w:bidi="ar-SA"/>
        </w:rPr>
        <w:t xml:space="preserve">و أكثر المتأخرين </w:t>
      </w:r>
      <w:r>
        <w:rPr>
          <w:rStyle w:val="FootnoteAnchor"/>
          <w:rtl w:val="true"/>
        </w:rPr>
        <w:footnoteReference w:id="463"/>
      </w:r>
      <w:r>
        <w:rPr>
          <w:rFonts w:ascii="Amiri" w:hAnsi="Amiri" w:eastAsia="Amiri" w:cs="Amiri"/>
          <w:color w:val="111111"/>
          <w:sz w:val="28"/>
          <w:sz w:val="28"/>
          <w:szCs w:val="28"/>
          <w:rtl w:val="true"/>
          <w:lang w:bidi="ar-SA"/>
        </w:rPr>
        <w:t xml:space="preserve">أما في الأول فللصحيح المتقدّم </w:t>
      </w:r>
      <w:r>
        <w:rPr>
          <w:rStyle w:val="FootnoteAnchor"/>
          <w:rtl w:val="true"/>
        </w:rPr>
        <w:footnoteReference w:id="464"/>
      </w:r>
      <w:r>
        <w:rPr>
          <w:rFonts w:ascii="Amiri" w:hAnsi="Amiri" w:eastAsia="Amiri" w:cs="Amiri"/>
          <w:color w:val="111111"/>
          <w:sz w:val="28"/>
          <w:sz w:val="28"/>
          <w:szCs w:val="28"/>
          <w:rtl w:val="true"/>
          <w:lang w:bidi="ar-SA"/>
        </w:rPr>
        <w:t>الحاصر لما يضرّ الصائم من</w:t>
      </w:r>
    </w:p>
    <w:p>
      <w:pPr>
        <w:pStyle w:val="BookText"/>
        <w:rPr/>
      </w:pPr>
      <w:r>
        <w:rPr>
          <w:rFonts w:ascii="Amiri" w:hAnsi="Amiri" w:eastAsia="Amiri" w:cs="Amiri"/>
          <w:color w:val="111111"/>
          <w:sz w:val="28"/>
          <w:sz w:val="28"/>
          <w:szCs w:val="28"/>
          <w:rtl w:val="true"/>
          <w:lang w:bidi="ar-SA"/>
        </w:rPr>
        <w:t xml:space="preserve">حيث صومه، و لا مخصّص له عدا الأخبار الآتية </w:t>
      </w:r>
      <w:r>
        <w:rPr>
          <w:rStyle w:val="FootnoteAnchor"/>
          <w:rtl w:val="true"/>
        </w:rPr>
        <w:footnoteReference w:id="465"/>
      </w:r>
      <w:r>
        <w:rPr>
          <w:rFonts w:ascii="Amiri" w:hAnsi="Amiri" w:eastAsia="Amiri" w:cs="Amiri"/>
          <w:color w:val="111111"/>
          <w:sz w:val="28"/>
          <w:sz w:val="28"/>
          <w:szCs w:val="28"/>
          <w:rtl w:val="true"/>
          <w:lang w:bidi="ar-SA"/>
        </w:rPr>
        <w:t>الظاهرة في الإفساد، المحمولة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ضمّ الوضوء في بعضها إلى الصوم في الإنقاض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 من المبالغة،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للمحكي عن المشايخ الثلاثة </w:t>
      </w:r>
      <w:r>
        <w:rPr>
          <w:rStyle w:val="FootnoteAnchor"/>
          <w:rtl w:val="true"/>
        </w:rPr>
        <w:footnoteReference w:id="466"/>
      </w:r>
      <w:r>
        <w:rPr>
          <w:rFonts w:ascii="Amiri" w:hAnsi="Amiri" w:eastAsia="Amiri" w:cs="Amiri"/>
          <w:color w:val="111111"/>
          <w:sz w:val="28"/>
          <w:sz w:val="28"/>
          <w:szCs w:val="28"/>
          <w:rtl w:val="true"/>
          <w:lang w:bidi="ar-SA"/>
        </w:rPr>
        <w:t xml:space="preserve">و أتباعهم و ابن زهرة </w:t>
      </w:r>
      <w:r>
        <w:rPr>
          <w:rStyle w:val="FootnoteAnchor"/>
          <w:rtl w:val="true"/>
        </w:rPr>
        <w:footnoteReference w:id="467"/>
      </w:r>
      <w:r>
        <w:rPr>
          <w:rFonts w:ascii="Amiri" w:hAnsi="Amiri" w:eastAsia="Amiri" w:cs="Amiri"/>
          <w:color w:val="111111"/>
          <w:sz w:val="28"/>
          <w:sz w:val="28"/>
          <w:szCs w:val="28"/>
          <w:rtl w:val="true"/>
          <w:lang w:bidi="ar-SA"/>
        </w:rPr>
        <w:t xml:space="preserve">و ظاهر الصدوقين </w:t>
      </w:r>
      <w:r>
        <w:rPr>
          <w:rStyle w:val="FootnoteAnchor"/>
          <w:rtl w:val="true"/>
        </w:rPr>
        <w:footnoteReference w:id="468"/>
      </w:r>
      <w:r>
        <w:rPr>
          <w:rFonts w:ascii="Amiri" w:hAnsi="Amiri" w:eastAsia="Amiri" w:cs="Amiri"/>
          <w:color w:val="111111"/>
          <w:sz w:val="28"/>
          <w:sz w:val="28"/>
          <w:szCs w:val="28"/>
          <w:rtl w:val="true"/>
          <w:lang w:bidi="ar-SA"/>
        </w:rPr>
        <w:t xml:space="preserve">حيث عدّاه مفطرا، و عن الدروس أنّه المشهور </w:t>
      </w:r>
      <w:r>
        <w:rPr>
          <w:rStyle w:val="FootnoteAnchor"/>
          <w:rtl w:val="true"/>
        </w:rPr>
        <w:footnoteReference w:id="469"/>
      </w:r>
      <w:r>
        <w:rPr>
          <w:rFonts w:ascii="Amiri" w:hAnsi="Amiri" w:eastAsia="Amiri" w:cs="Amiri"/>
          <w:color w:val="111111"/>
          <w:sz w:val="28"/>
          <w:sz w:val="28"/>
          <w:szCs w:val="28"/>
          <w:rtl w:val="true"/>
          <w:lang w:bidi="ar-SA"/>
        </w:rPr>
        <w:t xml:space="preserve">و في الغنية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الانتصار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بل ظاهر عبارة المعتبر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للأخبار المستفيضة، كموثّقة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كذب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 رسوله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 نحوها أخرى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476"/>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الجماع و الارتماس في الماء و الكذب على اللّٰه و رسوله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المحكي عن الفقه الرضوي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الكذبة تنقض الوضوء و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الكذب على اللّٰه و رسوله صلّى اللّٰه عليه و آله و سلم، و على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آخر منه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 بنقض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حمل الإفطار على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المعتبر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إشكال إلّا أنّ القول بالإفساد لا يخلو عن قوّة، مع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بوجوب الكفّارة مبنيّ على ثبوتها بمجرّد تحقّق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ادّعي انصراف إطلاق الإفطار </w:t>
      </w:r>
      <w:r>
        <w:rPr>
          <w:rStyle w:val="FootnoteAnchor"/>
          <w:rtl w:val="true"/>
        </w:rPr>
        <w:footnoteReference w:id="482"/>
      </w:r>
      <w:r>
        <w:rPr>
          <w:rFonts w:ascii="Amiri" w:hAnsi="Amiri" w:eastAsia="Amiri" w:cs="Amiri"/>
          <w:color w:val="111111"/>
          <w:sz w:val="28"/>
          <w:sz w:val="28"/>
          <w:szCs w:val="28"/>
          <w:rtl w:val="true"/>
          <w:lang w:bidi="ar-SA"/>
        </w:rPr>
        <w:t>إلى خصوص الأكل و الشرب، فثبوت الإفطار لا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الشهيد في شرح الكتاب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إلحاق الكذب على </w:t>
      </w:r>
      <w:r>
        <w:rPr>
          <w:rStyle w:val="FootnoteAnchor"/>
          <w:rtl w:val="true"/>
        </w:rPr>
        <w:footnoteReference w:id="484"/>
      </w:r>
      <w:r>
        <w:rPr>
          <w:rFonts w:ascii="Amiri" w:hAnsi="Amiri" w:eastAsia="Amiri" w:cs="Amiri"/>
          <w:color w:val="111111"/>
          <w:sz w:val="28"/>
          <w:sz w:val="28"/>
          <w:szCs w:val="28"/>
          <w:rtl w:val="true"/>
          <w:lang w:bidi="ar-SA"/>
        </w:rPr>
        <w:t>الزهراء عليها السلام وجه قويّ، و إن لم يكن منصوصا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الكذب على الأنبياء صلوات اللّٰه على نبيّنا و آله و عليهم فإن استلزم الكذب على اللّٰه فلا إشكال، و إلّا ففيه وجهان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المتيقّن من الكذب المفطر نسبة حكم إليهم فيما يتعلّق بالدين، سواء نسبه إلى قولهم أو فعلهم أو تقريرهم، و سواء كانت النسبة بالقول </w:t>
      </w:r>
      <w:r>
        <w:rPr>
          <w:rStyle w:val="FootnoteAnchor"/>
          <w:rtl w:val="true"/>
        </w:rPr>
        <w:footnoteReference w:id="486"/>
      </w:r>
      <w:r>
        <w:rPr>
          <w:rFonts w:ascii="Amiri" w:hAnsi="Amiri" w:eastAsia="Amiri" w:cs="Amiri"/>
          <w:color w:val="111111"/>
          <w:sz w:val="28"/>
          <w:sz w:val="28"/>
          <w:szCs w:val="28"/>
          <w:rtl w:val="true"/>
          <w:lang w:bidi="ar-SA"/>
        </w:rPr>
        <w:t xml:space="preserve">أو بالإشارة أو بالكتابة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بعدم صدوره</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يعلم بالصدور فلا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يقصد الكذب عليهم فيكون كما لو اعتقد الصدق فبان 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اعتقد المخالفة فبانت الموافقة، فالظاهر عدم الإفساد، لأنّه قصد الكذب و لم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العزم على فعل المفطر مفطرا توجّه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يجدي الرجوع عمّا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نفى صدور حكم صادر عنهم ففي كونه كذبا عليهم،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الكذب لا على الوجه المحرّم، كما لو وقع تقيّة أو من الصبي، فالظاهر عدم الإفساد، لأنّ الظاهر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الحكم على الكذب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ضمّ نقض الوضوء إليه في بعض الأخبار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أنّ التقيّة ترفع حكم الإثم دون الإفطار فاسد، لأنّ ذلك فيما إذا كان الشي‌ء بالذات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الكذب فبعد دعوى أنّ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المفطر منه هو القسم المحرّم منه، فعدم الإفطار </w:t>
      </w:r>
      <w:r>
        <w:rPr>
          <w:rStyle w:val="FootnoteAnchor"/>
          <w:rtl w:val="true"/>
        </w:rPr>
        <w:footnoteReference w:id="489"/>
      </w:r>
      <w:r>
        <w:rPr>
          <w:rFonts w:ascii="Amiri" w:hAnsi="Amiri" w:eastAsia="Amiri" w:cs="Amiri"/>
          <w:color w:val="111111"/>
          <w:sz w:val="28"/>
          <w:sz w:val="28"/>
          <w:szCs w:val="28"/>
          <w:rtl w:val="true"/>
          <w:lang w:bidi="ar-SA"/>
        </w:rPr>
        <w:t>عند التقيّة لأجل عدم التحريم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صدق الإخبار في الكذب المذكور بأن يوجّه خطابا إلى أحد فيخبره بالكذب، أو يكفي مجرد تكلّمه و لو عند نفسه أو موجّها </w:t>
      </w:r>
      <w:r>
        <w:rPr>
          <w:rStyle w:val="FootnoteAnchor"/>
          <w:rtl w:val="true"/>
        </w:rPr>
        <w:footnoteReference w:id="490"/>
      </w:r>
      <w:r>
        <w:rPr>
          <w:rFonts w:ascii="IRNazanin" w:hAnsi="IRNazanin" w:eastAsia="IRNazanin"/>
          <w:color w:val="111111"/>
          <w:sz w:val="28"/>
          <w:sz w:val="28"/>
          <w:szCs w:val="28"/>
          <w:rtl w:val="true"/>
          <w:lang w:bidi="fa-IR"/>
        </w:rPr>
        <w:t>إلى من</w:t>
      </w:r>
    </w:p>
    <w:p>
      <w:pPr>
        <w:pStyle w:val="BookText"/>
        <w:rPr/>
      </w:pPr>
      <w:r>
        <w:rPr>
          <w:rFonts w:ascii="Amiri" w:hAnsi="Amiri" w:eastAsia="Amiri" w:cs="Amiri"/>
          <w:color w:val="111111"/>
          <w:sz w:val="28"/>
          <w:sz w:val="28"/>
          <w:szCs w:val="28"/>
          <w:rtl w:val="true"/>
          <w:lang w:bidi="ar-SA"/>
        </w:rPr>
        <w:t>لا يفهم؟ وجهان، صرّح بعض بالأوّل، و لا بأس به، لأنه الظاهر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كذب عليهم فيما يتعلّق بأمور الدنيا، ففي </w:t>
      </w:r>
      <w:r>
        <w:rPr>
          <w:rStyle w:val="FootnoteAnchor"/>
          <w:rtl w:val="true"/>
        </w:rPr>
        <w:footnoteReference w:id="491"/>
      </w:r>
      <w:r>
        <w:rPr>
          <w:rFonts w:ascii="Amiri" w:hAnsi="Amiri" w:eastAsia="Amiri" w:cs="Amiri"/>
          <w:color w:val="111111"/>
          <w:sz w:val="28"/>
          <w:sz w:val="28"/>
          <w:szCs w:val="28"/>
          <w:rtl w:val="true"/>
          <w:lang w:bidi="ar-SA"/>
        </w:rPr>
        <w:t xml:space="preserve">صريح التحرير كونه مفطرا </w:t>
      </w:r>
      <w:r>
        <w:rPr>
          <w:rStyle w:val="FootnoteAnchor"/>
          <w:rtl w:val="true"/>
        </w:rPr>
        <w:footnoteReference w:id="492"/>
      </w:r>
      <w:r>
        <w:rPr>
          <w:rFonts w:ascii="Amiri" w:hAnsi="Amiri" w:eastAsia="Amiri" w:cs="Amiri"/>
          <w:color w:val="111111"/>
          <w:sz w:val="28"/>
          <w:sz w:val="28"/>
          <w:szCs w:val="28"/>
          <w:rtl w:val="true"/>
          <w:lang w:bidi="ar-SA"/>
        </w:rPr>
        <w:t>، و عن بعض عدمه،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في كلّ ما شأنهم بيانه، و لا يختصّ به واحد دون آخر، دون العاديّات الواقعة عنهم في الموارد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بشراء اللحم و إتيان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الإفتاء من غير علم، الظاهر أنه ليس مفطرا، و إن بانت المخالفة، لأنّه ليس تعمّدا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الحصر في قوله تعالى قُلْ آللّٰهُ أَذِنَ لَكُمْ أَمْ عَلَى اللّٰهِ تَفْتَرُونَ </w:t>
      </w:r>
      <w:r>
        <w:rPr>
          <w:rStyle w:val="FootnoteAnchor"/>
          <w:rtl w:val="true"/>
        </w:rPr>
        <w:footnoteReference w:id="493"/>
      </w:r>
      <w:r>
        <w:rPr>
          <w:rFonts w:ascii="Amiri" w:hAnsi="Amiri" w:eastAsia="Amiri" w:cs="Amiri"/>
          <w:color w:val="111111"/>
          <w:sz w:val="28"/>
          <w:sz w:val="28"/>
          <w:szCs w:val="28"/>
          <w:rtl w:val="true"/>
          <w:lang w:bidi="ar-SA"/>
        </w:rPr>
        <w:t>إنّما هو في المورد الخاص، و هو تحريم اليهود لبعض الأشياء، و لا ريب أنّ عدم الإذن في التحريم يقتضي الرجوع إلى حكم العقل بأنّ اللّٰه تعالى لم يحرمه من غير بيان، بل حكم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حراما لبيّنه لهم نبيّهم، فتشريع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على اللّٰه، فلا تقتضي الآية أنّ الحكم من 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المسألة كذا من دون نسبته إلى اللّٰه و القصد إلى ذلك، فإن لم يعلم المخالفة فالظاهر عدم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بالمخالفة فلا يبعد البطلان، لأنّ 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 اللّٰه تعالى لم يحكم 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يحتمل العدم، نظرا إلى أنّ دلالة القول المذكور على نسبته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النسبة و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تبعيّة غير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فهو إلزام و لا يتّصف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الارتماس، فقد عرفت أنّ الأقوى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و أمّا القضاء و الكفّارة فثبوتهما </w:t>
      </w:r>
      <w:r>
        <w:rPr>
          <w:rStyle w:val="FootnoteAnchor"/>
          <w:rtl w:val="true"/>
        </w:rPr>
        <w:footnoteReference w:id="495"/>
      </w:r>
      <w:r>
        <w:rPr>
          <w:rFonts w:ascii="Amiri" w:hAnsi="Amiri" w:eastAsia="Amiri" w:cs="Amiri"/>
          <w:color w:val="111111"/>
          <w:sz w:val="28"/>
          <w:sz w:val="28"/>
          <w:szCs w:val="28"/>
          <w:rtl w:val="true"/>
          <w:lang w:bidi="ar-SA"/>
        </w:rPr>
        <w:t xml:space="preserve">قوي أيضا، لما مرّ من صحيحة ابن مسلم </w:t>
      </w:r>
      <w:r>
        <w:rPr>
          <w:rStyle w:val="FootnoteAnchor"/>
          <w:rtl w:val="true"/>
        </w:rPr>
        <w:footnoteReference w:id="496"/>
      </w:r>
      <w:r>
        <w:rPr>
          <w:rFonts w:ascii="Amiri" w:hAnsi="Amiri" w:eastAsia="Amiri" w:cs="Amiri"/>
          <w:color w:val="111111"/>
          <w:sz w:val="28"/>
          <w:sz w:val="28"/>
          <w:szCs w:val="28"/>
          <w:rtl w:val="true"/>
          <w:lang w:bidi="ar-SA"/>
        </w:rPr>
        <w:t xml:space="preserve">الظاهرة في كون الخصال الأربعة مضرّة بالصائم من حيث صومه، و أصرح منها رواية الخصال </w:t>
      </w:r>
      <w:r>
        <w:rPr>
          <w:rStyle w:val="FootnoteAnchor"/>
          <w:rtl w:val="true"/>
        </w:rPr>
        <w:footnoteReference w:id="497"/>
      </w:r>
      <w:r>
        <w:rPr>
          <w:rFonts w:ascii="Amiri" w:hAnsi="Amiri" w:eastAsia="Amiri" w:cs="Amiri"/>
          <w:color w:val="111111"/>
          <w:sz w:val="28"/>
          <w:sz w:val="28"/>
          <w:szCs w:val="28"/>
          <w:rtl w:val="true"/>
          <w:lang w:bidi="ar-SA"/>
        </w:rPr>
        <w:t xml:space="preserve">المنجبرة بالشهرة المطلقة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الدروس</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في الغنية دعوى الإجماع على إيجابه لهما </w:t>
      </w:r>
      <w:r>
        <w:rPr>
          <w:rStyle w:val="FootnoteAnchor"/>
          <w:rtl w:val="true"/>
        </w:rPr>
        <w:footnoteReference w:id="500"/>
      </w:r>
      <w:r>
        <w:rPr>
          <w:rFonts w:ascii="IRNazanin" w:hAnsi="IRNazanin" w:eastAsia="IRNazanin"/>
          <w:color w:val="111111"/>
          <w:sz w:val="28"/>
          <w:sz w:val="28"/>
          <w:szCs w:val="28"/>
          <w:rtl w:val="true"/>
          <w:lang w:bidi="fa-IR"/>
        </w:rPr>
        <w:t xml:space="preserve">، و عن الانتصار الإجماع على الإفساد </w:t>
      </w:r>
      <w:r>
        <w:rPr>
          <w:rStyle w:val="FootnoteAnchor"/>
          <w:rtl w:val="true"/>
        </w:rPr>
        <w:footnoteReference w:id="501"/>
      </w:r>
      <w:r>
        <w:rPr>
          <w:rFonts w:ascii="Amiri" w:hAnsi="Amiri" w:eastAsia="Amiri" w:cs="Amiri"/>
          <w:color w:val="111111"/>
          <w:sz w:val="28"/>
          <w:sz w:val="28"/>
          <w:szCs w:val="28"/>
          <w:rtl w:val="true"/>
          <w:lang w:bidi="ar-SA"/>
        </w:rPr>
        <w:t>، مضافا إلى ظاهر النهي في الأخبار الكثيرة الظاهرة في إفادة الحكم الوضعي دون محض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مساق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استلزام التقييد بالواجب المعيّن و إخراج </w:t>
      </w:r>
      <w:r>
        <w:rPr>
          <w:rStyle w:val="FootnoteAnchor"/>
          <w:rtl w:val="true"/>
        </w:rPr>
        <w:footnoteReference w:id="503"/>
      </w:r>
      <w:r>
        <w:rPr>
          <w:rFonts w:ascii="Amiri" w:hAnsi="Amiri" w:eastAsia="Amiri" w:cs="Amiri"/>
          <w:color w:val="111111"/>
          <w:sz w:val="28"/>
          <w:sz w:val="28"/>
          <w:szCs w:val="28"/>
          <w:rtl w:val="true"/>
          <w:lang w:bidi="ar-SA"/>
        </w:rPr>
        <w:t>صوم النفل و الواجب الموسّع، و التزام التحريم فيهما إذا أراد البقاء على الصوم مع تجويز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التكفير في النافلة مع جواز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ارتكاب هذا في صحيحة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لغير الارتماس ممّا</w:t>
      </w:r>
    </w:p>
    <w:p>
      <w:pPr>
        <w:pStyle w:val="BookText"/>
        <w:rPr/>
      </w:pPr>
      <w:r>
        <w:rPr>
          <w:rFonts w:ascii="Amiri" w:hAnsi="Amiri" w:eastAsia="Amiri" w:cs="Amiri"/>
          <w:color w:val="111111"/>
          <w:sz w:val="28"/>
          <w:sz w:val="28"/>
          <w:szCs w:val="28"/>
          <w:rtl w:val="true"/>
          <w:lang w:bidi="ar-SA"/>
        </w:rPr>
        <w:t>يختصّ تحريمه بالصوم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للمحقّق </w:t>
      </w:r>
      <w:r>
        <w:rPr>
          <w:rStyle w:val="FootnoteAnchor"/>
          <w:rtl w:val="true"/>
        </w:rPr>
        <w:footnoteReference w:id="504"/>
      </w:r>
      <w:r>
        <w:rPr>
          <w:rFonts w:ascii="Amiri" w:hAnsi="Amiri" w:eastAsia="Amiri" w:cs="Amiri"/>
          <w:color w:val="111111"/>
          <w:sz w:val="28"/>
          <w:sz w:val="28"/>
          <w:szCs w:val="28"/>
          <w:rtl w:val="true"/>
          <w:lang w:bidi="ar-SA"/>
        </w:rPr>
        <w:t xml:space="preserve">و المصنّف </w:t>
      </w:r>
      <w:r>
        <w:rPr>
          <w:rStyle w:val="FootnoteAnchor"/>
          <w:rtl w:val="true"/>
        </w:rPr>
        <w:footnoteReference w:id="505"/>
      </w:r>
      <w:r>
        <w:rPr>
          <w:rFonts w:ascii="Amiri" w:hAnsi="Amiri" w:eastAsia="Amiri" w:cs="Amiri"/>
          <w:color w:val="111111"/>
          <w:sz w:val="28"/>
          <w:sz w:val="28"/>
          <w:szCs w:val="28"/>
          <w:rtl w:val="true"/>
          <w:lang w:bidi="ar-SA"/>
        </w:rPr>
        <w:t xml:space="preserve">و الشيخ في الإستبصار </w:t>
      </w:r>
      <w:r>
        <w:rPr>
          <w:rStyle w:val="FootnoteAnchor"/>
          <w:rtl w:val="true"/>
        </w:rPr>
        <w:footnoteReference w:id="506"/>
      </w:r>
      <w:r>
        <w:rPr>
          <w:rFonts w:ascii="Amiri" w:hAnsi="Amiri" w:eastAsia="Amiri" w:cs="Amiri"/>
          <w:color w:val="111111"/>
          <w:sz w:val="28"/>
          <w:sz w:val="28"/>
          <w:szCs w:val="28"/>
          <w:rtl w:val="true"/>
          <w:lang w:bidi="ar-SA"/>
        </w:rPr>
        <w:t xml:space="preserve">و المحقّق الثاني في حاشية الإرشاد </w:t>
      </w:r>
      <w:r>
        <w:rPr>
          <w:rStyle w:val="FootnoteAnchor"/>
          <w:rtl w:val="true"/>
        </w:rPr>
        <w:footnoteReference w:id="507"/>
      </w:r>
      <w:r>
        <w:rPr>
          <w:rFonts w:ascii="IRNazanin" w:hAnsi="IRNazanin" w:eastAsia="IRNazanin"/>
          <w:color w:val="111111"/>
          <w:sz w:val="28"/>
          <w:sz w:val="28"/>
          <w:szCs w:val="28"/>
          <w:rtl w:val="true"/>
          <w:lang w:bidi="fa-IR"/>
        </w:rPr>
        <w:t xml:space="preserve">و الفخر </w:t>
      </w:r>
      <w:r>
        <w:rPr>
          <w:rStyle w:val="FootnoteAnchor"/>
          <w:rtl w:val="true"/>
        </w:rPr>
        <w:footnoteReference w:id="508"/>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509"/>
      </w:r>
      <w:r>
        <w:rPr>
          <w:rFonts w:ascii="IRNazanin" w:hAnsi="IRNazanin" w:eastAsia="IRNazanin"/>
          <w:color w:val="111111"/>
          <w:sz w:val="28"/>
          <w:sz w:val="28"/>
          <w:szCs w:val="28"/>
          <w:rtl w:val="true"/>
          <w:lang w:bidi="fa-IR"/>
        </w:rPr>
        <w:t xml:space="preserve">و سبطه </w:t>
      </w:r>
      <w:r>
        <w:rPr>
          <w:rStyle w:val="FootnoteAnchor"/>
          <w:rtl w:val="true"/>
        </w:rPr>
        <w:footnoteReference w:id="510"/>
      </w:r>
      <w:r>
        <w:rPr>
          <w:rFonts w:ascii="Amiri" w:hAnsi="Amiri" w:eastAsia="Amiri" w:cs="Amiri"/>
          <w:color w:val="111111"/>
          <w:sz w:val="28"/>
          <w:sz w:val="28"/>
          <w:szCs w:val="28"/>
          <w:rtl w:val="true"/>
          <w:lang w:bidi="ar-SA"/>
        </w:rPr>
        <w:t xml:space="preserve">، بل عن أكثر المتأخّرين، استنادا إلى أصالة البراءة و ظهور نواهي الارتماس في الحرمة المجرّدة و 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صائم ارتمس في الماء متعمّدا أ عليه قضاء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و لا يعودنّ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لا يخلو هذا القول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المراد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 الرأس و لو مع خروج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بعض الأخبار </w:t>
      </w:r>
      <w:r>
        <w:rPr>
          <w:rStyle w:val="FootnoteAnchor"/>
          <w:rtl w:val="true"/>
        </w:rPr>
        <w:footnoteReference w:id="512"/>
      </w:r>
      <w:r>
        <w:rPr>
          <w:rFonts w:ascii="Amiri" w:hAnsi="Amiri" w:eastAsia="Amiri" w:cs="Amiri"/>
          <w:color w:val="111111"/>
          <w:sz w:val="28"/>
          <w:sz w:val="28"/>
          <w:szCs w:val="28"/>
          <w:rtl w:val="true"/>
          <w:lang w:bidi="ar-SA"/>
        </w:rPr>
        <w:t>بالنهي عن رمس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غمسه دفعة بأن يجمع </w:t>
      </w:r>
      <w:r>
        <w:rPr>
          <w:rStyle w:val="FootnoteAnchor"/>
          <w:rtl w:val="true"/>
        </w:rPr>
        <w:footnoteReference w:id="513"/>
      </w:r>
      <w:r>
        <w:rPr>
          <w:rFonts w:ascii="Amiri" w:hAnsi="Amiri" w:eastAsia="Amiri" w:cs="Amiri"/>
          <w:color w:val="111111"/>
          <w:sz w:val="28"/>
          <w:sz w:val="28"/>
          <w:szCs w:val="28"/>
          <w:rtl w:val="true"/>
          <w:lang w:bidi="ar-SA"/>
        </w:rPr>
        <w:t>جميع أجزاء الرأس تحت الماء دفعة، و إن كان الغمس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بالدفعة في كلامهم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المصرّح به في أكثر الأخبار </w:t>
      </w:r>
      <w:r>
        <w:rPr>
          <w:rStyle w:val="FootnoteAnchor"/>
          <w:rtl w:val="true"/>
        </w:rPr>
        <w:footnoteReference w:id="514"/>
      </w:r>
      <w:r>
        <w:rPr>
          <w:rFonts w:ascii="Amiri" w:hAnsi="Amiri" w:eastAsia="Amiri" w:cs="Amiri"/>
          <w:color w:val="111111"/>
          <w:sz w:val="28"/>
          <w:sz w:val="28"/>
          <w:szCs w:val="28"/>
          <w:rtl w:val="true"/>
          <w:lang w:bidi="ar-SA"/>
        </w:rPr>
        <w:t xml:space="preserve">الارتماس في الماء المطلق </w:t>
      </w:r>
      <w:r>
        <w:rPr>
          <w:rStyle w:val="FootnoteAnchor"/>
          <w:rtl w:val="true"/>
        </w:rPr>
        <w:footnoteReference w:id="515"/>
      </w:r>
      <w:r>
        <w:rPr>
          <w:rFonts w:ascii="Amiri" w:hAnsi="Amiri" w:eastAsia="Amiri" w:cs="Amiri"/>
          <w:color w:val="111111"/>
          <w:sz w:val="28"/>
          <w:sz w:val="28"/>
          <w:szCs w:val="28"/>
          <w:rtl w:val="true"/>
          <w:lang w:bidi="ar-SA"/>
        </w:rPr>
        <w:t>إلّا أنّ إلحاق ما يشبهه من المضافات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نعم قد يتأمّل فيما ليس كالماء في الميعان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كالدبس و العسل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فرّعوا على تحريم الارتماس بطلان الغسل لو ارتمس له </w:t>
      </w:r>
      <w:r>
        <w:rPr>
          <w:rStyle w:val="FootnoteAnchor"/>
          <w:rtl w:val="true"/>
        </w:rPr>
        <w:footnoteReference w:id="516"/>
      </w:r>
      <w:r>
        <w:rPr>
          <w:rFonts w:ascii="Amiri" w:hAnsi="Amiri" w:eastAsia="Amiri" w:cs="Amiri"/>
          <w:color w:val="111111"/>
          <w:sz w:val="28"/>
          <w:sz w:val="28"/>
          <w:szCs w:val="28"/>
          <w:rtl w:val="true"/>
          <w:lang w:bidi="ar-SA"/>
        </w:rPr>
        <w:t xml:space="preserve">في صوم واجب معيّن </w:t>
      </w:r>
      <w:r>
        <w:rPr>
          <w:rStyle w:val="FootnoteAnchor"/>
          <w:rtl w:val="true"/>
        </w:rPr>
        <w:footnoteReference w:id="517"/>
      </w:r>
      <w:r>
        <w:rPr>
          <w:rFonts w:ascii="Amiri" w:hAnsi="Amiri" w:eastAsia="Amiri" w:cs="Amiri"/>
          <w:color w:val="111111"/>
          <w:sz w:val="28"/>
          <w:sz w:val="28"/>
          <w:szCs w:val="28"/>
          <w:rtl w:val="true"/>
          <w:lang w:bidi="ar-SA"/>
        </w:rPr>
        <w:t>،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نيّة الغسل بالخروج، لأنّ الخروج و إن كان مأمورا به لكنّه مبغوض لم يتعلّق به النهي، لفرض تعلّق الأمر المقدّمي بوجوب كون الرأس خارج الماء فإنّ التحريم ليس مختصّا بإحداث الارتماس، بل بكون الرأس في الماء مرموسا، و حينئذ فلا يتّحد </w:t>
      </w:r>
      <w:r>
        <w:rPr>
          <w:rStyle w:val="FootnoteAnchor"/>
          <w:rtl w:val="true"/>
        </w:rPr>
        <w:footnoteReference w:id="518"/>
      </w:r>
      <w:r>
        <w:rPr>
          <w:rFonts w:ascii="Amiri" w:hAnsi="Amiri" w:eastAsia="Amiri" w:cs="Amiri"/>
          <w:color w:val="111111"/>
          <w:sz w:val="28"/>
          <w:sz w:val="28"/>
          <w:szCs w:val="28"/>
          <w:rtl w:val="true"/>
          <w:lang w:bidi="ar-SA"/>
        </w:rPr>
        <w:t>معه العبادة المحبوبة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يوجّه إفساد </w:t>
      </w:r>
      <w:r>
        <w:rPr>
          <w:rStyle w:val="FootnoteAnchor"/>
          <w:rtl w:val="true"/>
        </w:rPr>
        <w:footnoteReference w:id="519"/>
      </w:r>
      <w:r>
        <w:rPr>
          <w:rFonts w:ascii="Amiri" w:hAnsi="Amiri" w:eastAsia="Amiri" w:cs="Amiri"/>
          <w:color w:val="111111"/>
          <w:sz w:val="28"/>
          <w:sz w:val="28"/>
          <w:szCs w:val="28"/>
          <w:rtl w:val="true"/>
          <w:lang w:bidi="ar-SA"/>
        </w:rPr>
        <w:t>النهي للعبادة بعدم اجتماع طلب الفعل مع طلب الترك، فإذا انتفى طلب الترك 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بنسيان أو لعجز عقليّ أو شرعيّ و لو كان مسبّبا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طلب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 بالفساد كالعالم به، و كذا الجاهل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بعدم توجّه الخطاب إليه لغفلته، و إن لم يقبح عقابه على فعل الحرام، خلافا لمن قبّحه عليه، و حسّنه على ترك التعلّم </w:t>
      </w:r>
      <w:r>
        <w:rPr>
          <w:rStyle w:val="FootnoteAnchor"/>
          <w:rtl w:val="true"/>
        </w:rPr>
        <w:footnoteReference w:id="520"/>
      </w:r>
      <w:r>
        <w:rPr>
          <w:rFonts w:ascii="Amiri" w:hAnsi="Amiri" w:eastAsia="Amiri" w:cs="Amiri"/>
          <w:color w:val="111111"/>
          <w:sz w:val="28"/>
          <w:sz w:val="28"/>
          <w:szCs w:val="28"/>
          <w:rtl w:val="true"/>
          <w:lang w:bidi="ar-SA"/>
        </w:rPr>
        <w:t xml:space="preserve">فلا فرق بين الجاهل و بين المرتمس عند الخروج، حيث انّه يعاقب على نفس الخروج </w:t>
      </w:r>
      <w:r>
        <w:rPr>
          <w:rStyle w:val="FootnoteAnchor"/>
          <w:rtl w:val="true"/>
        </w:rPr>
        <w:footnoteReference w:id="521"/>
      </w:r>
      <w:r>
        <w:rPr>
          <w:rFonts w:ascii="Amiri" w:hAnsi="Amiri" w:eastAsia="Amiri" w:cs="Amiri"/>
          <w:color w:val="111111"/>
          <w:sz w:val="28"/>
          <w:sz w:val="28"/>
          <w:szCs w:val="28"/>
          <w:rtl w:val="true"/>
          <w:lang w:bidi="ar-SA"/>
        </w:rPr>
        <w:t>و لا يطلب تركه منه حينه، و إن طلب منه قبل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توسّط أرضا مغصوبة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الصوم مندوبا فعلى القول بعدم الإفساد و عدم التحريم في المندوب، فلا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بها نقص الثواب</w:t>
      </w:r>
    </w:p>
    <w:p>
      <w:pPr>
        <w:pStyle w:val="BookText"/>
        <w:rPr/>
      </w:pPr>
      <w:r>
        <w:rPr>
          <w:rFonts w:ascii="Amiri" w:hAnsi="Amiri" w:eastAsia="Amiri" w:cs="Amiri"/>
          <w:color w:val="111111"/>
          <w:sz w:val="28"/>
          <w:sz w:val="28"/>
          <w:szCs w:val="28"/>
          <w:rtl w:val="true"/>
          <w:lang w:bidi="ar-SA"/>
        </w:rPr>
        <w:t>فلا إفساد، و إن أريد بها الكراهة المصطلحة، فالظاهر الفساد أيضا، لعدم اجتماع العبادة مع الكراهة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يدّعى الصحّة مع التحريم، تارة بجواز اجتماع الأمر و النهي، و أخرى بأنّ رمس الرأس في الماء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جميع أجزاء الرأس تحت الماء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 إيصال الماء و لا جزء منه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تقبيل النساء و لمسهن و ملاعبتهن، و الاكتحال بما فيه صبر أو مسك، و إخراج الدم و دخول الحمام المضعفان، و السعوط بما لا يتعدّى الحلق، و شم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 الثوب على الجسد، و جلوس المرأة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أجنب و نام ناويا للغسل و طلع الفجر أو أجنب نهارا أو نظر الى امرأة فأمنى أو استمع فأمنى لم يفسد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تمضمض للتبرد فدخل الماء حلقه فالقضاء، بخلاف مضمضة الصلاة و التداوي و العبث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ابتلع بقايا الغذاء في أسنانه عامدا كفّر، و لو صبّ في إحليله دواء فوصل جوفه فالقضاء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يفسد مصّ الخاتم و غيره و مضغ العلك و الطعام للصبي و زقّ الطائر، و الاستنقاع في الماء، و الحقنة بالجامد على رأي، و ابتلاع النخامة و البصاق إذا لم ينفصل عن الفم، و المسترسل من الفضلات من الدماغ من غير قصد، و لو قصد ابتلاعه أفسد، و فعل المفطر سهوا، و لو كان عمدا أو جهلا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الإكراه على الإفطار غير مفسد، و ناسي غسل الجنابة الشهر يقضي الصلاة و الصوم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تجب الكفارة في صوم رمضان و قضائه بعد الزوال، و النذر المعيّن و شبهه و الاعتكاف الواجب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تناول المؤلّف قدس سره بالشرح في المسألتين الآتيتين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المفطر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على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الأمور الأخرى فقد تعرّض لها عند شرحه لكتاب قواعد الاحكام في 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9900_214561"/>
    </w:p>
    <w:p>
      <w:pPr>
        <w:pStyle w:val="Heading4"/>
        <w:numPr>
          <w:ilvl w:val="3"/>
          <w:numId w:val="1"/>
        </w:numPr>
        <w:rPr/>
      </w:pPr>
      <w:bookmarkStart w:id="18" w:name="__RefHeading___Toc2061616_2314609296"/>
      <w:bookmarkStart w:id="19" w:name="_Toc7"/>
      <w:bookmarkEnd w:id="17"/>
      <w:bookmarkEnd w:id="18"/>
      <w:r>
        <w:rPr>
          <w:rtl w:val="true"/>
        </w:rPr>
        <w:t>[</w:t>
      </w:r>
      <w:r>
        <w:rPr>
          <w:rtl w:val="true"/>
        </w:rPr>
        <w:t>مسألة لا يتحقّق الإفطار بتناول موجبه سهوا</w:t>
      </w:r>
      <w:r>
        <w:rPr>
          <w:rtl w:val="true"/>
        </w:rPr>
        <w:t>]</w:t>
      </w:r>
      <w:bookmarkEnd w:id="19"/>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5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الإفطار بتناول موجبه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نفي القضاء عن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بملاحظة موردها يندفع توهّم اختصاصها بالمعذوريّة من جهة التكليف دون القضاء، و لخصوص الأخبار المستفيضة و في كثير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شي‌ء </w:t>
      </w:r>
      <w:r>
        <w:rPr>
          <w:rStyle w:val="FootnoteAnchor"/>
          <w:rtl w:val="true"/>
        </w:rPr>
        <w:footnoteReference w:id="525"/>
      </w:r>
      <w:r>
        <w:rPr>
          <w:rFonts w:ascii="Amiri" w:hAnsi="Amiri" w:eastAsia="Amiri" w:cs="Amiri"/>
          <w:color w:val="111111"/>
          <w:sz w:val="28"/>
          <w:sz w:val="28"/>
          <w:szCs w:val="28"/>
          <w:rtl w:val="true"/>
          <w:lang w:bidi="ar-SA"/>
        </w:rPr>
        <w:t>رزقه اللّٰه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بعدم نقض في الصوم من جهته في الواقع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كثير منها كعموم القاعدة </w:t>
      </w:r>
      <w:r>
        <w:rPr>
          <w:rStyle w:val="FootnoteAnchor"/>
          <w:rtl w:val="true"/>
        </w:rPr>
        <w:footnoteReference w:id="527"/>
      </w:r>
      <w:r>
        <w:rPr>
          <w:rFonts w:ascii="Amiri" w:hAnsi="Amiri" w:eastAsia="Amiri" w:cs="Amiri"/>
          <w:color w:val="111111"/>
          <w:sz w:val="28"/>
          <w:sz w:val="28"/>
          <w:szCs w:val="28"/>
          <w:rtl w:val="true"/>
          <w:lang w:bidi="ar-SA"/>
        </w:rPr>
        <w:t>و فتوى معظم الأصحاب، بل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المدارك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أقسام الصيام، مضافا إلى خصوص</w:t>
      </w:r>
    </w:p>
    <w:p>
      <w:pPr>
        <w:pStyle w:val="BookText"/>
        <w:rPr/>
      </w:pPr>
      <w:r>
        <w:rPr>
          <w:rFonts w:ascii="Amiri" w:hAnsi="Amiri" w:eastAsia="Amiri" w:cs="Amiri"/>
          <w:color w:val="111111"/>
          <w:sz w:val="28"/>
          <w:sz w:val="28"/>
          <w:szCs w:val="28"/>
          <w:rtl w:val="true"/>
          <w:lang w:bidi="ar-SA"/>
        </w:rPr>
        <w:t xml:space="preserve">رواية أبي بصير في النافلة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أجوبة المسائل المهنائية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 الواجب الغير المعيّن و المندوب، و لعلّه لأنّ حقيقة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عن المفطرات، و لم يتحقّق، مضافا إلى عموم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فإنّ عمومها يشمل صورة السهو، و معنى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القضاء،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شي‌ء ممّا صنع عمدا و لا سهوا إلّا الأربعة فإنّها مضرّة عمدا 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بمنع كونه مطلق الإمساك عنها، و إنّما هو الإمساك عن تعمّدها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الناسي للصوم متعمّد للأكل أيضا، إلّا أنّه غير ملتفت إلى أنّه نوى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 الصوم هو الإمساك عن ارتكاب الأمور في حال الالتفات إلى نيّة الصوم، يوجب عدم تحقّق نفس الصوم المتعلّق للنّية </w:t>
      </w:r>
      <w:r>
        <w:rPr>
          <w:rStyle w:val="FootnoteAnchor"/>
          <w:rtl w:val="true"/>
        </w:rPr>
        <w:footnoteReference w:id="533"/>
      </w:r>
      <w:r>
        <w:rPr>
          <w:rFonts w:ascii="Amiri" w:hAnsi="Amiri" w:eastAsia="Amiri" w:cs="Amiri"/>
          <w:color w:val="111111"/>
          <w:sz w:val="28"/>
          <w:sz w:val="28"/>
          <w:szCs w:val="28"/>
          <w:rtl w:val="true"/>
          <w:lang w:bidi="ar-SA"/>
        </w:rPr>
        <w:t>إلّا بعد تحقق النية فيستحيل ورود النيّة عليه بأن تتعلّق النيّة بالإمساك عن أن يرتكب هذه الأمور عند الالتفات إلى نيّة الإمساك عنها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الصحيحة المذكورة، بعمومها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منافاة مطلق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للصوم، فهو دليل آخر على كون الصوم هو مطلق الإمساك، مضافا إلى الأخبار الواردة في أنّ الصوم من الطعام و الشراب</w:t>
      </w:r>
    </w:p>
    <w:p>
      <w:pPr>
        <w:pStyle w:val="BookText"/>
        <w:rPr/>
      </w:pPr>
      <w:r>
        <w:rPr>
          <w:rFonts w:ascii="Amiri" w:hAnsi="Amiri" w:eastAsia="Amiri" w:cs="Amiri"/>
          <w:color w:val="111111"/>
          <w:sz w:val="28"/>
          <w:sz w:val="28"/>
          <w:szCs w:val="28"/>
          <w:rtl w:val="true"/>
          <w:lang w:bidi="ar-SA"/>
        </w:rPr>
        <w:t xml:space="preserve">و نحو ذلك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فالأحسن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عدم تحقّق الصوم في حال ارتكاب المفطر، إلّا أنّ الدليل قام على نفي البأس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عبارة عن نيّة الإمساك في اللّيل ثمّ الإمساك في حال الالتفات إلى تلك النيّة بجعل النيّة 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لا يخفى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الجاهل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مقصّرا فعليه القضاء بل الكفّارة، لعموم أدلّتها، و لا اختصاص لها بمتعمّد الإفطار حتّى يمنع صدقه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قاصرا فالظاهر عدم القضاء و الكفّارة، لعموم القاعدة المتقدّمة، و خصوص ما ورد في من أتى امرأته </w:t>
      </w:r>
      <w:r>
        <w:rPr>
          <w:rStyle w:val="FootnoteAnchor"/>
          <w:rtl w:val="true"/>
        </w:rPr>
        <w:footnoteReference w:id="537"/>
      </w:r>
      <w:r>
        <w:rPr>
          <w:rFonts w:ascii="Amiri" w:hAnsi="Amiri" w:eastAsia="Amiri" w:cs="Amiri"/>
          <w:color w:val="111111"/>
          <w:sz w:val="28"/>
          <w:sz w:val="28"/>
          <w:szCs w:val="28"/>
          <w:rtl w:val="true"/>
          <w:lang w:bidi="ar-SA"/>
        </w:rPr>
        <w:t>و هو صائم و لا يرى إلّا أنّه له حلال،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يعارضها إطلاقات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تناول المفطرات، الشامل للعالم و الجاهل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و الرواية حاكمان </w:t>
      </w:r>
      <w:r>
        <w:rPr>
          <w:rStyle w:val="FootnoteAnchor"/>
          <w:rtl w:val="true"/>
        </w:rPr>
        <w:footnoteReference w:id="539"/>
      </w:r>
      <w:r>
        <w:rPr>
          <w:rFonts w:ascii="Amiri" w:hAnsi="Amiri" w:eastAsia="Amiri" w:cs="Amiri"/>
          <w:color w:val="111111"/>
          <w:sz w:val="28"/>
          <w:sz w:val="28"/>
          <w:szCs w:val="28"/>
          <w:rtl w:val="true"/>
          <w:lang w:bidi="ar-SA"/>
        </w:rPr>
        <w:t>على تلك العمومات، و إلّا لم يبق لهما مورد، إذا لا تنفيان حكما إلّا و عليه دليل يقتضي وجوده لولاهما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بالشي‌ء المنفيّ هو غير العقاب، لأنّ السؤال عن العقاب إن كان عن استحقاقه فهو بالنسبة إلى من اعتقد حلّية محرّم ليس أمرا توقيفيا، بل مستفاد من حكم العقل </w:t>
      </w:r>
      <w:r>
        <w:rPr>
          <w:rStyle w:val="FootnoteAnchor"/>
          <w:rtl w:val="true"/>
        </w:rPr>
        <w:footnoteReference w:id="540"/>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قاصرا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 فعليته، فهو من الغيوب الّتي لا تعلم إلّا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السؤال عن القضاء و الكفّارة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ثبوت الجهل له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القضاء عليه، لعموم أدلّة وجوبه على من تناول المفطرات، السالمة عن حكومة القاعدة و الموثّقة </w:t>
      </w:r>
      <w:r>
        <w:rPr>
          <w:rStyle w:val="FootnoteAnchor"/>
          <w:rtl w:val="true"/>
        </w:rPr>
        <w:footnoteReference w:id="541"/>
      </w:r>
      <w:r>
        <w:rPr>
          <w:rFonts w:ascii="Amiri" w:hAnsi="Amiri" w:eastAsia="Amiri" w:cs="Amiri"/>
          <w:color w:val="111111"/>
          <w:sz w:val="28"/>
          <w:sz w:val="28"/>
          <w:szCs w:val="28"/>
          <w:rtl w:val="true"/>
          <w:lang w:bidi="ar-SA"/>
        </w:rPr>
        <w:t>عليها، لأنّ هذا الجهل ليس ممّا غلب اللّٰه و لأنّ ظاهر الموثّقة نفي العقاب و استحقاقه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السؤال عن العقاب فلا بدّ إمّا من إخراج المقصّر، و إمّا من تقييد الرواية بما إذا قصّر في إزالة الجهل، و إنّه يثبت عليه شي‌ء، و هو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غلبة التقصير في الجهّال ممنوعة، و لو سلّمت ففي غير المعتقد للخلاف، سيّما في مسألة الوقاع في الصوم التي لا يجهلها إلّا القاصرون، و إلّا فمن له علم إجماليّ بوجود مفطرات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الوقاع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وجوبها على من أفطر و إن قيّد في بعضها بالتعمّد إلّا أنّ بعضها مطلقة، إلّا أن يدّعى انصراف الإفطار إلى صورة التعمّد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في كلّ فعل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لو سلّم ففي الأخبار </w:t>
      </w:r>
      <w:r>
        <w:rPr>
          <w:rStyle w:val="FootnoteAnchor"/>
          <w:rtl w:val="true"/>
        </w:rPr>
        <w:footnoteReference w:id="542"/>
      </w:r>
      <w:r>
        <w:rPr>
          <w:rFonts w:ascii="Amiri" w:hAnsi="Amiri" w:eastAsia="Amiri" w:cs="Amiri"/>
          <w:color w:val="111111"/>
          <w:sz w:val="28"/>
          <w:sz w:val="28"/>
          <w:szCs w:val="28"/>
          <w:rtl w:val="true"/>
          <w:lang w:bidi="ar-SA"/>
        </w:rPr>
        <w:t>المشتملة على لفظ الإفطار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علّق الكفّارة فيه على نفس الفعل كأخبار الاستمناء و أخبار الوقاع،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نكح حلالا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 ما ورد في المعتكف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وطأها</w:t>
      </w:r>
    </w:p>
    <w:p>
      <w:pPr>
        <w:pStyle w:val="BookText"/>
        <w:rPr/>
      </w:pPr>
      <w:r>
        <w:rPr>
          <w:rFonts w:ascii="Amiri" w:hAnsi="Amiri" w:eastAsia="Amiri" w:cs="Amiri"/>
          <w:color w:val="111111"/>
          <w:sz w:val="28"/>
          <w:sz w:val="28"/>
          <w:szCs w:val="28"/>
          <w:rtl w:val="true"/>
          <w:lang w:bidi="ar-SA"/>
        </w:rPr>
        <w:t>فعليه كفّارتان</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 كذا في من أكره امرأته على الوقاع </w:t>
      </w:r>
      <w:r>
        <w:rPr>
          <w:rStyle w:val="FootnoteAnchor"/>
          <w:rtl w:val="true"/>
        </w:rPr>
        <w:footnoteReference w:id="546"/>
      </w:r>
      <w:r>
        <w:rPr>
          <w:rFonts w:ascii="Amiri" w:hAnsi="Amiri" w:eastAsia="Amiri" w:cs="Amiri"/>
          <w:color w:val="111111"/>
          <w:sz w:val="28"/>
          <w:sz w:val="28"/>
          <w:szCs w:val="28"/>
          <w:rtl w:val="true"/>
          <w:lang w:bidi="ar-SA"/>
        </w:rPr>
        <w:t xml:space="preserve">، و كذا في من كنس بيتا فدخل الغبار في حلقه </w:t>
      </w:r>
      <w:r>
        <w:rPr>
          <w:rStyle w:val="FootnoteAnchor"/>
          <w:rtl w:val="true"/>
        </w:rPr>
        <w:footnoteReference w:id="547"/>
      </w:r>
      <w:r>
        <w:rPr>
          <w:rFonts w:ascii="Amiri" w:hAnsi="Amiri" w:eastAsia="Amiri" w:cs="Amiri"/>
          <w:color w:val="111111"/>
          <w:sz w:val="28"/>
          <w:sz w:val="28"/>
          <w:szCs w:val="28"/>
          <w:rtl w:val="true"/>
          <w:lang w:bidi="ar-SA"/>
        </w:rPr>
        <w:t xml:space="preserve">و من نام على الجنابة ثالثا </w:t>
      </w:r>
      <w:r>
        <w:rPr>
          <w:rStyle w:val="FootnoteAnchor"/>
          <w:rtl w:val="true"/>
        </w:rPr>
        <w:footnoteReference w:id="548"/>
      </w:r>
      <w:r>
        <w:rPr>
          <w:rFonts w:ascii="Amiri" w:hAnsi="Amiri" w:eastAsia="Amiri" w:cs="Amiri"/>
          <w:color w:val="111111"/>
          <w:sz w:val="28"/>
          <w:sz w:val="28"/>
          <w:szCs w:val="28"/>
          <w:rtl w:val="true"/>
          <w:lang w:bidi="ar-SA"/>
        </w:rPr>
        <w:t xml:space="preserve">أو أخّر الغسل متعمّدا </w:t>
      </w:r>
      <w:r>
        <w:rPr>
          <w:rStyle w:val="FootnoteAnchor"/>
          <w:rtl w:val="true"/>
        </w:rPr>
        <w:footnoteReference w:id="549"/>
      </w:r>
      <w:r>
        <w:rPr>
          <w:rFonts w:ascii="Amiri" w:hAnsi="Amiri" w:eastAsia="Amiri" w:cs="Amiri"/>
          <w:color w:val="111111"/>
          <w:sz w:val="28"/>
          <w:sz w:val="28"/>
          <w:szCs w:val="28"/>
          <w:rtl w:val="true"/>
          <w:lang w:bidi="ar-SA"/>
        </w:rPr>
        <w:t xml:space="preserve">و ما ورد من أنّ الكذبة تفطر الصائم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الإفطار لم يسند إلى الفاعل حتّى يستظهر منه صورة القصد، و إنّما نسب إلى السبب، مع أنّه يكفي في المسألة عدم القول بالفصل بين المفطرات</w:t>
      </w:r>
      <w:r>
        <w:rPr>
          <w:rFonts w:eastAsia="Amiri" w:cs="Amiri" w:ascii="Amiri" w:hAnsi="Amiri"/>
          <w:color w:val="111111"/>
          <w:sz w:val="28"/>
          <w:szCs w:val="28"/>
          <w:rtl w:val="true"/>
          <w:lang w:bidi="ar-SA"/>
        </w:rPr>
        <w:t>.</w:t>
      </w:r>
      <w:bookmarkStart w:id="20" w:name="pg19900_214566"/>
    </w:p>
    <w:p>
      <w:pPr>
        <w:pStyle w:val="Heading4"/>
        <w:numPr>
          <w:ilvl w:val="3"/>
          <w:numId w:val="1"/>
        </w:numPr>
        <w:rPr/>
      </w:pPr>
      <w:bookmarkStart w:id="21" w:name="__RefHeading___Toc2061618_2314609296"/>
      <w:bookmarkStart w:id="22" w:name="_Toc8"/>
      <w:bookmarkEnd w:id="20"/>
      <w:bookmarkEnd w:id="21"/>
      <w:r>
        <w:rPr>
          <w:rtl w:val="true"/>
        </w:rPr>
        <w:t xml:space="preserve">مسألة </w:t>
      </w:r>
      <w:r>
        <w:rPr>
          <w:rtl w:val="true"/>
        </w:rPr>
        <w:t>[</w:t>
      </w:r>
      <w:r>
        <w:rPr/>
        <w:t>2</w:t>
      </w:r>
      <w:r>
        <w:rPr>
          <w:rtl w:val="true"/>
        </w:rPr>
        <w:t xml:space="preserve">] </w:t>
      </w:r>
      <w:r>
        <w:rPr>
          <w:rtl w:val="true"/>
        </w:rPr>
        <w:t>لو أكل مكرها، فإن بلغ حدّا يرفع القصد فلا إشكال في عدم الإفساد،</w:t>
      </w:r>
      <w:bookmarkEnd w:id="22"/>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5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مكرها، فإن بلغ حدّا يرفع القصد فلا إشكال في عدم الإفساد،</w:t>
      </w:r>
    </w:p>
    <w:p>
      <w:pPr>
        <w:pStyle w:val="BookText"/>
        <w:rPr/>
      </w:pPr>
      <w:r>
        <w:rPr>
          <w:rFonts w:ascii="Amiri" w:hAnsi="Amiri" w:eastAsia="Amiri" w:cs="Amiri"/>
          <w:color w:val="111111"/>
          <w:sz w:val="28"/>
          <w:sz w:val="28"/>
          <w:szCs w:val="28"/>
          <w:rtl w:val="true"/>
          <w:lang w:bidi="ar-SA"/>
        </w:rPr>
        <w:t xml:space="preserve">إذ لم يحصل منه فعل حينئذ، بل يصدق عليه حينئذ أنّه ممسك عن فعل الأكل و الشرب و غيرهما، و يدلّ عليه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 الصائم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لم يبلغ ذلك الحدّ، بل خوّف حتّى أكل، فعن الأكثر عدم الإفساد أيضا،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 لعدم ترتّب الآثار على أفعال المكره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ظاهرة في رفع المؤاخذة، و عدم ترتّب الآثار مطلقا ممنوع، إنّما المرتفع الآثار المتوقف ترتّبها على الاختيار كالعقود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توقّف تحقّق الإفطار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المنافي للإكراه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لأنّ الثابت من اللغة </w:t>
      </w:r>
      <w:r>
        <w:rPr>
          <w:rStyle w:val="FootnoteAnchor"/>
          <w:rtl w:val="true"/>
        </w:rPr>
        <w:footnoteReference w:id="554"/>
      </w:r>
      <w:r>
        <w:rPr>
          <w:rFonts w:ascii="Amiri" w:hAnsi="Amiri" w:eastAsia="Amiri" w:cs="Amiri"/>
          <w:color w:val="111111"/>
          <w:sz w:val="28"/>
          <w:sz w:val="28"/>
          <w:szCs w:val="28"/>
          <w:rtl w:val="true"/>
          <w:lang w:bidi="ar-SA"/>
        </w:rPr>
        <w:t>و العرف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الأكل بالقصد مضرّا بالصوم،</w:t>
      </w:r>
    </w:p>
    <w:p>
      <w:pPr>
        <w:pStyle w:val="BookText"/>
        <w:rPr/>
      </w:pPr>
      <w:r>
        <w:rPr>
          <w:rFonts w:ascii="Amiri" w:hAnsi="Amiri" w:eastAsia="Amiri" w:cs="Amiri"/>
          <w:color w:val="111111"/>
          <w:sz w:val="28"/>
          <w:sz w:val="28"/>
          <w:szCs w:val="28"/>
          <w:rtl w:val="true"/>
          <w:lang w:bidi="ar-SA"/>
        </w:rPr>
        <w:t>فالإكراه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الإفطار، كما أنّ الإكراه على التكلّم في الصلاة أو الحدث فيها أو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على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في إطلاق الإفطار على أكل الإمام عليه السلام تقيّة من أبي العباس،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w:t>
      </w:r>
      <w:r>
        <w:rPr>
          <w:rStyle w:val="FootnoteAnchor"/>
          <w:rtl w:val="true"/>
        </w:rPr>
        <w:footnoteReference w:id="555"/>
      </w:r>
      <w:r>
        <w:rPr>
          <w:rFonts w:ascii="Amiri" w:hAnsi="Amiri" w:eastAsia="Amiri" w:cs="Amiri"/>
          <w:color w:val="111111"/>
          <w:sz w:val="28"/>
          <w:sz w:val="28"/>
          <w:szCs w:val="28"/>
          <w:rtl w:val="true"/>
          <w:lang w:bidi="ar-SA"/>
        </w:rPr>
        <w:t>أفطر يوما من شهر رمضان، أحب إليّ من أن يضرب عنقي</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إفطاري يوما و قضاؤه أيسر عليّ من أن يضرب عنقي</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الإفساد، بل وجوب القضاء، لعموم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أفطر شيئا من رمضان في عذر، فإن قضاه متتابعا فحسن </w:t>
      </w:r>
      <w:r>
        <w:rPr>
          <w:rStyle w:val="FootnoteAnchor"/>
          <w:rtl w:val="true"/>
        </w:rPr>
        <w:footnoteReference w:id="559"/>
      </w:r>
      <w:r>
        <w:rPr>
          <w:rFonts w:ascii="IRNazanin" w:hAnsi="IRNazanin" w:eastAsia="IRNazanin"/>
          <w:color w:val="111111"/>
          <w:sz w:val="28"/>
          <w:sz w:val="28"/>
          <w:szCs w:val="28"/>
          <w:rtl w:val="true"/>
          <w:lang w:bidi="fa-IR"/>
        </w:rPr>
        <w:t>و إن قضاه متفرّقا فحسن</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 فإنّه يدلّ على وجوب أصل القضاء و التخيير في كيفيّته على كلّ من أفطر لعذر، مضافا إلى ثبوت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الرياض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جميع الأعذار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المسوّغة لبعض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كالإكراه في الإفساد و وجوب القضاء، و أمّا وجوب الاقتصار </w:t>
      </w:r>
      <w:r>
        <w:rPr>
          <w:rStyle w:val="FootnoteAnchor"/>
          <w:rtl w:val="true"/>
        </w:rPr>
        <w:footnoteReference w:id="562"/>
      </w:r>
      <w:r>
        <w:rPr>
          <w:rFonts w:ascii="Amiri" w:hAnsi="Amiri" w:eastAsia="Amiri" w:cs="Amiri"/>
          <w:color w:val="111111"/>
          <w:sz w:val="28"/>
          <w:sz w:val="28"/>
          <w:szCs w:val="28"/>
          <w:rtl w:val="true"/>
          <w:lang w:bidi="ar-SA"/>
        </w:rPr>
        <w:t xml:space="preserve">على مقدار الضرورة بعد الحكم بالإفساد </w:t>
      </w:r>
      <w:r>
        <w:rPr>
          <w:rStyle w:val="FootnoteAnchor"/>
          <w:rtl w:val="true"/>
        </w:rPr>
        <w:footnoteReference w:id="563"/>
      </w:r>
      <w:r>
        <w:rPr>
          <w:rFonts w:ascii="Amiri" w:hAnsi="Amiri" w:eastAsia="Amiri" w:cs="Amiri"/>
          <w:color w:val="111111"/>
          <w:sz w:val="28"/>
          <w:sz w:val="28"/>
          <w:szCs w:val="28"/>
          <w:rtl w:val="true"/>
          <w:lang w:bidi="ar-SA"/>
        </w:rPr>
        <w:t>فلعلّه للاتّفاق على أنّ مع إفساد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مع الأذن فيه أو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التناول إلّا إذا أذن الشارع في أصل الإفطار لا في خصوص ارتكاب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الأعذار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الموجبة لرفع التكليف الواقعي بالإمساك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الأعذار الشرعيّة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الموجبة لنفي التكليف بالإمساك عن الشي‌ء الخاصّ في مرحلة الظاهر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ظنّ بالاجتهاد أو التقليد جواز الارتماس فارتمس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ينكشف الخلاف فلا إشكال و لا خلاف، و إن انكشف الخلاف في ذلك اليوم أو غيره فإن قطع بالفساد،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و لزوم القضاء، لأنّ المفروض العلم بعدم </w:t>
      </w:r>
      <w:r>
        <w:rPr>
          <w:rStyle w:val="FootnoteAnchor"/>
          <w:rtl w:val="true"/>
        </w:rPr>
        <w:footnoteReference w:id="565"/>
      </w:r>
      <w:r>
        <w:rPr>
          <w:rFonts w:ascii="Amiri" w:hAnsi="Amiri" w:eastAsia="Amiri" w:cs="Amiri"/>
          <w:color w:val="111111"/>
          <w:sz w:val="28"/>
          <w:sz w:val="28"/>
          <w:szCs w:val="28"/>
          <w:rtl w:val="true"/>
          <w:lang w:bidi="ar-SA"/>
        </w:rPr>
        <w:t>تحقّق الصوم المطلوب للشارع، لأنّ الحكم الاجتهادي حكم عذريّ، و ليس حكما واقعيّا، بل العمل بالظنّ من باب العمل بالطريق الغالبي إلى الواقع، فليس المقصود منه شي‌ء وراء إدراك المصالح الواقعيّة التي وضع بإزائها الأحكام الواقعيّة، و ليس تحقّق الظنّ بخلاف الواقع موجبا لتغيّر المصلحة، غايته معذوريّة صاحبه في التخطّي عن الواقع و إعطائه الثواب لامتثاله الطريق الظاهريّ و انخراطه في سلك المتعبّدين و المطيعين من غير حدوث مصلحة في هذا العمل المخالف للواقع بالخصوص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الأصول</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قلنا بهذه المقالة توجّه القول بالصحّة و عدم القضاء مع طروّ القطع بالفساد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تنزيل المظنون </w:t>
      </w:r>
      <w:r>
        <w:rPr>
          <w:rStyle w:val="FootnoteAnchor"/>
          <w:rtl w:val="true"/>
        </w:rPr>
        <w:footnoteReference w:id="567"/>
      </w:r>
      <w:r>
        <w:rPr>
          <w:rFonts w:ascii="Amiri" w:hAnsi="Amiri" w:eastAsia="Amiri" w:cs="Amiri"/>
          <w:color w:val="111111"/>
          <w:sz w:val="28"/>
          <w:sz w:val="28"/>
          <w:szCs w:val="28"/>
          <w:rtl w:val="true"/>
          <w:lang w:bidi="ar-SA"/>
        </w:rPr>
        <w:t xml:space="preserve">منزلة الواقع هو إجزاؤه على الإطلاق و سقوط </w:t>
      </w:r>
      <w:r>
        <w:rPr>
          <w:rStyle w:val="FootnoteAnchor"/>
          <w:rtl w:val="true"/>
        </w:rPr>
        <w:footnoteReference w:id="568"/>
      </w:r>
      <w:r>
        <w:rPr>
          <w:rFonts w:ascii="IRNazanin" w:hAnsi="IRNazanin" w:eastAsia="IRNazanin"/>
          <w:color w:val="111111"/>
          <w:sz w:val="28"/>
          <w:sz w:val="28"/>
          <w:szCs w:val="28"/>
          <w:rtl w:val="true"/>
          <w:lang w:bidi="fa-IR"/>
        </w:rPr>
        <w:t>الأمر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أجزاؤه في الجملة ممّا لا ريب فيه، و إجزاؤه مع انكشاف مخالفته للواقع لم يكن من أحكام الشي‌ء الواقعيّ حتّى يثبت للمظنون </w:t>
      </w:r>
      <w:r>
        <w:rPr>
          <w:rStyle w:val="FootnoteAnchor"/>
          <w:rtl w:val="true"/>
        </w:rPr>
        <w:footnoteReference w:id="569"/>
      </w:r>
      <w:r>
        <w:rPr>
          <w:rFonts w:ascii="Amiri" w:hAnsi="Amiri" w:eastAsia="Amiri" w:cs="Amiri"/>
          <w:color w:val="111111"/>
          <w:sz w:val="28"/>
          <w:sz w:val="28"/>
          <w:szCs w:val="28"/>
          <w:rtl w:val="true"/>
          <w:lang w:bidi="ar-SA"/>
        </w:rPr>
        <w:t>بحكم عموم التنزيل، بل الواقع إنّما أجزأ لكونه واقعا، و المظنون إنّما أجزأ قبل الانكشاف لا لكونه مظنونا، بل لكونه واقعا بحسب المظنّة، كيف و القول بإجزائه من جهة كونه مظنونا خلاف ما فرضنا من أنّ حجيّته من باب الطريق الاضطراري لا من باب الحكم المجعول الثانوي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انكشف الخلاف على وجه الظنّ فلا يبعد عدم لزوم القضاء، لأنّ الظنّ بالفساد إنّما يقتضي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يقع الفعل متّصفا بالصحّة و إسقاط القضاء في حقّ الفاعل، لأنّ المفروض أنّ </w:t>
      </w:r>
      <w:r>
        <w:rPr>
          <w:rStyle w:val="FootnoteAnchor"/>
          <w:rtl w:val="true"/>
        </w:rPr>
        <w:footnoteReference w:id="570"/>
      </w:r>
      <w:r>
        <w:rPr>
          <w:rFonts w:ascii="Amiri" w:hAnsi="Amiri" w:eastAsia="Amiri" w:cs="Amiri"/>
          <w:color w:val="111111"/>
          <w:sz w:val="28"/>
          <w:sz w:val="28"/>
          <w:szCs w:val="28"/>
          <w:rtl w:val="true"/>
          <w:lang w:bidi="ar-SA"/>
        </w:rPr>
        <w:t>الصحّة المظنونة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للمجتهد الماضي في هذا الحال</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فلا منافاة بين ظنّ المجتهد بأنّ الواجب عليه هي الصلاة مع السورة في متن الواقع مع القطع بأنه لا يجب عليه الإتيان بها مع بقاء الوقت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الظنّ المزبور مفروض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به بالنسبة إلى فعل </w:t>
      </w:r>
      <w:r>
        <w:rPr>
          <w:rStyle w:val="FootnoteAnchor"/>
          <w:rtl w:val="true"/>
        </w:rPr>
        <w:footnoteReference w:id="572"/>
      </w:r>
      <w:r>
        <w:rPr>
          <w:rFonts w:ascii="Amiri" w:hAnsi="Amiri" w:eastAsia="Amiri" w:cs="Amiri"/>
          <w:color w:val="111111"/>
          <w:sz w:val="28"/>
          <w:sz w:val="28"/>
          <w:szCs w:val="28"/>
          <w:rtl w:val="true"/>
          <w:lang w:bidi="ar-SA"/>
        </w:rPr>
        <w:t>لم يحكم بصحّته حين الوقوع، و هذا الشخص قد فعل صلاة متّصفة بالصحّة حين العمل، لأنّ الظنّ بالصحّة كالقطع بها، فالصلاة المزبورة حين العمل متّصفة بالصحّة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بمنزلة الصحّة الواقعيّة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ظنّه بفساد الصلاة من دون السورة، قطع بصحّة تلك الصلاة من دون السورة في حال وقوعها، نظير ما إذا ظنّ هو بفساد الصلاة بدون السورة و ظنّ مجتهد آخر بصحّتها، فاستأجر هذا ذاك للعبادة، فإنّ فساد هذه</w:t>
      </w:r>
    </w:p>
    <w:p>
      <w:pPr>
        <w:pStyle w:val="BookText"/>
        <w:rPr/>
      </w:pPr>
      <w:r>
        <w:rPr>
          <w:rFonts w:ascii="Amiri" w:hAnsi="Amiri" w:eastAsia="Amiri" w:cs="Amiri"/>
          <w:color w:val="111111"/>
          <w:sz w:val="28"/>
          <w:sz w:val="28"/>
          <w:szCs w:val="28"/>
          <w:rtl w:val="true"/>
          <w:lang w:bidi="ar-SA"/>
        </w:rPr>
        <w:t xml:space="preserve">الصلاة عنده لا يوجب عدم جواز الأجرة عليه لمن يفعلها متّصفة بالصحّة في حقّه، و كذا الأكل من مال من ابتاع بالمعاطاة معتقدا للصحّة مع اعتقاد الآكل فسادها، فإنّ الظنّ بفساد المعاطاة لا ينافي القطع بجواز الأكل من حيث انّه تصرّف في المال بإباحة من حكم الشارع بثبوت الملكيّة </w:t>
      </w:r>
      <w:r>
        <w:rPr>
          <w:rStyle w:val="FootnoteAnchor"/>
          <w:rtl w:val="true"/>
        </w:rPr>
        <w:footnoteReference w:id="573"/>
      </w:r>
      <w:r>
        <w:rPr>
          <w:rFonts w:ascii="Amiri" w:hAnsi="Amiri" w:eastAsia="Amiri" w:cs="Amiri"/>
          <w:color w:val="111111"/>
          <w:sz w:val="28"/>
          <w:sz w:val="28"/>
          <w:szCs w:val="28"/>
          <w:rtl w:val="true"/>
          <w:lang w:bidi="ar-SA"/>
        </w:rPr>
        <w:t>في حقّه و تسلّطه على جميع التصرّفات، أمّا لو قطع بفساد المعاطاة فليس له الأكل، إذ لا يجتمع القطع بفسادها مع القطع بجواز الأكل إذ القطع بالفساد مستلزم للقطع ببقاء هذا تحت ملك المالك الأوّل فلا يزاحمه القطع بصحّة اجتهاد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عمل وقع من المجتهد أو المقلّد على وجه الصحّة بالنسبة إليه، فكلّما يترتّب من الآثار على صحّته بالنسبة إليه يترتّب عليه و إن كان مع مخالفة الرأي من نفسه أو من الغير، كالأكل ممّا اشتري بالبيع المعاطاة </w:t>
      </w:r>
      <w:r>
        <w:rPr>
          <w:rStyle w:val="FootnoteAnchor"/>
          <w:rtl w:val="true"/>
        </w:rPr>
        <w:footnoteReference w:id="574"/>
      </w:r>
      <w:r>
        <w:rPr>
          <w:rFonts w:ascii="Amiri" w:hAnsi="Amiri" w:eastAsia="Amiri" w:cs="Amiri"/>
          <w:color w:val="111111"/>
          <w:sz w:val="28"/>
          <w:sz w:val="28"/>
          <w:szCs w:val="28"/>
          <w:rtl w:val="true"/>
          <w:lang w:bidi="ar-SA"/>
        </w:rPr>
        <w:t>و كعدم القضاء و سقوطه و سائر أحكام البراءة من صلاة الظهر، إذا تغيّر الرأي و اعتقد وجوب السورة، فإنّ الأكل مترتّب على حكم الشارع على المشتري بمالكيته، لا على ثبوت مالكيّة المشتري في متن الواقع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مالكيّة المشتري إنّما ثبت عند المشتري لا عند الآكل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ما يترتب على حكم الشارع للمشتري بكونه مالكا، و بين ما يترتب على حكم الشارع بمالكيّة المشتري واضح لا يخفى، إذ على الأوّل يكفي في ترتيب الغير الأثر أن يثبت عنده أنّ الشارع حكم للمشتري بالملكيّة، و يكفي في ذلك العلم باجتهاده أو تقليده الصحيح، و على الثاني لا بدّ أن يثبت عند الغير حكم الشارع بمالكيّة المشتري لا مجرّد </w:t>
      </w:r>
      <w:r>
        <w:rPr>
          <w:rStyle w:val="FootnoteAnchor"/>
          <w:rtl w:val="true"/>
        </w:rPr>
        <w:footnoteReference w:id="575"/>
      </w:r>
      <w:r>
        <w:rPr>
          <w:rFonts w:ascii="Amiri" w:hAnsi="Amiri" w:eastAsia="Amiri" w:cs="Amiri"/>
          <w:color w:val="111111"/>
          <w:sz w:val="28"/>
          <w:sz w:val="28"/>
          <w:szCs w:val="28"/>
          <w:rtl w:val="true"/>
          <w:lang w:bidi="ar-SA"/>
        </w:rPr>
        <w:t>اعتقاد المشتري مالكيّته بالاجتهاد أو التقليد، فإذا كان اجتهاد الغير مخالفا فلم يثبت عنده مالكيّة المشتري</w:t>
      </w:r>
    </w:p>
    <w:p>
      <w:pPr>
        <w:pStyle w:val="BookText"/>
        <w:rPr/>
      </w:pPr>
      <w:r>
        <w:rPr>
          <w:rFonts w:ascii="IRNazanin" w:hAnsi="IRNazanin" w:eastAsia="IRNazanin"/>
          <w:color w:val="111111"/>
          <w:sz w:val="28"/>
          <w:sz w:val="28"/>
          <w:szCs w:val="28"/>
          <w:rtl w:val="true"/>
          <w:lang w:bidi="fa-IR"/>
        </w:rPr>
        <w:t xml:space="preserve">بل ثبت </w:t>
      </w:r>
      <w:r>
        <w:rPr>
          <w:rStyle w:val="FootnoteAnchor"/>
          <w:rtl w:val="true"/>
        </w:rPr>
        <w:footnoteReference w:id="576"/>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التميز </w:t>
      </w:r>
      <w:r>
        <w:rPr>
          <w:rStyle w:val="FootnoteAnchor"/>
          <w:rtl w:val="true"/>
        </w:rPr>
        <w:footnoteReference w:id="577"/>
      </w:r>
      <w:r>
        <w:rPr>
          <w:rFonts w:ascii="Amiri" w:hAnsi="Amiri" w:eastAsia="Amiri" w:cs="Amiri"/>
          <w:color w:val="111111"/>
          <w:sz w:val="28"/>
          <w:sz w:val="28"/>
          <w:szCs w:val="28"/>
          <w:rtl w:val="true"/>
          <w:lang w:bidi="ar-SA"/>
        </w:rPr>
        <w:t>و التفرقة بين الآثار حتّى يعلم أنّ الأكل من قبيل الأوّل، و كذا سائر ما يترتّب على أملاك الناس إنّما أريد به ما ثبت في حقّهم مالكيّتهم له</w:t>
      </w:r>
      <w:r>
        <w:rPr>
          <w:rFonts w:eastAsia="Amiri" w:cs="Amiri" w:ascii="Amiri" w:hAnsi="Amiri"/>
          <w:color w:val="111111"/>
          <w:sz w:val="28"/>
          <w:szCs w:val="28"/>
          <w:rtl w:val="true"/>
          <w:lang w:bidi="ar-SA"/>
        </w:rPr>
        <w:t>.</w:t>
      </w:r>
      <w:bookmarkStart w:id="23" w:name="pg19900_214572"/>
    </w:p>
    <w:p>
      <w:pPr>
        <w:pStyle w:val="Heading4"/>
        <w:numPr>
          <w:ilvl w:val="3"/>
          <w:numId w:val="1"/>
        </w:numPr>
        <w:rPr/>
      </w:pPr>
      <w:bookmarkStart w:id="24" w:name="__RefHeading___Toc2061620_2314609296"/>
      <w:bookmarkStart w:id="25" w:name="_Toc9"/>
      <w:bookmarkEnd w:id="23"/>
      <w:bookmarkEnd w:id="24"/>
      <w:r>
        <w:rPr>
          <w:rtl w:val="true"/>
        </w:rPr>
        <w:t>[</w:t>
      </w:r>
      <w:r>
        <w:rPr>
          <w:rtl w:val="true"/>
        </w:rPr>
        <w:t xml:space="preserve">مسألة </w:t>
      </w:r>
      <w:r>
        <w:rPr/>
        <w:t>3</w:t>
      </w:r>
      <w:r>
        <w:rPr>
          <w:rtl w:val="true"/>
        </w:rPr>
        <w:t xml:space="preserve"> </w:t>
      </w:r>
      <w:r>
        <w:rPr>
          <w:rtl w:val="true"/>
        </w:rPr>
        <w:t>الكفّارة في صوم رمضان</w:t>
      </w:r>
      <w:r>
        <w:rPr>
          <w:rtl w:val="true"/>
        </w:rPr>
        <w:t>]</w:t>
      </w:r>
      <w:bookmarkEnd w:id="25"/>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5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في شهر رمضان مخيّرة بين العتق و إطعام ستّين مسكينا و صوم شهرين متتابعين </w:t>
      </w:r>
      <w:r>
        <w:rPr>
          <w:rStyle w:val="FootnoteAnchor"/>
          <w:rtl w:val="true"/>
        </w:rPr>
        <w:footnoteReference w:id="579"/>
      </w:r>
      <w:r>
        <w:rPr>
          <w:rFonts w:ascii="IRNazanin" w:hAnsi="IRNazanin" w:eastAsia="IRNazanin"/>
          <w:color w:val="111111"/>
          <w:sz w:val="28"/>
          <w:sz w:val="28"/>
          <w:szCs w:val="28"/>
          <w:rtl w:val="true"/>
          <w:lang w:bidi="fa-IR"/>
        </w:rPr>
        <w:t xml:space="preserve">على الأشهر، بل المشهور، بل عن الانتصار </w:t>
      </w:r>
      <w:r>
        <w:rPr>
          <w:rStyle w:val="FootnoteAnchor"/>
          <w:rtl w:val="true"/>
        </w:rPr>
        <w:footnoteReference w:id="580"/>
      </w:r>
      <w:r>
        <w:rPr>
          <w:rFonts w:ascii="Amiri" w:hAnsi="Amiri" w:eastAsia="Amiri" w:cs="Amiri"/>
          <w:color w:val="111111"/>
          <w:sz w:val="28"/>
          <w:sz w:val="28"/>
          <w:szCs w:val="28"/>
          <w:rtl w:val="true"/>
          <w:lang w:bidi="ar-SA"/>
        </w:rPr>
        <w:t xml:space="preserve">و الغنية </w:t>
      </w:r>
      <w:r>
        <w:rPr>
          <w:rStyle w:val="FootnoteAnchor"/>
          <w:rtl w:val="true"/>
        </w:rPr>
        <w:footnoteReference w:id="581"/>
      </w:r>
      <w:r>
        <w:rPr>
          <w:rFonts w:ascii="Amiri" w:hAnsi="Amiri" w:eastAsia="Amiri" w:cs="Amiri"/>
          <w:color w:val="111111"/>
          <w:sz w:val="28"/>
          <w:sz w:val="28"/>
          <w:szCs w:val="28"/>
          <w:rtl w:val="true"/>
          <w:lang w:bidi="ar-SA"/>
        </w:rPr>
        <w:t xml:space="preserve">عليه الإجماع، للروايات المستفيضة كصحيحة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ما رواه </w:t>
      </w:r>
      <w:r>
        <w:rPr>
          <w:rStyle w:val="FootnoteAnchor"/>
          <w:rtl w:val="true"/>
        </w:rPr>
        <w:footnoteReference w:id="583"/>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في باب الاعتكاف </w:t>
      </w:r>
      <w:r>
        <w:rPr>
          <w:rStyle w:val="FootnoteAnchor"/>
          <w:rtl w:val="true"/>
        </w:rPr>
        <w:footnoteReference w:id="584"/>
      </w:r>
      <w:r>
        <w:rPr>
          <w:rFonts w:ascii="Amiri" w:hAnsi="Amiri" w:eastAsia="Amiri" w:cs="Amiri"/>
          <w:color w:val="111111"/>
          <w:sz w:val="28"/>
          <w:sz w:val="28"/>
          <w:szCs w:val="28"/>
          <w:rtl w:val="true"/>
          <w:lang w:bidi="ar-SA"/>
        </w:rPr>
        <w:t>و ظاهر ذيل صحيحة جميل بن درّاج في قصّة الأعرابي الذي وقع</w:t>
      </w:r>
    </w:p>
    <w:p>
      <w:pPr>
        <w:pStyle w:val="BookText"/>
        <w:rPr/>
      </w:pPr>
      <w:r>
        <w:rPr>
          <w:rFonts w:ascii="IRNazanin" w:hAnsi="IRNazanin" w:eastAsia="IRNazanin"/>
          <w:color w:val="111111"/>
          <w:sz w:val="28"/>
          <w:sz w:val="28"/>
          <w:szCs w:val="28"/>
          <w:rtl w:val="true"/>
          <w:lang w:bidi="fa-IR"/>
        </w:rPr>
        <w:t xml:space="preserve">على أهله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مؤوّل مضمرة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 فيها توسّط </w:t>
      </w:r>
      <w:r>
        <w:rPr>
          <w:rStyle w:val="FootnoteAnchor"/>
          <w:rtl w:val="true"/>
        </w:rPr>
        <w:footnoteReference w:id="587"/>
      </w: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عن أبي بصير في من أخّر الغسل متعمّدا إلى الفجر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أخرى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الزيادات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فيها تقديم الصيام على الإطعام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كثير من الروايات على بعضها، ففي صحيحة عبد الرحمن بن أبي عبد اللّٰه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الإطعام، و نحوها موثقة سماعة </w:t>
      </w:r>
      <w:r>
        <w:rPr>
          <w:rStyle w:val="FootnoteAnchor"/>
          <w:rtl w:val="true"/>
        </w:rPr>
        <w:footnoteReference w:id="593"/>
      </w:r>
      <w:r>
        <w:rPr>
          <w:rFonts w:ascii="Amiri" w:hAnsi="Amiri" w:eastAsia="Amiri" w:cs="Amiri"/>
          <w:color w:val="111111"/>
          <w:sz w:val="28"/>
          <w:sz w:val="28"/>
          <w:szCs w:val="28"/>
          <w:rtl w:val="true"/>
          <w:lang w:bidi="ar-SA"/>
        </w:rPr>
        <w:t xml:space="preserve">و رواية محمّد بن النعمان </w:t>
      </w:r>
      <w:r>
        <w:rPr>
          <w:rStyle w:val="FootnoteAnchor"/>
          <w:rtl w:val="true"/>
        </w:rPr>
        <w:footnoteReference w:id="594"/>
      </w:r>
      <w:r>
        <w:rPr>
          <w:rFonts w:ascii="Amiri" w:hAnsi="Amiri" w:eastAsia="Amiri" w:cs="Amiri"/>
          <w:color w:val="111111"/>
          <w:sz w:val="28"/>
          <w:sz w:val="28"/>
          <w:szCs w:val="28"/>
          <w:rtl w:val="true"/>
          <w:lang w:bidi="ar-SA"/>
        </w:rPr>
        <w:t xml:space="preserve">و في رواية </w:t>
      </w:r>
      <w:r>
        <w:rPr>
          <w:rStyle w:val="FootnoteAnchor"/>
          <w:rtl w:val="true"/>
        </w:rPr>
        <w:footnoteReference w:id="595"/>
      </w:r>
      <w:r>
        <w:rPr>
          <w:rFonts w:ascii="Amiri" w:hAnsi="Amiri" w:eastAsia="Amiri" w:cs="Amiri"/>
          <w:color w:val="111111"/>
          <w:sz w:val="28"/>
          <w:sz w:val="28"/>
          <w:szCs w:val="28"/>
          <w:rtl w:val="true"/>
          <w:lang w:bidi="ar-SA"/>
        </w:rPr>
        <w:t xml:space="preserve">المروزي الاقتصار على الصيام </w:t>
      </w:r>
      <w:r>
        <w:rPr>
          <w:rStyle w:val="FootnoteAnchor"/>
          <w:rtl w:val="true"/>
        </w:rPr>
        <w:footnoteReference w:id="596"/>
      </w:r>
      <w:r>
        <w:rPr>
          <w:rFonts w:ascii="Amiri" w:hAnsi="Amiri" w:eastAsia="Amiri" w:cs="Amiri"/>
          <w:color w:val="111111"/>
          <w:sz w:val="28"/>
          <w:sz w:val="28"/>
          <w:szCs w:val="28"/>
          <w:rtl w:val="true"/>
          <w:lang w:bidi="ar-SA"/>
        </w:rPr>
        <w:t xml:space="preserve">و في رواية المشرقي </w:t>
      </w:r>
      <w:r>
        <w:rPr>
          <w:rStyle w:val="FootnoteAnchor"/>
          <w:rtl w:val="true"/>
        </w:rPr>
        <w:footnoteReference w:id="597"/>
      </w:r>
      <w:r>
        <w:rPr>
          <w:rFonts w:ascii="IRNazanin" w:hAnsi="IRNazanin" w:eastAsia="IRNazanin"/>
          <w:color w:val="111111"/>
          <w:sz w:val="28"/>
          <w:sz w:val="28"/>
          <w:szCs w:val="28"/>
          <w:rtl w:val="true"/>
          <w:lang w:bidi="fa-IR"/>
        </w:rPr>
        <w:t xml:space="preserve">الاقتصار على العتق </w:t>
      </w:r>
      <w:r>
        <w:rPr>
          <w:rStyle w:val="FootnoteAnchor"/>
          <w:rtl w:val="true"/>
        </w:rPr>
        <w:footnoteReference w:id="598"/>
      </w:r>
      <w:r>
        <w:rPr>
          <w:rFonts w:ascii="Amiri" w:hAnsi="Amiri" w:eastAsia="Amiri" w:cs="Amiri"/>
          <w:color w:val="111111"/>
          <w:sz w:val="28"/>
          <w:sz w:val="28"/>
          <w:szCs w:val="28"/>
          <w:rtl w:val="true"/>
          <w:lang w:bidi="ar-SA"/>
        </w:rPr>
        <w:t xml:space="preserve">و في مرسلة إبراهيم بن عبد الحميد </w:t>
      </w:r>
      <w:r>
        <w:rPr>
          <w:rStyle w:val="FootnoteAnchor"/>
          <w:rtl w:val="true"/>
        </w:rPr>
        <w:footnoteReference w:id="599"/>
      </w:r>
      <w:r>
        <w:rPr>
          <w:rFonts w:ascii="Amiri" w:hAnsi="Amiri" w:eastAsia="Amiri" w:cs="Amiri"/>
          <w:color w:val="111111"/>
          <w:sz w:val="28"/>
          <w:sz w:val="28"/>
          <w:szCs w:val="28"/>
          <w:rtl w:val="true"/>
          <w:lang w:bidi="ar-SA"/>
        </w:rPr>
        <w:t>زيادة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w:t>
      </w:r>
    </w:p>
    <w:p>
      <w:pPr>
        <w:pStyle w:val="BookText"/>
        <w:rPr/>
      </w:pPr>
      <w:r>
        <w:rPr>
          <w:rFonts w:ascii="Amiri" w:hAnsi="Amiri" w:eastAsia="Amiri" w:cs="Amiri"/>
          <w:color w:val="111111"/>
          <w:sz w:val="28"/>
          <w:sz w:val="28"/>
          <w:szCs w:val="28"/>
          <w:rtl w:val="true"/>
          <w:lang w:bidi="ar-SA"/>
        </w:rPr>
        <w:t xml:space="preserve">عن العماني </w:t>
      </w:r>
      <w:r>
        <w:rPr>
          <w:rStyle w:val="FootnoteAnchor"/>
          <w:rtl w:val="true"/>
        </w:rPr>
        <w:footnoteReference w:id="600"/>
      </w:r>
      <w:r>
        <w:rPr>
          <w:rFonts w:ascii="Amiri" w:hAnsi="Amiri" w:eastAsia="Amiri" w:cs="Amiri"/>
          <w:color w:val="111111"/>
          <w:sz w:val="28"/>
          <w:sz w:val="28"/>
          <w:szCs w:val="28"/>
          <w:rtl w:val="true"/>
          <w:lang w:bidi="ar-SA"/>
        </w:rPr>
        <w:t xml:space="preserve">، و أحد قولي السيّد </w:t>
      </w:r>
      <w:r>
        <w:rPr>
          <w:rStyle w:val="FootnoteAnchor"/>
          <w:rtl w:val="true"/>
        </w:rPr>
        <w:footnoteReference w:id="601"/>
      </w:r>
      <w:r>
        <w:rPr>
          <w:rFonts w:ascii="Amiri" w:hAnsi="Amiri" w:eastAsia="Amiri" w:cs="Amiri"/>
          <w:color w:val="111111"/>
          <w:sz w:val="28"/>
          <w:sz w:val="28"/>
          <w:szCs w:val="28"/>
          <w:rtl w:val="true"/>
          <w:lang w:bidi="ar-SA"/>
        </w:rPr>
        <w:t xml:space="preserve">فجعلها مرتّبة لظاهر إطلاق رواية المشرقي المتقدّمة، و المرويّ في الفقيه في قصّة الأعرابي </w:t>
      </w:r>
      <w:r>
        <w:rPr>
          <w:rStyle w:val="FootnoteAnchor"/>
          <w:rtl w:val="true"/>
        </w:rPr>
        <w:footnoteReference w:id="602"/>
      </w:r>
      <w:r>
        <w:rPr>
          <w:rFonts w:ascii="Amiri" w:hAnsi="Amiri" w:eastAsia="Amiri" w:cs="Amiri"/>
          <w:color w:val="111111"/>
          <w:sz w:val="28"/>
          <w:sz w:val="28"/>
          <w:szCs w:val="28"/>
          <w:rtl w:val="true"/>
          <w:lang w:bidi="ar-SA"/>
        </w:rPr>
        <w:t xml:space="preserve">و صريح المحكيّ عن الوسائل، عن كتاب عليّ بن جعفر، عن أخيه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نكح أهله </w:t>
      </w:r>
      <w:r>
        <w:rPr>
          <w:rStyle w:val="FootnoteAnchor"/>
          <w:rtl w:val="true"/>
        </w:rPr>
        <w:footnoteReference w:id="603"/>
      </w:r>
      <w:r>
        <w:rPr>
          <w:rFonts w:ascii="Amiri" w:hAnsi="Amiri" w:eastAsia="Amiri" w:cs="Amiri"/>
          <w:color w:val="111111"/>
          <w:sz w:val="28"/>
          <w:sz w:val="28"/>
          <w:szCs w:val="28"/>
          <w:rtl w:val="true"/>
          <w:lang w:bidi="ar-SA"/>
        </w:rPr>
        <w:t>و هو صائم في نهار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فإن لم يجد فصيام شهرين متتابعين، فإن لم يجد فإطعام ستّين مسكينا، فإن لم يجد فليستغفر اللّٰه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w:t>
      </w:r>
      <w:r>
        <w:rPr>
          <w:rStyle w:val="FootnoteAnchor"/>
          <w:rtl w:val="true"/>
        </w:rPr>
        <w:footnoteReference w:id="605"/>
      </w:r>
      <w:r>
        <w:rPr>
          <w:rFonts w:ascii="Amiri" w:hAnsi="Amiri" w:eastAsia="Amiri" w:cs="Amiri"/>
          <w:color w:val="111111"/>
          <w:sz w:val="28"/>
          <w:sz w:val="28"/>
          <w:szCs w:val="28"/>
          <w:rtl w:val="true"/>
          <w:lang w:bidi="ar-SA"/>
        </w:rPr>
        <w:t>و إن كانت صحيحة صريحة يمكن لأجلها حمل الأخبار المتقدّمة على ما لا ينافي الترتيب مع مطابقتها للاحتياط اللازم في مثل المقام، إلّا أنّها لمخالفتها للمشهور و موافقتها لأشقى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طرحها أو حملها على الاستحباب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الروايات يقتضي عدم الفرق بين أن يكون الإفطار على محرّم أو محلّل و 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هنا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لابن بابويه </w:t>
      </w:r>
      <w:r>
        <w:rPr>
          <w:rStyle w:val="FootnoteAnchor"/>
          <w:rtl w:val="true"/>
        </w:rPr>
        <w:footnoteReference w:id="608"/>
      </w:r>
      <w:r>
        <w:rPr>
          <w:rFonts w:ascii="Amiri" w:hAnsi="Amiri" w:eastAsia="Amiri" w:cs="Amiri"/>
          <w:color w:val="111111"/>
          <w:sz w:val="28"/>
          <w:sz w:val="28"/>
          <w:szCs w:val="28"/>
          <w:rtl w:val="true"/>
          <w:lang w:bidi="ar-SA"/>
        </w:rPr>
        <w:t>و الشيخ</w:t>
      </w:r>
    </w:p>
    <w:p>
      <w:pPr>
        <w:pStyle w:val="BookText"/>
        <w:rPr/>
      </w:pPr>
      <w:r>
        <w:rPr>
          <w:rFonts w:ascii="Amiri" w:hAnsi="Amiri" w:eastAsia="Amiri" w:cs="Amiri"/>
          <w:color w:val="111111"/>
          <w:sz w:val="28"/>
          <w:sz w:val="28"/>
          <w:szCs w:val="28"/>
          <w:rtl w:val="true"/>
          <w:lang w:bidi="ar-SA"/>
        </w:rPr>
        <w:t xml:space="preserve">في التهذيب </w:t>
      </w:r>
      <w:r>
        <w:rPr>
          <w:rStyle w:val="FootnoteAnchor"/>
          <w:rtl w:val="true"/>
        </w:rPr>
        <w:footnoteReference w:id="609"/>
      </w:r>
      <w:r>
        <w:rPr>
          <w:rFonts w:ascii="Amiri" w:hAnsi="Amiri" w:eastAsia="Amiri" w:cs="Amiri"/>
          <w:color w:val="111111"/>
          <w:sz w:val="28"/>
          <w:sz w:val="28"/>
          <w:szCs w:val="28"/>
          <w:rtl w:val="true"/>
          <w:lang w:bidi="ar-SA"/>
        </w:rPr>
        <w:t xml:space="preserve">و ابن حمزة </w:t>
      </w:r>
      <w:r>
        <w:rPr>
          <w:rStyle w:val="FootnoteAnchor"/>
          <w:rtl w:val="true"/>
        </w:rPr>
        <w:footnoteReference w:id="610"/>
      </w:r>
      <w:r>
        <w:rPr>
          <w:rFonts w:ascii="Amiri" w:hAnsi="Amiri" w:eastAsia="Amiri" w:cs="Amiri"/>
          <w:color w:val="111111"/>
          <w:sz w:val="28"/>
          <w:sz w:val="28"/>
          <w:szCs w:val="28"/>
          <w:rtl w:val="true"/>
          <w:lang w:bidi="ar-SA"/>
        </w:rPr>
        <w:t xml:space="preserve">إلى أنّه لو أفطر بالمحرّم، وجب الجميع </w:t>
      </w:r>
      <w:r>
        <w:rPr>
          <w:rStyle w:val="FootnoteAnchor"/>
          <w:rtl w:val="true"/>
        </w:rPr>
        <w:footnoteReference w:id="611"/>
      </w:r>
      <w:r>
        <w:rPr>
          <w:rFonts w:ascii="Amiri" w:hAnsi="Amiri" w:eastAsia="Amiri" w:cs="Amiri"/>
          <w:color w:val="111111"/>
          <w:sz w:val="28"/>
          <w:sz w:val="28"/>
          <w:szCs w:val="28"/>
          <w:rtl w:val="true"/>
          <w:lang w:bidi="ar-SA"/>
        </w:rPr>
        <w:t xml:space="preserve">و تبعهم ولد المصنف قدس سرهما في الإيضاح </w:t>
      </w:r>
      <w:r>
        <w:rPr>
          <w:rStyle w:val="FootnoteAnchor"/>
          <w:rtl w:val="true"/>
        </w:rPr>
        <w:footnoteReference w:id="612"/>
      </w:r>
      <w:r>
        <w:rPr>
          <w:rFonts w:ascii="Amiri" w:hAnsi="Amiri" w:eastAsia="Amiri" w:cs="Amiri"/>
          <w:color w:val="111111"/>
          <w:sz w:val="28"/>
          <w:sz w:val="28"/>
          <w:szCs w:val="28"/>
          <w:rtl w:val="true"/>
          <w:lang w:bidi="ar-SA"/>
        </w:rPr>
        <w:t xml:space="preserve">متمسّكا بالاحتياط، و الشهيدان في اللمعتين </w:t>
      </w:r>
      <w:r>
        <w:rPr>
          <w:rStyle w:val="FootnoteAnchor"/>
          <w:rtl w:val="true"/>
        </w:rPr>
        <w:footnoteReference w:id="613"/>
      </w:r>
      <w:r>
        <w:rPr>
          <w:rFonts w:ascii="Amiri" w:hAnsi="Amiri" w:eastAsia="Amiri" w:cs="Amiri"/>
          <w:color w:val="111111"/>
          <w:sz w:val="28"/>
          <w:sz w:val="28"/>
          <w:szCs w:val="28"/>
          <w:rtl w:val="true"/>
          <w:lang w:bidi="ar-SA"/>
        </w:rPr>
        <w:t xml:space="preserve">و جماعة من متأخّري المتأخّرين </w:t>
      </w:r>
      <w:r>
        <w:rPr>
          <w:rStyle w:val="FootnoteAnchor"/>
          <w:rtl w:val="true"/>
        </w:rPr>
        <w:footnoteReference w:id="614"/>
      </w:r>
      <w:r>
        <w:rPr>
          <w:rFonts w:ascii="Amiri" w:hAnsi="Amiri" w:eastAsia="Amiri" w:cs="Amiri"/>
          <w:color w:val="111111"/>
          <w:sz w:val="28"/>
          <w:sz w:val="28"/>
          <w:szCs w:val="28"/>
          <w:rtl w:val="true"/>
          <w:lang w:bidi="ar-SA"/>
        </w:rPr>
        <w:t>استنادا إلى رواية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الموصوفة بالصحّة في الروضة </w:t>
      </w:r>
      <w:r>
        <w:rPr>
          <w:rStyle w:val="FootnoteAnchor"/>
          <w:rtl w:val="true"/>
        </w:rPr>
        <w:footnoteReference w:id="615"/>
      </w:r>
      <w:r>
        <w:rPr>
          <w:rFonts w:ascii="Amiri" w:hAnsi="Amiri" w:eastAsia="Amiri" w:cs="Amiri"/>
          <w:color w:val="111111"/>
          <w:sz w:val="28"/>
          <w:sz w:val="28"/>
          <w:szCs w:val="28"/>
          <w:rtl w:val="true"/>
          <w:lang w:bidi="ar-SA"/>
        </w:rPr>
        <w:t xml:space="preserve">، كما عن التحرير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روي عن آبائك عليهم السلام في من جامع في شهر رمضان أو أفطر فيه ثلاث كفّارات، و روي عنهم أيضا كفّارة واحدة، فبأيّ الحديثين نأخذ </w:t>
      </w:r>
      <w:r>
        <w:rPr>
          <w:rStyle w:val="FootnoteAnchor"/>
          <w:rtl w:val="true"/>
        </w:rPr>
        <w:footnoteReference w:id="6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إطعام ستّين مسكينا و 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نكح حلالا أو أفطر على حلال فعليه كفّارة واحدة</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المراد بالرواية الواردة بالجمع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إطلاق مضمرة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أتى أهله في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و إطعام ستّين مسكينا و صيام شهرين متتابعين</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على هذا فيحمل ما ورد من مطلقات الكفّارة الواحدة على صورة الإفطار بالمحلّل، كما هو الغالب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بحمل 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إن أريد ما عدا الغلبة، فإنّ الحمل على الصحّة لا يوجب ترك الاستفصال بين الصحيح و الفاسد في مقام يجب التفصيل فيه، مع أنّ مطلق الإفطار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الخدشة في الرواية </w:t>
      </w:r>
      <w:r>
        <w:rPr>
          <w:rStyle w:val="FootnoteAnchor"/>
          <w:rtl w:val="true"/>
        </w:rPr>
        <w:footnoteReference w:id="621"/>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قتيبة، أو بعبد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لأنّ في الرواية آثار الصدق، مضافا إلى أنّه يظهر من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مضمونها ممّا ورد عن محمّد بن عثمان العمري </w:t>
      </w:r>
      <w:r>
        <w:rPr>
          <w:rStyle w:val="FootnoteAnchor"/>
          <w:rtl w:val="true"/>
        </w:rPr>
        <w:footnoteReference w:id="622"/>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صاحب الزمان روحي له الفداء و عجّل اللّٰه فرجه فهذا القول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الرواية كصريح الروضة </w:t>
      </w:r>
      <w:r>
        <w:rPr>
          <w:rStyle w:val="FootnoteAnchor"/>
          <w:rtl w:val="true"/>
        </w:rPr>
        <w:footnoteReference w:id="623"/>
      </w:r>
      <w:r>
        <w:rPr>
          <w:rFonts w:ascii="Amiri" w:hAnsi="Amiri" w:eastAsia="Amiri" w:cs="Amiri"/>
          <w:color w:val="111111"/>
          <w:sz w:val="28"/>
          <w:sz w:val="28"/>
          <w:szCs w:val="28"/>
          <w:rtl w:val="true"/>
          <w:lang w:bidi="ar-SA"/>
        </w:rPr>
        <w:t>يقتضي عدم الفرق بين المفطرات المحرّمة كالاستمناء باليد و إيصال الغبار و أكل 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وطء المرأة حال الحيض، بل و أكل ما يضرّ بالبدن </w:t>
      </w:r>
      <w:r>
        <w:rPr>
          <w:rStyle w:val="FootnoteAnchor"/>
          <w:rtl w:val="true"/>
        </w:rPr>
        <w:footnoteReference w:id="624"/>
      </w:r>
      <w:r>
        <w:rPr>
          <w:rFonts w:ascii="Amiri" w:hAnsi="Amiri" w:eastAsia="Amiri" w:cs="Amiri"/>
          <w:color w:val="111111"/>
          <w:sz w:val="28"/>
          <w:sz w:val="28"/>
          <w:szCs w:val="28"/>
          <w:rtl w:val="true"/>
          <w:lang w:bidi="ar-SA"/>
        </w:rPr>
        <w:t>، إلّا أنّ للتأمّل في بعضها مجالا، بل لو قيل باختصاصه بالجماع المحرّم و الإفطار على المحرّم ذاتا، بمعنى أكله أو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فتوى الصدوق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ببعيد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أكل عمدا لظنّه الإفطار بأكله سهوا أو طلع الفجر فابتلع باقي ما في فيه،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المتفرّد برؤية رمضان إذا أفطر كفّر و إن ردّت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المجامع مع علم ضيق الوقت عن إيقاعه و الغسل يكفر، و لو ظن السعة مع المراعاة فلا شي‌ء و بدونها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يتكرر بتكرر الموجب في يومين مطلقا، و في يوم مع الاختلاف و لو أفطر ثم سقط الفرض باقي النهار فلا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يعزر المتعمّد للإفطار، فإن عاد عزّر، فإن عاد ثالثا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المكره لزوجته بالجماع يتحمّل عنها الكفارة و صومها صحيح، و لو طاوعته فسد صومها أيضا و كفرت، و يعزّر الواطئ بخمسة و عشرين سوطا، و في التحمل عن الأجنبية المكرهة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تبرّع الحيّ بالتكفير يبرئ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يتكرر بتكرر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شرحه المؤلّف رحمه اللّٰه عند شرحه لكتاب القواعد في صفحة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9900_214578"/>
    </w:p>
    <w:p>
      <w:pPr>
        <w:pStyle w:val="Heading4"/>
        <w:numPr>
          <w:ilvl w:val="3"/>
          <w:numId w:val="1"/>
        </w:numPr>
        <w:rPr/>
      </w:pPr>
      <w:bookmarkStart w:id="27" w:name="__RefHeading___Toc2061622_2314609296"/>
      <w:bookmarkStart w:id="28" w:name="_Toc10"/>
      <w:bookmarkEnd w:id="26"/>
      <w:bookmarkEnd w:id="27"/>
      <w:r>
        <w:rPr>
          <w:rtl w:val="true"/>
        </w:rPr>
        <w:t>[</w:t>
      </w:r>
      <w:r>
        <w:rPr>
          <w:rtl w:val="true"/>
        </w:rPr>
        <w:t>خاتمة</w:t>
      </w:r>
      <w:r>
        <w:rPr>
          <w:rtl w:val="true"/>
        </w:rPr>
        <w:t>]</w:t>
      </w:r>
      <w:bookmarkEnd w:id="28"/>
    </w:p>
    <w:p>
      <w:pPr>
        <w:pStyle w:val="BookText"/>
        <w:rPr/>
      </w:pPr>
      <w:r>
        <w:rPr>
          <w:rFonts w:ascii="Amiri" w:hAnsi="Amiri" w:eastAsia="Amiri" w:cs="Amiri"/>
          <w:color w:val="111111"/>
          <w:sz w:val="28"/>
          <w:sz w:val="28"/>
          <w:szCs w:val="28"/>
          <w:rtl w:val="true"/>
          <w:lang w:bidi="ar-SA"/>
        </w:rPr>
        <w:t xml:space="preserve">خاتمة </w:t>
      </w:r>
      <w:r>
        <w:rPr>
          <w:rStyle w:val="FootnoteAnchor"/>
          <w:rtl w:val="true"/>
        </w:rPr>
        <w:footnoteReference w:id="627"/>
      </w:r>
      <w:r>
        <w:rPr>
          <w:rFonts w:ascii="Amiri" w:hAnsi="Amiri" w:eastAsia="Amiri" w:cs="Amiri"/>
          <w:color w:val="111111"/>
          <w:sz w:val="28"/>
          <w:sz w:val="28"/>
          <w:szCs w:val="28"/>
          <w:rtl w:val="true"/>
          <w:lang w:bidi="ar-SA"/>
        </w:rPr>
        <w:t xml:space="preserve">يكفي في صوم رمضان المتعيّن </w:t>
      </w:r>
      <w:r>
        <w:rPr>
          <w:rStyle w:val="FootnoteAnchor"/>
          <w:rtl w:val="true"/>
        </w:rPr>
        <w:footnoteReference w:id="628"/>
      </w:r>
      <w:r>
        <w:rPr>
          <w:rFonts w:ascii="Amiri" w:hAnsi="Amiri" w:eastAsia="Amiri" w:cs="Amiri"/>
          <w:color w:val="111111"/>
          <w:sz w:val="28"/>
          <w:sz w:val="28"/>
          <w:szCs w:val="28"/>
          <w:rtl w:val="true"/>
          <w:lang w:bidi="ar-SA"/>
        </w:rPr>
        <w:t xml:space="preserve">فيه بأصل الشرع نيّة الصوم غدا متقرّبا إلى اللّٰه تعالى على الأظهر الأشهر، بل بلا خلاف أجده كما في الرياض </w:t>
      </w:r>
      <w:r>
        <w:rPr>
          <w:rStyle w:val="FootnoteAnchor"/>
          <w:rtl w:val="true"/>
        </w:rPr>
        <w:footnoteReference w:id="629"/>
      </w:r>
      <w:r>
        <w:rPr>
          <w:rFonts w:ascii="Amiri" w:hAnsi="Amiri" w:eastAsia="Amiri" w:cs="Amiri"/>
          <w:color w:val="111111"/>
          <w:sz w:val="28"/>
          <w:sz w:val="28"/>
          <w:szCs w:val="28"/>
          <w:rtl w:val="true"/>
          <w:lang w:bidi="ar-SA"/>
        </w:rPr>
        <w:t xml:space="preserve">و غيره إلّا عن نادر، و حكي عن الذخيرة نسبة الخلاف إليه </w:t>
      </w:r>
      <w:r>
        <w:rPr>
          <w:rStyle w:val="FootnoteAnchor"/>
          <w:rtl w:val="true"/>
        </w:rPr>
        <w:footnoteReference w:id="630"/>
      </w:r>
      <w:r>
        <w:rPr>
          <w:rFonts w:ascii="Amiri" w:hAnsi="Amiri" w:eastAsia="Amiri" w:cs="Amiri"/>
          <w:color w:val="111111"/>
          <w:sz w:val="28"/>
          <w:sz w:val="28"/>
          <w:szCs w:val="28"/>
          <w:rtl w:val="true"/>
          <w:lang w:bidi="ar-SA"/>
        </w:rPr>
        <w:t xml:space="preserve">بل في الغنية </w:t>
      </w:r>
      <w:r>
        <w:rPr>
          <w:rStyle w:val="FootnoteAnchor"/>
          <w:rtl w:val="true"/>
        </w:rPr>
        <w:footnoteReference w:id="631"/>
      </w:r>
      <w:r>
        <w:rPr>
          <w:rFonts w:ascii="Amiri" w:hAnsi="Amiri" w:eastAsia="Amiri" w:cs="Amiri"/>
          <w:color w:val="111111"/>
          <w:sz w:val="28"/>
          <w:sz w:val="28"/>
          <w:szCs w:val="28"/>
          <w:rtl w:val="true"/>
          <w:lang w:bidi="ar-SA"/>
        </w:rPr>
        <w:t xml:space="preserve">و عن التنقيح </w:t>
      </w:r>
      <w:r>
        <w:rPr>
          <w:rStyle w:val="FootnoteAnchor"/>
          <w:rtl w:val="true"/>
        </w:rPr>
        <w:footnoteReference w:id="632"/>
      </w:r>
      <w:r>
        <w:rPr>
          <w:rFonts w:ascii="Amiri" w:hAnsi="Amiri" w:eastAsia="Amiri" w:cs="Amiri"/>
          <w:color w:val="111111"/>
          <w:sz w:val="28"/>
          <w:sz w:val="28"/>
          <w:szCs w:val="28"/>
          <w:rtl w:val="true"/>
          <w:lang w:bidi="ar-SA"/>
        </w:rPr>
        <w:t>الإجماع عليه، لحصول التعيّن المغني عن التعيين المشترط في امتثال الأمر عقلا و شرعا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مع ذلك قصد إيقاع الفعل لوجوبه، أو ندبه كما في الكتاب </w:t>
      </w:r>
      <w:r>
        <w:rPr>
          <w:rStyle w:val="FootnoteAnchor"/>
          <w:rtl w:val="true"/>
        </w:rPr>
        <w:footnoteReference w:id="63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كما في ظاهر الشرائع </w:t>
      </w:r>
      <w:r>
        <w:rPr>
          <w:rStyle w:val="FootnoteAnchor"/>
          <w:rtl w:val="true"/>
        </w:rPr>
        <w:footnoteReference w:id="634"/>
      </w:r>
      <w:r>
        <w:rPr>
          <w:rFonts w:ascii="Amiri" w:hAnsi="Amiri" w:eastAsia="Amiri" w:cs="Amiri"/>
          <w:color w:val="111111"/>
          <w:sz w:val="28"/>
          <w:sz w:val="28"/>
          <w:szCs w:val="28"/>
          <w:rtl w:val="true"/>
          <w:lang w:bidi="ar-SA"/>
        </w:rPr>
        <w:t>و صريح غيره؟ قولان،</w:t>
      </w:r>
    </w:p>
    <w:p>
      <w:pPr>
        <w:pStyle w:val="BookText"/>
        <w:rPr/>
      </w:pP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لما عرفت في نيّة الصلاة </w:t>
      </w:r>
      <w:r>
        <w:rPr>
          <w:rStyle w:val="FootnoteAnchor"/>
          <w:rtl w:val="true"/>
        </w:rPr>
        <w:footnoteReference w:id="635"/>
      </w:r>
      <w:r>
        <w:rPr>
          <w:rFonts w:ascii="Amiri" w:hAnsi="Amiri" w:eastAsia="Amiri" w:cs="Amiri"/>
          <w:color w:val="111111"/>
          <w:sz w:val="28"/>
          <w:sz w:val="28"/>
          <w:szCs w:val="28"/>
          <w:rtl w:val="true"/>
          <w:lang w:bidi="ar-SA"/>
        </w:rPr>
        <w:t xml:space="preserve">من أنّ تعيين الوجه إنّما يحتاج إليه إذا توقّف تعيين الفعل عليه، بأن يكون الفعل </w:t>
      </w:r>
      <w:r>
        <w:rPr>
          <w:rStyle w:val="FootnoteAnchor"/>
          <w:rtl w:val="true"/>
        </w:rPr>
        <w:footnoteReference w:id="636"/>
      </w:r>
      <w:r>
        <w:rPr>
          <w:rFonts w:ascii="Amiri" w:hAnsi="Amiri" w:eastAsia="Amiri" w:cs="Amiri"/>
          <w:color w:val="111111"/>
          <w:sz w:val="28"/>
          <w:sz w:val="28"/>
          <w:szCs w:val="28"/>
          <w:rtl w:val="true"/>
          <w:lang w:bidi="ar-SA"/>
        </w:rPr>
        <w:t xml:space="preserve">مشتركا بين واجب و مندوب لم يعلم اتّحادهما في الحقيقة، فإذا تعيّن الفعل بدون ذلك فلا دليل على وجوب نيّة الوجه على وجه التوصيف أو التعليل أو كلاهما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يلحق بصوم شهر رمضان غيره من أفراد الصوم المعيّن بالنذر و شبهه، كما عن السيّد </w:t>
      </w:r>
      <w:r>
        <w:rPr>
          <w:rStyle w:val="FootnoteAnchor"/>
          <w:rtl w:val="true"/>
        </w:rPr>
        <w:footnoteReference w:id="638"/>
      </w:r>
      <w:r>
        <w:rPr>
          <w:rFonts w:ascii="Amiri" w:hAnsi="Amiri" w:eastAsia="Amiri" w:cs="Amiri"/>
          <w:color w:val="111111"/>
          <w:sz w:val="28"/>
          <w:sz w:val="28"/>
          <w:szCs w:val="28"/>
          <w:rtl w:val="true"/>
          <w:lang w:bidi="ar-SA"/>
        </w:rPr>
        <w:t xml:space="preserve">و الحلّي </w:t>
      </w:r>
      <w:r>
        <w:rPr>
          <w:rStyle w:val="FootnoteAnchor"/>
          <w:rtl w:val="true"/>
        </w:rPr>
        <w:footnoteReference w:id="639"/>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 في المنتهى </w:t>
      </w:r>
      <w:r>
        <w:rPr>
          <w:rStyle w:val="FootnoteAnchor"/>
          <w:rtl w:val="true"/>
        </w:rPr>
        <w:footnoteReference w:id="641"/>
      </w:r>
      <w:r>
        <w:rPr>
          <w:rFonts w:ascii="Amiri" w:hAnsi="Amiri" w:eastAsia="Amiri" w:cs="Amiri"/>
          <w:color w:val="111111"/>
          <w:sz w:val="28"/>
          <w:sz w:val="28"/>
          <w:szCs w:val="28"/>
          <w:rtl w:val="true"/>
          <w:lang w:bidi="ar-SA"/>
        </w:rPr>
        <w:t xml:space="preserve">و الشهيدين في البيان </w:t>
      </w:r>
      <w:r>
        <w:rPr>
          <w:rStyle w:val="FootnoteAnchor"/>
          <w:rtl w:val="true"/>
        </w:rPr>
        <w:footnoteReference w:id="642"/>
      </w:r>
      <w:r>
        <w:rPr>
          <w:rFonts w:ascii="Amiri" w:hAnsi="Amiri" w:eastAsia="Amiri" w:cs="Amiri"/>
          <w:color w:val="111111"/>
          <w:sz w:val="28"/>
          <w:sz w:val="28"/>
          <w:szCs w:val="28"/>
          <w:rtl w:val="true"/>
          <w:lang w:bidi="ar-SA"/>
        </w:rPr>
        <w:t xml:space="preserve">و الروضة </w:t>
      </w:r>
      <w:r>
        <w:rPr>
          <w:rStyle w:val="FootnoteAnchor"/>
          <w:rtl w:val="true"/>
        </w:rPr>
        <w:footnoteReference w:id="643"/>
      </w:r>
      <w:r>
        <w:rPr>
          <w:rFonts w:ascii="Amiri" w:hAnsi="Amiri" w:eastAsia="Amiri" w:cs="Amiri"/>
          <w:color w:val="111111"/>
          <w:sz w:val="28"/>
          <w:sz w:val="28"/>
          <w:szCs w:val="28"/>
          <w:rtl w:val="true"/>
          <w:lang w:bidi="ar-SA"/>
        </w:rPr>
        <w:t>،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644"/>
      </w:r>
      <w:r>
        <w:rPr>
          <w:rFonts w:ascii="Amiri" w:hAnsi="Amiri" w:eastAsia="Amiri" w:cs="Amiri"/>
          <w:color w:val="111111"/>
          <w:sz w:val="28"/>
          <w:sz w:val="28"/>
          <w:szCs w:val="28"/>
          <w:rtl w:val="true"/>
          <w:lang w:bidi="ar-SA"/>
        </w:rPr>
        <w:t xml:space="preserve">و جماعة </w:t>
      </w:r>
      <w:r>
        <w:rPr>
          <w:rStyle w:val="FootnoteAnchor"/>
          <w:rtl w:val="true"/>
        </w:rPr>
        <w:footnoteReference w:id="645"/>
      </w:r>
      <w:r>
        <w:rPr>
          <w:rFonts w:ascii="Amiri" w:hAnsi="Amiri" w:eastAsia="Amiri" w:cs="Amiri"/>
          <w:color w:val="111111"/>
          <w:sz w:val="28"/>
          <w:sz w:val="28"/>
          <w:szCs w:val="28"/>
          <w:rtl w:val="true"/>
          <w:lang w:bidi="ar-SA"/>
        </w:rPr>
        <w:t xml:space="preserve">و في المسالك أنّه المشهور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ذكروه في بحث النيّة</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كصوم شهر رمضان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صلاحية الزمان بالذات لغيره، فهو كالزمان المختصّ بصلاة الظهر المؤدّاة، في أنه لا يغني عن قصد تعيين </w:t>
      </w:r>
      <w:r>
        <w:rPr>
          <w:rStyle w:val="FootnoteAnchor"/>
          <w:rtl w:val="true"/>
        </w:rPr>
        <w:footnoteReference w:id="648"/>
      </w:r>
      <w:r>
        <w:rPr>
          <w:rFonts w:ascii="Amiri" w:hAnsi="Amiri" w:eastAsia="Amiri" w:cs="Amiri"/>
          <w:color w:val="111111"/>
          <w:sz w:val="28"/>
          <w:sz w:val="28"/>
          <w:szCs w:val="28"/>
          <w:rtl w:val="true"/>
          <w:lang w:bidi="ar-SA"/>
        </w:rPr>
        <w:t xml:space="preserve">الصلاة من حيث كونها ظهرا و أداء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السرّ في ذلك أنّ جنس الصوم له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منها صوم النذر، و منها صوم الكفّارة، و منها صوم القضاء، و منها غير ذلك، فالمكلّف 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الاكتفاء بجنس الصوم، بناء على ما قرّروه في باب نيّة الصلاة من وجوب قصد نوع الفريضة كالظهريّة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بما إذا كان عليه نوعان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فمن نذر صوم الغد فلا يجوز له الاقتصار على قصد جنس الصوم في الغد، بل لا بدّ من ضمّ قيد كونه صوم النذر، و مجرّد قصد كونه في الغد لا يوجب قصد نوع صوم النذر، إذ الصوم الواقع في الغد بمفهومه جنس قابل لصوم النذر و غيره، و إن كان الواجب أن لا يوقع في الغد غير النوع الخاصّ من هذا الجنس، لكن مجرّد استحضار صوم الغد ليس استحضارا لذلك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صلاة الظهر المنذور فعلها في وقت خاصّ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استحضار نوع صوم شهر رمضان فيحصل بمجرّد قصد صوم الغد الّذي هو من أيّام شهر رمضان، فإنّ صوم الغد يعني صوم يوم من أيّام شهر رمضان، فظرف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 للنوع، و فصل ينضمّ إلى جنس الصوم، و في النذر مجرّد ظرف لجنس الصوم فلا بدّ من ضمّ منوّع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Style w:val="FootnoteAnchor"/>
          <w:rtl w:val="true"/>
        </w:rPr>
        <w:footnoteReference w:id="651"/>
      </w:r>
      <w:r>
        <w:rPr>
          <w:rFonts w:ascii="Amiri" w:hAnsi="Amiri" w:eastAsia="Amiri" w:cs="Amiri"/>
          <w:color w:val="111111"/>
          <w:sz w:val="28"/>
          <w:sz w:val="28"/>
          <w:szCs w:val="28"/>
          <w:rtl w:val="true"/>
          <w:lang w:bidi="ar-SA"/>
        </w:rPr>
        <w:t xml:space="preserve">بخلاف زمان شهر رمضان فإنّه داخل في حقيقة الصوم المعيّن، و به يمتاز عن سائر حقائق الصوم، و لأجله اختصّ عن غيره بأحكام، فمجرّد استحضار صوم الغد استحضار للمأمور به </w:t>
      </w:r>
      <w:r>
        <w:rPr>
          <w:rStyle w:val="FootnoteAnchor"/>
          <w:rtl w:val="true"/>
        </w:rPr>
        <w:footnoteReference w:id="652"/>
      </w:r>
      <w:r>
        <w:rPr>
          <w:rFonts w:ascii="Amiri" w:hAnsi="Amiri" w:eastAsia="Amiri" w:cs="Amiri"/>
          <w:color w:val="111111"/>
          <w:sz w:val="28"/>
          <w:sz w:val="28"/>
          <w:szCs w:val="28"/>
          <w:rtl w:val="true"/>
          <w:lang w:bidi="ar-SA"/>
        </w:rPr>
        <w:t xml:space="preserve">، بل ليس لهذا الصوم مميّز عن غيره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ذكرنا جار في مسألة الصلاة المختصّة بوقت خاصّ </w:t>
      </w:r>
      <w:r>
        <w:rPr>
          <w:rStyle w:val="FootnoteAnchor"/>
          <w:rtl w:val="true"/>
        </w:rPr>
        <w:footnoteReference w:id="654"/>
      </w:r>
      <w:r>
        <w:rPr>
          <w:rFonts w:ascii="Amiri" w:hAnsi="Amiri" w:eastAsia="Amiri" w:cs="Amiri"/>
          <w:color w:val="111111"/>
          <w:sz w:val="28"/>
          <w:sz w:val="28"/>
          <w:szCs w:val="28"/>
          <w:rtl w:val="true"/>
          <w:lang w:bidi="ar-SA"/>
        </w:rPr>
        <w:t>لأجل عدم مشروعيّة غيره لضيق الوقت أو غيره، نعم لو استحضر المصلّي أو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ما هو الواجب عليه و في ذمّته كان ذلك تعيينا إجماليا لحقيقة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منوّع للصوم، و في اليوم المنذور فيه ظرف لجنس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هذا الفرق هو أنّ الشارع جعل جنس الصوم المقيّد بوقوعه في شهر رمضان نوعا خاصّا في مقابل سائر أنواع الصيام له حكم خاصّ مخالف لأحكامها في الجملة، و أمّا جنس الصوم المقيّد بوقوعه في الغد فليس نوعا خاصّا، نعم يجب إيقاع نوع خاصّ من الصوم فيه و هو صوم النذر، فالمنوّع هنا هو كونه صوم نذر لا كونه صوم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لوحظ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 منذور فيه فيكون منوّعا لجنس الصوم أيضا، لكن استحضار صوم الغد و قصده بهذا العنوان راجع إلى استحضار كونه صوم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أن يقصد أصل الصوم في الغد، و ليس في هذا تعيين لنوع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الغد من أيام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يقصد الصوم المختصّ بالغد، و في هذا تعيين لنوع الصوم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يلتفت إلى عنوان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فيه الصوم</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w:t>
      </w:r>
      <w:r>
        <w:rPr>
          <w:rStyle w:val="FootnoteAnchor"/>
          <w:rtl w:val="true"/>
        </w:rPr>
        <w:footnoteReference w:id="657"/>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قلنا بأنّ نذر الصوم في اليوم المعيّن مخرج لذلك اليوم عن</w:t>
      </w:r>
    </w:p>
    <w:p>
      <w:pPr>
        <w:pStyle w:val="BookText"/>
        <w:rPr/>
      </w:pPr>
      <w:r>
        <w:rPr>
          <w:rFonts w:ascii="Amiri" w:hAnsi="Amiri" w:eastAsia="Amiri" w:cs="Amiri"/>
          <w:color w:val="111111"/>
          <w:sz w:val="28"/>
          <w:sz w:val="28"/>
          <w:szCs w:val="28"/>
          <w:rtl w:val="true"/>
          <w:lang w:bidi="ar-SA"/>
        </w:rPr>
        <w:t>قابليّة ظرفيّته لصوم آخر غير الصوم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الذهول و الغفلة 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بعدم كونه مخرجا للزمان عن القابليّة لصوم آخر بل لو صام فيه غير النذر مع نسيان النذر صحّ، فيصير ما ذكرنا من عدم كون مجرّد إضافة الغد منوّعا لجنس الصوم أوضح، لأنّ صوم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في نظر الشارع لأن يقع في ضمن صوم النذر، و في ضمن صوم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المكلّف ما دام ملتفتا إلى النذر لا يجوز له إلّا </w:t>
      </w:r>
      <w:r>
        <w:rPr>
          <w:rStyle w:val="FootnoteAnchor"/>
          <w:rtl w:val="true"/>
        </w:rPr>
        <w:footnoteReference w:id="658"/>
      </w:r>
      <w:r>
        <w:rPr>
          <w:rFonts w:ascii="Amiri" w:hAnsi="Amiri" w:eastAsia="Amiri" w:cs="Amiri"/>
          <w:color w:val="111111"/>
          <w:sz w:val="28"/>
          <w:sz w:val="28"/>
          <w:szCs w:val="28"/>
          <w:rtl w:val="true"/>
          <w:lang w:bidi="ar-SA"/>
        </w:rPr>
        <w:t>إيقاع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بأنّه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عصى و ترك الصوم المنذور صحّ فعل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الواجب المضيّق إذا ترك عصيانا صحّ أن يقع مكانه عبادة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الأمر أوضح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وجوب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الواجب غير معيّن، كالنذر المطلق إذا نذر تعيينه في زمان و فيما إذا تضيّق زمان قضاء صوم شهر رمضان أو كان </w:t>
      </w:r>
      <w:r>
        <w:rPr>
          <w:rStyle w:val="FootnoteAnchor"/>
          <w:rtl w:val="true"/>
        </w:rPr>
        <w:footnoteReference w:id="659"/>
      </w:r>
      <w:r>
        <w:rPr>
          <w:rFonts w:ascii="Amiri" w:hAnsi="Amiri" w:eastAsia="Amiri" w:cs="Amiri"/>
          <w:color w:val="111111"/>
          <w:sz w:val="28"/>
          <w:sz w:val="28"/>
          <w:szCs w:val="28"/>
          <w:rtl w:val="true"/>
          <w:lang w:bidi="ar-SA"/>
        </w:rPr>
        <w:t xml:space="preserve">موسّعا و لم يكن في ذمّته </w:t>
      </w:r>
      <w:r>
        <w:rPr>
          <w:rStyle w:val="FootnoteAnchor"/>
          <w:rtl w:val="true"/>
        </w:rPr>
        <w:footnoteReference w:id="660"/>
      </w:r>
      <w:r>
        <w:rPr>
          <w:rFonts w:ascii="Amiri" w:hAnsi="Amiri" w:eastAsia="Amiri" w:cs="Amiri"/>
          <w:color w:val="111111"/>
          <w:sz w:val="28"/>
          <w:sz w:val="28"/>
          <w:szCs w:val="28"/>
          <w:rtl w:val="true"/>
          <w:lang w:bidi="ar-SA"/>
        </w:rPr>
        <w:t>واجب آخر و قلنا بعدم جواز الصوم المندوب ممّن في ذمّته واجب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كلّه بناء على تسليم وجوب قصد نوع الفعل و إن كان ما في ذمّة المكلّف منحصرا، و أمّا إذا قلنا بعدم وجوب قصد النوع إلّا مع الاشتراك الفعلي و تعدّد ما في ذمّة المكلّف، نظرا إلى أنّ قصد امتثال الأمر مع كون المفروض أنّه أمر واحد بنوع واحد يستلزم قصد ذلك النوع إجمالا و هو كاف في النيّة، فيكفي في جميع ما إذا كان الواجب على المكلّف صوما واحدا أن يقصد صوم الغد امتثالا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في غيره ممّا إذا كان على المكلّف صوما أكثر من نوع واحد وجوبا أو استحبابا من نية التعيين عند الأصحاب، كما يظهر من المعتبر </w:t>
      </w:r>
      <w:r>
        <w:rPr>
          <w:rStyle w:val="FootnoteAnchor"/>
          <w:rtl w:val="true"/>
        </w:rPr>
        <w:footnoteReference w:id="661"/>
      </w:r>
      <w:r>
        <w:rPr>
          <w:rFonts w:ascii="Amiri" w:hAnsi="Amiri" w:eastAsia="Amiri" w:cs="Amiri"/>
          <w:color w:val="111111"/>
          <w:sz w:val="28"/>
          <w:sz w:val="28"/>
          <w:szCs w:val="28"/>
          <w:rtl w:val="true"/>
          <w:lang w:bidi="ar-SA"/>
        </w:rPr>
        <w:t xml:space="preserve">و عن التحرير الإجماع عليه </w:t>
      </w:r>
      <w:r>
        <w:rPr>
          <w:rStyle w:val="FootnoteAnchor"/>
          <w:rtl w:val="true"/>
        </w:rPr>
        <w:footnoteReference w:id="66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التنقيح نفي الخلاف فيه </w:t>
      </w:r>
      <w:r>
        <w:rPr>
          <w:rStyle w:val="FootnoteAnchor"/>
          <w:rtl w:val="true"/>
        </w:rPr>
        <w:footnoteReference w:id="663"/>
      </w:r>
      <w:r>
        <w:rPr>
          <w:rFonts w:ascii="Amiri" w:hAnsi="Amiri" w:eastAsia="Amiri" w:cs="Amiri"/>
          <w:color w:val="111111"/>
          <w:sz w:val="28"/>
          <w:sz w:val="28"/>
          <w:szCs w:val="28"/>
          <w:rtl w:val="true"/>
          <w:lang w:bidi="ar-SA"/>
        </w:rPr>
        <w:t xml:space="preserve">، لما مرّ هنا و في نية الصلاة </w:t>
      </w:r>
      <w:r>
        <w:rPr>
          <w:rStyle w:val="FootnoteAnchor"/>
          <w:rtl w:val="true"/>
        </w:rPr>
        <w:footnoteReference w:id="664"/>
      </w:r>
      <w:r>
        <w:rPr>
          <w:rFonts w:ascii="Amiri" w:hAnsi="Amiri" w:eastAsia="Amiri" w:cs="Amiri"/>
          <w:color w:val="111111"/>
          <w:sz w:val="28"/>
          <w:sz w:val="28"/>
          <w:szCs w:val="28"/>
          <w:rtl w:val="true"/>
          <w:lang w:bidi="ar-SA"/>
        </w:rPr>
        <w:t>، من أنّ امتثال الأمر الخاصّ موقوف على قصد ما هو مأمور به بذلك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اختلف الفردان في الحقيقة، و أمّا إذا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مغايرة بينهما إلّا بحسب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تعيين هنا أيضا، كما إذا وجب عليه صوم يومين بنذرين، فإنّه لا يجب قصد خصوص كلّ من المنذورين </w:t>
      </w:r>
      <w:r>
        <w:rPr>
          <w:rStyle w:val="FootnoteAnchor"/>
          <w:rtl w:val="true"/>
        </w:rPr>
        <w:footnoteReference w:id="665"/>
      </w:r>
      <w:r>
        <w:rPr>
          <w:rFonts w:ascii="Amiri" w:hAnsi="Amiri" w:eastAsia="Amiri" w:cs="Amiri"/>
          <w:color w:val="111111"/>
          <w:sz w:val="28"/>
          <w:sz w:val="28"/>
          <w:szCs w:val="28"/>
          <w:rtl w:val="true"/>
          <w:lang w:bidi="ar-SA"/>
        </w:rPr>
        <w:t>في كلّ واحد، بل هو بمنزلة ما إذا نذر صوم يومين بنذر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في اختلاف الحقيقة و اتّحادها بنى على وجوب التعيين، لعدم القطع بتحقّق الامتثال به بدونه، و ليس هذا من الشكّ في مدخليّة شي‌ء في المأمور به حتّى ينفى بأصل البراءة، أو بإطلاقات الصوم، بل هو شكّ في تحقّق عنوان الإطاعة بالإتيان بالمأمور به </w:t>
      </w:r>
      <w:r>
        <w:rPr>
          <w:rStyle w:val="FootnoteAnchor"/>
          <w:rtl w:val="true"/>
        </w:rPr>
        <w:footnoteReference w:id="666"/>
      </w:r>
      <w:r>
        <w:rPr>
          <w:rFonts w:ascii="Amiri" w:hAnsi="Amiri" w:eastAsia="Amiri" w:cs="Amiri"/>
          <w:color w:val="111111"/>
          <w:sz w:val="28"/>
          <w:sz w:val="28"/>
          <w:szCs w:val="28"/>
          <w:rtl w:val="true"/>
          <w:lang w:bidi="ar-SA"/>
        </w:rPr>
        <w:t>على هذا الوجه، و ليس هنا إطلاق يرجع إليه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w:t>
      </w:r>
      <w:r>
        <w:rPr>
          <w:rStyle w:val="FootnoteAnchor"/>
          <w:rtl w:val="true"/>
        </w:rPr>
        <w:footnoteReference w:id="667"/>
      </w:r>
      <w:r>
        <w:rPr>
          <w:rFonts w:ascii="Amiri" w:hAnsi="Amiri" w:eastAsia="Amiri" w:cs="Amiri"/>
          <w:color w:val="111111"/>
          <w:sz w:val="28"/>
          <w:sz w:val="28"/>
          <w:szCs w:val="28"/>
          <w:rtl w:val="true"/>
          <w:lang w:bidi="ar-SA"/>
        </w:rPr>
        <w:t xml:space="preserve">وقوع غيره في ذلك الزمان فيشمل مثل اليوم الّذي ندب </w:t>
      </w:r>
      <w:r>
        <w:rPr>
          <w:rStyle w:val="FootnoteAnchor"/>
          <w:rtl w:val="true"/>
        </w:rPr>
        <w:footnoteReference w:id="668"/>
      </w:r>
      <w:r>
        <w:rPr>
          <w:rFonts w:ascii="Amiri" w:hAnsi="Amiri" w:eastAsia="Amiri" w:cs="Amiri"/>
          <w:color w:val="111111"/>
          <w:sz w:val="28"/>
          <w:sz w:val="28"/>
          <w:szCs w:val="28"/>
          <w:rtl w:val="true"/>
          <w:lang w:bidi="ar-SA"/>
        </w:rPr>
        <w:t>فيه الصوم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كمطلق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المندوب بالخصوص بالصوم المعيّن في عدم افتقاره إلى التعيين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حكى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مطلق المندوب، و استحسنه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نفى البأس عن جميع ذلك في 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مطلق الصوم في الغد يرجع إلى الموظّف فيه بأصل الشرع، فكما انّ صوم شهر رمضان حقيقة مغايرة لغيرها من أنواع الصيام فكذلك صوم أوّل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مغايرة لصوم القضاء عن يوم آخر أو صوم النذر أو نحو ذلك، فيكون صوم المندوب بمنزلة صلاة النوافل غير ذوات الأسباب، لا تحتاج إلى قصد ما عدا جنس الصوم، إذ ليس له مقوّم سوى وقوعه في الغد، نعم لو أراد إيقاع حقيقة أخرى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كالقضاء أو الكفّارة أو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التعيين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ليلا و لا يجوز تأخيرها عنه لئلّا يقع جزء من الكفّ في النهار خاليا عن حكم النيّة 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لا يبيّت الصيام من اللّيل</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 لا فرق بين أن يقع في أوّله أو آخره لعموم الرواية و عدم تيسّر إيقاعها في الآخر الحقيقي، ليتحقّق المقارنة لأوّل جزء من النهار، و جميع ما تقدّم على الآخر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كونها في النصف الثاني،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الأصحاب عدم جواز تقديمها على الليل، و لعلّه للاقتصار في مخالفة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القدر المتيقّن من جواز التقديم، مضافا إلى إمكان الاستدلال عليه بالرواية </w:t>
      </w:r>
      <w:r>
        <w:rPr>
          <w:rStyle w:val="FootnoteAnchor"/>
          <w:rtl w:val="true"/>
        </w:rPr>
        <w:footnoteReference w:id="670"/>
      </w:r>
      <w:r>
        <w:rPr>
          <w:rFonts w:ascii="Amiri" w:hAnsi="Amiri" w:eastAsia="Amiri" w:cs="Amiri"/>
          <w:color w:val="111111"/>
          <w:sz w:val="28"/>
          <w:sz w:val="28"/>
          <w:szCs w:val="28"/>
          <w:rtl w:val="true"/>
          <w:lang w:bidi="ar-SA"/>
        </w:rPr>
        <w:t>و إن كان المتبادر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بيان عدم جواز تأخيرها عن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أخلّ بالنيّة في اللّيل عمدا بأن </w:t>
      </w:r>
      <w:r>
        <w:rPr>
          <w:rStyle w:val="FootnoteAnchor"/>
          <w:rtl w:val="true"/>
        </w:rPr>
        <w:footnoteReference w:id="671"/>
      </w:r>
      <w:r>
        <w:rPr>
          <w:rFonts w:ascii="Amiri" w:hAnsi="Amiri" w:eastAsia="Amiri" w:cs="Amiri"/>
          <w:color w:val="111111"/>
          <w:sz w:val="28"/>
          <w:sz w:val="28"/>
          <w:szCs w:val="28"/>
          <w:rtl w:val="true"/>
          <w:lang w:bidi="ar-SA"/>
        </w:rPr>
        <w:t>عزم على العدم أو بقي متردّدا إلى الفجر، فلا إشكال في وجوب القضاء، لفساد الصوم لفقد الشرط، و هل تجب الكفّارة؟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حكاه في البيان عن بعض مشايخه </w:t>
      </w:r>
      <w:r>
        <w:rPr>
          <w:rStyle w:val="FootnoteAnchor"/>
          <w:rtl w:val="true"/>
        </w:rPr>
        <w:footnoteReference w:id="672"/>
      </w:r>
      <w:r>
        <w:rPr>
          <w:rFonts w:ascii="Amiri" w:hAnsi="Amiri" w:eastAsia="Amiri" w:cs="Amiri"/>
          <w:color w:val="111111"/>
          <w:sz w:val="28"/>
          <w:sz w:val="28"/>
          <w:szCs w:val="28"/>
          <w:rtl w:val="true"/>
          <w:lang w:bidi="ar-SA"/>
        </w:rPr>
        <w:t>و لعلّه لصدق ترك الصوم متعمّدا، و الكفّارة و إن علّقت في الأخبار على الإفطار إلّا أنّ الظاهر أنّ المناط هو ترك الصوم، إذ لا واسطة بينهما ظاهرا، و إن كان المتبادر من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أحد المفطرات، إلّا أنّه تبادر بدويّ لا يعتنى به، و لهذا وجبت الكفّارة على من بقي جنبا إلى الفجر مع أنّه لم يفعل مفطرا، فليس إلّا لعدم انعقاد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الإفطار يصدق إذا أفسد الصوم بعد انعقاده فقبله لا يسمّى إفطارا، مكذّبة بما شاع في الأخبار و كلام الفقهاء من أنّ المسافر يقصّر و يفطر، و قولهم ليوم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المعلّقة على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 أحد المفطرات، بل 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الإفطار بحكم الانصراف بالأكل و الشرب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الناسي للنّية في اللّيل له أن يجدّد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الزوال بالإجماع، كما عن الغنية </w:t>
      </w:r>
      <w:r>
        <w:rPr>
          <w:rStyle w:val="FootnoteAnchor"/>
          <w:rtl w:val="true"/>
        </w:rPr>
        <w:footnoteReference w:id="673"/>
      </w:r>
      <w:r>
        <w:rPr>
          <w:rFonts w:ascii="IRNazanin" w:hAnsi="IRNazanin" w:eastAsia="IRNazanin"/>
          <w:color w:val="111111"/>
          <w:sz w:val="28"/>
          <w:sz w:val="28"/>
          <w:szCs w:val="28"/>
          <w:rtl w:val="true"/>
          <w:lang w:bidi="fa-IR"/>
        </w:rPr>
        <w:t xml:space="preserve">و عن ظاهر المعتبر </w:t>
      </w:r>
      <w:r>
        <w:rPr>
          <w:rStyle w:val="FootnoteAnchor"/>
          <w:rtl w:val="true"/>
        </w:rPr>
        <w:footnoteReference w:id="674"/>
      </w:r>
      <w:r>
        <w:rPr>
          <w:rFonts w:ascii="IRNazanin" w:hAnsi="IRNazanin" w:eastAsia="IRNazanin"/>
          <w:color w:val="111111"/>
          <w:sz w:val="28"/>
          <w:sz w:val="28"/>
          <w:szCs w:val="28"/>
          <w:rtl w:val="true"/>
          <w:lang w:bidi="fa-IR"/>
        </w:rPr>
        <w:t xml:space="preserve">و المنتهى </w:t>
      </w:r>
      <w:r>
        <w:rPr>
          <w:rStyle w:val="FootnoteAnchor"/>
          <w:rtl w:val="true"/>
        </w:rPr>
        <w:footnoteReference w:id="675"/>
      </w:r>
      <w:r>
        <w:rPr>
          <w:rFonts w:ascii="Amiri" w:hAnsi="Amiri" w:eastAsia="Amiri" w:cs="Amiri"/>
          <w:color w:val="111111"/>
          <w:sz w:val="28"/>
          <w:sz w:val="28"/>
          <w:szCs w:val="28"/>
          <w:rtl w:val="true"/>
          <w:lang w:bidi="ar-SA"/>
        </w:rPr>
        <w:t xml:space="preserve">و التذكرة </w:t>
      </w:r>
      <w:r>
        <w:rPr>
          <w:rStyle w:val="FootnoteAnchor"/>
          <w:rtl w:val="true"/>
        </w:rPr>
        <w:footnoteReference w:id="676"/>
      </w:r>
      <w:r>
        <w:rPr>
          <w:rFonts w:ascii="Amiri" w:hAnsi="Amiri" w:eastAsia="Amiri" w:cs="Amiri"/>
          <w:color w:val="111111"/>
          <w:sz w:val="28"/>
          <w:sz w:val="28"/>
          <w:szCs w:val="28"/>
          <w:rtl w:val="true"/>
          <w:lang w:bidi="ar-SA"/>
        </w:rPr>
        <w:t xml:space="preserve">لأنّ الإخلال بما هو شرط الإمساك في جزء من الزمان ليس بأعظم من الإخلال بنفس الإمساك في ذلك الجزء، فإنّ الظاهر أنّ وجوب تقديم النيّة على مجموع العمل لكون تأخيرها عن بعض أجزائه مستلزما لوقوع ذلك البعض بلا نيّة، لا لكون نيّة كل جزء من العمل لازم التقديم </w:t>
      </w:r>
      <w:r>
        <w:rPr>
          <w:rStyle w:val="FootnoteAnchor"/>
          <w:rtl w:val="true"/>
        </w:rPr>
        <w:footnoteReference w:id="677"/>
      </w:r>
      <w:r>
        <w:rPr>
          <w:rFonts w:ascii="Amiri" w:hAnsi="Amiri" w:eastAsia="Amiri" w:cs="Amiri"/>
          <w:color w:val="111111"/>
          <w:sz w:val="28"/>
          <w:sz w:val="28"/>
          <w:szCs w:val="28"/>
          <w:rtl w:val="true"/>
          <w:lang w:bidi="ar-SA"/>
        </w:rPr>
        <w:t>على مجموع العمل، فنسيان النيّة في جملة من النهار ليس فيه إلّا الإخلال بشرط الإمساك في تلك الجملة، و لا يخلّ بالإمساك فيما بقي من النهار إذا جدّد النيّة له، و هذا الأمر و إن كان يقتضي عدم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نسيها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الدليل قام على ركنيّتها في 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دلّ على صحّة صوم المسافر إذا قدم قبل الزوال و نوى، و المريض إذا بري‌ء فنوى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w:t>
      </w:r>
      <w:r>
        <w:rPr>
          <w:rStyle w:val="FootnoteAnchor"/>
          <w:rtl w:val="true"/>
        </w:rPr>
        <w:footnoteReference w:id="679"/>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أمر بعد ثبوت هلال رمضان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فليمسك، و من لم يأكل فليصم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رفع جميع آثار الفعل الّتي كان </w:t>
      </w:r>
      <w:r>
        <w:rPr>
          <w:rStyle w:val="FootnoteAnchor"/>
          <w:rtl w:val="true"/>
        </w:rPr>
        <w:footnoteReference w:id="682"/>
      </w:r>
      <w:r>
        <w:rPr>
          <w:rFonts w:ascii="Amiri" w:hAnsi="Amiri" w:eastAsia="Amiri" w:cs="Amiri"/>
          <w:color w:val="111111"/>
          <w:sz w:val="28"/>
          <w:sz w:val="28"/>
          <w:szCs w:val="28"/>
          <w:rtl w:val="true"/>
          <w:lang w:bidi="ar-SA"/>
        </w:rPr>
        <w:t>تترتّب عليه لو لا النسيان، لا خصوص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حاكم على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لا يبيّت الصيام من الليل</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تعارضهما و أغمض عمّا ذكر من الإجماعات المنقولة المعتضدة بالشهرة المحقّقة، حيث لم يخالف في الحكم إلّا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الرجوع إلى مقتضى أصالة البراءة عن القضاء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التبييت </w:t>
      </w:r>
      <w:r>
        <w:rPr>
          <w:rStyle w:val="FootnoteAnchor"/>
          <w:rtl w:val="true"/>
        </w:rPr>
        <w:footnoteReference w:id="686"/>
      </w:r>
      <w:r>
        <w:rPr>
          <w:rFonts w:ascii="Amiri" w:hAnsi="Amiri" w:eastAsia="Amiri" w:cs="Amiri"/>
          <w:color w:val="111111"/>
          <w:sz w:val="28"/>
          <w:sz w:val="28"/>
          <w:szCs w:val="28"/>
          <w:rtl w:val="true"/>
          <w:lang w:bidi="ar-SA"/>
        </w:rPr>
        <w:t>غير معلوم السند،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لا يشمل مثل الصوم الذي هو عبارة عن ترك المفطرات الغير المشترطة بمصاحبة النيّة أو حكمها المستمر، كما إذا نام من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النيّة</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إلى ليلة أخرى، و الثابت من وجوب كونها في اللّيل في الصوم المعيّن بالإجماع إنّما هو للذاكر لا الناسي، كيف و قد خرج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الغير المعيّن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يكون الناسي في المعيّن كذلك، مع أن ظاهر النسيان هو عزمه على صوم الغد إلّا أنّه نسي الإخطار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الجاهل فلا يضرّ جهله في عدم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بالإخطار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معتبرة في الصوم لا في ابتدائه و لا في استمراره، مع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691"/>
      </w:r>
      <w:r>
        <w:rPr>
          <w:rFonts w:ascii="Amiri" w:hAnsi="Amiri" w:eastAsia="Amiri" w:cs="Amiri"/>
          <w:color w:val="111111"/>
          <w:sz w:val="28"/>
          <w:sz w:val="28"/>
          <w:szCs w:val="28"/>
          <w:rtl w:val="true"/>
          <w:lang w:bidi="ar-SA"/>
        </w:rPr>
        <w:t>الاستدامة الحقيقيّة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يجب المبادرة إلى النيّة عند التذكّر، و إلّا بطل الصوم للإخلال به في أوّل انعقاده </w:t>
      </w:r>
      <w:r>
        <w:rPr>
          <w:rStyle w:val="FootnoteAnchor"/>
          <w:rtl w:val="true"/>
        </w:rPr>
        <w:footnoteReference w:id="692"/>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 الناسي الجاهل بوجوب الصوم عليه، كما هو ظاهر إطلاق معقد إجماع الغنية </w:t>
      </w:r>
      <w:r>
        <w:rPr>
          <w:rStyle w:val="FootnoteAnchor"/>
          <w:rtl w:val="true"/>
        </w:rPr>
        <w:footnoteReference w:id="693"/>
      </w:r>
      <w:r>
        <w:rPr>
          <w:rFonts w:ascii="Amiri" w:hAnsi="Amiri" w:eastAsia="Amiri" w:cs="Amiri"/>
          <w:color w:val="111111"/>
          <w:sz w:val="28"/>
          <w:sz w:val="28"/>
          <w:szCs w:val="28"/>
          <w:rtl w:val="true"/>
          <w:lang w:bidi="ar-SA"/>
        </w:rPr>
        <w:t xml:space="preserve">و صريح ما روي من أمر النبيّ صلّى اللّٰه عليه و آله و سلم المنادي بالنداء بالصوم </w:t>
      </w:r>
      <w:r>
        <w:rPr>
          <w:rStyle w:val="FootnoteAnchor"/>
          <w:rtl w:val="true"/>
        </w:rPr>
        <w:footnoteReference w:id="694"/>
      </w:r>
      <w:r>
        <w:rPr>
          <w:rFonts w:ascii="Amiri" w:hAnsi="Amiri" w:eastAsia="Amiri" w:cs="Amiri"/>
          <w:color w:val="111111"/>
          <w:sz w:val="28"/>
          <w:sz w:val="28"/>
          <w:szCs w:val="28"/>
          <w:rtl w:val="true"/>
          <w:lang w:bidi="ar-SA"/>
        </w:rPr>
        <w:t xml:space="preserve">و ظاهر من تمسّك بهذه الرواية لحكم النسيان كما في المعتبر </w:t>
      </w:r>
      <w:r>
        <w:rPr>
          <w:rStyle w:val="FootnoteAnchor"/>
          <w:rtl w:val="true"/>
        </w:rPr>
        <w:footnoteReference w:id="695"/>
      </w: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696"/>
      </w:r>
      <w:r>
        <w:rPr>
          <w:rFonts w:ascii="Amiri" w:hAnsi="Amiri" w:eastAsia="Amiri" w:cs="Amiri"/>
          <w:color w:val="111111"/>
          <w:sz w:val="28"/>
          <w:sz w:val="28"/>
          <w:szCs w:val="28"/>
          <w:rtl w:val="true"/>
          <w:lang w:bidi="ar-SA"/>
        </w:rPr>
        <w:t>اتّحاد حكم النسيان و الجهل، فيشملهما الإجماع المستظهر من كلامهما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زالت الشمس و لم ينو فات وقتها و يجب أن يقضي </w:t>
      </w:r>
      <w:r>
        <w:rPr>
          <w:rStyle w:val="FootnoteAnchor"/>
          <w:rtl w:val="true"/>
        </w:rPr>
        <w:footnoteReference w:id="697"/>
      </w:r>
      <w:r>
        <w:rPr>
          <w:rFonts w:ascii="IRNazanin" w:hAnsi="IRNazanin" w:eastAsia="IRNazanin"/>
          <w:color w:val="111111"/>
          <w:sz w:val="28"/>
          <w:sz w:val="28"/>
          <w:szCs w:val="28"/>
          <w:rtl w:val="true"/>
          <w:lang w:bidi="fa-IR"/>
        </w:rPr>
        <w:t xml:space="preserve">الصوم </w:t>
      </w:r>
      <w:r>
        <w:rPr>
          <w:rStyle w:val="FootnoteAnchor"/>
          <w:rtl w:val="true"/>
        </w:rPr>
        <w:footnoteReference w:id="698"/>
      </w:r>
      <w:r>
        <w:rPr>
          <w:rFonts w:ascii="Amiri" w:hAnsi="Amiri" w:eastAsia="Amiri" w:cs="Amiri"/>
          <w:color w:val="111111"/>
          <w:sz w:val="28"/>
          <w:sz w:val="28"/>
          <w:szCs w:val="28"/>
          <w:rtl w:val="true"/>
          <w:lang w:bidi="ar-SA"/>
        </w:rPr>
        <w:t>لما سيجي‌ء من أنّ النيّة بعد الزوال لا تجزئ في احتساب صوم تمام</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بدّ منه في صوم رمضان و غيره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المحكيّ عن الانتصار من ظاهر الإجماع،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الفرض لا يجزي عندنا إلّا بنيّة </w:t>
      </w:r>
      <w:r>
        <w:rPr>
          <w:rStyle w:val="FootnoteAnchor"/>
          <w:rtl w:val="true"/>
        </w:rPr>
        <w:footnoteReference w:id="699"/>
      </w:r>
      <w:r>
        <w:rPr>
          <w:rFonts w:ascii="IRNazanin" w:hAnsi="IRNazanin" w:eastAsia="IRNazanin"/>
          <w:color w:val="111111"/>
          <w:sz w:val="28"/>
          <w:sz w:val="28"/>
          <w:szCs w:val="28"/>
          <w:rtl w:val="true"/>
          <w:lang w:bidi="fa-IR"/>
        </w:rPr>
        <w:t xml:space="preserve">قبل الزوال </w:t>
      </w:r>
      <w:r>
        <w:rPr>
          <w:rStyle w:val="FootnoteAnchor"/>
          <w:rtl w:val="true"/>
        </w:rPr>
        <w:footnoteReference w:id="700"/>
      </w:r>
      <w:r>
        <w:rPr>
          <w:rFonts w:ascii="Amiri" w:hAnsi="Amiri" w:eastAsia="Amiri" w:cs="Amiri"/>
          <w:color w:val="111111"/>
          <w:sz w:val="28"/>
          <w:sz w:val="28"/>
          <w:szCs w:val="28"/>
          <w:rtl w:val="true"/>
          <w:lang w:bidi="ar-SA"/>
        </w:rPr>
        <w:t xml:space="preserve">، مضافا إلى عموم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خرج ما خرج،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الواجب المعيّن بالأصالة أو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المعيّن، ففي المدارك أنّ الأصحاب قطعوا بجواز تأخيرها إلى ما قبل الزوال عمدا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أخبار، مثل صحيحة عبد الرحمن بن الحجّاج،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يبدو له بعد ما يصبح و يرتفع النهار في صوم ذلك اليوم ليقضيه من شهر رمضان و إن لم يكن نوى ذلك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ليصمه و ليعتد به إذا لم يكن أحدث شيئا</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صالح بن عبد اللّٰه، 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جعل للّٰه عليه صيام شهر، فيصبح و هو ينوي الصيام ثمّ يبدو له يفطر، و يصبح و هو لا ينوي الصوم ثمّ يبدو له 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جائز</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صحيحة محمّد بن قيس،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يفرض الرجل على نفسه صياما ثمّ ذكر الصيام قبل أن يطعم</w:t>
      </w:r>
    </w:p>
    <w:p>
      <w:pPr>
        <w:pStyle w:val="BookText"/>
        <w:rPr/>
      </w:pPr>
      <w:r>
        <w:rPr>
          <w:rFonts w:ascii="Amiri" w:hAnsi="Amiri" w:eastAsia="Amiri" w:cs="Amiri"/>
          <w:color w:val="111111"/>
          <w:sz w:val="28"/>
          <w:sz w:val="28"/>
          <w:szCs w:val="28"/>
          <w:rtl w:val="true"/>
          <w:lang w:bidi="ar-SA"/>
        </w:rPr>
        <w:t>طعاما أو يشرب شرابا و لم يفطر فهو بالخيار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المسالك </w:t>
      </w:r>
      <w:r>
        <w:rPr>
          <w:rStyle w:val="FootnoteAnchor"/>
          <w:rtl w:val="true"/>
        </w:rPr>
        <w:footnoteReference w:id="707"/>
      </w:r>
      <w:r>
        <w:rPr>
          <w:rFonts w:ascii="Amiri" w:hAnsi="Amiri" w:eastAsia="Amiri" w:cs="Amiri"/>
          <w:color w:val="111111"/>
          <w:sz w:val="28"/>
          <w:sz w:val="28"/>
          <w:szCs w:val="28"/>
          <w:rtl w:val="true"/>
          <w:lang w:bidi="ar-SA"/>
        </w:rPr>
        <w:t>اختصاص الحكم بقضاء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الرواية الثانية </w:t>
      </w:r>
      <w:r>
        <w:rPr>
          <w:rStyle w:val="FootnoteAnchor"/>
          <w:rtl w:val="true"/>
        </w:rPr>
        <w:footnoteReference w:id="708"/>
      </w:r>
      <w:r>
        <w:rPr>
          <w:rFonts w:ascii="Amiri" w:hAnsi="Amiri" w:eastAsia="Amiri" w:cs="Amiri"/>
          <w:color w:val="111111"/>
          <w:sz w:val="28"/>
          <w:sz w:val="28"/>
          <w:szCs w:val="28"/>
          <w:rtl w:val="true"/>
          <w:lang w:bidi="ar-SA"/>
        </w:rPr>
        <w:t xml:space="preserve">و ظاهر الأخيرة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دعوى الاتّفاق من المدارك </w:t>
      </w:r>
      <w:r>
        <w:rPr>
          <w:rStyle w:val="FootnoteAnchor"/>
          <w:rtl w:val="true"/>
        </w:rPr>
        <w:footnoteReference w:id="71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تقييد ذلك بما قبل </w:t>
      </w:r>
      <w:r>
        <w:rPr>
          <w:rStyle w:val="FootnoteAnchor"/>
          <w:rtl w:val="true"/>
        </w:rPr>
        <w:footnoteReference w:id="711"/>
      </w:r>
      <w:r>
        <w:rPr>
          <w:rFonts w:ascii="Amiri" w:hAnsi="Amiri" w:eastAsia="Amiri" w:cs="Amiri"/>
          <w:color w:val="111111"/>
          <w:sz w:val="28"/>
          <w:sz w:val="28"/>
          <w:szCs w:val="28"/>
          <w:rtl w:val="true"/>
          <w:lang w:bidi="ar-SA"/>
        </w:rPr>
        <w:t xml:space="preserve">الزوال فلرواية ابن بكير </w:t>
      </w:r>
      <w:r>
        <w:rPr>
          <w:rStyle w:val="FootnoteAnchor"/>
          <w:rtl w:val="true"/>
        </w:rPr>
        <w:footnoteReference w:id="712"/>
      </w:r>
      <w:r>
        <w:rPr>
          <w:rFonts w:ascii="Amiri" w:hAnsi="Amiri" w:eastAsia="Amiri" w:cs="Amiri"/>
          <w:color w:val="111111"/>
          <w:sz w:val="28"/>
          <w:sz w:val="28"/>
          <w:szCs w:val="28"/>
          <w:rtl w:val="true"/>
          <w:lang w:bidi="ar-SA"/>
        </w:rPr>
        <w:t xml:space="preserve">الآتية منطوقا أو فحوى، و لما روي عن هشام بن سالم، عن الصادق عليه السلام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نوى الصوم قبل أن تزول الشمس حسب له يومه، و إن نواه بعد الزوال حسب له من الوقت الذي نوى فيه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إنّه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النيّة بعد الزوال لا تؤثّر في صحّة صوم مجموع اليوم حتّى يصلح قضاء عن واجب أو أداء لواجب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أوضح منه موثّقة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أيّام من شهر رمضان يريد أن يقضيها، متى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زوال الشمس فإذا زالت الشمس، فإن كان نوى الصيام فليصم، و إن كان نوى الإفطار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فإن كان نوى الإفطار يستقيم أن 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ظاهر الإسكافي </w:t>
      </w:r>
      <w:r>
        <w:rPr>
          <w:rStyle w:val="FootnoteAnchor"/>
          <w:rtl w:val="true"/>
        </w:rPr>
        <w:footnoteReference w:id="715"/>
      </w:r>
      <w:r>
        <w:rPr>
          <w:rFonts w:ascii="Amiri" w:hAnsi="Amiri" w:eastAsia="Amiri" w:cs="Amiri"/>
          <w:color w:val="111111"/>
          <w:sz w:val="28"/>
          <w:sz w:val="28"/>
          <w:szCs w:val="28"/>
          <w:rtl w:val="true"/>
          <w:lang w:bidi="ar-SA"/>
        </w:rPr>
        <w:t xml:space="preserve">و الذخيرة </w:t>
      </w:r>
      <w:r>
        <w:rPr>
          <w:rStyle w:val="FootnoteAnchor"/>
          <w:rtl w:val="true"/>
        </w:rPr>
        <w:footnoteReference w:id="716"/>
      </w:r>
      <w:r>
        <w:rPr>
          <w:rFonts w:ascii="Amiri" w:hAnsi="Amiri" w:eastAsia="Amiri" w:cs="Amiri"/>
          <w:color w:val="111111"/>
          <w:sz w:val="28"/>
          <w:sz w:val="28"/>
          <w:szCs w:val="28"/>
          <w:rtl w:val="true"/>
          <w:lang w:bidi="ar-SA"/>
        </w:rPr>
        <w:t xml:space="preserve">و المفاتيح </w:t>
      </w:r>
      <w:r>
        <w:rPr>
          <w:rStyle w:val="FootnoteAnchor"/>
          <w:rtl w:val="true"/>
        </w:rPr>
        <w:footnoteReference w:id="717"/>
      </w:r>
      <w:r>
        <w:rPr>
          <w:rFonts w:ascii="Amiri" w:hAnsi="Amiri" w:eastAsia="Amiri" w:cs="Amiri"/>
          <w:color w:val="111111"/>
          <w:sz w:val="28"/>
          <w:sz w:val="28"/>
          <w:szCs w:val="28"/>
          <w:rtl w:val="true"/>
          <w:lang w:bidi="ar-SA"/>
        </w:rPr>
        <w:t xml:space="preserve">جواز النيّة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أيضا، لإطلاق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صحيحة أخرى لعبد الرحمن بن الحجّاج،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يصبح و لم يطعم و لم يشرب و لم ينو صوما، و كان عليه يوم من شهر رمضان، أَ لَه أن يصوم ذلك اليوم، و قد ذهب عامّة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يصوم، و يعتد بذلك اليوم من شهر رمضان</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 مرسلة البزنطي،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القضاء من شهر رمضان و يصبح، فلا يأكل إلى العصر، أ يجوز أن يجعله قضاء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لكنّهما مع قابليتها للحمل لا تقاومان ما مرّ، حتّى رواية عمّار </w:t>
      </w:r>
      <w:r>
        <w:rPr>
          <w:rStyle w:val="FootnoteAnchor"/>
          <w:rtl w:val="true"/>
        </w:rPr>
        <w:footnoteReference w:id="720"/>
      </w:r>
      <w:r>
        <w:rPr>
          <w:rFonts w:ascii="Amiri" w:hAnsi="Amiri" w:eastAsia="Amiri" w:cs="Amiri"/>
          <w:color w:val="111111"/>
          <w:sz w:val="28"/>
          <w:sz w:val="28"/>
          <w:szCs w:val="28"/>
          <w:rtl w:val="true"/>
          <w:lang w:bidi="ar-SA"/>
        </w:rPr>
        <w:t xml:space="preserve">، لاعتضادها بالشهرة العظيمة، حتّى أنّ في البيان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723"/>
      </w:r>
      <w:r>
        <w:rPr>
          <w:rFonts w:ascii="IRNazanin" w:hAnsi="IRNazanin" w:eastAsia="IRNazanin"/>
          <w:color w:val="111111"/>
          <w:sz w:val="28"/>
          <w:sz w:val="28"/>
          <w:szCs w:val="28"/>
          <w:rtl w:val="true"/>
          <w:lang w:bidi="fa-IR"/>
        </w:rPr>
        <w:t xml:space="preserve">القول إلى الشذوذ، و تقدّم </w:t>
      </w:r>
      <w:r>
        <w:rPr>
          <w:rStyle w:val="FootnoteAnchor"/>
          <w:rtl w:val="true"/>
        </w:rPr>
        <w:footnoteReference w:id="724"/>
      </w:r>
      <w:r>
        <w:rPr>
          <w:rFonts w:ascii="Amiri" w:hAnsi="Amiri" w:eastAsia="Amiri" w:cs="Amiri"/>
          <w:color w:val="111111"/>
          <w:sz w:val="28"/>
          <w:sz w:val="28"/>
          <w:szCs w:val="28"/>
          <w:rtl w:val="true"/>
          <w:lang w:bidi="ar-SA"/>
        </w:rPr>
        <w:t xml:space="preserve">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صوم الفرض لا يجزي عندنا إلّا بنية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النافلة فيمتدّ وقته إلى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w:t>
      </w:r>
      <w:r>
        <w:rPr>
          <w:rStyle w:val="FootnoteAnchor"/>
          <w:rtl w:val="true"/>
        </w:rPr>
        <w:footnoteReference w:id="725"/>
      </w:r>
      <w:r>
        <w:rPr>
          <w:rFonts w:ascii="Amiri" w:hAnsi="Amiri" w:eastAsia="Amiri" w:cs="Amiri"/>
          <w:color w:val="111111"/>
          <w:sz w:val="28"/>
          <w:sz w:val="28"/>
          <w:szCs w:val="28"/>
          <w:rtl w:val="true"/>
          <w:lang w:bidi="ar-SA"/>
        </w:rPr>
        <w:t xml:space="preserve">و الشيخ </w:t>
      </w:r>
      <w:r>
        <w:rPr>
          <w:rStyle w:val="FootnoteAnchor"/>
          <w:rtl w:val="true"/>
        </w:rPr>
        <w:footnoteReference w:id="726"/>
      </w:r>
      <w:r>
        <w:rPr>
          <w:rFonts w:ascii="Amiri" w:hAnsi="Amiri" w:eastAsia="Amiri" w:cs="Amiri"/>
          <w:color w:val="111111"/>
          <w:sz w:val="28"/>
          <w:sz w:val="28"/>
          <w:szCs w:val="28"/>
          <w:rtl w:val="true"/>
          <w:lang w:bidi="ar-SA"/>
        </w:rPr>
        <w:t xml:space="preserve">و الحلّي </w:t>
      </w:r>
      <w:r>
        <w:rPr>
          <w:rStyle w:val="FootnoteAnchor"/>
          <w:rtl w:val="true"/>
        </w:rPr>
        <w:footnoteReference w:id="727"/>
      </w:r>
      <w:r>
        <w:rPr>
          <w:rFonts w:ascii="Amiri" w:hAnsi="Amiri" w:eastAsia="Amiri" w:cs="Amiri"/>
          <w:color w:val="111111"/>
          <w:sz w:val="28"/>
          <w:sz w:val="28"/>
          <w:szCs w:val="28"/>
          <w:rtl w:val="true"/>
          <w:lang w:bidi="ar-SA"/>
        </w:rPr>
        <w:t xml:space="preserve">و المصنّف </w:t>
      </w:r>
      <w:r>
        <w:rPr>
          <w:rStyle w:val="FootnoteAnchor"/>
          <w:rtl w:val="true"/>
        </w:rPr>
        <w:footnoteReference w:id="728"/>
      </w:r>
      <w:r>
        <w:rPr>
          <w:rFonts w:ascii="Amiri" w:hAnsi="Amiri" w:eastAsia="Amiri" w:cs="Amiri"/>
          <w:color w:val="111111"/>
          <w:sz w:val="28"/>
          <w:sz w:val="28"/>
          <w:szCs w:val="28"/>
          <w:rtl w:val="true"/>
          <w:lang w:bidi="ar-SA"/>
        </w:rPr>
        <w:t xml:space="preserve">و الشهيدين </w:t>
      </w:r>
      <w:r>
        <w:rPr>
          <w:rStyle w:val="FootnoteAnchor"/>
          <w:rtl w:val="true"/>
        </w:rPr>
        <w:footnoteReference w:id="729"/>
      </w:r>
      <w:r>
        <w:rPr>
          <w:rFonts w:ascii="IRNazanin" w:hAnsi="IRNazanin" w:eastAsia="IRNazanin"/>
          <w:color w:val="111111"/>
          <w:sz w:val="28"/>
          <w:sz w:val="28"/>
          <w:szCs w:val="28"/>
          <w:rtl w:val="true"/>
          <w:lang w:bidi="fa-IR"/>
        </w:rPr>
        <w:t xml:space="preserve">، و عن المنتهى </w:t>
      </w:r>
      <w:r>
        <w:rPr>
          <w:rStyle w:val="FootnoteAnchor"/>
          <w:rtl w:val="true"/>
        </w:rPr>
        <w:footnoteReference w:id="730"/>
      </w:r>
      <w:r>
        <w:rPr>
          <w:rFonts w:ascii="Amiri" w:hAnsi="Amiri" w:eastAsia="Amiri" w:cs="Amiri"/>
          <w:color w:val="111111"/>
          <w:sz w:val="28"/>
          <w:sz w:val="28"/>
          <w:szCs w:val="28"/>
          <w:rtl w:val="true"/>
          <w:lang w:bidi="ar-SA"/>
        </w:rPr>
        <w:t xml:space="preserve">نسبته إلى الأكثر، بل عن الانتصار </w:t>
      </w:r>
      <w:r>
        <w:rPr>
          <w:rStyle w:val="FootnoteAnchor"/>
          <w:rtl w:val="true"/>
        </w:rPr>
        <w:footnoteReference w:id="731"/>
      </w:r>
      <w:r>
        <w:rPr>
          <w:rFonts w:ascii="Amiri" w:hAnsi="Amiri" w:eastAsia="Amiri" w:cs="Amiri"/>
          <w:color w:val="111111"/>
          <w:sz w:val="28"/>
          <w:sz w:val="28"/>
          <w:szCs w:val="28"/>
          <w:rtl w:val="true"/>
          <w:lang w:bidi="ar-SA"/>
        </w:rPr>
        <w:t xml:space="preserve">و الغنية </w:t>
      </w:r>
      <w:r>
        <w:rPr>
          <w:rStyle w:val="FootnoteAnchor"/>
          <w:rtl w:val="true"/>
        </w:rPr>
        <w:footnoteReference w:id="732"/>
      </w:r>
      <w:r>
        <w:rPr>
          <w:rFonts w:ascii="IRNazanin" w:hAnsi="IRNazanin" w:eastAsia="IRNazanin"/>
          <w:color w:val="111111"/>
          <w:sz w:val="28"/>
          <w:sz w:val="28"/>
          <w:szCs w:val="28"/>
          <w:rtl w:val="true"/>
          <w:lang w:bidi="fa-IR"/>
        </w:rPr>
        <w:t xml:space="preserve">و السرائر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رواية هشام </w:t>
      </w:r>
      <w:r>
        <w:rPr>
          <w:rStyle w:val="FootnoteAnchor"/>
          <w:rtl w:val="true"/>
        </w:rPr>
        <w:footnoteReference w:id="735"/>
      </w:r>
      <w:r>
        <w:rPr>
          <w:rFonts w:ascii="Amiri" w:hAnsi="Amiri" w:eastAsia="Amiri" w:cs="Amiri"/>
          <w:color w:val="111111"/>
          <w:sz w:val="28"/>
          <w:sz w:val="28"/>
          <w:szCs w:val="28"/>
          <w:rtl w:val="true"/>
          <w:lang w:bidi="ar-SA"/>
        </w:rPr>
        <w:t xml:space="preserve">و لرواية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المتطوّع تعرض له الحاجة؟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ما بينه و بين العصر، و إن مكث حتّى العصر ثمّ بدا له أن يصوم و لم يكن نوى ذلك فله أن يصوم ذلك اليوم إن شاء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إطلاقات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Style w:val="FootnoteAnchor"/>
          <w:rtl w:val="true"/>
        </w:rPr>
        <w:footnoteReference w:id="739"/>
      </w:r>
      <w:r>
        <w:rPr>
          <w:rFonts w:ascii="Amiri" w:hAnsi="Amiri" w:eastAsia="Amiri" w:cs="Amiri"/>
          <w:color w:val="111111"/>
          <w:sz w:val="28"/>
          <w:sz w:val="28"/>
          <w:szCs w:val="28"/>
          <w:rtl w:val="true"/>
          <w:lang w:bidi="ar-SA"/>
        </w:rPr>
        <w:t xml:space="preserve">عن المشهور، فجعلوها كالواجب في امتداد وقت نيّتها إلى الزوال </w:t>
      </w:r>
      <w:r>
        <w:rPr>
          <w:rStyle w:val="FootnoteAnchor"/>
          <w:rtl w:val="true"/>
        </w:rPr>
        <w:footnoteReference w:id="740"/>
      </w:r>
      <w:r>
        <w:rPr>
          <w:rFonts w:ascii="Amiri" w:hAnsi="Amiri" w:eastAsia="Amiri" w:cs="Amiri"/>
          <w:color w:val="111111"/>
          <w:sz w:val="28"/>
          <w:sz w:val="28"/>
          <w:szCs w:val="28"/>
          <w:rtl w:val="true"/>
          <w:lang w:bidi="ar-SA"/>
        </w:rPr>
        <w:t>، و لعلّه لرواية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أواخر زيادات الصوم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طلعت عليه الشمس و هو جنب ثمّ أراد الصيام بعد ما اغتسل و مضى ما مضى من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إن شاء </w:t>
      </w:r>
      <w:r>
        <w:rPr>
          <w:rStyle w:val="FootnoteAnchor"/>
          <w:rtl w:val="true"/>
        </w:rPr>
        <w:footnoteReference w:id="741"/>
      </w:r>
      <w:r>
        <w:rPr>
          <w:rFonts w:ascii="Amiri" w:hAnsi="Amiri" w:eastAsia="Amiri" w:cs="Amiri"/>
          <w:color w:val="111111"/>
          <w:sz w:val="28"/>
          <w:sz w:val="28"/>
          <w:szCs w:val="28"/>
          <w:rtl w:val="true"/>
          <w:lang w:bidi="ar-SA"/>
        </w:rPr>
        <w:t>، و هو بالخيار إلى نصف النهار</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هشام المتقدّمة </w:t>
      </w:r>
      <w:r>
        <w:rPr>
          <w:rStyle w:val="FootnoteAnchor"/>
          <w:rtl w:val="true"/>
        </w:rPr>
        <w:footnoteReference w:id="743"/>
      </w:r>
      <w:r>
        <w:rPr>
          <w:rFonts w:ascii="Amiri" w:hAnsi="Amiri" w:eastAsia="Amiri" w:cs="Amiri"/>
          <w:color w:val="111111"/>
          <w:sz w:val="28"/>
          <w:sz w:val="28"/>
          <w:szCs w:val="28"/>
          <w:rtl w:val="true"/>
          <w:lang w:bidi="ar-SA"/>
        </w:rPr>
        <w:t>بناء على أن يكون المراد من حساب بقيّة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الصوم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فساد الصوم، إذ من المعلوم عدم تبعّض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كلّ يوم من رمضان من نيّة على رأي اختاره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حكي عن بعض دعوى الشهرة عليه بينهم،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لا يبيّت الصيام من اللّيل</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و لأنّ صوم كلّ يوم عمل، فلا بدّ من مقارنته للنّية، و الثابت من الرخصة في تقديمها </w:t>
      </w:r>
      <w:r>
        <w:rPr>
          <w:rStyle w:val="FootnoteAnchor"/>
          <w:rtl w:val="true"/>
        </w:rPr>
        <w:footnoteReference w:id="745"/>
      </w:r>
      <w:r>
        <w:rPr>
          <w:rFonts w:ascii="Amiri" w:hAnsi="Amiri" w:eastAsia="Amiri" w:cs="Amiri"/>
          <w:color w:val="111111"/>
          <w:sz w:val="28"/>
          <w:sz w:val="28"/>
          <w:szCs w:val="28"/>
          <w:rtl w:val="true"/>
          <w:lang w:bidi="ar-SA"/>
        </w:rPr>
        <w:t>هو إيقاعها في اللّيل، فيقتصر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على عدم جواز الاكتفاء بنيّة واحدة في غير صوم شهر رمضان من نذر صوم شهر </w:t>
      </w:r>
      <w:r>
        <w:rPr>
          <w:rStyle w:val="FootnoteAnchor"/>
          <w:rtl w:val="true"/>
        </w:rPr>
        <w:footnoteReference w:id="747"/>
      </w:r>
      <w:r>
        <w:rPr>
          <w:rFonts w:ascii="Amiri" w:hAnsi="Amiri" w:eastAsia="Amiri" w:cs="Amiri"/>
          <w:color w:val="111111"/>
          <w:sz w:val="28"/>
          <w:sz w:val="28"/>
          <w:szCs w:val="28"/>
          <w:rtl w:val="true"/>
          <w:lang w:bidi="ar-SA"/>
        </w:rPr>
        <w:t>معيّن أو صوم الكفّارة أو نحوهما، بل تأمّلوا في جواز الاكتفاء بنيّة واحدة للبعض الباقي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فدعوى خروج شهر رمضان عن الأصل يحتاج إلى دلالة مفقودة، عدا ربما يتخيّل من أنّها عبادة واحدة فيجزيها نيّة واحدة مقارنة لأوّلها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الوحدة، لعدم الشاهد على ذلك </w:t>
      </w:r>
      <w:r>
        <w:rPr>
          <w:rStyle w:val="FootnoteAnchor"/>
          <w:rtl w:val="true"/>
        </w:rPr>
        <w:footnoteReference w:id="748"/>
      </w:r>
      <w:r>
        <w:rPr>
          <w:rFonts w:ascii="Amiri" w:hAnsi="Amiri" w:eastAsia="Amiri" w:cs="Amiri"/>
          <w:color w:val="111111"/>
          <w:sz w:val="28"/>
          <w:sz w:val="28"/>
          <w:szCs w:val="28"/>
          <w:rtl w:val="true"/>
          <w:lang w:bidi="ar-SA"/>
        </w:rPr>
        <w:t>، بل استقلال كلّ يوم بالثواب على صومه و العقاب و القضاء و الكفّارة على إفطاره و غير ذلك يشهد بتعدّده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فيجب تعدّد النيّة لعدم الخلاف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به كلام القائلين بكفاية الواحدة و غيرهم، و إن استشكله الشهيد الثاني </w:t>
      </w:r>
      <w:r>
        <w:rPr>
          <w:rStyle w:val="FootnoteAnchor"/>
          <w:rtl w:val="true"/>
        </w:rPr>
        <w:footnoteReference w:id="750"/>
      </w:r>
      <w:r>
        <w:rPr>
          <w:rFonts w:ascii="Amiri" w:hAnsi="Amiri" w:eastAsia="Amiri" w:cs="Amiri"/>
          <w:color w:val="111111"/>
          <w:sz w:val="28"/>
          <w:sz w:val="28"/>
          <w:szCs w:val="28"/>
          <w:rtl w:val="true"/>
          <w:lang w:bidi="ar-SA"/>
        </w:rPr>
        <w:t>بناء على عدم جواز تفريق النيّة على أجزاء العبادة الواحدة؛ لكنّه ضعيف كما سيجي‌ء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إشكال في أنّ مقتضى الأصل التعدّد، إلّا أن يخرج عنه بما عن السيّد في المسائل الرسّية، من إجماع الإماميّة من </w:t>
      </w:r>
      <w:r>
        <w:rPr>
          <w:rStyle w:val="FootnoteAnchor"/>
          <w:rtl w:val="true"/>
        </w:rPr>
        <w:footnoteReference w:id="751"/>
      </w:r>
      <w:r>
        <w:rPr>
          <w:rFonts w:ascii="Amiri" w:hAnsi="Amiri" w:eastAsia="Amiri" w:cs="Amiri"/>
          <w:color w:val="111111"/>
          <w:sz w:val="28"/>
          <w:sz w:val="28"/>
          <w:szCs w:val="28"/>
          <w:rtl w:val="true"/>
          <w:lang w:bidi="ar-SA"/>
        </w:rPr>
        <w:t xml:space="preserve">أنّ أنّ النيّة الواحدة في ابتداء الشهر تغني عن تجديدها كلّ ليلة </w:t>
      </w:r>
      <w:r>
        <w:rPr>
          <w:rStyle w:val="FootnoteAnchor"/>
          <w:rtl w:val="true"/>
        </w:rPr>
        <w:footnoteReference w:id="752"/>
      </w:r>
      <w:r>
        <w:rPr>
          <w:rFonts w:ascii="Amiri" w:hAnsi="Amiri" w:eastAsia="Amiri" w:cs="Amiri"/>
          <w:color w:val="111111"/>
          <w:sz w:val="28"/>
          <w:sz w:val="28"/>
          <w:szCs w:val="28"/>
          <w:rtl w:val="true"/>
          <w:lang w:bidi="ar-SA"/>
        </w:rPr>
        <w:t xml:space="preserve">و نحو ذلك عن الانتصار </w:t>
      </w:r>
      <w:r>
        <w:rPr>
          <w:rStyle w:val="FootnoteAnchor"/>
          <w:rtl w:val="true"/>
        </w:rPr>
        <w:footnoteReference w:id="753"/>
      </w:r>
      <w:r>
        <w:rPr>
          <w:rFonts w:ascii="IRNazanin" w:hAnsi="IRNazanin" w:eastAsia="IRNazanin"/>
          <w:color w:val="111111"/>
          <w:sz w:val="28"/>
          <w:sz w:val="28"/>
          <w:szCs w:val="28"/>
          <w:rtl w:val="true"/>
          <w:lang w:bidi="fa-IR"/>
        </w:rPr>
        <w:t xml:space="preserve">و الخلاف </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الغنية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نسبته إلى الأصحاب، و يكفي في الخروج عن الأصل هذه الإجماعات المحكيّة المعتضدة بالشهرة القديمة المظنونة من ذهاب المشايخ 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أتباعهم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بذلك فالظاهر لزوم الاقتصار على مورد دعوى الإجماع، فلو نوى في النصف الأخير نيّة واحدة لمجموعه فعن الشهيد </w:t>
      </w:r>
      <w:r>
        <w:rPr>
          <w:rStyle w:val="FootnoteAnchor"/>
          <w:rtl w:val="true"/>
        </w:rPr>
        <w:footnoteReference w:id="755"/>
      </w:r>
      <w:r>
        <w:rPr>
          <w:rFonts w:ascii="Amiri" w:hAnsi="Amiri" w:eastAsia="Amiri" w:cs="Amiri"/>
          <w:color w:val="111111"/>
          <w:sz w:val="28"/>
          <w:sz w:val="28"/>
          <w:szCs w:val="28"/>
          <w:rtl w:val="true"/>
          <w:lang w:bidi="ar-SA"/>
        </w:rPr>
        <w:t xml:space="preserve">الإشكال فيه، لأنّه </w:t>
      </w:r>
      <w:r>
        <w:rPr>
          <w:rStyle w:val="FootnoteAnchor"/>
          <w:rtl w:val="true"/>
        </w:rPr>
        <w:footnoteReference w:id="756"/>
      </w:r>
      <w:r>
        <w:rPr>
          <w:rFonts w:ascii="Amiri" w:hAnsi="Amiri" w:eastAsia="Amiri" w:cs="Amiri"/>
          <w:color w:val="111111"/>
          <w:sz w:val="28"/>
          <w:sz w:val="28"/>
          <w:szCs w:val="28"/>
          <w:rtl w:val="true"/>
          <w:lang w:bidi="ar-SA"/>
        </w:rPr>
        <w:t xml:space="preserve">إما عبادة واحدة أو ثلاثون عبادة، لكنّ الظاهر من استدلال مدّعي الإجماع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حرمة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ذلك، مع أنّ كونه عبادة واحدة لا يستلزم عدم جواز نيّة واحدة لباقيها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نوى في الأوّل صوم نصفه ففي الإجزاء </w:t>
      </w:r>
      <w:r>
        <w:rPr>
          <w:rStyle w:val="FootnoteAnchor"/>
          <w:rtl w:val="true"/>
        </w:rPr>
        <w:footnoteReference w:id="757"/>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أنّ في بعض الأيام لا يجب عليه الصوم، لسفر أو حيض، ففي وجوب التجديد بعد زوال المانع، أو كفاية النيّة الواحدة لمجموع أيّام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المتخلّل بينها أيّام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تكفي النيّة المتقدّمة عليه أي على شهر رمضان بيوم أو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للناسي</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على رأي اختاره من عدا الشيخ من الأصحاب، لما مرّ من رواية التبييت </w:t>
      </w:r>
      <w:r>
        <w:rPr>
          <w:rStyle w:val="FootnoteAnchor"/>
          <w:rtl w:val="true"/>
        </w:rPr>
        <w:footnoteReference w:id="759"/>
      </w:r>
      <w:r>
        <w:rPr>
          <w:rFonts w:ascii="Amiri" w:hAnsi="Amiri" w:eastAsia="Amiri" w:cs="Amiri"/>
          <w:color w:val="111111"/>
          <w:sz w:val="28"/>
          <w:sz w:val="28"/>
          <w:szCs w:val="28"/>
          <w:rtl w:val="true"/>
          <w:lang w:bidi="ar-SA"/>
        </w:rPr>
        <w:t>، و أصالة عدم جواز التقديم إلّا بقدر ما اجمع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في</w:t>
      </w:r>
    </w:p>
    <w:p>
      <w:pPr>
        <w:pStyle w:val="BookText"/>
        <w:rPr/>
      </w:pPr>
      <w:r>
        <w:rPr>
          <w:rFonts w:ascii="Amiri" w:hAnsi="Amiri" w:eastAsia="Amiri" w:cs="Amiri"/>
          <w:color w:val="111111"/>
          <w:sz w:val="28"/>
          <w:sz w:val="28"/>
          <w:szCs w:val="28"/>
          <w:rtl w:val="true"/>
          <w:lang w:bidi="ar-SA"/>
        </w:rPr>
        <w:t xml:space="preserve">النهاية </w:t>
      </w:r>
      <w:r>
        <w:rPr>
          <w:rStyle w:val="FootnoteAnchor"/>
          <w:rtl w:val="true"/>
        </w:rPr>
        <w:footnoteReference w:id="760"/>
      </w:r>
      <w:r>
        <w:rPr>
          <w:rFonts w:ascii="IRNazanin" w:hAnsi="IRNazanin" w:eastAsia="IRNazanin"/>
          <w:color w:val="111111"/>
          <w:sz w:val="28"/>
          <w:sz w:val="28"/>
          <w:szCs w:val="28"/>
          <w:rtl w:val="true"/>
          <w:lang w:bidi="fa-IR"/>
        </w:rPr>
        <w:t xml:space="preserve">و الخلاف </w:t>
      </w:r>
      <w:r>
        <w:rPr>
          <w:rStyle w:val="FootnoteAnchor"/>
          <w:rtl w:val="true"/>
        </w:rPr>
        <w:footnoteReference w:id="761"/>
      </w:r>
      <w:r>
        <w:rPr>
          <w:rFonts w:ascii="IRNazanin" w:hAnsi="IRNazanin" w:eastAsia="IRNazanin"/>
          <w:color w:val="111111"/>
          <w:sz w:val="28"/>
          <w:sz w:val="28"/>
          <w:szCs w:val="28"/>
          <w:rtl w:val="true"/>
          <w:lang w:bidi="fa-IR"/>
        </w:rPr>
        <w:t xml:space="preserve">و المبسوط </w:t>
      </w:r>
      <w:r>
        <w:rPr>
          <w:rStyle w:val="FootnoteAnchor"/>
          <w:rtl w:val="true"/>
        </w:rPr>
        <w:footnoteReference w:id="762"/>
      </w:r>
      <w:r>
        <w:rPr>
          <w:rFonts w:ascii="Amiri" w:hAnsi="Amiri" w:eastAsia="Amiri" w:cs="Amiri"/>
          <w:color w:val="111111"/>
          <w:sz w:val="28"/>
          <w:sz w:val="28"/>
          <w:szCs w:val="28"/>
          <w:rtl w:val="true"/>
          <w:lang w:bidi="ar-SA"/>
        </w:rPr>
        <w:t xml:space="preserve">، فجوّز التقديم بالزمان المقارب كاليومين و الثلاثة، بل عن الخلاف </w:t>
      </w:r>
      <w:r>
        <w:rPr>
          <w:rStyle w:val="FootnoteAnchor"/>
          <w:rtl w:val="true"/>
        </w:rPr>
        <w:footnoteReference w:id="763"/>
      </w:r>
      <w:r>
        <w:rPr>
          <w:rFonts w:ascii="Amiri" w:hAnsi="Amiri" w:eastAsia="Amiri" w:cs="Amiri"/>
          <w:color w:val="111111"/>
          <w:sz w:val="28"/>
          <w:sz w:val="28"/>
          <w:szCs w:val="28"/>
          <w:rtl w:val="true"/>
          <w:lang w:bidi="ar-SA"/>
        </w:rPr>
        <w:t xml:space="preserve">نسبته إلى أصحابنا، لكن </w:t>
      </w:r>
      <w:r>
        <w:rPr>
          <w:rStyle w:val="FootnoteAnchor"/>
          <w:rtl w:val="true"/>
        </w:rPr>
        <w:footnoteReference w:id="764"/>
      </w:r>
      <w:r>
        <w:rPr>
          <w:rFonts w:ascii="Amiri" w:hAnsi="Amiri" w:eastAsia="Amiri" w:cs="Amiri"/>
          <w:color w:val="111111"/>
          <w:sz w:val="28"/>
          <w:sz w:val="28"/>
          <w:szCs w:val="28"/>
          <w:rtl w:val="true"/>
          <w:lang w:bidi="ar-SA"/>
        </w:rPr>
        <w:t xml:space="preserve">خصّه في النهاية </w:t>
      </w:r>
      <w:r>
        <w:rPr>
          <w:rStyle w:val="FootnoteAnchor"/>
          <w:rtl w:val="true"/>
        </w:rPr>
        <w:footnoteReference w:id="765"/>
      </w:r>
      <w:r>
        <w:rPr>
          <w:rFonts w:ascii="IRNazanin" w:hAnsi="IRNazanin" w:eastAsia="IRNazanin"/>
          <w:color w:val="111111"/>
          <w:sz w:val="28"/>
          <w:sz w:val="28"/>
          <w:szCs w:val="28"/>
          <w:rtl w:val="true"/>
          <w:lang w:bidi="fa-IR"/>
        </w:rPr>
        <w:t xml:space="preserve">و المبسوط </w:t>
      </w:r>
      <w:r>
        <w:rPr>
          <w:rStyle w:val="FootnoteAnchor"/>
          <w:rtl w:val="true"/>
        </w:rPr>
        <w:footnoteReference w:id="766"/>
      </w:r>
      <w:r>
        <w:rPr>
          <w:rFonts w:ascii="Amiri" w:hAnsi="Amiri" w:eastAsia="Amiri" w:cs="Amiri"/>
          <w:color w:val="111111"/>
          <w:sz w:val="28"/>
          <w:sz w:val="28"/>
          <w:szCs w:val="28"/>
          <w:rtl w:val="true"/>
          <w:lang w:bidi="ar-SA"/>
        </w:rPr>
        <w:t xml:space="preserve">بالناسي للنّية في كلّ ليلة و النائم و المغمى عليه، و إن كان المحكيّ عنه في الخلاف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هو مضعّف آخر لقوله، لأنّ النيّة المتقدّمة إن أثّرت أغنت عن نيّة أخرى، و إلّا لم تؤثّر مع النسيان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المشهور أنّه لا يقع في رمضان صوم غيره لأنّ صحّة غيره فيه لا يتصوّر إلّا في المسافر، و سيجي‌ء عدم جواز الصوم للمسافر مطلقا، و أمّا لو جوّزناه له مطلقا أو في بعض أفراده فلعموم </w:t>
      </w:r>
      <w:r>
        <w:rPr>
          <w:rStyle w:val="FootnoteAnchor"/>
          <w:rtl w:val="true"/>
        </w:rPr>
        <w:footnoteReference w:id="768"/>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في شهر رمضان في السفر كالمفطر فيه في الحضر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إنّ رجلا أتى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أصوم شهر رمضان في السفر؟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عليّ يسير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تصدّق على مرضى أمّتي و مسافريها بالإفطار في شهر رمضان، أ يحبّ أحدكم إذا تصدّق بصدقة أن تردّ</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أصل الإفطار في شهر رمضان للمسافر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 ذلك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العبارة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طويلة، و وردت هذه الزيادة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اضافة سطر واحد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 ذلك دلالة اتّفاقهم عليه، و يؤيّد ذلك الإجزاء عن رمضان إذا نوى الغير جهلا برمضان، فإنّ </w:t>
      </w:r>
      <w:r>
        <w:rPr>
          <w:rStyle w:val="FootnoteAnchor"/>
          <w:rtl w:val="true"/>
        </w:rPr>
        <w:footnoteReference w:id="771"/>
      </w:r>
      <w:r>
        <w:rPr>
          <w:rFonts w:ascii="Amiri" w:hAnsi="Amiri" w:eastAsia="Amiri" w:cs="Amiri"/>
          <w:color w:val="111111"/>
          <w:sz w:val="28"/>
          <w:sz w:val="28"/>
          <w:szCs w:val="28"/>
          <w:rtl w:val="true"/>
          <w:lang w:bidi="ar-SA"/>
        </w:rPr>
        <w:t>مع الإخلال بنية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حاصلا بمجرد قصد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الجهل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صوم آخر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الصورة الأولى خارجة بالدليل مسلّمة،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عليه السلام في الأخبار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من رمضان فيوم وفّق له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الواقع منه نفس صوم رمضان، لا أنّ صوم غير رمضان يصير بدلا عن صوم رمضان، فدلّ على أنّ نيّة الغير لا تقدح في وقوع صوم رمضان، إذا وقع أصل الصوم لداعي مطلوبيّته في ذلك اليوم، و إن كان عنوان المطلوب في الواقع مخالفا لعنوانه باعتقاد المكلّف، الّا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 عنه</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فإنّ ظاهره المغايرة 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 عنه بتفضّل اللّٰه تعالى و بما وسّع على عباده، و لو لا ذلك لهلك الناس</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أظهر من ذلك تعجّب الراوي عن </w:t>
      </w:r>
      <w:r>
        <w:rPr>
          <w:rStyle w:val="FootnoteAnchor"/>
          <w:rtl w:val="true"/>
        </w:rPr>
        <w:footnoteReference w:id="775"/>
      </w:r>
      <w:r>
        <w:rPr>
          <w:rFonts w:ascii="Amiri" w:hAnsi="Amiri" w:eastAsia="Amiri" w:cs="Amiri"/>
          <w:color w:val="111111"/>
          <w:sz w:val="28"/>
          <w:sz w:val="28"/>
          <w:szCs w:val="28"/>
          <w:rtl w:val="true"/>
          <w:lang w:bidi="ar-SA"/>
        </w:rPr>
        <w:t>حكم الإمام بالإجزاء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المرسلة المعلّلة لصوم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تطوّع عن فريضة؟</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أنّ المركوز في أذهان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ما نوى به غير الفرض عن الفرض، و أنّ الحكم بالإجزاء في يوم الشك شي‌ء ورد به التعبّد،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له من حيث رضا الشارع ببدليّته عن الفرض، و خصوص المرسلة المعلّلة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ورد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في شعبان في السفر، و إفطاره في رمضان، معلّلا بأنّ شهر رمضان عزم من اللّٰه فيه الإفطار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الحسن بن بسّام الجمّال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ضعفهما منجبر بالشهرة إذ لم يحك الخلاف إلّا عن الشيخ في صوم التطوّع و في النذر المعيّن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يعذّر الجاهل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يعذّر في صوم شهر رمضان؟</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المعذوريّة، و إطلاق صحيحة الحلبي </w:t>
      </w:r>
      <w:r>
        <w:rPr>
          <w:rStyle w:val="FootnoteAnchor"/>
          <w:rtl w:val="true"/>
        </w:rPr>
        <w:footnoteReference w:id="781"/>
      </w:r>
      <w:r>
        <w:rPr>
          <w:rFonts w:ascii="Amiri" w:hAnsi="Amiri" w:eastAsia="Amiri" w:cs="Amiri"/>
          <w:color w:val="111111"/>
          <w:sz w:val="28"/>
          <w:sz w:val="28"/>
          <w:szCs w:val="28"/>
          <w:rtl w:val="true"/>
          <w:lang w:bidi="ar-SA"/>
        </w:rPr>
        <w:t xml:space="preserve">الحاكم بصحّة صوم من جهل </w:t>
      </w:r>
      <w:r>
        <w:rPr>
          <w:rStyle w:val="FootnoteAnchor"/>
          <w:rtl w:val="true"/>
        </w:rPr>
        <w:footnoteReference w:id="782"/>
      </w:r>
      <w:r>
        <w:rPr>
          <w:rFonts w:ascii="Amiri" w:hAnsi="Amiri" w:eastAsia="Amiri" w:cs="Amiri"/>
          <w:color w:val="111111"/>
          <w:sz w:val="28"/>
          <w:sz w:val="28"/>
          <w:szCs w:val="28"/>
          <w:rtl w:val="true"/>
          <w:lang w:bidi="ar-SA"/>
        </w:rPr>
        <w:t>تحريم الصوم في السفر، إلّا أن يدعى انصرافه إلى صوم رمضان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نوى في رمضان صوما آخر غيره لم يجز عن أحدهما أمّا عن المنويّ فإجماعا، لما مر، و أمّا عن رمضان فكذلك على رأي المصنّف هنا</w:t>
      </w:r>
    </w:p>
    <w:p>
      <w:pPr>
        <w:pStyle w:val="BookText"/>
        <w:rPr/>
      </w:pPr>
      <w:r>
        <w:rPr>
          <w:rFonts w:ascii="IRNazanin" w:hAnsi="IRNazanin" w:eastAsia="IRNazanin"/>
          <w:color w:val="111111"/>
          <w:sz w:val="28"/>
          <w:sz w:val="28"/>
          <w:szCs w:val="28"/>
          <w:rtl w:val="true"/>
          <w:lang w:bidi="fa-IR"/>
        </w:rPr>
        <w:t xml:space="preserve">و المختلف </w:t>
      </w:r>
      <w:r>
        <w:rPr>
          <w:rStyle w:val="FootnoteAnchor"/>
          <w:rtl w:val="true"/>
        </w:rPr>
        <w:footnoteReference w:id="783"/>
      </w:r>
      <w:r>
        <w:rPr>
          <w:rFonts w:ascii="Amiri" w:hAnsi="Amiri" w:eastAsia="Amiri" w:cs="Amiri"/>
          <w:color w:val="111111"/>
          <w:sz w:val="28"/>
          <w:sz w:val="28"/>
          <w:szCs w:val="28"/>
          <w:rtl w:val="true"/>
          <w:lang w:bidi="ar-SA"/>
        </w:rPr>
        <w:t xml:space="preserve">و جماعة كالصدوق </w:t>
      </w:r>
      <w:r>
        <w:rPr>
          <w:rStyle w:val="FootnoteAnchor"/>
          <w:rtl w:val="true"/>
        </w:rPr>
        <w:footnoteReference w:id="784"/>
      </w:r>
      <w:r>
        <w:rPr>
          <w:rFonts w:ascii="Amiri" w:hAnsi="Amiri" w:eastAsia="Amiri" w:cs="Amiri"/>
          <w:color w:val="111111"/>
          <w:sz w:val="28"/>
          <w:sz w:val="28"/>
          <w:szCs w:val="28"/>
          <w:rtl w:val="true"/>
          <w:lang w:bidi="ar-SA"/>
        </w:rPr>
        <w:t xml:space="preserve">و الحلي </w:t>
      </w:r>
      <w:r>
        <w:rPr>
          <w:rStyle w:val="FootnoteAnchor"/>
          <w:rtl w:val="true"/>
        </w:rPr>
        <w:footnoteReference w:id="785"/>
      </w:r>
      <w:r>
        <w:rPr>
          <w:rFonts w:ascii="IRNazanin" w:hAnsi="IRNazanin" w:eastAsia="IRNazanin"/>
          <w:color w:val="111111"/>
          <w:sz w:val="28"/>
          <w:sz w:val="28"/>
          <w:szCs w:val="28"/>
          <w:rtl w:val="true"/>
          <w:lang w:bidi="fa-IR"/>
        </w:rPr>
        <w:t xml:space="preserve">، و الفخر </w:t>
      </w:r>
      <w:r>
        <w:rPr>
          <w:rStyle w:val="FootnoteAnchor"/>
          <w:rtl w:val="true"/>
        </w:rPr>
        <w:footnoteReference w:id="786"/>
      </w:r>
      <w:r>
        <w:rPr>
          <w:rFonts w:ascii="Amiri" w:hAnsi="Amiri" w:eastAsia="Amiri" w:cs="Amiri"/>
          <w:color w:val="111111"/>
          <w:sz w:val="28"/>
          <w:sz w:val="28"/>
          <w:szCs w:val="28"/>
          <w:rtl w:val="true"/>
          <w:lang w:bidi="ar-SA"/>
        </w:rPr>
        <w:t xml:space="preserve">و الشهيدين في البيان </w:t>
      </w:r>
      <w:r>
        <w:rPr>
          <w:rStyle w:val="FootnoteAnchor"/>
          <w:rtl w:val="true"/>
        </w:rPr>
        <w:footnoteReference w:id="787"/>
      </w:r>
      <w:r>
        <w:rPr>
          <w:rFonts w:ascii="Amiri" w:hAnsi="Amiri" w:eastAsia="Amiri" w:cs="Amiri"/>
          <w:color w:val="111111"/>
          <w:sz w:val="28"/>
          <w:sz w:val="28"/>
          <w:szCs w:val="28"/>
          <w:rtl w:val="true"/>
          <w:lang w:bidi="ar-SA"/>
        </w:rPr>
        <w:t xml:space="preserve">و المسالك </w:t>
      </w:r>
      <w:r>
        <w:rPr>
          <w:rStyle w:val="FootnoteAnchor"/>
          <w:rtl w:val="true"/>
        </w:rPr>
        <w:footnoteReference w:id="788"/>
      </w:r>
      <w:r>
        <w:rPr>
          <w:rFonts w:ascii="Amiri" w:hAnsi="Amiri" w:eastAsia="Amiri" w:cs="Amiri"/>
          <w:color w:val="111111"/>
          <w:sz w:val="28"/>
          <w:sz w:val="28"/>
          <w:szCs w:val="28"/>
          <w:rtl w:val="true"/>
          <w:lang w:bidi="ar-SA"/>
        </w:rPr>
        <w:t xml:space="preserve">و صاحب المدارك </w:t>
      </w:r>
      <w:r>
        <w:rPr>
          <w:rStyle w:val="FootnoteAnchor"/>
          <w:rtl w:val="true"/>
        </w:rPr>
        <w:footnoteReference w:id="789"/>
      </w:r>
      <w:r>
        <w:rPr>
          <w:rStyle w:val="FootnoteAnchor"/>
          <w:rtl w:val="true"/>
        </w:rPr>
        <w:footnoteReference w:id="790"/>
      </w:r>
      <w:r>
        <w:rPr>
          <w:rFonts w:ascii="Amiri" w:hAnsi="Amiri" w:eastAsia="Amiri" w:cs="Amiri"/>
          <w:color w:val="111111"/>
          <w:sz w:val="28"/>
          <w:sz w:val="28"/>
          <w:szCs w:val="28"/>
          <w:rtl w:val="true"/>
          <w:lang w:bidi="ar-SA"/>
        </w:rPr>
        <w:t xml:space="preserve">لأنّ </w:t>
      </w:r>
      <w:r>
        <w:rPr>
          <w:rStyle w:val="FootnoteAnchor"/>
          <w:rtl w:val="true"/>
        </w:rPr>
        <w:footnoteReference w:id="791"/>
      </w:r>
      <w:r>
        <w:rPr>
          <w:rFonts w:ascii="Amiri" w:hAnsi="Amiri" w:eastAsia="Amiri" w:cs="Amiri"/>
          <w:color w:val="111111"/>
          <w:sz w:val="28"/>
          <w:sz w:val="28"/>
          <w:szCs w:val="28"/>
          <w:rtl w:val="true"/>
          <w:lang w:bidi="ar-SA"/>
        </w:rPr>
        <w:t>نيّة صوم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لغوا من حيث عدم وقوع منويّها، إلّا أنّها تنافي نيّة صوم رمضان، ضرورة تضادّ جزئيات الكلي، فلم تقع نيّة صوم رمضان لا بالخصوص و لا بإطلاق المنصرف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قوله عليه السلام في رواية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عليه السلام بكفاية صوم يوم الشكّ بنيّة شعبان عن رمضان إذا ظهر كونه منه، و تعجّب الراوي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يجزي صوم تطوّع عن صوم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صام يوما من شهر رمضان تطوّعا و هو لا يدري و لا يعلم أنّه من شهر رمضان، ثمّ علم بعد ذلك أجزأ عنه، لأنّ الفرض إنّما وقع على اليوم بعينه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بمفهومه على أنّ صوم يوم من شهر رمضان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بكونه</w:t>
      </w:r>
    </w:p>
    <w:p>
      <w:pPr>
        <w:pStyle w:val="BookText"/>
        <w:rPr/>
      </w:pP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عنه، مع أنّه عليه السلام قرّر الراوي في تعجّبه عن إجزاء صوم التطوّع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الفرض غير منويّ، و المنويّ غير واقع، كما ذكرنا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عليه السلام بالإجزاء مع الجهل، لكون الواجب معيّنا غير قابل للتدارك إلّا على وجه القضاء الذي هو مطلوب جديد، و ليس </w:t>
      </w:r>
      <w:r>
        <w:rPr>
          <w:rStyle w:val="FootnoteAnchor"/>
          <w:rtl w:val="true"/>
        </w:rPr>
        <w:footnoteReference w:id="793"/>
      </w:r>
      <w:r>
        <w:rPr>
          <w:rFonts w:ascii="Amiri" w:hAnsi="Amiri" w:eastAsia="Amiri" w:cs="Amiri"/>
          <w:color w:val="111111"/>
          <w:sz w:val="28"/>
          <w:sz w:val="28"/>
          <w:szCs w:val="28"/>
          <w:rtl w:val="true"/>
          <w:lang w:bidi="ar-SA"/>
        </w:rPr>
        <w:t>امتثالا لصوم شهر رمضان، مع أنّ الوارد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صوم يوم الشك إن كان من شهر رمضان أجزأ عنه بتفضّل اللّٰه تعالى و بما وسّع على عباده و لو لا ذلك لهلك الناس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أنّ الحكم بالإجزاء مع الجهل تفضّل من اللّٰه تعالى و توسعة منه لا من باب حصول الامتثال بصوم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يعلم أنّ ما ذكر في الأخبار المستفيضة من أنّ يوم الشّك إذا صامه الإنسان فظهر أنّه من رمضان فهو يوم وفّق له </w:t>
      </w:r>
      <w:r>
        <w:rPr>
          <w:rStyle w:val="FootnoteAnchor"/>
          <w:rtl w:val="true"/>
        </w:rPr>
        <w:footnoteReference w:id="795"/>
      </w:r>
      <w:r>
        <w:rPr>
          <w:rFonts w:ascii="Amiri" w:hAnsi="Amiri" w:eastAsia="Amiri" w:cs="Amiri"/>
          <w:color w:val="111111"/>
          <w:sz w:val="28"/>
          <w:sz w:val="28"/>
          <w:szCs w:val="28"/>
          <w:rtl w:val="true"/>
          <w:lang w:bidi="ar-SA"/>
        </w:rPr>
        <w:t>لا يدلّ على أنّ امتثال صوم شهر رمضان حصل به في متن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يتراءى منها ذلك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حصول التوفيق لأجل حكم اللّٰه تعالى بالإجزاء تفضّلا، مع عدم تحقّق الإفطار في أيّام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ذكرنا يظهر ضعف ما حكي عن الشيخ </w:t>
      </w:r>
      <w:r>
        <w:rPr>
          <w:rStyle w:val="FootnoteAnchor"/>
          <w:rtl w:val="true"/>
        </w:rPr>
        <w:footnoteReference w:id="796"/>
      </w:r>
      <w:r>
        <w:rPr>
          <w:rFonts w:ascii="Amiri" w:hAnsi="Amiri" w:eastAsia="Amiri" w:cs="Amiri"/>
          <w:color w:val="111111"/>
          <w:sz w:val="28"/>
          <w:sz w:val="28"/>
          <w:szCs w:val="28"/>
          <w:rtl w:val="true"/>
          <w:lang w:bidi="ar-SA"/>
        </w:rPr>
        <w:t>و جماعة من الحكم بالإجزاء في أصل المسألة، مستدلّين بحصول قصد التقرّب بصوم ذلك اليوم الذي هو من أيّام رمضان، و قد تقدّم أنّ هذا المقدار من النيّة كاف في صوم شهر رمضان، و ضمّ نية الغير لغو لا يقدح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نيّة الغير مانع عن حصول نيّة صوم شهر رمضان، لأنّ قصد</w:t>
      </w:r>
    </w:p>
    <w:p>
      <w:pPr>
        <w:pStyle w:val="BookText"/>
        <w:rPr/>
      </w:pPr>
      <w:r>
        <w:rPr>
          <w:rFonts w:ascii="Amiri" w:hAnsi="Amiri" w:eastAsia="Amiri" w:cs="Amiri"/>
          <w:color w:val="111111"/>
          <w:sz w:val="28"/>
          <w:sz w:val="28"/>
          <w:szCs w:val="28"/>
          <w:rtl w:val="true"/>
          <w:lang w:bidi="ar-SA"/>
        </w:rPr>
        <w:t>صوم اليوم الّذي هو من أيّام رمضان إنّما يكفي إذا لم ينضمّ إليه ما يصرفه إلى حقيقة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أنّه قصد حقيقة صوم شهر رمضان و قصد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نوى صوم شهر رمضان على أن يكون قضاء عن رمضان الماضي أو كفّارة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قصد صوم يوم هو من رمضان يحصل به قصد حقيقة صوم رمضان و إن قيّد الصوم بكونه قضاء أو كفارة </w:t>
      </w:r>
      <w:r>
        <w:rPr>
          <w:rStyle w:val="FootnoteAnchor"/>
          <w:rtl w:val="true"/>
        </w:rPr>
        <w:footnoteReference w:id="797"/>
      </w:r>
      <w:r>
        <w:rPr>
          <w:rFonts w:ascii="Amiri" w:hAnsi="Amiri" w:eastAsia="Amiri" w:cs="Amiri"/>
          <w:color w:val="111111"/>
          <w:sz w:val="28"/>
          <w:sz w:val="28"/>
          <w:szCs w:val="28"/>
          <w:rtl w:val="true"/>
          <w:lang w:bidi="ar-SA"/>
        </w:rPr>
        <w:t xml:space="preserve">إذ قصد الكفّارة ليس إلّا قصدا لسبب الصوم </w:t>
      </w:r>
      <w:r>
        <w:rPr>
          <w:rStyle w:val="FootnoteAnchor"/>
          <w:rtl w:val="true"/>
        </w:rPr>
        <w:footnoteReference w:id="798"/>
      </w:r>
      <w:r>
        <w:rPr>
          <w:rFonts w:ascii="IRNazanin" w:hAnsi="IRNazanin" w:eastAsia="IRNazanin"/>
          <w:color w:val="111111"/>
          <w:sz w:val="28"/>
          <w:sz w:val="28"/>
          <w:szCs w:val="28"/>
          <w:rtl w:val="true"/>
          <w:lang w:bidi="fa-IR"/>
        </w:rPr>
        <w:t xml:space="preserve">و مع تحقّق قصد </w:t>
      </w:r>
      <w:r>
        <w:rPr>
          <w:rStyle w:val="FootnoteAnchor"/>
          <w:rtl w:val="true"/>
        </w:rPr>
        <w:footnoteReference w:id="799"/>
      </w:r>
      <w:r>
        <w:rPr>
          <w:rFonts w:ascii="Amiri" w:hAnsi="Amiri" w:eastAsia="Amiri" w:cs="Amiri"/>
          <w:color w:val="111111"/>
          <w:sz w:val="28"/>
          <w:sz w:val="28"/>
          <w:szCs w:val="28"/>
          <w:rtl w:val="true"/>
          <w:lang w:bidi="ar-SA"/>
        </w:rPr>
        <w:t>حقيقة صوم شهر رمضان يكون قصد سبب آخر لغوا، و قصد القضاء ليس إلّا قصدا لامتثال أمر آخر غير الأمر المتوجّه إليه، و هو غير مضرّ بعد كون المقصود الأصليّ هو التقرّب،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المكلّف عالما بعدم وقوع صوم غير رمضان منه لم يتحقّق منه قصد صوم غير رمضان حقيقة مع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بل يكون أحد القصدين صوريّا، و الكلام فيما إذا كان القصدان حقيقيين، و هو مختصّ بالجاهل بالحكم، فيكون حكم جاهل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جاهل الموضوع في الإجزاء المتّفق عليه فتوى و نصّا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أنّ ذلك محلّ تأمّل، بل نظر و منع، فالأقوى ما عليه الأوّلون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ضابط الحكم في هذا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يوم لا يصحّ </w:t>
      </w:r>
      <w:r>
        <w:rPr>
          <w:rStyle w:val="FootnoteAnchor"/>
          <w:rtl w:val="true"/>
        </w:rPr>
        <w:footnoteReference w:id="801"/>
      </w:r>
      <w:r>
        <w:rPr>
          <w:rFonts w:ascii="Amiri" w:hAnsi="Amiri" w:eastAsia="Amiri" w:cs="Amiri"/>
          <w:color w:val="111111"/>
          <w:sz w:val="28"/>
          <w:sz w:val="28"/>
          <w:szCs w:val="28"/>
          <w:rtl w:val="true"/>
          <w:lang w:bidi="ar-SA"/>
        </w:rPr>
        <w:t>فيه صوم فإذا نوى</w:t>
      </w:r>
    </w:p>
    <w:p>
      <w:pPr>
        <w:pStyle w:val="BookText"/>
        <w:rPr/>
      </w:pPr>
      <w:r>
        <w:rPr>
          <w:rFonts w:ascii="Amiri" w:hAnsi="Amiri" w:eastAsia="Amiri" w:cs="Amiri"/>
          <w:color w:val="111111"/>
          <w:sz w:val="28"/>
          <w:sz w:val="28"/>
          <w:szCs w:val="28"/>
          <w:rtl w:val="true"/>
          <w:lang w:bidi="ar-SA"/>
        </w:rPr>
        <w:t>ذلك الصوم فلا يجزئ عنه، و لا عن صوم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عليه بعد معلوميّته أنّه لا يجوز صوم يوم </w:t>
      </w:r>
      <w:r>
        <w:rPr>
          <w:rStyle w:val="FootnoteAnchor"/>
          <w:rtl w:val="true"/>
        </w:rPr>
        <w:footnoteReference w:id="802"/>
      </w:r>
      <w:r>
        <w:rPr>
          <w:rFonts w:ascii="Amiri" w:hAnsi="Amiri" w:eastAsia="Amiri" w:cs="Amiri"/>
          <w:color w:val="111111"/>
          <w:sz w:val="28"/>
          <w:sz w:val="28"/>
          <w:szCs w:val="28"/>
          <w:rtl w:val="true"/>
          <w:lang w:bidi="ar-SA"/>
        </w:rPr>
        <w:t xml:space="preserve">الشكّ بنيّة رمضان لكونه تشريعا محرّما عموما، و خصوصا بالأخبار الواردة في صوم يوم الشكّ </w:t>
      </w:r>
      <w:r>
        <w:rPr>
          <w:rStyle w:val="FootnoteAnchor"/>
          <w:rtl w:val="true"/>
        </w:rPr>
        <w:footnoteReference w:id="803"/>
      </w:r>
      <w:r>
        <w:rPr>
          <w:rFonts w:ascii="Amiri" w:hAnsi="Amiri" w:eastAsia="Amiri" w:cs="Amiri"/>
          <w:color w:val="111111"/>
          <w:sz w:val="28"/>
          <w:sz w:val="28"/>
          <w:szCs w:val="28"/>
          <w:rtl w:val="true"/>
          <w:lang w:bidi="ar-SA"/>
        </w:rPr>
        <w:t>أنّه لو صامه بنيّة رمضان لم يجز عن شعبان لو كان منه و لا عن رمضان لو كان منه، أمّا عن صوم شعبان فلعدم نيّته، و أمّا عن صوم رمضان فلتحريم قصده حين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بعدم وقوع صوم شهر رمضان في يوم الشكّ و صامه، فاتّفقت المطابقة فيحتمل الإجزاء، لمصادفة اعتقاد المطلوبيّة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العدم، لعدم تحقّق الأمر بمجرّد جهله المستند إلى تقصيره، و المطلوبيّة الّتي اعتقدها هي مطلوبيّة صوم شهر رمضان في يوم الشكّ و هو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يقع عن شي‌ء من الواجب و المندوب لو أوقعه بنيّة الوجوب أعني نيّة الصوم الواجب على تقديره أي على تقدير وجوبه واقعا أو على تقدير رمضان و نية الندب </w:t>
      </w:r>
      <w:r>
        <w:rPr>
          <w:rStyle w:val="FootnoteAnchor"/>
          <w:rtl w:val="true"/>
        </w:rPr>
        <w:footnoteReference w:id="804"/>
      </w:r>
      <w:r>
        <w:rPr>
          <w:rFonts w:ascii="Amiri" w:hAnsi="Amiri" w:eastAsia="Amiri" w:cs="Amiri"/>
          <w:color w:val="111111"/>
          <w:sz w:val="28"/>
          <w:sz w:val="28"/>
          <w:szCs w:val="28"/>
          <w:rtl w:val="true"/>
          <w:lang w:bidi="ar-SA"/>
        </w:rPr>
        <w:t>أي قصد حقيقة الصوم المندوب إن لم يكن من رمضان، لأنّ حقيقة صوم رمضان تغاير حقيقة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يكشف عن ذلك اختلاف أحكامهما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يعيّن </w:t>
      </w:r>
      <w:r>
        <w:rPr>
          <w:rStyle w:val="FootnoteAnchor"/>
          <w:rtl w:val="true"/>
        </w:rPr>
        <w:footnoteReference w:id="805"/>
      </w:r>
      <w:r>
        <w:rPr>
          <w:rFonts w:ascii="Amiri" w:hAnsi="Amiri" w:eastAsia="Amiri" w:cs="Amiri"/>
          <w:color w:val="111111"/>
          <w:sz w:val="28"/>
          <w:sz w:val="28"/>
          <w:szCs w:val="28"/>
          <w:rtl w:val="true"/>
          <w:lang w:bidi="ar-SA"/>
        </w:rPr>
        <w:t xml:space="preserve">حقيقة أحدهما في النيّة الّتي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استحضار حقيقة الفعل </w:t>
      </w:r>
      <w:r>
        <w:rPr>
          <w:rStyle w:val="FootnoteAnchor"/>
          <w:rtl w:val="true"/>
        </w:rPr>
        <w:footnoteReference w:id="806"/>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عن أحدهما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w:t>
      </w:r>
      <w:r>
        <w:rPr>
          <w:rStyle w:val="FootnoteAnchor"/>
          <w:rtl w:val="true"/>
        </w:rPr>
        <w:footnoteReference w:id="807"/>
      </w:r>
      <w:r>
        <w:rPr>
          <w:rFonts w:ascii="Amiri" w:hAnsi="Amiri" w:eastAsia="Amiri" w:cs="Amiri"/>
          <w:color w:val="111111"/>
          <w:sz w:val="28"/>
          <w:sz w:val="28"/>
          <w:szCs w:val="28"/>
          <w:rtl w:val="true"/>
          <w:lang w:bidi="ar-SA"/>
        </w:rPr>
        <w:t>نواه مندوبا أجزأ بتفضّل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رمضان إذا ظهر أنّه أي اليوم منه أي من رمضان إجماعا نصّا و فتوى، و به يخرج عن قاعدة عدم إجزاء المندوب عن الواجب، مع اختلاف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برمضان غيره من الواجبات المعيّنة في تأدّيها بالنفل، و بالنفل الفرض في تأدّي رمضان و غيره به؟ مقتضى تعليله عليه السلام الإجزاء في رواية الزهري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الفرض إنّما وقع على اليوم بعينه</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نعم، و به صرّح في الدروس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نوى في رمضان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إجزاء غيره عنه مع الجهل به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المدارك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ظهر ذلك في أثناء النهار جدّد نيّة الوجوب و لو كان قبل الغروب لأنّه بمنزلة العدول في وجوب تجديد النيّة للمعدول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أصبح بنيّة الإفطار فظهر أنّه من الشهر و لم يكن تناول شيئا </w:t>
      </w:r>
      <w:r>
        <w:rPr>
          <w:rStyle w:val="FootnoteAnchor"/>
          <w:rtl w:val="true"/>
        </w:rPr>
        <w:footnoteReference w:id="812"/>
      </w:r>
      <w:r>
        <w:rPr>
          <w:rFonts w:ascii="Amiri" w:hAnsi="Amiri" w:eastAsia="Amiri" w:cs="Amiri"/>
          <w:color w:val="111111"/>
          <w:sz w:val="28"/>
          <w:sz w:val="28"/>
          <w:szCs w:val="28"/>
          <w:rtl w:val="true"/>
          <w:lang w:bidi="ar-SA"/>
        </w:rPr>
        <w:t xml:space="preserve">من المفطرات جدّد نيّة الصوم و أجزأ لما تقدّم </w:t>
      </w:r>
      <w:r>
        <w:rPr>
          <w:rStyle w:val="FootnoteAnchor"/>
          <w:rtl w:val="true"/>
        </w:rPr>
        <w:footnoteReference w:id="813"/>
      </w:r>
      <w:r>
        <w:rPr>
          <w:rFonts w:ascii="Amiri" w:hAnsi="Amiri" w:eastAsia="Amiri" w:cs="Amiri"/>
          <w:color w:val="111111"/>
          <w:sz w:val="28"/>
          <w:sz w:val="28"/>
          <w:szCs w:val="28"/>
          <w:rtl w:val="true"/>
          <w:lang w:bidi="ar-SA"/>
        </w:rPr>
        <w:t>من جواز تأخير النيّة عن أوّل النهار للجاهل و الناسي إلى أن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زالت الشمس فقد مضى وقت النيّة و أمسك واجبا بقيّة النهار و قضى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وجوب القضاء فلفوات الصوم، و أمّا وجوب الإمساك فهو المشهور، بل عن الخلاف </w:t>
      </w:r>
      <w:r>
        <w:rPr>
          <w:rStyle w:val="FootnoteAnchor"/>
          <w:rtl w:val="true"/>
        </w:rPr>
        <w:footnoteReference w:id="814"/>
      </w:r>
      <w:r>
        <w:rPr>
          <w:rFonts w:ascii="Amiri" w:hAnsi="Amiri" w:eastAsia="Amiri" w:cs="Amiri"/>
          <w:color w:val="111111"/>
          <w:sz w:val="28"/>
          <w:sz w:val="28"/>
          <w:szCs w:val="28"/>
          <w:rtl w:val="true"/>
          <w:lang w:bidi="ar-SA"/>
        </w:rPr>
        <w:t xml:space="preserve">الإجماع عليه، و عن المنتهى </w:t>
      </w:r>
      <w:r>
        <w:rPr>
          <w:rStyle w:val="FootnoteAnchor"/>
          <w:rtl w:val="true"/>
        </w:rPr>
        <w:footnoteReference w:id="815"/>
      </w:r>
      <w:r>
        <w:rPr>
          <w:rFonts w:ascii="Amiri" w:hAnsi="Amiri" w:eastAsia="Amiri" w:cs="Amiri"/>
          <w:color w:val="111111"/>
          <w:sz w:val="28"/>
          <w:sz w:val="28"/>
          <w:szCs w:val="28"/>
          <w:rtl w:val="true"/>
          <w:lang w:bidi="ar-SA"/>
        </w:rPr>
        <w:t xml:space="preserve">و التذكرة </w:t>
      </w:r>
      <w:r>
        <w:rPr>
          <w:rStyle w:val="FootnoteAnchor"/>
          <w:rtl w:val="true"/>
        </w:rPr>
        <w:footnoteReference w:id="816"/>
      </w:r>
      <w:r>
        <w:rPr>
          <w:rFonts w:ascii="Amiri" w:hAnsi="Amiri" w:eastAsia="Amiri" w:cs="Amiri"/>
          <w:color w:val="111111"/>
          <w:sz w:val="28"/>
          <w:sz w:val="28"/>
          <w:szCs w:val="28"/>
          <w:rtl w:val="true"/>
          <w:lang w:bidi="ar-SA"/>
        </w:rPr>
        <w:t>نسبة الخلاف إلى</w:t>
      </w:r>
    </w:p>
    <w:p>
      <w:pPr>
        <w:pStyle w:val="BookText"/>
        <w:rPr/>
      </w:pPr>
      <w:r>
        <w:rPr>
          <w:rFonts w:ascii="Amiri" w:hAnsi="Amiri" w:eastAsia="Amiri" w:cs="Amiri"/>
          <w:color w:val="111111"/>
          <w:sz w:val="28"/>
          <w:sz w:val="28"/>
          <w:szCs w:val="28"/>
          <w:rtl w:val="true"/>
          <w:lang w:bidi="ar-SA"/>
        </w:rPr>
        <w:t xml:space="preserve">عطاء و أحمد، و أنّه لم يقل به غيرهما، و لم أجد عليه دليلا ظاهرا، و التمسك بقاعدة الميسور لا يخفى ما فيه،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أفطر وجبت الكفّارة، إذ لا منافاة بين وجوبها و عدم صحّة الصوم بمعنى إسقاط القضاء</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و الظاهر أنّه تعليل لعدم المانع عن الكفّارة، و جعل المقتضي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أدلة ثبوتها بمجرّد الإفطار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مفروغا عنه، و فيه تأمّل بل منع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استمرار النيّة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وجوبه تكليفا، و في شرح الشهيد أنّه لا نزاع فيه </w:t>
      </w:r>
      <w:r>
        <w:rPr>
          <w:rStyle w:val="FootnoteAnchor"/>
          <w:rtl w:val="true"/>
        </w:rPr>
        <w:footnoteReference w:id="818"/>
      </w:r>
      <w:r>
        <w:rPr>
          <w:rFonts w:ascii="Amiri" w:hAnsi="Amiri" w:eastAsia="Amiri" w:cs="Amiri"/>
          <w:color w:val="111111"/>
          <w:sz w:val="28"/>
          <w:sz w:val="28"/>
          <w:szCs w:val="28"/>
          <w:rtl w:val="true"/>
          <w:lang w:bidi="ar-SA"/>
        </w:rPr>
        <w:t>، و هو مبنيّ على وجوب العزم على الواجب أو حرمة العزم على الحرام أو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بالاستمرار حكما أن لا يحدث ما يخالف نيّة الصوم من نيّة الخلاف أو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وجوبه شرطا فظاهر المصنّف هنا </w:t>
      </w:r>
      <w:r>
        <w:rPr>
          <w:rStyle w:val="FootnoteAnchor"/>
          <w:rtl w:val="true"/>
        </w:rPr>
        <w:footnoteReference w:id="819"/>
      </w:r>
      <w:r>
        <w:rPr>
          <w:rFonts w:ascii="IRNazanin" w:hAnsi="IRNazanin" w:eastAsia="IRNazanin"/>
          <w:color w:val="111111"/>
          <w:sz w:val="28"/>
          <w:sz w:val="28"/>
          <w:szCs w:val="28"/>
          <w:rtl w:val="true"/>
          <w:lang w:bidi="fa-IR"/>
        </w:rPr>
        <w:t xml:space="preserve">و المختلف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لأبي الصلاح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فلو عقد الصوم بنيّة صحيحة ثمّ جدّد في أثناء النهار نيّة الإفساد، بطل صومه على رأي محكيّ عن السيّد في بعض رسائله </w:t>
      </w:r>
      <w:r>
        <w:rPr>
          <w:rStyle w:val="FootnoteAnchor"/>
          <w:rtl w:val="true"/>
        </w:rPr>
        <w:footnoteReference w:id="822"/>
      </w:r>
      <w:r>
        <w:rPr>
          <w:rFonts w:ascii="Amiri" w:hAnsi="Amiri" w:eastAsia="Amiri" w:cs="Amiri"/>
          <w:color w:val="111111"/>
          <w:sz w:val="28"/>
          <w:sz w:val="28"/>
          <w:szCs w:val="28"/>
          <w:rtl w:val="true"/>
          <w:lang w:bidi="ar-SA"/>
        </w:rPr>
        <w:t xml:space="preserve">و أبي الصلاح </w:t>
      </w:r>
      <w:r>
        <w:rPr>
          <w:rStyle w:val="FootnoteAnchor"/>
          <w:rtl w:val="true"/>
        </w:rPr>
        <w:footnoteReference w:id="823"/>
      </w:r>
      <w:r>
        <w:rPr>
          <w:rFonts w:ascii="Amiri" w:hAnsi="Amiri" w:eastAsia="Amiri" w:cs="Amiri"/>
          <w:color w:val="111111"/>
          <w:sz w:val="28"/>
          <w:sz w:val="28"/>
          <w:szCs w:val="28"/>
          <w:rtl w:val="true"/>
          <w:lang w:bidi="ar-SA"/>
        </w:rPr>
        <w:t xml:space="preserve">و المصنّف </w:t>
      </w:r>
      <w:r>
        <w:rPr>
          <w:rStyle w:val="FootnoteAnchor"/>
          <w:rtl w:val="true"/>
        </w:rPr>
        <w:footnoteReference w:id="824"/>
      </w:r>
      <w:r>
        <w:rPr>
          <w:rFonts w:ascii="IRNazanin" w:hAnsi="IRNazanin" w:eastAsia="IRNazanin"/>
          <w:color w:val="111111"/>
          <w:sz w:val="28"/>
          <w:sz w:val="28"/>
          <w:szCs w:val="28"/>
          <w:rtl w:val="true"/>
          <w:lang w:bidi="fa-IR"/>
        </w:rPr>
        <w:t xml:space="preserve">و ولده </w:t>
      </w:r>
      <w:r>
        <w:rPr>
          <w:rStyle w:val="FootnoteAnchor"/>
          <w:rtl w:val="true"/>
        </w:rPr>
        <w:footnoteReference w:id="825"/>
      </w:r>
      <w:r>
        <w:rPr>
          <w:rFonts w:ascii="Amiri" w:hAnsi="Amiri" w:eastAsia="Amiri" w:cs="Amiri"/>
          <w:color w:val="111111"/>
          <w:sz w:val="28"/>
          <w:sz w:val="28"/>
          <w:szCs w:val="28"/>
          <w:rtl w:val="true"/>
          <w:lang w:bidi="ar-SA"/>
        </w:rPr>
        <w:t xml:space="preserve">و الشهيدين </w:t>
      </w:r>
      <w:r>
        <w:rPr>
          <w:rStyle w:val="FootnoteAnchor"/>
          <w:rtl w:val="true"/>
        </w:rPr>
        <w:footnoteReference w:id="826"/>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827"/>
      </w:r>
      <w:r>
        <w:rPr>
          <w:rFonts w:ascii="Amiri" w:hAnsi="Amiri" w:eastAsia="Amiri" w:cs="Amiri"/>
          <w:color w:val="111111"/>
          <w:sz w:val="28"/>
          <w:sz w:val="28"/>
          <w:szCs w:val="28"/>
          <w:rtl w:val="true"/>
          <w:lang w:bidi="ar-SA"/>
        </w:rPr>
        <w:t>قدّس اللّٰه أرواحهم</w:t>
      </w:r>
    </w:p>
    <w:p>
      <w:pPr>
        <w:pStyle w:val="BookText"/>
        <w:rPr/>
      </w:pPr>
      <w:r>
        <w:rPr>
          <w:rFonts w:ascii="Amiri" w:hAnsi="Amiri" w:eastAsia="Amiri" w:cs="Amiri"/>
          <w:color w:val="111111"/>
          <w:sz w:val="28"/>
          <w:sz w:val="28"/>
          <w:szCs w:val="28"/>
          <w:rtl w:val="true"/>
          <w:lang w:bidi="ar-SA"/>
        </w:rPr>
        <w:t>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الظاهر في وجوب تلبّس مجموعة بها، و مقتضى ذلك وجوب تلبّس إمساك </w:t>
      </w:r>
      <w:r>
        <w:rPr>
          <w:rStyle w:val="FootnoteAnchor"/>
          <w:rtl w:val="true"/>
        </w:rPr>
        <w:footnoteReference w:id="829"/>
      </w:r>
      <w:r>
        <w:rPr>
          <w:rFonts w:ascii="Amiri" w:hAnsi="Amiri" w:eastAsia="Amiri" w:cs="Amiri"/>
          <w:color w:val="111111"/>
          <w:sz w:val="28"/>
          <w:sz w:val="28"/>
          <w:szCs w:val="28"/>
          <w:rtl w:val="true"/>
          <w:lang w:bidi="ar-SA"/>
        </w:rPr>
        <w:t>كلّ جزء من النهار بنيّة فعل الصوم امتثالا لأمر اللّٰه، كما هو الشأن في الصلاة و الطهارات و نحوها من العبادات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الدليل قام على أنّ إمساك جزء لو خلا عن تلك النيّة أمّا لعزوبها أو لعدم القدرة على المفطر،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يقع معه الكفّ لا مستندا إلى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في الصوم، خلافا للصلاة و أشباهها من الوجوديّات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تلبّس بإمساك جزء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عدم كونه صائما في الحال أو العزم على الإفطار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فالإمساك في هذا الجزء غير متلبّس بنيّة الامتثال، و لم يدلّ دليل على عدم قدحه فيبقى تحت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مستند البطلان في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إمساك جزء من النهار بقصد خلاف الصوم فيفسد، و بفساده يفسد الصوم، لأنّه لا يتبعّض، لا مجرّد </w:t>
      </w:r>
      <w:r>
        <w:rPr>
          <w:rStyle w:val="FootnoteAnchor"/>
          <w:rtl w:val="true"/>
        </w:rPr>
        <w:footnoteReference w:id="830"/>
      </w:r>
      <w:r>
        <w:rPr>
          <w:rFonts w:ascii="Amiri" w:hAnsi="Amiri" w:eastAsia="Amiri" w:cs="Amiri"/>
          <w:color w:val="111111"/>
          <w:sz w:val="28"/>
          <w:sz w:val="28"/>
          <w:szCs w:val="28"/>
          <w:rtl w:val="true"/>
          <w:lang w:bidi="ar-SA"/>
        </w:rPr>
        <w:t>نيّة الإفساد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المفطرات محصورة و ليست منها نيّة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التمسك باستصحاب صحّة الصوم،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في الأجزاء و إن ثبت على وجه القطع إلّا أنّه لا يجدي مع الشكّ في فساد اللاحقة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أقوى معتمد السيّد و أتباعه ممّن قال بالصحّة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هذا العزم ينافي النيّة، لا حكمها الثابت بالانعقاد، الذي لا ينافيه النوم و العزوب إجماعا، و هو أشدّ منافاة من نيّة المنافي، و النيّة لا يجب تجديدها في كلّ أزمنة الصوم إجماعا فلا يتحقّق المنافاة</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منافاة هذا العزم لأصل النيّة كافية في البطلان بعد ثبوت وجوب تلبّس مجموع العمل بالنيّة بمقتضى عموم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و خروج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صورة النوم أو عدم القدرة على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التعدّي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هي الصورة المخطرة المقارنة في بعض العبادات و المتقدّمة بزمان خاصّ في بعضها الآخر كالصوم، فالمفروض حصولها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بها هي الداعية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مقتضى الرواية وجوب تلبّس مجموع العمل جزء فجزء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و مثلها مختصّة بما إذا أمكن استناد مجموع العمل إلى النيّة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الوجوديّات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التروك المستمرّة فاستناد مجموع أجزائها إلى الباعث الأوّل غير ممكن مع تحقّق أسباب عدم القدرة على الفعل و الغفلة </w:t>
      </w:r>
      <w:r>
        <w:rPr>
          <w:rStyle w:val="FootnoteAnchor"/>
          <w:rtl w:val="true"/>
        </w:rPr>
        <w:footnoteReference w:id="834"/>
      </w:r>
      <w:r>
        <w:rPr>
          <w:rFonts w:ascii="Amiri" w:hAnsi="Amiri" w:eastAsia="Amiri" w:cs="Amiri"/>
          <w:color w:val="111111"/>
          <w:sz w:val="28"/>
          <w:sz w:val="28"/>
          <w:szCs w:val="28"/>
          <w:rtl w:val="true"/>
          <w:lang w:bidi="ar-SA"/>
        </w:rPr>
        <w:t>في بعض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فساد العمل الخالي عن النيّة لأجل خلوّه عنها، و بعد تقييد ذلك بصورة الإمكان فالعمل الذي لا يمكن فيه ذلك لا فساد فيه، لأجل خلوّه جزء فجزء عن النيّة، فيثبت صحّته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بدليّة استمرار النيّة حكما عن النيّة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تلبّس كلّ جزء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محتاجة إلى البيّنة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من عدم البطلان، لأصالة البراءة عن</w:t>
      </w:r>
    </w:p>
    <w:p>
      <w:pPr>
        <w:pStyle w:val="BookText"/>
        <w:rPr/>
      </w:pPr>
      <w:r>
        <w:rPr>
          <w:rFonts w:ascii="Amiri" w:hAnsi="Amiri" w:eastAsia="Amiri" w:cs="Amiri"/>
          <w:color w:val="111111"/>
          <w:sz w:val="28"/>
          <w:sz w:val="28"/>
          <w:szCs w:val="28"/>
          <w:rtl w:val="true"/>
          <w:lang w:bidi="ar-SA"/>
        </w:rPr>
        <w:t xml:space="preserve">وجوب الاستمرار شرطا، و أصالة البراءة عن القضاء فضلا عن الكفّارة التي قال بها أبو الصلاح </w:t>
      </w:r>
      <w:r>
        <w:rPr>
          <w:rStyle w:val="FootnoteAnchor"/>
          <w:rtl w:val="true"/>
        </w:rPr>
        <w:footnoteReference w:id="836"/>
      </w:r>
      <w:r>
        <w:rPr>
          <w:rFonts w:ascii="Amiri" w:hAnsi="Amiri" w:eastAsia="Amiri" w:cs="Amiri"/>
          <w:color w:val="111111"/>
          <w:sz w:val="28"/>
          <w:sz w:val="28"/>
          <w:szCs w:val="28"/>
          <w:rtl w:val="true"/>
          <w:lang w:bidi="ar-SA"/>
        </w:rPr>
        <w:t xml:space="preserve">كما عن الفخر في حاشية الكتاب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فساد الصوم أو عدم انعقاده لا يوجب ثبوت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يؤيّد ما ذكرنا بل يستدلّ عليه أنّه لو حصل الإفطار بمجرد قصده لما حصل الإفطار بشي‌ء من تناول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مسبوقيّة التناول</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أنّه لا دخل له فيما نحن فيه نظرا الى أنّ تلك المفطرات منافيات لماهيّة الصوم مع قطع النظر عن تعلّق النيّة بها إذ لا ريب أنّ النيّة المشترطة ابتداء و استمرارا في الصوم و سائر العبادات أمر خارج عنها يتعلّق بها بعد تعلّق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هنا في أنّ قصد المفطر ينافي التعبّد بماهيّة الصوم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لو يكن </w:t>
      </w:r>
      <w:r>
        <w:rPr>
          <w:rStyle w:val="FootnoteAnchor"/>
          <w:rtl w:val="true"/>
        </w:rPr>
        <w:footnoteReference w:id="839"/>
      </w:r>
      <w:r>
        <w:rPr>
          <w:rFonts w:ascii="Amiri" w:hAnsi="Amiri" w:eastAsia="Amiri" w:cs="Amiri"/>
          <w:color w:val="111111"/>
          <w:sz w:val="28"/>
          <w:sz w:val="28"/>
          <w:szCs w:val="28"/>
          <w:rtl w:val="true"/>
          <w:lang w:bidi="ar-SA"/>
        </w:rPr>
        <w:t xml:space="preserve">هذه الأمور منافيات لماهيّة الصوم لم تناف بينها </w:t>
      </w:r>
      <w:r>
        <w:rPr>
          <w:rStyle w:val="FootnoteAnchor"/>
          <w:rtl w:val="true"/>
        </w:rPr>
        <w:footnoteReference w:id="840"/>
      </w:r>
      <w:r>
        <w:rPr>
          <w:rFonts w:ascii="Amiri" w:hAnsi="Amiri" w:eastAsia="Amiri" w:cs="Amiri"/>
          <w:color w:val="111111"/>
          <w:sz w:val="28"/>
          <w:sz w:val="28"/>
          <w:szCs w:val="28"/>
          <w:rtl w:val="true"/>
          <w:lang w:bidi="ar-SA"/>
        </w:rPr>
        <w:t>للإطاعة</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الظاهر أنّ قصد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بكونه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يفسد من جهة منافاته لاستمرار النيّة الأولى فإذا لم يكن كذلك بل كان مبنيّا على اعتقاد زوال حكم تلك النيّة لأمر آخر أو على التردّد في زواله و بقائه، فالظاهر أنّه غير قادح، كما لو نوى الإفطار لحدوث اعتقاد أنّ اليوم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لحدوث اعتقاد فساد الصوم بسبب آخر، أو تردّد في الإفطار لأجل التردّد في صحّة صومه من جهته </w:t>
      </w:r>
      <w:r>
        <w:rPr>
          <w:rStyle w:val="FootnoteAnchor"/>
          <w:rtl w:val="true"/>
        </w:rPr>
        <w:footnoteReference w:id="842"/>
      </w:r>
      <w:r>
        <w:rPr>
          <w:rFonts w:ascii="Amiri" w:hAnsi="Amiri" w:eastAsia="Amiri" w:cs="Amiri"/>
          <w:color w:val="111111"/>
          <w:sz w:val="28"/>
          <w:sz w:val="28"/>
          <w:szCs w:val="28"/>
          <w:rtl w:val="true"/>
          <w:lang w:bidi="ar-SA"/>
        </w:rPr>
        <w:t>ثمّ تبيّن الخلاف في جميع ذلك فإنّه لا يفسد صومه، و قد</w:t>
      </w:r>
    </w:p>
    <w:p>
      <w:pPr>
        <w:pStyle w:val="BookText"/>
        <w:rPr/>
      </w:pPr>
      <w:r>
        <w:rPr>
          <w:rFonts w:ascii="Amiri" w:hAnsi="Amiri" w:eastAsia="Amiri" w:cs="Amiri"/>
          <w:color w:val="111111"/>
          <w:sz w:val="28"/>
          <w:sz w:val="28"/>
          <w:szCs w:val="28"/>
          <w:rtl w:val="true"/>
          <w:lang w:bidi="ar-SA"/>
        </w:rPr>
        <w:t xml:space="preserve">مرّ نظير ذلك في نيّة الصلاة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صريح كلام المصنّف قدس سره في المنتهى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في الشرائع </w:t>
      </w:r>
      <w:r>
        <w:rPr>
          <w:rStyle w:val="FootnoteAnchor"/>
          <w:rtl w:val="true"/>
        </w:rPr>
        <w:footnoteReference w:id="846"/>
      </w:r>
      <w:r>
        <w:rPr>
          <w:rFonts w:ascii="Amiri" w:hAnsi="Amiri" w:eastAsia="Amiri" w:cs="Amiri"/>
          <w:color w:val="111111"/>
          <w:sz w:val="28"/>
          <w:sz w:val="28"/>
          <w:szCs w:val="28"/>
          <w:rtl w:val="true"/>
          <w:lang w:bidi="ar-SA"/>
        </w:rPr>
        <w:t>توقّف صحّة الصوم بعد نيّة الخلاف على تجديد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المدارك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نيّة الخلاف إذا لم تكن مؤثّرة في البطلان فلا حاجة إلى 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 في كلّ جزء إذا لم يلزم مصاحبته لاستمرار النيّة فلا فرق بين الجزء الأخير و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الأخير لا يجوز فيه نيّة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جازت في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الإطاعة بالصوم الى الليل و امتثال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848"/>
      </w:r>
      <w:r>
        <w:rPr>
          <w:rFonts w:ascii="Amiri" w:hAnsi="Amiri" w:eastAsia="Amiri" w:cs="Amiri"/>
          <w:color w:val="111111"/>
          <w:sz w:val="28"/>
          <w:sz w:val="28"/>
          <w:szCs w:val="28"/>
          <w:rtl w:val="true"/>
          <w:lang w:bidi="ar-SA"/>
        </w:rPr>
        <w:t>لا يحصل عرفا إلّا إذا تعقّب قصد الإفطار برجوع و استمرار على النيّة الاولى إلى اللّيل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الإفساد ثمّ جدّد نيّة الصوم قبل الزوال لم يجزئه على رأي يمكن أن يكون من تتمّة المسألة الاولى، و يكون المقصود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تجديد النيّة بعد نيّة الإفساد هل ينفع أم لا؟ فمن قال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عدم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فلا إشكال عنده في الصحّة هنا، و من قال هناك بالإفساد فله أن يقول هنا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بهذه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نوى الإفطار من أوّل الأمر بحيث لم ينعقد له الصوم ثم جدّد النيّة قبل الزوال، فيكون الفرق بين هذه و السابقة كون نيّة الإفساد في الأولى مسبوقة بنيّة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نيّة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غير مسبوقة بها، فيكون هذا الفرع هو ما ذكره المحقّق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نوى الإفطار في يوم من </w:t>
      </w:r>
      <w:r>
        <w:rPr>
          <w:rStyle w:val="FootnoteAnchor"/>
          <w:rtl w:val="true"/>
        </w:rPr>
        <w:footnoteReference w:id="849"/>
      </w:r>
      <w:r>
        <w:rPr>
          <w:rFonts w:ascii="Amiri" w:hAnsi="Amiri" w:eastAsia="Amiri" w:cs="Amiri"/>
          <w:color w:val="111111"/>
          <w:sz w:val="28"/>
          <w:sz w:val="28"/>
          <w:szCs w:val="28"/>
          <w:rtl w:val="true"/>
          <w:lang w:bidi="ar-SA"/>
        </w:rPr>
        <w:t xml:space="preserve">رمضان ثم جدّد النيّة </w:t>
      </w:r>
      <w:r>
        <w:rPr>
          <w:rStyle w:val="FootnoteAnchor"/>
          <w:rtl w:val="true"/>
        </w:rPr>
        <w:footnoteReference w:id="850"/>
      </w:r>
      <w:r>
        <w:rPr>
          <w:rFonts w:ascii="Amiri" w:hAnsi="Amiri" w:eastAsia="Amiri" w:cs="Amiri"/>
          <w:color w:val="111111"/>
          <w:sz w:val="28"/>
          <w:sz w:val="28"/>
          <w:szCs w:val="28"/>
          <w:rtl w:val="true"/>
          <w:lang w:bidi="ar-SA"/>
        </w:rPr>
        <w:t>قبل الزوال،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القضاء</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و لو قيل بالانعقاد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عقد نيّة الصوم </w:t>
      </w:r>
      <w:r>
        <w:rPr>
          <w:rStyle w:val="FootnoteAnchor"/>
          <w:rtl w:val="true"/>
        </w:rPr>
        <w:footnoteReference w:id="852"/>
      </w:r>
      <w:r>
        <w:rPr>
          <w:rFonts w:ascii="Amiri" w:hAnsi="Amiri" w:eastAsia="Amiri" w:cs="Amiri"/>
          <w:color w:val="111111"/>
          <w:sz w:val="28"/>
          <w:sz w:val="28"/>
          <w:szCs w:val="28"/>
          <w:rtl w:val="true"/>
          <w:lang w:bidi="ar-SA"/>
        </w:rPr>
        <w:t xml:space="preserve">ثم نوى الإفطار و لم يفطر ثم 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كان صحيحا</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قدس سره في القواعد، حاكما في الأولى بعدم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لشيخه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بالانعقاد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الاحتمال في عبارة الكتاب و إن كان أبعد من حيث اللفظ من الاحتمال الأوّل، لأنّ المناسب للمسألة على هذا،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الإفساد إنّما يطلق عند سبق الانعقاد إلّا أنّ الاحتمال الأوّل أبعد من حيث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مسألة وجوب تجديد النيّة على القول بعدم 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بيان الخلاف</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في مسألتي إفساد نيّة الإفساد، و اعتبار تجديد النيّة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w:t>
      </w:r>
    </w:p>
    <w:p>
      <w:pPr>
        <w:pStyle w:val="BookText"/>
        <w:rPr/>
      </w:pPr>
      <w:r>
        <w:rPr>
          <w:rFonts w:ascii="Amiri" w:hAnsi="Amiri" w:eastAsia="Amiri" w:cs="Amiri"/>
          <w:color w:val="111111"/>
          <w:sz w:val="28"/>
          <w:sz w:val="28"/>
          <w:szCs w:val="28"/>
          <w:rtl w:val="true"/>
          <w:lang w:bidi="ar-SA"/>
        </w:rPr>
        <w:t>الإفساد، و ان أراد بيان الفتوى، كان المناسب الاقتصار على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ذكره المحقّق رحمه اللّٰه من القول بالانعقاد مع نيّة الإفطار </w:t>
      </w:r>
      <w:r>
        <w:rPr>
          <w:rStyle w:val="FootnoteAnchor"/>
          <w:rtl w:val="true"/>
        </w:rPr>
        <w:footnoteReference w:id="857"/>
      </w:r>
      <w:r>
        <w:rPr>
          <w:rFonts w:ascii="Amiri" w:hAnsi="Amiri" w:eastAsia="Amiri" w:cs="Amiri"/>
          <w:color w:val="111111"/>
          <w:sz w:val="28"/>
          <w:sz w:val="28"/>
          <w:szCs w:val="28"/>
          <w:rtl w:val="true"/>
          <w:lang w:bidi="ar-SA"/>
        </w:rPr>
        <w:t xml:space="preserve">و عدم سبق انعقاد الصّوم لا يظهر له وجه بعد البناء على اعتبار النيّة في اللّيل أو في </w:t>
      </w:r>
      <w:r>
        <w:rPr>
          <w:rStyle w:val="FootnoteAnchor"/>
          <w:rtl w:val="true"/>
        </w:rPr>
        <w:footnoteReference w:id="858"/>
      </w:r>
      <w:r>
        <w:rPr>
          <w:rFonts w:ascii="Amiri" w:hAnsi="Amiri" w:eastAsia="Amiri" w:cs="Amiri"/>
          <w:color w:val="111111"/>
          <w:sz w:val="28"/>
          <w:sz w:val="28"/>
          <w:szCs w:val="28"/>
          <w:rtl w:val="true"/>
          <w:lang w:bidi="ar-SA"/>
        </w:rPr>
        <w:t>جزئه الأخير، و أنّه لا يعذّر في ذلك إلّا الناسي و الجاهل بالشهر، فإنّهما يجدّدان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ابتناء ذلك على القول بكفاية نيّة واحدة للشهر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يذهب اليه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لإلغاء اعتبار التّجديد قبل الزوال حينئذ، و لتقييد إطلاق كلامه بغير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ما إذا عزم على الإفطار في الليل، ثم ذهل عن النيّة و عن الصوم حتى النهار،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حيث لم يتعمّد ترك النيّة في وقت تعيّنها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الأخير المقارن 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نسيها و ذهل عنها، يكون حكمه حكم الناسي للنّية في الليل رأسا، و المتيقّن من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الإفطار في زمان تضيّق النيّة، أو تردّد في الصوم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تأثير نيّة الإفطار في استمرار حكمها إلى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يقع أوّل جزء من النهار مصاحبا لنيّة الإفطار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و ثبوت هذا التأثير لنيّة الصوم للدليل الشرعي و لتعذّر خلافه، فيكون ما سبق من المحقّق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ترك النيّة</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تعمّد تركه في زمان تعيّنها، و الحكم بالصحّة حينئذ و إن كان محلّا للتأمّل إلّا أنّ له وجها، و يمكن أن يكون مرادا للمحقّق، إذ لم يسبق في كلامه التصريح ببطلان صوم المتعمّد حتّى على هذا الوجه، فتأمّل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bookmarkStart w:id="29" w:name="pg19900_214612"/>
    </w:p>
    <w:p>
      <w:pPr>
        <w:pStyle w:val="Heading2"/>
        <w:numPr>
          <w:ilvl w:val="1"/>
          <w:numId w:val="1"/>
        </w:numPr>
        <w:rPr/>
      </w:pPr>
      <w:bookmarkStart w:id="30" w:name="__RefHeading___Toc2061624_2314609296"/>
      <w:bookmarkStart w:id="31" w:name="_Toc11"/>
      <w:bookmarkEnd w:id="29"/>
      <w:bookmarkEnd w:id="30"/>
      <w:r>
        <w:rPr>
          <w:rtl w:val="true"/>
        </w:rPr>
        <w:t>[</w:t>
      </w:r>
      <w:r>
        <w:rPr>
          <w:rtl w:val="true"/>
        </w:rPr>
        <w:t>شرح</w:t>
      </w:r>
      <w:r>
        <w:rPr>
          <w:rtl w:val="true"/>
        </w:rPr>
        <w:t xml:space="preserve">] </w:t>
      </w:r>
      <w:r>
        <w:rPr>
          <w:rtl w:val="true"/>
        </w:rPr>
        <w:t xml:space="preserve">كتاب الصوم من </w:t>
      </w:r>
      <w:r>
        <w:rPr>
          <w:rtl w:val="true"/>
        </w:rPr>
        <w:t>[</w:t>
      </w:r>
      <w:r>
        <w:rPr>
          <w:rtl w:val="true"/>
        </w:rPr>
        <w:t>قواعد الأحكام</w:t>
      </w:r>
      <w:r>
        <w:rPr>
          <w:rtl w:val="true"/>
        </w:rPr>
        <w:t>]</w:t>
      </w:r>
      <w:bookmarkEnd w:id="31"/>
    </w:p>
    <w:p>
      <w:pPr>
        <w:pStyle w:val="Heading3"/>
        <w:numPr>
          <w:ilvl w:val="2"/>
          <w:numId w:val="1"/>
        </w:numPr>
        <w:rPr/>
      </w:pPr>
      <w:bookmarkStart w:id="32" w:name="__RefHeading___Toc2061626_2314609296"/>
      <w:bookmarkStart w:id="33" w:name="_Toc12"/>
      <w:bookmarkEnd w:id="32"/>
      <w:r>
        <w:rPr>
          <w:rtl w:val="true"/>
        </w:rPr>
        <w:t>[</w:t>
      </w:r>
      <w:r>
        <w:rPr>
          <w:rtl w:val="true"/>
        </w:rPr>
        <w:t>المقصد الأول في ماهية الصوم</w:t>
      </w:r>
      <w:r>
        <w:rPr>
          <w:rtl w:val="true"/>
        </w:rPr>
        <w:t>]</w:t>
      </w:r>
      <w:bookmarkEnd w:id="33"/>
    </w:p>
    <w:p>
      <w:pPr>
        <w:pStyle w:val="Heading4"/>
        <w:numPr>
          <w:ilvl w:val="3"/>
          <w:numId w:val="1"/>
        </w:numPr>
        <w:rPr/>
      </w:pPr>
      <w:bookmarkStart w:id="34" w:name="__RefHeading___Toc2061628_2314609296"/>
      <w:bookmarkStart w:id="35" w:name="_Toc13"/>
      <w:bookmarkEnd w:id="34"/>
      <w:r>
        <w:rPr>
          <w:rtl w:val="true"/>
        </w:rPr>
        <w:t>[</w:t>
      </w:r>
      <w:r>
        <w:rPr>
          <w:rtl w:val="true"/>
        </w:rPr>
        <w:t>الفصل الثاني في الإمساك</w:t>
      </w:r>
      <w:r>
        <w:rPr>
          <w:rtl w:val="true"/>
        </w:rPr>
        <w:t>]</w:t>
      </w:r>
      <w:bookmarkEnd w:id="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 w:name="__RefHeading___Toc2061630_2314609296"/>
      <w:bookmarkStart w:id="37" w:name="_Toc14"/>
      <w:bookmarkEnd w:id="36"/>
      <w:r>
        <w:rPr>
          <w:rtl w:val="true"/>
        </w:rPr>
        <w:t>اشارة</w:t>
      </w:r>
      <w:bookmarkStart w:id="38" w:name="pg19900_214614"/>
      <w:bookmarkEnd w:id="37"/>
    </w:p>
    <w:p>
      <w:pPr>
        <w:pStyle w:val="Heading5"/>
        <w:numPr>
          <w:ilvl w:val="4"/>
          <w:numId w:val="1"/>
        </w:numPr>
        <w:rPr/>
      </w:pPr>
      <w:bookmarkStart w:id="39" w:name="__RefHeading___Toc2061632_2314609296"/>
      <w:bookmarkStart w:id="40" w:name="_Toc15"/>
      <w:bookmarkEnd w:id="38"/>
      <w:bookmarkEnd w:id="39"/>
      <w:r>
        <w:rPr>
          <w:rtl w:val="true"/>
        </w:rPr>
        <w:t>[</w:t>
      </w:r>
      <w:r>
        <w:rPr>
          <w:rtl w:val="true"/>
        </w:rPr>
        <w:t>المطلب الثاني في ما يوجب الإفطار</w:t>
      </w:r>
      <w:r>
        <w:rPr>
          <w:rtl w:val="true"/>
        </w:rPr>
        <w:t>]</w:t>
      </w:r>
      <w:bookmarkEnd w:id="40"/>
    </w:p>
    <w:p>
      <w:pPr>
        <w:pStyle w:val="Heading6"/>
        <w:numPr>
          <w:ilvl w:val="5"/>
          <w:numId w:val="1"/>
        </w:numPr>
        <w:rPr/>
      </w:pPr>
      <w:bookmarkStart w:id="41" w:name="__RefHeading___Toc2061634_2314609296"/>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المطلب الثاني في ما يوجب الإفطار و هو فعل ما أوجبنا الإمساك عنه عمدا اختيارا عدا الكذب على اللّٰه تعالى و رسوله و الأئمة عليهم السلام </w:t>
      </w:r>
      <w:r>
        <w:rPr>
          <w:rStyle w:val="FootnoteAnchor"/>
          <w:rtl w:val="true"/>
        </w:rPr>
        <w:footnoteReference w:id="861"/>
      </w:r>
      <w:r>
        <w:rPr>
          <w:rFonts w:ascii="IRNazanin" w:hAnsi="IRNazanin" w:eastAsia="IRNazanin"/>
          <w:color w:val="111111"/>
          <w:sz w:val="28"/>
          <w:sz w:val="28"/>
          <w:szCs w:val="28"/>
          <w:rtl w:val="true"/>
          <w:lang w:bidi="fa-IR"/>
        </w:rPr>
        <w:t xml:space="preserve">و الارتماس </w:t>
      </w:r>
      <w:r>
        <w:rPr>
          <w:rStyle w:val="FootnoteAnchor"/>
          <w:rtl w:val="true"/>
        </w:rPr>
        <w:footnoteReference w:id="862"/>
      </w:r>
      <w:r>
        <w:rPr>
          <w:rFonts w:ascii="Amiri" w:hAnsi="Amiri" w:eastAsia="Amiri" w:cs="Amiri"/>
          <w:color w:val="111111"/>
          <w:sz w:val="28"/>
          <w:sz w:val="28"/>
          <w:szCs w:val="28"/>
          <w:rtl w:val="true"/>
          <w:lang w:bidi="ar-SA"/>
        </w:rPr>
        <w:t xml:space="preserve">على رأي فيهما، و الغلط بعدم طلوع الفجر مع القدرة على المراعاة </w:t>
      </w:r>
      <w:r>
        <w:rPr>
          <w:rStyle w:val="FootnoteAnchor"/>
          <w:rtl w:val="true"/>
        </w:rPr>
        <w:footnoteReference w:id="863"/>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 w:name="__RefHeading___Toc2061636_2314609296"/>
      <w:bookmarkStart w:id="44" w:name="_Toc17"/>
      <w:bookmarkEnd w:id="43"/>
      <w:r>
        <w:rPr>
          <w:rtl w:val="true"/>
        </w:rPr>
        <w:t>[</w:t>
      </w:r>
      <w:r>
        <w:rPr>
          <w:rtl w:val="true"/>
        </w:rPr>
        <w:t>الإفطار بتقليد الغير أو الظلمة الموهمة</w:t>
      </w:r>
      <w:r>
        <w:rPr>
          <w:rtl w:val="true"/>
        </w:rPr>
        <w:t>]</w:t>
      </w:r>
      <w:bookmarkEnd w:id="44"/>
    </w:p>
    <w:p>
      <w:pPr>
        <w:pStyle w:val="BookText"/>
        <w:rPr/>
      </w:pPr>
      <w:r>
        <w:rPr>
          <w:rFonts w:ascii="Amiri" w:hAnsi="Amiri" w:eastAsia="Amiri" w:cs="Amiri"/>
          <w:color w:val="111111"/>
          <w:sz w:val="28"/>
          <w:sz w:val="28"/>
          <w:szCs w:val="28"/>
          <w:rtl w:val="true"/>
          <w:lang w:bidi="ar-SA"/>
        </w:rPr>
        <w:t xml:space="preserve">و كذا يفسد الصوم بفعل المفطر مع الغلط بالغروب للتقليد </w:t>
      </w:r>
      <w:r>
        <w:rPr>
          <w:rStyle w:val="FootnoteAnchor"/>
          <w:rtl w:val="true"/>
        </w:rPr>
        <w:footnoteReference w:id="865"/>
      </w:r>
      <w:r>
        <w:rPr>
          <w:rFonts w:ascii="Amiri" w:hAnsi="Amiri" w:eastAsia="Amiri" w:cs="Amiri"/>
          <w:color w:val="111111"/>
          <w:sz w:val="28"/>
          <w:sz w:val="28"/>
          <w:szCs w:val="28"/>
          <w:rtl w:val="true"/>
          <w:lang w:bidi="ar-SA"/>
        </w:rPr>
        <w:t xml:space="preserve">الغير المجوّز له أو الظلمة </w:t>
      </w:r>
      <w:r>
        <w:rPr>
          <w:rStyle w:val="FootnoteAnchor"/>
          <w:rtl w:val="true"/>
        </w:rPr>
        <w:footnoteReference w:id="866"/>
      </w:r>
      <w:r>
        <w:rPr>
          <w:rFonts w:ascii="Amiri" w:hAnsi="Amiri" w:eastAsia="Amiri" w:cs="Amiri"/>
          <w:color w:val="111111"/>
          <w:sz w:val="28"/>
          <w:sz w:val="28"/>
          <w:szCs w:val="28"/>
          <w:rtl w:val="true"/>
          <w:lang w:bidi="ar-SA"/>
        </w:rPr>
        <w:t xml:space="preserve">الموهمة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الحكم بالفساد و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فمشهور، بل عن</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868"/>
      </w:r>
      <w:r>
        <w:rPr>
          <w:rFonts w:ascii="Amiri" w:hAnsi="Amiri" w:eastAsia="Amiri" w:cs="Amiri"/>
          <w:color w:val="111111"/>
          <w:sz w:val="28"/>
          <w:sz w:val="28"/>
          <w:szCs w:val="28"/>
          <w:rtl w:val="true"/>
          <w:lang w:bidi="ar-SA"/>
        </w:rPr>
        <w:t xml:space="preserve">و الغنية </w:t>
      </w:r>
      <w:r>
        <w:rPr>
          <w:rStyle w:val="FootnoteAnchor"/>
          <w:rtl w:val="true"/>
        </w:rPr>
        <w:footnoteReference w:id="86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الشك في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بالشك في كلامهما مطلق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الأخبار الواردة في الشكوك الواقعة في الصلاة </w:t>
      </w:r>
      <w:r>
        <w:rPr>
          <w:rStyle w:val="FootnoteAnchor"/>
          <w:rtl w:val="true"/>
        </w:rPr>
        <w:footnoteReference w:id="870"/>
      </w:r>
      <w:r>
        <w:rPr>
          <w:rFonts w:ascii="Amiri" w:hAnsi="Amiri" w:eastAsia="Amiri" w:cs="Amiri"/>
          <w:color w:val="111111"/>
          <w:sz w:val="28"/>
          <w:sz w:val="28"/>
          <w:szCs w:val="28"/>
          <w:rtl w:val="true"/>
          <w:lang w:bidi="ar-SA"/>
        </w:rPr>
        <w:t>بل و فتاوى القدماء،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الإجماعان المحكيان لصورة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التعليل في ذيل رواية سماعة،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صاموا شهر رمضان فغشيهم سحاب أسود عند غروب الشمس فرأوا أنّه الليل فأفطر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السحاب انجلى، فإذا الشمس</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أفطر صيام ذلك اليوم، إنّ اللّٰه عز و جل يقول ثُمَّ أَتِمُّوا الصِّيٰامَ إِلَى اللَّيْلِ </w:t>
      </w:r>
      <w:r>
        <w:rPr>
          <w:rStyle w:val="FootnoteAnchor"/>
          <w:rtl w:val="true"/>
        </w:rPr>
        <w:footnoteReference w:id="872"/>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ضعفها منجبر بما عرفت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يمنع دلالتها على وجوب القضاء باحتمال إرادة وجوب الإتمام على من أفطر و الكفّ عن الطعام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و ما ذكرنا من مدلول الرواية هو الّذي فهمه منها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يستشهد على الاحتمال المذكور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أنّ المراد وجوب الكفّ بعد ظهور الخطأ لم يصدق الأكل متعمّدا، لأنّ الأكل قبل ظهور الخطأ ليس متعمّدا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غريب، إذ لا شك في صدق الأكل متعمّدا، نعم لا يصدق الإفساد</w:t>
      </w:r>
    </w:p>
    <w:p>
      <w:pPr>
        <w:pStyle w:val="BookText"/>
        <w:rPr/>
      </w:pPr>
      <w:r>
        <w:rPr>
          <w:rFonts w:ascii="IRNazanin" w:hAnsi="IRNazanin" w:eastAsia="IRNazanin"/>
          <w:color w:val="111111"/>
          <w:sz w:val="28"/>
          <w:sz w:val="28"/>
          <w:szCs w:val="28"/>
          <w:rtl w:val="true"/>
          <w:lang w:bidi="fa-IR"/>
        </w:rPr>
        <w:t>و الإفطار متعمّدا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 ما ذكرنا من الحكم فحوى ما تقدّم من الأخبار </w:t>
      </w:r>
      <w:r>
        <w:rPr>
          <w:rStyle w:val="FootnoteAnchor"/>
          <w:rtl w:val="true"/>
        </w:rPr>
        <w:footnoteReference w:id="875"/>
      </w:r>
      <w:r>
        <w:rPr>
          <w:rFonts w:ascii="Amiri" w:hAnsi="Amiri" w:eastAsia="Amiri" w:cs="Amiri"/>
          <w:color w:val="111111"/>
          <w:sz w:val="28"/>
          <w:sz w:val="28"/>
          <w:szCs w:val="28"/>
          <w:rtl w:val="true"/>
          <w:lang w:bidi="ar-SA"/>
        </w:rPr>
        <w:t xml:space="preserve">الدالّة على وجوب القضاء إذا فعل المفطر مخلدا إلى خبر الجارية </w:t>
      </w:r>
      <w:r>
        <w:rPr>
          <w:rStyle w:val="FootnoteAnchor"/>
          <w:rtl w:val="true"/>
        </w:rPr>
        <w:footnoteReference w:id="876"/>
      </w:r>
      <w:r>
        <w:rPr>
          <w:rFonts w:ascii="Amiri" w:hAnsi="Amiri" w:eastAsia="Amiri" w:cs="Amiri"/>
          <w:color w:val="111111"/>
          <w:sz w:val="28"/>
          <w:sz w:val="28"/>
          <w:szCs w:val="28"/>
          <w:rtl w:val="true"/>
          <w:lang w:bidi="ar-SA"/>
        </w:rPr>
        <w:t>، فإنّه إذا وجب القضاء هناك مع وجود الاستصحاب المجوّز للفعل، فوجوبه هنا مع وجود الاستصحاب المانع عن فعل المفطر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استصحاب بقاء النهار و حرمة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الفعل، فقد فعل المفطر من غير إذن الشارع مع مصادفته النهار، و لذا قوّى في الروضة </w:t>
      </w:r>
      <w:r>
        <w:rPr>
          <w:rStyle w:val="FootnoteAnchor"/>
          <w:rtl w:val="true"/>
        </w:rPr>
        <w:footnoteReference w:id="877"/>
      </w:r>
      <w:r>
        <w:rPr>
          <w:rFonts w:ascii="Amiri" w:hAnsi="Amiri" w:eastAsia="Amiri" w:cs="Amiri"/>
          <w:color w:val="111111"/>
          <w:sz w:val="28"/>
          <w:sz w:val="28"/>
          <w:szCs w:val="28"/>
          <w:rtl w:val="true"/>
          <w:lang w:bidi="ar-SA"/>
        </w:rPr>
        <w:t>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بعض مشايخنا </w:t>
      </w:r>
      <w:r>
        <w:rPr>
          <w:rStyle w:val="FootnoteAnchor"/>
          <w:rtl w:val="true"/>
        </w:rPr>
        <w:footnoteReference w:id="878"/>
      </w:r>
      <w:r>
        <w:rPr>
          <w:rFonts w:ascii="Amiri" w:hAnsi="Amiri" w:eastAsia="Amiri" w:cs="Amiri"/>
          <w:color w:val="111111"/>
          <w:sz w:val="28"/>
          <w:sz w:val="28"/>
          <w:szCs w:val="28"/>
          <w:rtl w:val="true"/>
          <w:lang w:bidi="ar-SA"/>
        </w:rPr>
        <w:t xml:space="preserve">، و هو حسن لو لم نقل بانصراف أخبارها إلى غير مثل هذا الشخص و اختصاصها بمن فعل المفطر في النهار متعمّدا مع علمه بالنهار أو ظنّه بالظن الّذي تعارف الاعتماد عليه، و إلّا فالعدم أحسن، للأصل، و لذا لم نعتمد </w:t>
      </w:r>
      <w:r>
        <w:rPr>
          <w:rStyle w:val="FootnoteAnchor"/>
          <w:rtl w:val="true"/>
        </w:rPr>
        <w:footnoteReference w:id="879"/>
      </w:r>
      <w:r>
        <w:rPr>
          <w:rFonts w:ascii="Amiri" w:hAnsi="Amiri" w:eastAsia="Amiri" w:cs="Amiri"/>
          <w:color w:val="111111"/>
          <w:sz w:val="28"/>
          <w:sz w:val="28"/>
          <w:szCs w:val="28"/>
          <w:rtl w:val="true"/>
          <w:lang w:bidi="ar-SA"/>
        </w:rPr>
        <w:t>في وجوب القضاء على الإطلاقات الدالّة على وجوب القضاء بفعل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ممّن عوّل في لزوم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Style w:val="FootnoteAnchor"/>
          <w:rtl w:val="true"/>
        </w:rPr>
        <w:footnoteReference w:id="880"/>
      </w:r>
      <w:r>
        <w:rPr>
          <w:rFonts w:ascii="Amiri" w:hAnsi="Amiri" w:eastAsia="Amiri" w:cs="Amiri"/>
          <w:color w:val="111111"/>
          <w:sz w:val="28"/>
          <w:sz w:val="28"/>
          <w:szCs w:val="28"/>
          <w:rtl w:val="true"/>
          <w:lang w:bidi="ar-SA"/>
        </w:rPr>
        <w:t>الإطلاقات و نفى الكفّارة تمسّكا بانصراف أدلّتها إلى غير المقام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احترزنا بالقيد </w:t>
      </w:r>
      <w:r>
        <w:rPr>
          <w:rStyle w:val="FootnoteAnchor"/>
          <w:rtl w:val="true"/>
        </w:rPr>
        <w:footnoteReference w:id="881"/>
      </w:r>
      <w:r>
        <w:rPr>
          <w:rFonts w:ascii="Amiri" w:hAnsi="Amiri" w:eastAsia="Amiri" w:cs="Amiri"/>
          <w:color w:val="111111"/>
          <w:sz w:val="28"/>
          <w:sz w:val="28"/>
          <w:szCs w:val="28"/>
          <w:rtl w:val="true"/>
          <w:lang w:bidi="ar-SA"/>
        </w:rPr>
        <w:t>عمّا لو كان التقليد جائزا له لعدم القدرة على المراعاة، فإنّ الحكم بوجوب القضاء في هذه الصورة مشكل، لعدم ما تطمئنّ به 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 إذا أفاد التقليد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معلوميّة شمول الشك في عبارة الغنية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للظن، و لا ذهاب المشهور إلى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w:t>
      </w:r>
      <w:r>
        <w:rPr>
          <w:rStyle w:val="FootnoteAnchor"/>
          <w:rtl w:val="true"/>
        </w:rPr>
        <w:footnoteReference w:id="882"/>
      </w:r>
      <w:r>
        <w:rPr>
          <w:rFonts w:ascii="Amiri" w:hAnsi="Amiri" w:eastAsia="Amiri" w:cs="Amiri"/>
          <w:color w:val="111111"/>
          <w:sz w:val="28"/>
          <w:sz w:val="28"/>
          <w:szCs w:val="28"/>
          <w:rtl w:val="true"/>
          <w:lang w:bidi="ar-SA"/>
        </w:rPr>
        <w:t xml:space="preserve">ضعيفة خالية عن الجابر، و الأولوية المتقدّمة </w:t>
      </w:r>
      <w:r>
        <w:rPr>
          <w:rStyle w:val="FootnoteAnchor"/>
          <w:rtl w:val="true"/>
        </w:rPr>
        <w:footnoteReference w:id="883"/>
      </w:r>
      <w:r>
        <w:rPr>
          <w:rFonts w:ascii="Amiri" w:hAnsi="Amiri" w:eastAsia="Amiri" w:cs="Amiri"/>
          <w:color w:val="111111"/>
          <w:sz w:val="28"/>
          <w:sz w:val="28"/>
          <w:szCs w:val="28"/>
          <w:rtl w:val="true"/>
          <w:lang w:bidi="ar-SA"/>
        </w:rPr>
        <w:t xml:space="preserve">غير جارية هنا، و شبهة انصراف إطلاقات أخبار القضاء بفعل المفطر </w:t>
      </w:r>
      <w:r>
        <w:rPr>
          <w:rStyle w:val="FootnoteAnchor"/>
          <w:rtl w:val="true"/>
        </w:rPr>
        <w:footnoteReference w:id="884"/>
      </w:r>
      <w:r>
        <w:rPr>
          <w:rFonts w:ascii="IRNazanin" w:hAnsi="IRNazanin" w:eastAsia="IRNazanin"/>
          <w:color w:val="111111"/>
          <w:sz w:val="28"/>
          <w:sz w:val="28"/>
          <w:szCs w:val="28"/>
          <w:rtl w:val="true"/>
          <w:lang w:bidi="fa-IR"/>
        </w:rPr>
        <w:t>و اختصاصها بمن فعله مع العلم بالنهار هنا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الاحتياط لا ينبغي تركه سيّما في صورة الشك، بل الحكم بالوجوب لا يخلو عن قوّة، للتعليل في الرواية </w:t>
      </w:r>
      <w:r>
        <w:rPr>
          <w:rStyle w:val="FootnoteAnchor"/>
          <w:rtl w:val="true"/>
        </w:rPr>
        <w:footnoteReference w:id="885"/>
      </w:r>
      <w:r>
        <w:rPr>
          <w:rFonts w:ascii="Amiri" w:hAnsi="Amiri" w:eastAsia="Amiri" w:cs="Amiri"/>
          <w:color w:val="111111"/>
          <w:sz w:val="28"/>
          <w:sz w:val="28"/>
          <w:szCs w:val="28"/>
          <w:rtl w:val="true"/>
          <w:lang w:bidi="ar-SA"/>
        </w:rPr>
        <w:t xml:space="preserve">المنجبرة بإطلاق الإجماعين المحكيين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لو قلنا بجواز التقليد لغير القادر على المراعاة و عدم وجوب الصبر عليه إلى أن يتيقّن الغروب، و مثله شهادة العدلين، و أمّا لو قلنا بعدم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الحكم بلزوم القضاء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الأكل قبل دخول الليل، فيشمله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إطلاقات لزوم القضاء بفعل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دعوى شمول إطلاقات الكفّارة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الأصل و عدم الجابر للتعليل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ذهاب المشهور إلى وجوب القضاء في كلّ موضع</w:t>
      </w:r>
    </w:p>
    <w:p>
      <w:pPr>
        <w:pStyle w:val="BookText"/>
        <w:rPr/>
      </w:pPr>
      <w:r>
        <w:rPr>
          <w:rFonts w:ascii="Amiri" w:hAnsi="Amiri" w:eastAsia="Amiri" w:cs="Amiri"/>
          <w:color w:val="111111"/>
          <w:sz w:val="28"/>
          <w:sz w:val="28"/>
          <w:szCs w:val="28"/>
          <w:rtl w:val="true"/>
          <w:lang w:bidi="ar-SA"/>
        </w:rPr>
        <w:t xml:space="preserve">لا يجوز للشخص الإقدام على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و إن لم يكن ذهاب المشهور في هذه المسألة إلى عدم جواز الإفطار لهذا العاجز عن المراعاة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انصراف إطلاقات لزوم القضاء بفعل المفطر </w:t>
      </w:r>
      <w:r>
        <w:rPr>
          <w:rStyle w:val="FootnoteAnchor"/>
          <w:rtl w:val="true"/>
        </w:rPr>
        <w:footnoteReference w:id="889"/>
      </w:r>
      <w:r>
        <w:rPr>
          <w:rFonts w:ascii="IRNazanin" w:hAnsi="IRNazanin" w:eastAsia="IRNazanin"/>
          <w:color w:val="111111"/>
          <w:sz w:val="28"/>
          <w:sz w:val="28"/>
          <w:szCs w:val="28"/>
          <w:rtl w:val="true"/>
          <w:lang w:bidi="fa-IR"/>
        </w:rPr>
        <w:t xml:space="preserve">لما </w:t>
      </w:r>
      <w:r>
        <w:rPr>
          <w:rStyle w:val="FootnoteAnchor"/>
          <w:rtl w:val="true"/>
        </w:rPr>
        <w:footnoteReference w:id="890"/>
      </w:r>
      <w:r>
        <w:rPr>
          <w:rFonts w:ascii="Amiri" w:hAnsi="Amiri" w:eastAsia="Amiri" w:cs="Amiri"/>
          <w:color w:val="111111"/>
          <w:sz w:val="28"/>
          <w:sz w:val="28"/>
          <w:szCs w:val="28"/>
          <w:rtl w:val="true"/>
          <w:lang w:bidi="ar-SA"/>
        </w:rPr>
        <w:t>نحن فيه و كذلك إطلاقات لزوم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وجوب القضاء في صورة الشك قويّ، بل أولى من الصورة السابقة </w:t>
      </w:r>
      <w:r>
        <w:rPr>
          <w:rStyle w:val="FootnoteAnchor"/>
          <w:rtl w:val="true"/>
        </w:rPr>
        <w:footnoteReference w:id="891"/>
      </w:r>
      <w:r>
        <w:rPr>
          <w:rFonts w:ascii="Amiri" w:hAnsi="Amiri" w:eastAsia="Amiri" w:cs="Amiri"/>
          <w:color w:val="111111"/>
          <w:sz w:val="28"/>
          <w:sz w:val="28"/>
          <w:szCs w:val="28"/>
          <w:rtl w:val="true"/>
          <w:lang w:bidi="ar-SA"/>
        </w:rPr>
        <w:t>لما عرفت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الإفطار مع الغلط للظلمة الموهمة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كذلك لو أريد بالوهم معناه المعروف، أعني الطرف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إطلاقات لزوم القضاء بفعل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هنا دعوى الاختصاص بغير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فحوى </w:t>
      </w:r>
      <w:r>
        <w:rPr>
          <w:rStyle w:val="FootnoteAnchor"/>
          <w:rtl w:val="true"/>
        </w:rPr>
        <w:footnoteReference w:id="892"/>
      </w:r>
      <w:r>
        <w:rPr>
          <w:rFonts w:ascii="Amiri" w:hAnsi="Amiri" w:eastAsia="Amiri" w:cs="Amiri"/>
          <w:color w:val="111111"/>
          <w:sz w:val="28"/>
          <w:sz w:val="28"/>
          <w:szCs w:val="28"/>
          <w:rtl w:val="true"/>
          <w:lang w:bidi="ar-SA"/>
        </w:rPr>
        <w:t>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المنجبرة بفحوى الإجماعين المحكيين عن الغنية و الخلاف </w:t>
      </w:r>
      <w:r>
        <w:rPr>
          <w:rStyle w:val="FootnoteAnchor"/>
          <w:rtl w:val="true"/>
        </w:rPr>
        <w:footnoteReference w:id="894"/>
      </w:r>
      <w:r>
        <w:rPr>
          <w:rFonts w:ascii="Amiri" w:hAnsi="Amiri" w:eastAsia="Amiri" w:cs="Amiri"/>
          <w:color w:val="111111"/>
          <w:sz w:val="28"/>
          <w:sz w:val="28"/>
          <w:szCs w:val="28"/>
          <w:rtl w:val="true"/>
          <w:lang w:bidi="ar-SA"/>
        </w:rPr>
        <w:t xml:space="preserve">و فحوى الأخبار في مسألة الغلط بعدم طلوع الفجر </w:t>
      </w:r>
      <w:r>
        <w:rPr>
          <w:rStyle w:val="FootnoteAnchor"/>
          <w:rtl w:val="true"/>
        </w:rPr>
        <w:footnoteReference w:id="895"/>
      </w:r>
      <w:r>
        <w:rPr>
          <w:rFonts w:ascii="Amiri" w:hAnsi="Amiri" w:eastAsia="Amiri" w:cs="Amiri"/>
          <w:color w:val="111111"/>
          <w:sz w:val="28"/>
          <w:sz w:val="28"/>
          <w:szCs w:val="28"/>
          <w:rtl w:val="true"/>
          <w:lang w:bidi="ar-SA"/>
        </w:rPr>
        <w:t>، بل الحكم بوجوب الكفّارة لا يخلو عن قوّة، لإطلاقاتها الشاملة لصورة الإفطار مع الظنّ ببقاء النهار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أريد به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و فهمه </w:t>
      </w:r>
      <w:r>
        <w:rPr>
          <w:rStyle w:val="FootnoteAnchor"/>
          <w:rtl w:val="true"/>
        </w:rPr>
        <w:footnoteReference w:id="896"/>
      </w:r>
      <w:r>
        <w:rPr>
          <w:rFonts w:ascii="Amiri" w:hAnsi="Amiri" w:eastAsia="Amiri" w:cs="Amiri"/>
          <w:color w:val="111111"/>
          <w:sz w:val="28"/>
          <w:sz w:val="28"/>
          <w:szCs w:val="28"/>
          <w:rtl w:val="true"/>
          <w:lang w:bidi="ar-SA"/>
        </w:rPr>
        <w:t>جماعة في هذا المقام من</w:t>
      </w:r>
    </w:p>
    <w:p>
      <w:pPr>
        <w:pStyle w:val="BookText"/>
        <w:rPr/>
      </w:pPr>
      <w:r>
        <w:rPr>
          <w:rFonts w:ascii="Amiri" w:hAnsi="Amiri" w:eastAsia="Amiri" w:cs="Amiri"/>
          <w:color w:val="111111"/>
          <w:sz w:val="28"/>
          <w:sz w:val="28"/>
          <w:szCs w:val="28"/>
          <w:rtl w:val="true"/>
          <w:lang w:bidi="ar-SA"/>
        </w:rPr>
        <w:t>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سماعة المتقدّمة </w:t>
      </w:r>
      <w:r>
        <w:rPr>
          <w:rStyle w:val="FootnoteAnchor"/>
          <w:rtl w:val="true"/>
        </w:rPr>
        <w:footnoteReference w:id="897"/>
      </w:r>
      <w:r>
        <w:rPr>
          <w:rFonts w:ascii="Amiri" w:hAnsi="Amiri" w:eastAsia="Amiri" w:cs="Amiri"/>
          <w:color w:val="111111"/>
          <w:sz w:val="28"/>
          <w:sz w:val="28"/>
          <w:szCs w:val="28"/>
          <w:rtl w:val="true"/>
          <w:lang w:bidi="ar-SA"/>
        </w:rPr>
        <w:t>معتضدة بالعمومات الدالّة على وجوب القضاء عند حصول أحد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العمل بالرواية مشكل، لا </w:t>
      </w:r>
      <w:r>
        <w:rPr>
          <w:rStyle w:val="FootnoteAnchor"/>
          <w:rtl w:val="true"/>
        </w:rPr>
        <w:footnoteReference w:id="898"/>
      </w:r>
      <w:r>
        <w:rPr>
          <w:rFonts w:ascii="Amiri" w:hAnsi="Amiri" w:eastAsia="Amiri" w:cs="Amiri"/>
          <w:color w:val="111111"/>
          <w:sz w:val="28"/>
          <w:sz w:val="28"/>
          <w:szCs w:val="28"/>
          <w:rtl w:val="true"/>
          <w:lang w:bidi="ar-SA"/>
        </w:rPr>
        <w:t>لما زعم من احتمال إرادة وجوب الإتمام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أكل بعد ظهور بقاء النهار فعليه القضاء</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و استشهد عليه </w:t>
      </w:r>
      <w:r>
        <w:rPr>
          <w:rStyle w:val="FootnoteAnchor"/>
          <w:rtl w:val="true"/>
        </w:rPr>
        <w:footnoteReference w:id="90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غاية البعد من مدلول اللفظ،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القضاء، و لا ينافيه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تعمّد الأكل مع </w:t>
      </w:r>
      <w:r>
        <w:rPr>
          <w:rStyle w:val="FootnoteAnchor"/>
          <w:rtl w:val="true"/>
        </w:rPr>
        <w:footnoteReference w:id="901"/>
      </w:r>
      <w:r>
        <w:rPr>
          <w:rFonts w:ascii="IRNazanin" w:hAnsi="IRNazanin" w:eastAsia="IRNazanin"/>
          <w:color w:val="111111"/>
          <w:sz w:val="28"/>
          <w:sz w:val="28"/>
          <w:szCs w:val="28"/>
          <w:rtl w:val="true"/>
          <w:lang w:bidi="fa-IR"/>
        </w:rPr>
        <w:t>ظهور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يصدق الإفطار متعمّدا، و إن لم يبعد صدقة أيضا إذا قلنا بعدم جواز التعويل على الظنّ و وجوب ترتيب آثار بقاء النهار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لما زعم من معارضتها بما هو أخصّ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الدالّة على عدم وجوب القضاء مع الظنّ بدخول الليل</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حيث انّ هذه الرواية تعمّ صورة الظن و غيرها،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فرأوا أنّه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المراد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الراجح بدخول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Style w:val="FootnoteAnchor"/>
          <w:rtl w:val="true"/>
        </w:rPr>
        <w:footnoteReference w:id="903"/>
      </w:r>
      <w:r>
        <w:rPr>
          <w:rFonts w:ascii="Amiri" w:hAnsi="Amiri" w:eastAsia="Amiri" w:cs="Amiri"/>
          <w:color w:val="111111"/>
          <w:sz w:val="28"/>
          <w:sz w:val="28"/>
          <w:szCs w:val="28"/>
          <w:rtl w:val="true"/>
          <w:lang w:bidi="ar-SA"/>
        </w:rPr>
        <w:t xml:space="preserve">لخلو الرواية </w:t>
      </w:r>
      <w:r>
        <w:rPr>
          <w:rStyle w:val="FootnoteAnchor"/>
          <w:rtl w:val="true"/>
        </w:rPr>
        <w:footnoteReference w:id="904"/>
      </w:r>
      <w:r>
        <w:rPr>
          <w:rFonts w:ascii="Amiri" w:hAnsi="Amiri" w:eastAsia="Amiri" w:cs="Amiri"/>
          <w:color w:val="111111"/>
          <w:sz w:val="28"/>
          <w:sz w:val="28"/>
          <w:szCs w:val="28"/>
          <w:rtl w:val="true"/>
          <w:lang w:bidi="ar-SA"/>
        </w:rPr>
        <w:t>عن الجابر، و لا دليل على وجوب العمل بها حينئذ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حكيت الشهرة العظيمة على مضمونها، بل قد يدّعى شمول ما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الإجماعين المحكيين عن الخلاف و الغنية</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لهما، بناء على إرادة </w:t>
      </w:r>
      <w:r>
        <w:rPr>
          <w:rStyle w:val="FootnoteAnchor"/>
          <w:rtl w:val="true"/>
        </w:rPr>
        <w:footnoteReference w:id="906"/>
      </w:r>
      <w:r>
        <w:rPr>
          <w:rFonts w:ascii="Amiri" w:hAnsi="Amiri" w:eastAsia="Amiri" w:cs="Amiri"/>
          <w:color w:val="111111"/>
          <w:sz w:val="28"/>
          <w:sz w:val="28"/>
          <w:szCs w:val="28"/>
          <w:rtl w:val="true"/>
          <w:lang w:bidi="ar-SA"/>
        </w:rPr>
        <w:t xml:space="preserve">مطلق الاحتمال من الشك في عبارتهما، لكن شي‌ء من ذلك لم يصل </w:t>
      </w:r>
      <w:r>
        <w:rPr>
          <w:rStyle w:val="FootnoteAnchor"/>
          <w:rtl w:val="true"/>
        </w:rPr>
        <w:footnoteReference w:id="907"/>
      </w:r>
      <w:r>
        <w:rPr>
          <w:rFonts w:ascii="Amiri" w:hAnsi="Amiri" w:eastAsia="Amiri" w:cs="Amiri"/>
          <w:color w:val="111111"/>
          <w:sz w:val="28"/>
          <w:sz w:val="28"/>
          <w:szCs w:val="28"/>
          <w:rtl w:val="true"/>
          <w:lang w:bidi="ar-SA"/>
        </w:rPr>
        <w:t>إلى حدّ يوجب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معارضتها بالروايات الدالّة على عدم وجوب القضاء مع الظنّ بدخول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الصلاة، و مضى صومك</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يتأمّل في دلالة مضيّ الصوم على نفي وجوب القضاء، لاحتمال إرادة البطلان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صام،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أنّ الشمس قد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غيم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ثم إنّ السحاب انجلى فإذا الشمس لم 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 لا يقضيه</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زيد الشحّام،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ثمّ ظنّ أنّ الليل قد دخل و أن الشمس قد غابت، و كان في السماء سحاب، فأفطر، ثم إنّ السحاب انجلى فإذا الشمس لم 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صومه و لا يقضيه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bookmarkStart w:id="45" w:name="pg19900_214621"/>
    </w:p>
    <w:p>
      <w:pPr>
        <w:pStyle w:val="BookText"/>
        <w:rPr/>
      </w:pPr>
      <w:bookmarkEnd w:id="4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الرجل </w:t>
      </w:r>
      <w:r>
        <w:rPr>
          <w:rStyle w:val="FootnoteAnchor"/>
          <w:rtl w:val="true"/>
        </w:rPr>
        <w:footnoteReference w:id="913"/>
      </w:r>
      <w:r>
        <w:rPr>
          <w:rFonts w:ascii="Amiri" w:hAnsi="Amiri" w:eastAsia="Amiri" w:cs="Amiri"/>
          <w:color w:val="111111"/>
          <w:sz w:val="28"/>
          <w:sz w:val="28"/>
          <w:szCs w:val="28"/>
          <w:rtl w:val="true"/>
          <w:lang w:bidi="ar-SA"/>
        </w:rPr>
        <w:t>ظنّ أن الشمس قد غابت فأفطر ثم أبصر الشمس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يرجّح هذه بمخالفتها لمذهب العامّة، و موافقة </w:t>
      </w:r>
      <w:r>
        <w:rPr>
          <w:rStyle w:val="FootnoteAnchor"/>
          <w:rtl w:val="true"/>
        </w:rPr>
        <w:footnoteReference w:id="915"/>
      </w:r>
      <w:r>
        <w:rPr>
          <w:rFonts w:ascii="Amiri" w:hAnsi="Amiri" w:eastAsia="Amiri" w:cs="Amiri"/>
          <w:color w:val="111111"/>
          <w:sz w:val="28"/>
          <w:sz w:val="28"/>
          <w:szCs w:val="28"/>
          <w:rtl w:val="true"/>
          <w:lang w:bidi="ar-SA"/>
        </w:rPr>
        <w:t xml:space="preserve">رواية سماعة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المنتهى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المرجّح المحكي، معارض بما يحكى من الشهرة العظيمة و الإجماعين المحكيّين، على أحد الاحتمالين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إطلاقات وجوب القضاء،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فالمسألة محلّ إشكال و لا ينبغي ترك الاحتياط</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2061638_2314609296"/>
      <w:bookmarkStart w:id="47" w:name="_Toc18"/>
      <w:bookmarkEnd w:id="46"/>
      <w:r>
        <w:rPr>
          <w:rtl w:val="true"/>
        </w:rPr>
        <w:t>[</w:t>
      </w:r>
      <w:r>
        <w:rPr>
          <w:rtl w:val="true"/>
        </w:rPr>
        <w:t>الإفطار بسبب الظن بالغروب</w:t>
      </w:r>
      <w:r>
        <w:rPr>
          <w:rtl w:val="true"/>
        </w:rPr>
        <w:t>]</w:t>
      </w:r>
      <w:bookmarkEnd w:id="47"/>
    </w:p>
    <w:p>
      <w:pPr>
        <w:pStyle w:val="BookText"/>
        <w:rPr/>
      </w:pPr>
      <w:r>
        <w:rPr>
          <w:rFonts w:ascii="Amiri" w:hAnsi="Amiri" w:eastAsia="Amiri" w:cs="Amiri"/>
          <w:color w:val="111111"/>
          <w:sz w:val="28"/>
          <w:sz w:val="28"/>
          <w:szCs w:val="28"/>
          <w:rtl w:val="true"/>
          <w:lang w:bidi="ar-SA"/>
        </w:rPr>
        <w:t xml:space="preserve">و لو ظنّ من غير جهة الظلمة الموهمة لم يفطر </w:t>
      </w:r>
      <w:r>
        <w:rPr>
          <w:rStyle w:val="FootnoteAnchor"/>
          <w:rtl w:val="true"/>
        </w:rPr>
        <w:footnoteReference w:id="919"/>
      </w:r>
      <w:r>
        <w:rPr>
          <w:rFonts w:ascii="Amiri" w:hAnsi="Amiri" w:eastAsia="Amiri" w:cs="Amiri"/>
          <w:color w:val="111111"/>
          <w:sz w:val="28"/>
          <w:sz w:val="28"/>
          <w:szCs w:val="28"/>
          <w:rtl w:val="true"/>
          <w:lang w:bidi="ar-SA"/>
        </w:rPr>
        <w:t>أي لم يفسد الصوم إمّا لأجل إذن الشارع في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المرء متعبّد بظنّه، بل ادّعى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عدم الخلاف في جواز التعويل على الظن حيث لا طريق إلى العلم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يتعقّبه قضاء، نظرا إلى أنّ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ظنّ أنّه الليل، فقد أتى بالصوم الشرعي، و لازمة الإجزاء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إعادة الصلاة إذا فعلت قبل الوقت بظنّ دخول الوقت فللدليل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إمكان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القضاء يحتاج إلى فرض جديد و لم يثبت، لاختصاص رواية سماعة </w:t>
      </w:r>
      <w:r>
        <w:rPr>
          <w:rStyle w:val="FootnoteAnchor"/>
          <w:rtl w:val="true"/>
        </w:rPr>
        <w:footnoteReference w:id="921"/>
      </w:r>
      <w:r>
        <w:rPr>
          <w:rFonts w:ascii="Amiri" w:hAnsi="Amiri" w:eastAsia="Amiri" w:cs="Amiri"/>
          <w:color w:val="111111"/>
          <w:sz w:val="28"/>
          <w:sz w:val="28"/>
          <w:szCs w:val="28"/>
          <w:rtl w:val="true"/>
          <w:lang w:bidi="ar-SA"/>
        </w:rPr>
        <w:t>بالظلمة الموهمة، و الكلام في الظنّ الحاصل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القضاء بوجود </w:t>
      </w:r>
      <w:r>
        <w:rPr>
          <w:rStyle w:val="FootnoteAnchor"/>
          <w:rtl w:val="true"/>
        </w:rPr>
        <w:footnoteReference w:id="922"/>
      </w:r>
      <w:r>
        <w:rPr>
          <w:rFonts w:ascii="IRNazanin" w:hAnsi="IRNazanin" w:eastAsia="IRNazanin"/>
          <w:color w:val="111111"/>
          <w:sz w:val="28"/>
          <w:sz w:val="28"/>
          <w:szCs w:val="28"/>
          <w:rtl w:val="true"/>
          <w:lang w:bidi="fa-IR"/>
        </w:rPr>
        <w:t xml:space="preserve">الأسباب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منصرفة إلى ما إذا </w:t>
      </w:r>
      <w:r>
        <w:rPr>
          <w:rStyle w:val="FootnoteAnchor"/>
          <w:rtl w:val="true"/>
        </w:rPr>
        <w:footnoteReference w:id="924"/>
      </w:r>
      <w:r>
        <w:rPr>
          <w:rFonts w:ascii="Amiri" w:hAnsi="Amiri" w:eastAsia="Amiri" w:cs="Amiri"/>
          <w:color w:val="111111"/>
          <w:sz w:val="28"/>
          <w:sz w:val="28"/>
          <w:szCs w:val="28"/>
          <w:rtl w:val="true"/>
          <w:lang w:bidi="ar-SA"/>
        </w:rPr>
        <w:t>لم يأذن الشارع فيها، و الإذن حاصل هنا، بل مختصّة بما إذا حصل في النهار، و المفروض أنّ زمان الإفطار في حكم الليل لهذا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متعبّد بظنّه، و ظنّه بدل من الواقع بجعل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 لأجل خصوص </w:t>
      </w:r>
      <w:r>
        <w:rPr>
          <w:rStyle w:val="FootnoteAnchor"/>
          <w:rtl w:val="true"/>
        </w:rPr>
        <w:footnoteReference w:id="925"/>
      </w:r>
      <w:r>
        <w:rPr>
          <w:rFonts w:ascii="Amiri" w:hAnsi="Amiri" w:eastAsia="Amiri" w:cs="Amiri"/>
          <w:color w:val="111111"/>
          <w:sz w:val="28"/>
          <w:sz w:val="28"/>
          <w:szCs w:val="28"/>
          <w:rtl w:val="true"/>
          <w:lang w:bidi="ar-SA"/>
        </w:rPr>
        <w:t>روايتي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الأوّل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تعبّد المرء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طريق إلى تحصيل العلم في زمان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يجب عليه الصبر إلى حصول اليقين بالغروب كما حكي عن المفيد رحمه اللّٰه </w:t>
      </w:r>
      <w:r>
        <w:rPr>
          <w:rStyle w:val="FootnoteAnchor"/>
          <w:rtl w:val="true"/>
        </w:rPr>
        <w:footnoteReference w:id="927"/>
      </w:r>
      <w:r>
        <w:rPr>
          <w:rFonts w:ascii="Amiri" w:hAnsi="Amiri" w:eastAsia="Amiri" w:cs="Amiri"/>
          <w:color w:val="111111"/>
          <w:sz w:val="28"/>
          <w:sz w:val="28"/>
          <w:szCs w:val="28"/>
          <w:rtl w:val="true"/>
          <w:lang w:bidi="ar-SA"/>
        </w:rPr>
        <w:t xml:space="preserve">لعدم الدليل عقلا و لا نقلا عدا روايتي زرارة على وجوب العمل بالظن، سيّما مع إمكان تحصيل العلم كما هو المطلوب </w:t>
      </w:r>
      <w:r>
        <w:rPr>
          <w:rStyle w:val="FootnoteAnchor"/>
          <w:rtl w:val="true"/>
        </w:rPr>
        <w:footnoteReference w:id="928"/>
      </w:r>
      <w:r>
        <w:rPr>
          <w:rFonts w:ascii="Amiri" w:hAnsi="Amiri" w:eastAsia="Amiri" w:cs="Amiri"/>
          <w:color w:val="111111"/>
          <w:sz w:val="28"/>
          <w:sz w:val="28"/>
          <w:szCs w:val="28"/>
          <w:rtl w:val="true"/>
          <w:lang w:bidi="ar-SA"/>
        </w:rPr>
        <w:t>و مقتضى إطلاق عبارة المصنف رضي اللّٰه عنه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إذن الشارع في الإفطار لا يدلّ على عدم وجوب القضاء، غايته نفي الإثم، و ليس فيما دلّ على جواز العمل بالظن دلالة على أزيد من ذلك،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فإذا قطع بدخول الليل فانكشف</w:t>
      </w:r>
    </w:p>
    <w:p>
      <w:pPr>
        <w:pStyle w:val="BookText"/>
        <w:rPr/>
      </w:pPr>
      <w:r>
        <w:rPr>
          <w:rFonts w:ascii="Amiri" w:hAnsi="Amiri" w:eastAsia="Amiri" w:cs="Amiri"/>
          <w:color w:val="111111"/>
          <w:sz w:val="28"/>
          <w:sz w:val="28"/>
          <w:szCs w:val="28"/>
          <w:rtl w:val="true"/>
          <w:lang w:bidi="ar-SA"/>
        </w:rPr>
        <w:t>كونه جهلا مركبا، فلا يبعد الحكم بوجوب القضاء إذا دلّ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ضير في نفي القضاء من جهة ادّعاء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دلالة تجويز العمل بالظن أو القطع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فإقحام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المرء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مع التشبّث بذيل أصالة البراءة و كون القضاء بأمر جديد، بعد ادّعاء انصراف إطلاقات وجوب القضاء إلى غير صورة الظن المجوّز للعمل من جانب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الدليل على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و روايتا زرارة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القدح في أولاهما بمخالفتها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 الشامل لصورتي الشك و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للشهرة العظيمة، بل الإجماع، فاسد، لأنّ الظاهر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ما غاب القرص في علمك أو في ظنك، لعدم جواز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غاب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احتمال 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غاب بحسب احتمالك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يصدق عند الرؤية بعد الشك أو الوهم أنّه رآه بعد ما غاب، إذ 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غيبوبته عن البصر، بل غيبوبته عن الأفق، إمّا واقعا أو بحسب اعتقاد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 المغرب إذا غاب القرص عن البصر مطلقا، خرج منه ما إذا غاب عن البصر و قطع بوجوده فوق الأفق، لا تخفى بشاعته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كلّه فالاحتياط ممّا لا ينبغي تركه، لحكاية الشهرة العظيمة على وجوب القضاء، بل الإجماع عن الخلاف و الغنية </w:t>
      </w:r>
      <w:r>
        <w:rPr>
          <w:rStyle w:val="FootnoteAnchor"/>
          <w:rtl w:val="true"/>
        </w:rPr>
        <w:footnoteReference w:id="930"/>
      </w:r>
      <w:r>
        <w:rPr>
          <w:rFonts w:ascii="Amiri" w:hAnsi="Amiri" w:eastAsia="Amiri" w:cs="Amiri"/>
          <w:color w:val="111111"/>
          <w:sz w:val="28"/>
          <w:sz w:val="28"/>
          <w:szCs w:val="28"/>
          <w:rtl w:val="true"/>
          <w:lang w:bidi="ar-SA"/>
        </w:rPr>
        <w:t xml:space="preserve">بناء على إرادة مطلق الاحتمال من الشك في عبارتهما و إن كان غاية ذلك سقوط روايتي زرارة </w:t>
      </w:r>
      <w:r>
        <w:rPr>
          <w:rStyle w:val="FootnoteAnchor"/>
          <w:rtl w:val="true"/>
        </w:rPr>
        <w:footnoteReference w:id="931"/>
      </w:r>
      <w:r>
        <w:rPr>
          <w:rFonts w:ascii="IRNazanin" w:hAnsi="IRNazanin" w:eastAsia="IRNazanin"/>
          <w:color w:val="111111"/>
          <w:sz w:val="28"/>
          <w:sz w:val="28"/>
          <w:szCs w:val="28"/>
          <w:rtl w:val="true"/>
          <w:lang w:bidi="fa-IR"/>
        </w:rPr>
        <w:t>عن</w:t>
      </w:r>
      <w:bookmarkStart w:id="48" w:name="pg19900_214624"/>
    </w:p>
    <w:p>
      <w:pPr>
        <w:pStyle w:val="BookText"/>
        <w:rPr/>
      </w:pPr>
      <w:bookmarkEnd w:id="48"/>
      <w:r>
        <w:rPr>
          <w:rFonts w:ascii="Amiri" w:hAnsi="Amiri" w:eastAsia="Amiri" w:cs="Amiri"/>
          <w:color w:val="111111"/>
          <w:sz w:val="28"/>
          <w:sz w:val="28"/>
          <w:szCs w:val="28"/>
          <w:rtl w:val="true"/>
          <w:lang w:bidi="ar-SA"/>
        </w:rPr>
        <w:t>العمل، لكن الأصل باق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يتشبّث بإطلاقات وجوب القضاء و إن كان للتأمّل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دعوى الانصراف، فتأمّل فإنّ المسألة من المشكلات حيث انّ كثيرا منهم من فرّق بين الظلمة الموهمة و غيره من أسباب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فرّق بين مراتب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حمل الظلمة الموهمة على الموجبة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لم يفرق بين الأمرين، إمّا في الحكم بوجوب القضاء و إمّا في الحكم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بعضهم جعل الأشهر وجوب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يحضرني من كتب الأصحاب رحمهم اللّٰه </w:t>
      </w:r>
      <w:r>
        <w:rPr>
          <w:rStyle w:val="FootnoteAnchor"/>
          <w:rtl w:val="true"/>
        </w:rPr>
        <w:footnoteReference w:id="932"/>
      </w:r>
      <w:r>
        <w:rPr>
          <w:rFonts w:ascii="Amiri" w:hAnsi="Amiri" w:eastAsia="Amiri" w:cs="Amiri"/>
          <w:color w:val="111111"/>
          <w:sz w:val="28"/>
          <w:sz w:val="28"/>
          <w:szCs w:val="28"/>
          <w:rtl w:val="true"/>
          <w:lang w:bidi="ar-SA"/>
        </w:rPr>
        <w:t>قدر كثير حتى أتتبّع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هدانا اللّٰه الصراط المستقيم، بمحمد و آله الطاهرين صلوات اللّٰه عليهم أجمعين، و عجّل اللّٰه فرجهم لنكون في عافية و هداية، آمين ربّ العالمين</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2061640_2314609296"/>
      <w:bookmarkStart w:id="50" w:name="_Toc19"/>
      <w:bookmarkEnd w:id="49"/>
      <w:r>
        <w:rPr>
          <w:rtl w:val="true"/>
        </w:rPr>
        <w:t>[</w:t>
      </w:r>
      <w:r>
        <w:rPr>
          <w:rtl w:val="true"/>
        </w:rPr>
        <w:t>التقليد في عدم الطلوع مع قدرة المراعاة</w:t>
      </w:r>
      <w:r>
        <w:rPr>
          <w:rtl w:val="true"/>
        </w:rPr>
        <w:t>]</w:t>
      </w:r>
      <w:bookmarkEnd w:id="50"/>
    </w:p>
    <w:p>
      <w:pPr>
        <w:pStyle w:val="BookText"/>
        <w:rPr/>
      </w:pPr>
      <w:r>
        <w:rPr>
          <w:rFonts w:ascii="Amiri" w:hAnsi="Amiri" w:eastAsia="Amiri" w:cs="Amiri"/>
          <w:color w:val="111111"/>
          <w:sz w:val="28"/>
          <w:sz w:val="28"/>
          <w:szCs w:val="28"/>
          <w:rtl w:val="true"/>
          <w:lang w:bidi="ar-SA"/>
        </w:rPr>
        <w:t xml:space="preserve">و مما يوجب القضاء خاصة التقليد في عدم الطلوع مع قدرة المراعاة و يكون طالعا وقت تناوله </w:t>
      </w:r>
      <w:r>
        <w:rPr>
          <w:rStyle w:val="FootnoteAnchor"/>
          <w:rtl w:val="true"/>
        </w:rPr>
        <w:footnoteReference w:id="933"/>
      </w:r>
      <w:r>
        <w:rPr>
          <w:rFonts w:ascii="Amiri" w:hAnsi="Amiri" w:eastAsia="Amiri" w:cs="Amiri"/>
          <w:color w:val="111111"/>
          <w:sz w:val="28"/>
          <w:sz w:val="28"/>
          <w:szCs w:val="28"/>
          <w:rtl w:val="true"/>
          <w:lang w:bidi="ar-SA"/>
        </w:rPr>
        <w:t>على المشهور، بل الظاهر عدم الخلاف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رواية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 الجارية أن تنظر طلع الفجر أم 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فآكل ثم أنظر فأجده قد طلع حين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صومك و تقضيه </w:t>
      </w:r>
      <w:r>
        <w:rPr>
          <w:rStyle w:val="FootnoteAnchor"/>
          <w:rtl w:val="true"/>
        </w:rPr>
        <w:footnoteReference w:id="934"/>
      </w:r>
      <w:r>
        <w:rPr>
          <w:rFonts w:ascii="Amiri" w:hAnsi="Amiri" w:eastAsia="Amiri" w:cs="Amiri"/>
          <w:color w:val="111111"/>
          <w:sz w:val="28"/>
          <w:sz w:val="28"/>
          <w:szCs w:val="28"/>
          <w:rtl w:val="true"/>
          <w:lang w:bidi="ar-SA"/>
        </w:rPr>
        <w:t>أما أنك لو كنت أنت الّذي نظرت ما كان عليك قضاؤه</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احترز بالقيد عمّا لو لم يقدر على المراعاة، فإن عدم القضاء حينئذ </w:t>
      </w:r>
      <w:r>
        <w:rPr>
          <w:rStyle w:val="FootnoteAnchor"/>
          <w:rtl w:val="true"/>
        </w:rPr>
        <w:footnoteReference w:id="936"/>
      </w:r>
      <w:r>
        <w:rPr>
          <w:rFonts w:ascii="Amiri" w:hAnsi="Amiri" w:eastAsia="Amiri" w:cs="Amiri"/>
          <w:color w:val="111111"/>
          <w:sz w:val="28"/>
          <w:sz w:val="28"/>
          <w:szCs w:val="28"/>
          <w:rtl w:val="true"/>
          <w:lang w:bidi="ar-SA"/>
        </w:rPr>
        <w:t>قويّ، للأصل و عدم الدليل لظهور اختصاص الرواية بصورة القدرة على المراعاة، فلم يبق إلّا الإطلاقات الدالّة على وجوب القضاء بفعل المفطر، و قد عرفت مرارا اختصاصها بغير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وجوب القضاء مع التقليد للقادر على المراعاة بين العادل و الفاسق، لترك الاستفصال في الرواية و لا بين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اختصت الرواية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المتعدّد كالواحد؟ اختار جمع منهم الشهيدان </w:t>
      </w:r>
      <w:r>
        <w:rPr>
          <w:rStyle w:val="FootnoteAnchor"/>
          <w:rtl w:val="true"/>
        </w:rPr>
        <w:footnoteReference w:id="937"/>
      </w:r>
      <w:r>
        <w:rPr>
          <w:rFonts w:ascii="Amiri" w:hAnsi="Amiri" w:eastAsia="Amiri" w:cs="Amiri"/>
          <w:color w:val="111111"/>
          <w:sz w:val="28"/>
          <w:sz w:val="28"/>
          <w:szCs w:val="28"/>
          <w:rtl w:val="true"/>
          <w:lang w:bidi="ar-SA"/>
        </w:rPr>
        <w:t xml:space="preserve">و ثاني المحققين </w:t>
      </w:r>
      <w:r>
        <w:rPr>
          <w:rStyle w:val="FootnoteAnchor"/>
          <w:rtl w:val="true"/>
        </w:rPr>
        <w:footnoteReference w:id="938"/>
      </w:r>
      <w:r>
        <w:rPr>
          <w:rFonts w:ascii="Amiri" w:hAnsi="Amiri" w:eastAsia="Amiri" w:cs="Amiri"/>
          <w:color w:val="111111"/>
          <w:sz w:val="28"/>
          <w:sz w:val="28"/>
          <w:szCs w:val="28"/>
          <w:rtl w:val="true"/>
          <w:lang w:bidi="ar-SA"/>
        </w:rPr>
        <w:t>عدم الإلحاق و عدم القضاء في تقليدهما إذا كانا عدلين،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الدليل على حجّية شهادة العدلين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جماعة</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وجوده فهو مخصّص </w:t>
      </w:r>
      <w:r>
        <w:rPr>
          <w:rStyle w:val="FootnoteAnchor"/>
          <w:rtl w:val="true"/>
        </w:rPr>
        <w:footnoteReference w:id="940"/>
      </w:r>
      <w:r>
        <w:rPr>
          <w:rFonts w:ascii="Amiri" w:hAnsi="Amiri" w:eastAsia="Amiri" w:cs="Amiri"/>
          <w:color w:val="111111"/>
          <w:sz w:val="28"/>
          <w:sz w:val="28"/>
          <w:szCs w:val="28"/>
          <w:rtl w:val="true"/>
          <w:lang w:bidi="ar-SA"/>
        </w:rPr>
        <w:t xml:space="preserve">بذيل رواية معاوية </w:t>
      </w:r>
      <w:r>
        <w:rPr>
          <w:rStyle w:val="FootnoteAnchor"/>
          <w:rtl w:val="true"/>
        </w:rPr>
        <w:footnoteReference w:id="941"/>
      </w:r>
      <w:r>
        <w:rPr>
          <w:rFonts w:ascii="Amiri" w:hAnsi="Amiri" w:eastAsia="Amiri" w:cs="Amiri"/>
          <w:color w:val="111111"/>
          <w:sz w:val="28"/>
          <w:sz w:val="28"/>
          <w:szCs w:val="28"/>
          <w:rtl w:val="true"/>
          <w:lang w:bidi="ar-SA"/>
        </w:rPr>
        <w:t xml:space="preserve">الدالّة على حصر عدم </w:t>
      </w:r>
      <w:r>
        <w:rPr>
          <w:rStyle w:val="FootnoteAnchor"/>
          <w:rtl w:val="true"/>
        </w:rPr>
        <w:footnoteReference w:id="942"/>
      </w:r>
      <w:r>
        <w:rPr>
          <w:rFonts w:ascii="Amiri" w:hAnsi="Amiri" w:eastAsia="Amiri" w:cs="Amiri"/>
          <w:color w:val="111111"/>
          <w:sz w:val="28"/>
          <w:sz w:val="28"/>
          <w:szCs w:val="28"/>
          <w:rtl w:val="true"/>
          <w:lang w:bidi="ar-SA"/>
        </w:rPr>
        <w:t xml:space="preserve">وجوب القضاء في صورة مراعاته بنفسه، فيفيد </w:t>
      </w:r>
      <w:r>
        <w:rPr>
          <w:rStyle w:val="FootnoteAnchor"/>
          <w:rtl w:val="true"/>
        </w:rPr>
        <w:footnoteReference w:id="943"/>
      </w:r>
      <w:r>
        <w:rPr>
          <w:rFonts w:ascii="Amiri" w:hAnsi="Amiri" w:eastAsia="Amiri" w:cs="Amiri"/>
          <w:color w:val="111111"/>
          <w:sz w:val="28"/>
          <w:sz w:val="28"/>
          <w:szCs w:val="28"/>
          <w:rtl w:val="true"/>
          <w:lang w:bidi="ar-SA"/>
        </w:rPr>
        <w:t>وجوب القضاء في غير هذه الصورة مطلقا و لو شهد عدلان بعدم الطلوع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ذيل الرواية على عدم وجوب القضاء عند مراعاته بنفسه و لو مع كشف الخطأ غير ظاهرة، لجواز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كنت نظرت</w:t>
      </w:r>
      <w:bookmarkStart w:id="51" w:name="pg19900_214626"/>
    </w:p>
    <w:p>
      <w:pPr>
        <w:pStyle w:val="BookText"/>
        <w:rPr/>
      </w:pPr>
      <w:bookmarkEnd w:id="51"/>
      <w:r>
        <w:rPr>
          <w:rFonts w:ascii="Amiri" w:hAnsi="Amiri" w:eastAsia="Amiri" w:cs="Amiri"/>
          <w:color w:val="111111"/>
          <w:sz w:val="28"/>
          <w:sz w:val="28"/>
          <w:szCs w:val="28"/>
          <w:rtl w:val="true"/>
          <w:lang w:bidi="ar-SA"/>
        </w:rPr>
        <w:t>لم تخطأ في عدم الطلوع حتى يقع عليك قضاؤه، لأنّك أبصر منها في معرفة الطلوع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لكن النسبة بينه و بين ما دلّ على حجّية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فلا بد من الرجوع إلى الأصل، و هو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ذلك يجاب عن معارضة دليل قول </w:t>
      </w:r>
      <w:r>
        <w:rPr>
          <w:rStyle w:val="FootnoteAnchor"/>
          <w:rtl w:val="true"/>
        </w:rPr>
        <w:footnoteReference w:id="944"/>
      </w:r>
      <w:r>
        <w:rPr>
          <w:rFonts w:ascii="Amiri" w:hAnsi="Amiri" w:eastAsia="Amiri" w:cs="Amiri"/>
          <w:color w:val="111111"/>
          <w:sz w:val="28"/>
          <w:sz w:val="28"/>
          <w:szCs w:val="28"/>
          <w:rtl w:val="true"/>
          <w:lang w:bidi="ar-SA"/>
        </w:rPr>
        <w:t xml:space="preserve">العدلين، لعموم التعليل </w:t>
      </w:r>
      <w:r>
        <w:rPr>
          <w:rStyle w:val="FootnoteAnchor"/>
          <w:rtl w:val="true"/>
        </w:rPr>
        <w:footnoteReference w:id="945"/>
      </w:r>
      <w:r>
        <w:rPr>
          <w:rFonts w:ascii="Amiri" w:hAnsi="Amiri" w:eastAsia="Amiri" w:cs="Amiri"/>
          <w:color w:val="111111"/>
          <w:sz w:val="28"/>
          <w:sz w:val="28"/>
          <w:szCs w:val="28"/>
          <w:rtl w:val="true"/>
          <w:lang w:bidi="ar-SA"/>
        </w:rPr>
        <w:t xml:space="preserve">المذكور في رواية سماعة بن مهران المتقدّمة </w:t>
      </w:r>
      <w:r>
        <w:rPr>
          <w:rStyle w:val="FootnoteAnchor"/>
          <w:rtl w:val="true"/>
        </w:rPr>
        <w:footnoteReference w:id="946"/>
      </w:r>
      <w:r>
        <w:rPr>
          <w:rFonts w:ascii="Amiri" w:hAnsi="Amiri" w:eastAsia="Amiri" w:cs="Amiri"/>
          <w:color w:val="111111"/>
          <w:sz w:val="28"/>
          <w:sz w:val="28"/>
          <w:szCs w:val="28"/>
          <w:rtl w:val="true"/>
          <w:lang w:bidi="ar-SA"/>
        </w:rPr>
        <w:t>،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بدأ بالأكل قبل النظر فعليه الإعادة</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الذي يسهّل الخطب و يهوّن الأمر كلّه عدم العثور على ما يدلّ على حجّية قول العدلين على الإطلاق، فيبقى عموم هذا التعليل المؤيّد بذيل الرواية السابقة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يظهر الجواب عمّا جنح إليه بعض المتأخّرين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إخبار العدل الواحد في إسقاط القضاء، لعدم الدليل على وجوبه حينئذ، لاختصاص الرواية بخبر الجارية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التعليل مع ذيل الرواية كاف في الحكم بوجوب القضاء</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2061642_2314609296"/>
      <w:bookmarkStart w:id="53" w:name="_Toc20"/>
      <w:bookmarkEnd w:id="52"/>
      <w:r>
        <w:rPr>
          <w:rtl w:val="true"/>
        </w:rPr>
        <w:t>[</w:t>
      </w:r>
      <w:r>
        <w:rPr>
          <w:rtl w:val="true"/>
        </w:rPr>
        <w:t>ترك تقليد المخبر بالطلوع لظنّ كذبه</w:t>
      </w:r>
      <w:r>
        <w:rPr>
          <w:rtl w:val="true"/>
        </w:rPr>
        <w:t>]</w:t>
      </w:r>
      <w:bookmarkEnd w:id="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تقليد المخبر بعدم الطلوع ترك تقليد المخبر بالطلوع لظنّ كذبه</w:t>
      </w:r>
    </w:p>
    <w:p>
      <w:pPr>
        <w:pStyle w:val="BookText"/>
        <w:rPr/>
      </w:pPr>
      <w:r>
        <w:rPr>
          <w:rFonts w:ascii="Amiri" w:hAnsi="Amiri" w:eastAsia="Amiri" w:cs="Amiri"/>
          <w:color w:val="111111"/>
          <w:sz w:val="28"/>
          <w:sz w:val="28"/>
          <w:szCs w:val="28"/>
          <w:rtl w:val="true"/>
          <w:lang w:bidi="ar-SA"/>
        </w:rPr>
        <w:t xml:space="preserve">حالة التناول على المشهور </w:t>
      </w:r>
      <w:r>
        <w:rPr>
          <w:rStyle w:val="FootnoteAnchor"/>
          <w:rtl w:val="true"/>
        </w:rPr>
        <w:footnoteReference w:id="950"/>
      </w:r>
      <w:r>
        <w:rPr>
          <w:rFonts w:ascii="Amiri" w:hAnsi="Amiri" w:eastAsia="Amiri" w:cs="Amiri"/>
          <w:color w:val="111111"/>
          <w:sz w:val="28"/>
          <w:sz w:val="28"/>
          <w:szCs w:val="28"/>
          <w:rtl w:val="true"/>
          <w:lang w:bidi="ar-SA"/>
        </w:rPr>
        <w:t>بل الظاهر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المدارك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الشيخ، عن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خرج في شهر رمضان و أصحابه يتسحّرون في بيت، فنظر إلى الفجر، فناداهم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طلع الفجر</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فكفّ بعضهم و ظن بعضهم أنّه يسخر فأكل؟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قوما مجتمعين سألوا أحدهم أن يخرج،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طلع الفجر، و ظن أحدهم أنّه مزح فأكل و شرب، كان عليه قضاء ذلك اليوم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فحوى ما دلّ على وجوب القضاء إذا قلّد المخبر في عدم الطلوع، بل فحوى ما دل على القضاء مع عدم المراعاة إذا لم يخبره مخبر بشي‌ء، فإنّ غاية الأمر كون إخبار المخبر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أنّه لا اختصاص للحكم بصورة ظنّ كذب المخبر و تخصيصها في العبارة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للانتقال إلى حكم صورتي الشك و الوهم، فإنّ القضاء واجب فيهما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الكفارة مع القضاء؟ فيه أقوال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عدالة المخبر، بناء على وجوب التعويل عليه في دخول الوقت</w:t>
      </w:r>
      <w:r>
        <w:rPr>
          <w:rFonts w:eastAsia="Amiri" w:cs="Amiri" w:ascii="Amiri" w:hAnsi="Amiri"/>
          <w:color w:val="111111"/>
          <w:sz w:val="28"/>
          <w:szCs w:val="28"/>
          <w:rtl w:val="true"/>
          <w:lang w:bidi="ar-SA"/>
        </w:rPr>
        <w:t>.</w:t>
      </w:r>
      <w:bookmarkStart w:id="54" w:name="pg19900_214628"/>
    </w:p>
    <w:p>
      <w:pPr>
        <w:pStyle w:val="BookText"/>
        <w:rPr/>
      </w:pPr>
      <w:bookmarkEnd w:id="54"/>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العدلين دون غيرهما، بناء على كونهما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وجوب التعويل سيّما مع ظن الكذب، بل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الثاني مع وجود الدليل على كونهما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دعوى انصراف أدلّة وجوب الكفارة إلى صورة تعمّد الإفطار بحيث يعتقده </w:t>
      </w:r>
      <w:r>
        <w:rPr>
          <w:rStyle w:val="FootnoteAnchor"/>
          <w:rtl w:val="true"/>
        </w:rPr>
        <w:footnoteReference w:id="955"/>
      </w:r>
      <w:r>
        <w:rPr>
          <w:rFonts w:ascii="Amiri" w:hAnsi="Amiri" w:eastAsia="Amiri" w:cs="Amiri"/>
          <w:color w:val="111111"/>
          <w:sz w:val="28"/>
          <w:sz w:val="28"/>
          <w:szCs w:val="28"/>
          <w:rtl w:val="true"/>
          <w:lang w:bidi="ar-SA"/>
        </w:rPr>
        <w:t>أنّه إفطار، و حينئذ فالعدم أحسن</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2061644_2314609296"/>
      <w:bookmarkStart w:id="56" w:name="_Toc21"/>
      <w:bookmarkEnd w:id="55"/>
      <w:r>
        <w:rPr>
          <w:rtl w:val="true"/>
        </w:rPr>
        <w:t>[</w:t>
      </w:r>
      <w:r>
        <w:rPr>
          <w:rtl w:val="true"/>
        </w:rPr>
        <w:t>تعمّد القي‌ء</w:t>
      </w:r>
      <w:r>
        <w:rPr>
          <w:rtl w:val="true"/>
        </w:rPr>
        <w:t>]</w:t>
      </w:r>
      <w:bookmarkEnd w:id="56"/>
    </w:p>
    <w:p>
      <w:pPr>
        <w:pStyle w:val="BookText"/>
        <w:rPr/>
      </w:pPr>
      <w:r>
        <w:rPr>
          <w:rFonts w:ascii="Amiri" w:hAnsi="Amiri" w:eastAsia="Amiri" w:cs="Amiri"/>
          <w:color w:val="111111"/>
          <w:sz w:val="28"/>
          <w:sz w:val="28"/>
          <w:szCs w:val="28"/>
          <w:rtl w:val="true"/>
          <w:lang w:bidi="ar-SA"/>
        </w:rPr>
        <w:t>و كذا يفسد الصوم بحيث يوجب القضاء تعمّد القي‌ء على المشهور، بل حكي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رواه الشيخ، عن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تقيّأ الصائم فعليه قضاء ذلك اليوم، و إن ذرعه من غير أن يتقيّأ، فليتم صومه</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أخرى، عن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تقيّأ الصائم فقد أفطر </w:t>
      </w:r>
      <w:r>
        <w:rPr>
          <w:rStyle w:val="FootnoteAnchor"/>
          <w:rtl w:val="true"/>
        </w:rPr>
        <w:footnoteReference w:id="957"/>
      </w:r>
      <w:r>
        <w:rPr>
          <w:rFonts w:ascii="Amiri" w:hAnsi="Amiri" w:eastAsia="Amiri" w:cs="Amiri"/>
          <w:color w:val="111111"/>
          <w:sz w:val="28"/>
          <w:sz w:val="28"/>
          <w:szCs w:val="28"/>
          <w:rtl w:val="true"/>
          <w:lang w:bidi="ar-SA"/>
        </w:rPr>
        <w:t>و إن ذرعه من غير أن يتقيّأ فليتم صومه</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ابن إدريس </w:t>
      </w:r>
      <w:r>
        <w:rPr>
          <w:rStyle w:val="FootnoteAnchor"/>
          <w:rtl w:val="true"/>
        </w:rPr>
        <w:footnoteReference w:id="960"/>
      </w:r>
      <w:r>
        <w:rPr>
          <w:rFonts w:ascii="Amiri" w:hAnsi="Amiri" w:eastAsia="Amiri" w:cs="Amiri"/>
          <w:color w:val="111111"/>
          <w:sz w:val="28"/>
          <w:sz w:val="28"/>
          <w:szCs w:val="28"/>
          <w:rtl w:val="true"/>
          <w:lang w:bidi="ar-SA"/>
        </w:rPr>
        <w:t xml:space="preserve">حيث حرّمه من غير قضاء و لا كفارة، و لعلّه للأصل 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مطلقة محمولة على صورة عدم التعمّد، لشهادة ما ذكرنا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 و بين ما حكي من وجوب القضاء و الكفارة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للحكم بكونه مفطرا في الرواية السابقة </w:t>
      </w:r>
      <w:r>
        <w:rPr>
          <w:rStyle w:val="FootnoteAnchor"/>
          <w:rtl w:val="true"/>
        </w:rPr>
        <w:footnoteReference w:id="962"/>
      </w:r>
      <w:r>
        <w:rPr>
          <w:rFonts w:ascii="Amiri" w:hAnsi="Amiri" w:eastAsia="Amiri" w:cs="Amiri"/>
          <w:color w:val="111111"/>
          <w:sz w:val="28"/>
          <w:sz w:val="28"/>
          <w:szCs w:val="28"/>
          <w:rtl w:val="true"/>
          <w:lang w:bidi="ar-SA"/>
        </w:rPr>
        <w:t>فيشمله ما دلّ على وجوب الكفارة بفعل المفطر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بأنّ المتبادر من الإفطار الموجب للكفارة في أدلّتها هو إفساد الصوم بالأكل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هذا التبادر أنه لا يضرّ، إذ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التجوّز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كونه بمنزلة من أفطر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منها الإثم و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تبادر الأوّلين فقط من التشبيه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بمعارضة الظهور الحاصل منها بظهور عدم وجوب الكفارة من سكوت الامام عليه السلام عن الكفارة في الرواية الاولى، مع كون المقام مقام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الأسلم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بعمومها الدالّ على لزوم الكفارة مخالفة للشهرة العظيمة، بل القائل به غير معروف الاسم، فلا تعويل عليها في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بعض الأخبار الدالّة على حصر المفطرات فيما ليس القي‌ء منها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ضعفها في المقام منجبر بالشهرة و الإجماعات المحكية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المذكور مختص بالتعمّد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ذرعه القي‌ء،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من غير اختيار لم يفسد </w:t>
      </w:r>
      <w:r>
        <w:rPr>
          <w:rStyle w:val="FootnoteAnchor"/>
          <w:rtl w:val="true"/>
        </w:rPr>
        <w:footnoteReference w:id="965"/>
      </w:r>
      <w:r>
        <w:rPr>
          <w:rFonts w:ascii="Amiri" w:hAnsi="Amiri" w:eastAsia="Amiri" w:cs="Amiri"/>
          <w:color w:val="111111"/>
          <w:sz w:val="28"/>
          <w:sz w:val="28"/>
          <w:szCs w:val="28"/>
          <w:rtl w:val="true"/>
          <w:lang w:bidi="ar-SA"/>
        </w:rPr>
        <w:t>على المشهور، بل حكي عليه الإجماع، لما في روايتي</w:t>
      </w:r>
      <w:bookmarkStart w:id="57" w:name="pg19900_214630"/>
    </w:p>
    <w:p>
      <w:pPr>
        <w:pStyle w:val="BookText"/>
        <w:rPr/>
      </w:pPr>
      <w:bookmarkEnd w:id="57"/>
      <w:r>
        <w:rPr>
          <w:rFonts w:ascii="Amiri" w:hAnsi="Amiri" w:eastAsia="Amiri" w:cs="Amiri"/>
          <w:color w:val="111111"/>
          <w:sz w:val="28"/>
          <w:sz w:val="28"/>
          <w:szCs w:val="28"/>
          <w:rtl w:val="true"/>
          <w:lang w:bidi="ar-SA"/>
        </w:rPr>
        <w:t xml:space="preserve">الحلبي </w:t>
      </w:r>
      <w:r>
        <w:rPr>
          <w:rStyle w:val="FootnoteAnchor"/>
          <w:rtl w:val="true"/>
        </w:rPr>
        <w:footnoteReference w:id="96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للإسكافي فيكفر إذا كان عن محرّم</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و لم نعثر على مستنده</w:t>
      </w:r>
      <w:r>
        <w:rPr>
          <w:rFonts w:eastAsia="IRNazanin" w:cs="IRNazanin"/>
          <w:color w:val="111111"/>
          <w:sz w:val="28"/>
          <w:szCs w:val="28"/>
          <w:rtl w:val="true"/>
          <w:lang w:bidi="fa-IR"/>
        </w:rPr>
        <w:t>.</w:t>
      </w:r>
    </w:p>
    <w:p>
      <w:pPr>
        <w:pStyle w:val="Heading6"/>
        <w:numPr>
          <w:ilvl w:val="5"/>
          <w:numId w:val="1"/>
        </w:numPr>
        <w:rPr/>
      </w:pPr>
      <w:bookmarkStart w:id="58" w:name="__RefHeading___Toc2061646_2314609296"/>
      <w:bookmarkStart w:id="59" w:name="_Toc22"/>
      <w:bookmarkEnd w:id="58"/>
      <w:r>
        <w:rPr>
          <w:rtl w:val="true"/>
        </w:rPr>
        <w:t>[</w:t>
      </w:r>
      <w:r>
        <w:rPr>
          <w:rtl w:val="true"/>
        </w:rPr>
        <w:t>الحقنة بالمائع و دخول ماء المضمضة الحلق</w:t>
      </w:r>
      <w:r>
        <w:rPr>
          <w:rtl w:val="true"/>
        </w:rPr>
        <w:t>]</w:t>
      </w:r>
      <w:bookmarkEnd w:id="59"/>
    </w:p>
    <w:p>
      <w:pPr>
        <w:pStyle w:val="BookText"/>
        <w:rPr/>
      </w:pPr>
      <w:r>
        <w:rPr>
          <w:rFonts w:ascii="Amiri" w:hAnsi="Amiri" w:eastAsia="Amiri" w:cs="Amiri"/>
          <w:color w:val="111111"/>
          <w:sz w:val="28"/>
          <w:sz w:val="28"/>
          <w:szCs w:val="28"/>
          <w:rtl w:val="true"/>
          <w:lang w:bidi="ar-SA"/>
        </w:rPr>
        <w:t xml:space="preserve">و كذا يوجب القضاء خاصّة الحقنة بالمائع و قد سبق الكلام فيها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ماء 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سهوا أو بغير </w:t>
      </w:r>
      <w:r>
        <w:rPr>
          <w:rStyle w:val="FootnoteAnchor"/>
          <w:rtl w:val="true"/>
        </w:rPr>
        <w:footnoteReference w:id="969"/>
      </w:r>
      <w:r>
        <w:rPr>
          <w:rFonts w:ascii="Amiri" w:hAnsi="Amiri" w:eastAsia="Amiri" w:cs="Amiri"/>
          <w:color w:val="111111"/>
          <w:sz w:val="28"/>
          <w:sz w:val="28"/>
          <w:szCs w:val="28"/>
          <w:rtl w:val="true"/>
          <w:lang w:bidi="ar-SA"/>
        </w:rPr>
        <w:t xml:space="preserve">اختيار على المشهور، بل عن ظاهر المنتهى الإجماع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عبث بالماء، يتمضمض به من عطش، فدخل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إن كان في وضوء فلا بأس</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تمضمض في وقت فريضة، فدخل الماء حلقه فلا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 صومه</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و إن تمضمض في غير وقت فريضة فدخل الماء حلقه فعليه الإعادة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ضعفهما </w:t>
      </w:r>
      <w:r>
        <w:rPr>
          <w:rStyle w:val="FootnoteAnchor"/>
          <w:rtl w:val="true"/>
        </w:rPr>
        <w:footnoteReference w:id="974"/>
      </w:r>
      <w:r>
        <w:rPr>
          <w:rFonts w:ascii="Amiri" w:hAnsi="Amiri" w:eastAsia="Amiri" w:cs="Amiri"/>
          <w:color w:val="111111"/>
          <w:sz w:val="28"/>
          <w:sz w:val="28"/>
          <w:szCs w:val="28"/>
          <w:rtl w:val="true"/>
          <w:lang w:bidi="ar-SA"/>
        </w:rPr>
        <w:t>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فحوى ما دلّ على وجوب القضاء إذا دخل الحلق ماء المضمضة لوضوء النافلة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يعارض بما دلّ على عدم وجوب شي‌ء بفعل المفطر سهوا، و لكن التعارض من قبيل العموم من وجه، إذ الروايتان عامّتان لصورة الدخول لا عن</w:t>
      </w:r>
    </w:p>
    <w:p>
      <w:pPr>
        <w:pStyle w:val="BookText"/>
        <w:rPr/>
      </w:pPr>
      <w:r>
        <w:rPr>
          <w:rFonts w:ascii="Amiri" w:hAnsi="Amiri" w:eastAsia="Amiri" w:cs="Amiri"/>
          <w:color w:val="111111"/>
          <w:sz w:val="28"/>
          <w:sz w:val="28"/>
          <w:szCs w:val="28"/>
          <w:rtl w:val="true"/>
          <w:lang w:bidi="ar-SA"/>
        </w:rPr>
        <w:t>قصد و بغير اختيار، و لا يخفى أنهما معتضدتان بالشهرة و الإجماع المحكي، فيكون أولى بالتقديم دون ما إذا دخل الحلق ماء مضمضة وضوء الصلاة فإنّه لا يجب به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إطلاق رواية الساباطي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عن الرجل يتمضمض فيدخل في حلقه الماء،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 لم يتعمّد ذلك</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حمل المطلق على المقيد،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سماعة و يونس المتقدّمتين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الحكم كذلك في وضوء مطلق الصلاة و لو كانت </w:t>
      </w:r>
      <w:r>
        <w:rPr>
          <w:rStyle w:val="FootnoteAnchor"/>
          <w:rtl w:val="true"/>
        </w:rPr>
        <w:footnoteReference w:id="978"/>
      </w:r>
      <w:r>
        <w:rPr>
          <w:rFonts w:ascii="Amiri" w:hAnsi="Amiri" w:eastAsia="Amiri" w:cs="Amiri"/>
          <w:color w:val="111111"/>
          <w:sz w:val="28"/>
          <w:sz w:val="28"/>
          <w:szCs w:val="28"/>
          <w:rtl w:val="true"/>
          <w:lang w:bidi="ar-SA"/>
        </w:rPr>
        <w:t xml:space="preserve">نفلا أم يختص بالفريضة؟ لا يبعد القول بالثاني، لرواية الكليني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يتوضّأ للصلاة فيدخل الماء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وضوؤه لصلاة فريضة </w:t>
      </w:r>
      <w:r>
        <w:rPr>
          <w:rStyle w:val="FootnoteAnchor"/>
          <w:rtl w:val="true"/>
        </w:rPr>
        <w:footnoteReference w:id="980"/>
      </w:r>
      <w:r>
        <w:rPr>
          <w:rFonts w:ascii="Amiri" w:hAnsi="Amiri" w:eastAsia="Amiri" w:cs="Amiri"/>
          <w:color w:val="111111"/>
          <w:sz w:val="28"/>
          <w:sz w:val="28"/>
          <w:szCs w:val="28"/>
          <w:rtl w:val="true"/>
          <w:lang w:bidi="ar-SA"/>
        </w:rPr>
        <w:t>، فليس عليه قضاء، و إن كان وضوؤه لصلاة نافلة فعليه القضاء</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منها رواية يونس المتقدّمة، و لكن العمل بمضمونها موقوف على صحّتها أو ثبوت الجابر، و لم أعثر على الثاني، و قد وصف الأولى بالصحّة جمع، و ليس يحضرني من كتب الرجال ما أتحقّق به حالها، مع أنّه حكي عن المنتهى </w:t>
      </w:r>
      <w:r>
        <w:rPr>
          <w:rStyle w:val="FootnoteAnchor"/>
          <w:rtl w:val="true"/>
        </w:rPr>
        <w:footnoteReference w:id="982"/>
      </w:r>
      <w:r>
        <w:rPr>
          <w:rFonts w:ascii="IRNazanin" w:hAnsi="IRNazanin" w:eastAsia="IRNazanin"/>
          <w:color w:val="111111"/>
          <w:sz w:val="28"/>
          <w:sz w:val="28"/>
          <w:szCs w:val="28"/>
          <w:rtl w:val="true"/>
          <w:lang w:bidi="fa-IR"/>
        </w:rPr>
        <w:t xml:space="preserve">و الخلاف </w:t>
      </w:r>
      <w:r>
        <w:rPr>
          <w:rStyle w:val="FootnoteAnchor"/>
          <w:rtl w:val="true"/>
        </w:rPr>
        <w:footnoteReference w:id="983"/>
      </w:r>
      <w:r>
        <w:rPr>
          <w:rFonts w:ascii="Amiri" w:hAnsi="Amiri" w:eastAsia="Amiri" w:cs="Amiri"/>
          <w:color w:val="111111"/>
          <w:sz w:val="28"/>
          <w:sz w:val="28"/>
          <w:szCs w:val="28"/>
          <w:rtl w:val="true"/>
          <w:lang w:bidi="ar-SA"/>
        </w:rPr>
        <w:t>ظهور الإجماع على عدم الإفساد بما إذا كان ذلك من وضوء</w:t>
      </w:r>
      <w:bookmarkStart w:id="60" w:name="pg19900_214632"/>
    </w:p>
    <w:p>
      <w:pPr>
        <w:pStyle w:val="BookText"/>
        <w:rPr/>
      </w:pPr>
      <w:bookmarkEnd w:id="60"/>
      <w:r>
        <w:rPr>
          <w:rFonts w:ascii="Amiri" w:hAnsi="Amiri" w:eastAsia="Amiri" w:cs="Amiri"/>
          <w:color w:val="111111"/>
          <w:sz w:val="28"/>
          <w:sz w:val="28"/>
          <w:szCs w:val="28"/>
          <w:rtl w:val="true"/>
          <w:lang w:bidi="ar-SA"/>
        </w:rPr>
        <w:t>مطلق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بوضوء صلاة الفريضة إزالة النجاسة عن ظاهر الفم أو التمضمض للتداوي إذا سبق شي‌ء إلى الحلق؟ الظاهر نعم، لا لما قيل من ثبوت 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للأمر به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يتعقّبه شي‌ء، لمنع الاستلزام، بل للأصل السالم عن الوارد عدا إطلاق ذيل رواية يونس </w:t>
      </w:r>
      <w:r>
        <w:rPr>
          <w:rStyle w:val="FootnoteAnchor"/>
          <w:rtl w:val="true"/>
        </w:rPr>
        <w:footnoteReference w:id="984"/>
      </w:r>
      <w:r>
        <w:rPr>
          <w:rFonts w:ascii="Amiri" w:hAnsi="Amiri" w:eastAsia="Amiri" w:cs="Amiri"/>
          <w:color w:val="111111"/>
          <w:sz w:val="28"/>
          <w:sz w:val="28"/>
          <w:szCs w:val="28"/>
          <w:rtl w:val="true"/>
          <w:lang w:bidi="ar-SA"/>
        </w:rPr>
        <w:t>و هي مقطوعة غير مجبورة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الاستنشاق إذا سبق شي‌ء من الماء إلى الحلق فإنّه لا يوجب قضاء، للأصل، خلافا لبعض، فألحقوه بالمضمضة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دليله غير واضح، بل قيل لعدم </w:t>
      </w:r>
      <w:r>
        <w:rPr>
          <w:rStyle w:val="FootnoteAnchor"/>
          <w:rtl w:val="true"/>
        </w:rPr>
        <w:footnoteReference w:id="985"/>
      </w:r>
      <w:r>
        <w:rPr>
          <w:rFonts w:ascii="Amiri" w:hAnsi="Amiri" w:eastAsia="Amiri" w:cs="Amiri"/>
          <w:color w:val="111111"/>
          <w:sz w:val="28"/>
          <w:sz w:val="28"/>
          <w:szCs w:val="28"/>
          <w:rtl w:val="true"/>
          <w:lang w:bidi="ar-SA"/>
        </w:rPr>
        <w:t xml:space="preserve">الدليل على كون تعمّد إدخال الماء من الأنف إلى الحلق مفسدا للصوم، و هو جيّد، لعدم انصراف الشرب إلى مثله إلّا أن يكون إجماعيا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 w:name="__RefHeading___Toc2061648_2314609296"/>
      <w:bookmarkStart w:id="62" w:name="_Toc23"/>
      <w:bookmarkEnd w:id="61"/>
      <w:r>
        <w:rPr>
          <w:rtl w:val="true"/>
        </w:rPr>
        <w:t>[</w:t>
      </w:r>
      <w:r>
        <w:rPr>
          <w:rtl w:val="true"/>
        </w:rPr>
        <w:t>معاودة الجنب للنوم ثانيا</w:t>
      </w:r>
      <w:r>
        <w:rPr>
          <w:rtl w:val="true"/>
        </w:rPr>
        <w:t>]</w:t>
      </w:r>
      <w:bookmarkEnd w:id="62"/>
    </w:p>
    <w:p>
      <w:pPr>
        <w:pStyle w:val="BookText"/>
        <w:rPr/>
      </w:pPr>
      <w:r>
        <w:rPr>
          <w:rFonts w:ascii="Amiri" w:hAnsi="Amiri" w:eastAsia="Amiri" w:cs="Amiri"/>
          <w:color w:val="111111"/>
          <w:sz w:val="28"/>
          <w:sz w:val="28"/>
          <w:szCs w:val="28"/>
          <w:rtl w:val="true"/>
          <w:lang w:bidi="ar-SA"/>
        </w:rPr>
        <w:t xml:space="preserve">و ممّا يوجب الإفطار المستلزم لوجوب القضاء معاودة الجنب للنوم </w:t>
      </w:r>
      <w:r>
        <w:rPr>
          <w:rStyle w:val="FootnoteAnchor"/>
          <w:rtl w:val="true"/>
        </w:rPr>
        <w:footnoteReference w:id="987"/>
      </w:r>
      <w:r>
        <w:rPr>
          <w:rFonts w:ascii="Amiri" w:hAnsi="Amiri" w:eastAsia="Amiri" w:cs="Amiri"/>
          <w:color w:val="111111"/>
          <w:sz w:val="28"/>
          <w:sz w:val="28"/>
          <w:szCs w:val="28"/>
          <w:rtl w:val="true"/>
          <w:lang w:bidi="ar-SA"/>
        </w:rPr>
        <w:t xml:space="preserve">ثانيا </w:t>
      </w:r>
      <w:r>
        <w:rPr>
          <w:rStyle w:val="FootnoteAnchor"/>
          <w:rtl w:val="true"/>
        </w:rPr>
        <w:footnoteReference w:id="988"/>
      </w:r>
      <w:r>
        <w:rPr>
          <w:rFonts w:ascii="Amiri" w:hAnsi="Amiri" w:eastAsia="Amiri" w:cs="Amiri"/>
          <w:color w:val="111111"/>
          <w:sz w:val="28"/>
          <w:sz w:val="28"/>
          <w:szCs w:val="28"/>
          <w:rtl w:val="true"/>
          <w:lang w:bidi="ar-SA"/>
        </w:rPr>
        <w:t>بأن يجنب ثم ينام ثم يستيقظ ثم ينام حتى يطلع الفجر فالنوم الذي يقع فيه الاحتلام لا يعد نوما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مشهور، بل حكي عليه الإجماع مستفيضا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رواية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Style w:val="FootnoteAnchor"/>
          <w:rtl w:val="true"/>
        </w:rPr>
        <w:footnoteReference w:id="990"/>
      </w:r>
      <w:r>
        <w:rPr>
          <w:rFonts w:ascii="Amiri" w:hAnsi="Amiri" w:eastAsia="Amiri" w:cs="Amiri"/>
          <w:color w:val="111111"/>
          <w:sz w:val="28"/>
          <w:sz w:val="28"/>
          <w:szCs w:val="28"/>
          <w:rtl w:val="true"/>
          <w:lang w:bidi="ar-SA"/>
        </w:rPr>
        <w:t>يجنب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w:t>
      </w:r>
    </w:p>
    <w:p>
      <w:pPr>
        <w:pStyle w:val="BookText"/>
        <w:rPr/>
      </w:pPr>
      <w:r>
        <w:rPr>
          <w:rFonts w:ascii="Amiri" w:hAnsi="Amiri" w:eastAsia="Amiri" w:cs="Amiri"/>
          <w:color w:val="111111"/>
          <w:sz w:val="28"/>
          <w:sz w:val="28"/>
          <w:szCs w:val="28"/>
          <w:rtl w:val="true"/>
          <w:lang w:bidi="ar-SA"/>
        </w:rPr>
        <w:t>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ذلك اليوم عقوبة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ضعفه بما مرّ</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أصابتك جنابة في أوّل الليل، فلا بأس بأن تنام متعمّدا و في نيّتك أن تقوم و تغتسل قبل الفجر، فإن غلبك النوم حتى تصبح فليس عليك شي‌ء، إلّا أن تكون انتبهت في بعض الليل ثمّ نمت، و توانيت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تغتسل</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و كسلت، فعليك صوم ذلك اليوم و إعادة يوم آخر مكانه</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يستدلّ على ذلك برواية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يجنب في شهر رمضان حتى يستيقظ ثم ينام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يوما و إن لم يستيقظ حتى يصبح أتمّ يومه و جاز له</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يستيقظ</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لأنّ الظاهر من الرواية وجوب القضاء للنوم الأوّل، لأنّ المراد من الاستيقاظ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الاستيقاظ عن النوم الذي وقع فيه الجنابة، و قد عرفت أنّه لا يعد من نوم الجنب </w:t>
      </w:r>
      <w:r>
        <w:rPr>
          <w:rStyle w:val="FootnoteAnchor"/>
          <w:rtl w:val="true"/>
        </w:rPr>
        <w:footnoteReference w:id="99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63" w:name="pg19900_214634"/>
    </w:p>
    <w:p>
      <w:pPr>
        <w:pStyle w:val="BookText"/>
        <w:rPr/>
      </w:pPr>
      <w:bookmarkEnd w:id="63"/>
      <w:r>
        <w:rPr>
          <w:rFonts w:ascii="Amiri" w:hAnsi="Amiri" w:eastAsia="Amiri" w:cs="Amiri"/>
          <w:color w:val="111111"/>
          <w:sz w:val="28"/>
          <w:sz w:val="28"/>
          <w:szCs w:val="28"/>
          <w:rtl w:val="true"/>
          <w:lang w:bidi="ar-SA"/>
        </w:rPr>
        <w:t>ثم مقتضى إطلاق الرواية و الرضوي كفتاوى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وجوب القضاء بين أن يقع النوم الثاني مع نيّة الغسل و عدمها </w:t>
      </w:r>
      <w:r>
        <w:rPr>
          <w:rStyle w:val="FootnoteAnchor"/>
          <w:rtl w:val="true"/>
        </w:rPr>
        <w:footnoteReference w:id="998"/>
      </w:r>
      <w:r>
        <w:rPr>
          <w:rFonts w:ascii="Amiri" w:hAnsi="Amiri" w:eastAsia="Amiri" w:cs="Amiri"/>
          <w:color w:val="111111"/>
          <w:sz w:val="28"/>
          <w:sz w:val="28"/>
          <w:szCs w:val="28"/>
          <w:rtl w:val="true"/>
          <w:lang w:bidi="ar-SA"/>
        </w:rPr>
        <w:t xml:space="preserve">و ليس كالنوم الأوّل في سقوط القضاء إذا وقع مع نية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تجب الكفارة</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إذا عزم على ترك الاغتسال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 w:name="__RefHeading___Toc2061650_2314609296"/>
      <w:bookmarkStart w:id="65" w:name="_Toc24"/>
      <w:bookmarkEnd w:id="64"/>
      <w:r>
        <w:rPr>
          <w:rtl w:val="true"/>
        </w:rPr>
        <w:t>[</w:t>
      </w:r>
      <w:r>
        <w:rPr>
          <w:rtl w:val="true"/>
        </w:rPr>
        <w:t>الإمناء عقيب النظر إلى المحرّمة</w:t>
      </w:r>
      <w:r>
        <w:rPr>
          <w:rtl w:val="true"/>
        </w:rPr>
        <w:t>]</w:t>
      </w:r>
      <w:bookmarkEnd w:id="65"/>
    </w:p>
    <w:p>
      <w:pPr>
        <w:pStyle w:val="BookText"/>
        <w:rPr/>
      </w:pPr>
      <w:r>
        <w:rPr>
          <w:rFonts w:ascii="Amiri" w:hAnsi="Amiri" w:eastAsia="Amiri" w:cs="Amiri"/>
          <w:color w:val="111111"/>
          <w:sz w:val="28"/>
          <w:sz w:val="28"/>
          <w:szCs w:val="28"/>
          <w:rtl w:val="true"/>
          <w:lang w:bidi="ar-SA"/>
        </w:rPr>
        <w:t>و في الإفطار بالإمناء عقيب النظر إلى المحرّمة إذا لم يقصده و لم يعتده عقيبه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من حيث انّه فعل محرّما فأنزل فأشبه ما لو استمنى بيده، و من أصالة صحّة الصوم و عدم الدليل على شي‌ء من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للوجه الأوّل من وجهي الإشكال، و المعتمد هو الوجه الثاني، لا لما ذكره من أصالة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سابقا من عدم أصالة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ذكره أخيرا من عدم الدليل على وجوب القضاء و لا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الروايات ما يومئ إلى كونه مفسدا كرواية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يمسّ من المرأة شيئا، أ يفسد ذلك صومه أو ينقضه؟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روايات أخر </w:t>
      </w:r>
      <w:r>
        <w:rPr>
          <w:rStyle w:val="FootnoteAnchor"/>
          <w:rtl w:val="true"/>
        </w:rPr>
        <w:footnoteReference w:id="1002"/>
      </w:r>
      <w:r>
        <w:rPr>
          <w:rFonts w:ascii="Amiri" w:hAnsi="Amiri" w:eastAsia="Amiri" w:cs="Amiri"/>
          <w:color w:val="111111"/>
          <w:sz w:val="28"/>
          <w:sz w:val="28"/>
          <w:szCs w:val="28"/>
          <w:rtl w:val="true"/>
          <w:lang w:bidi="ar-SA"/>
        </w:rPr>
        <w:t>فإنّ فيها إشعارا بل دلالة على أنّ كراهة المسّ لخوف حصول الفساد بنزول المني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قريبة منها غيرها</w:t>
      </w:r>
      <w:r>
        <w:rPr>
          <w:rFonts w:eastAsia="Amiri" w:cs="Amiri" w:ascii="Amiri" w:hAnsi="Amiri"/>
          <w:color w:val="111111"/>
          <w:sz w:val="28"/>
          <w:szCs w:val="28"/>
          <w:rtl w:val="true"/>
          <w:lang w:bidi="ar-SA"/>
        </w:rPr>
        <w:t>.</w:t>
      </w:r>
      <w:bookmarkStart w:id="66" w:name="pg19900_214635"/>
    </w:p>
    <w:p>
      <w:pPr>
        <w:pStyle w:val="BookText"/>
        <w:rPr/>
      </w:pPr>
      <w:bookmarkEnd w:id="66"/>
      <w:r>
        <w:rPr>
          <w:rFonts w:ascii="Amiri" w:hAnsi="Amiri" w:eastAsia="Amiri" w:cs="Amiri"/>
          <w:color w:val="111111"/>
          <w:sz w:val="28"/>
          <w:sz w:val="28"/>
          <w:szCs w:val="28"/>
          <w:rtl w:val="true"/>
          <w:lang w:bidi="ar-SA"/>
        </w:rPr>
        <w:t xml:space="preserve">و لكن التعويل على مثل </w:t>
      </w:r>
      <w:r>
        <w:rPr>
          <w:rStyle w:val="FootnoteAnchor"/>
          <w:rtl w:val="true"/>
        </w:rPr>
        <w:footnoteReference w:id="1003"/>
      </w:r>
      <w:r>
        <w:rPr>
          <w:rFonts w:ascii="Amiri" w:hAnsi="Amiri" w:eastAsia="Amiri" w:cs="Amiri"/>
          <w:color w:val="111111"/>
          <w:sz w:val="28"/>
          <w:sz w:val="28"/>
          <w:szCs w:val="28"/>
          <w:rtl w:val="true"/>
          <w:lang w:bidi="ar-SA"/>
        </w:rPr>
        <w:t>هذه الدلالة في الحكم بلزوم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للأصل و عموم رواية محمّد بن مسلم الحاصرة المتقدّمة </w:t>
      </w:r>
      <w:r>
        <w:rPr>
          <w:rStyle w:val="FootnoteAnchor"/>
          <w:rtl w:val="true"/>
        </w:rPr>
        <w:footnoteReference w:id="1004"/>
      </w:r>
      <w:r>
        <w:rPr>
          <w:rFonts w:ascii="Amiri" w:hAnsi="Amiri" w:eastAsia="Amiri" w:cs="Amiri"/>
          <w:color w:val="111111"/>
          <w:sz w:val="28"/>
          <w:sz w:val="28"/>
          <w:szCs w:val="28"/>
          <w:rtl w:val="true"/>
          <w:lang w:bidi="ar-SA"/>
        </w:rPr>
        <w:t xml:space="preserve">، بل و غيرها ممّا </w:t>
      </w:r>
      <w:r>
        <w:rPr>
          <w:rStyle w:val="FootnoteAnchor"/>
          <w:rtl w:val="true"/>
        </w:rPr>
        <w:footnoteReference w:id="1005"/>
      </w:r>
      <w:r>
        <w:rPr>
          <w:rFonts w:ascii="Amiri" w:hAnsi="Amiri" w:eastAsia="Amiri" w:cs="Amiri"/>
          <w:color w:val="111111"/>
          <w:sz w:val="28"/>
          <w:sz w:val="28"/>
          <w:szCs w:val="28"/>
          <w:rtl w:val="true"/>
          <w:lang w:bidi="ar-SA"/>
        </w:rPr>
        <w:t>يشعر بل يدل على الحصر فيما ليس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2061652_2314609296"/>
      <w:bookmarkStart w:id="68" w:name="_Toc25"/>
      <w:bookmarkEnd w:id="67"/>
      <w:r>
        <w:rPr>
          <w:rtl w:val="true"/>
        </w:rPr>
        <w:t>[</w:t>
      </w:r>
      <w:r>
        <w:rPr>
          <w:rtl w:val="true"/>
        </w:rPr>
        <w:t>ابتلاع بقايا الغذاء من بين الأسنان عمدا</w:t>
      </w:r>
      <w:r>
        <w:rPr>
          <w:rtl w:val="true"/>
        </w:rPr>
        <w:t>]</w:t>
      </w:r>
      <w:bookmarkEnd w:id="68"/>
    </w:p>
    <w:p>
      <w:pPr>
        <w:pStyle w:val="BookText"/>
        <w:rPr/>
      </w:pPr>
      <w:r>
        <w:rPr>
          <w:rFonts w:ascii="Amiri" w:hAnsi="Amiri" w:eastAsia="Amiri" w:cs="Amiri"/>
          <w:color w:val="111111"/>
          <w:sz w:val="28"/>
          <w:sz w:val="28"/>
          <w:szCs w:val="28"/>
          <w:rtl w:val="true"/>
          <w:lang w:bidi="ar-SA"/>
        </w:rPr>
        <w:t>و مما يوجب الإفطار أيضا ابتلاع بقايا الغذاء من بين الأسنان عمدا لصدق الأكل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يتأمّل في ذلك، إمّا لمنع الصدق و إمّا لخصوص ما رواه الشيخ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الصائم يقلس فيخرج منه الشي‌ء، أ يفطره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ازدرده بعد أن صار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يفطره ذلك</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محلّه، لأنّ منع الصدق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الانصراف إلى غير مثله، غير مسموعة، لأنّها إن كانت بالنسبة إلى المأكول جنسا أو قدرا فلا وجه لها، إذ لا فرق بين شي‌ء من الخبز و اللحم يبقى بين الأسنان و بين وضع شي‌ء منهما في الفم في نهار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يستحيل بين الأسنان بحيث لا يصدق عليه الغذاء، و حينئذ فلو قلنا باختصاص الأكل المفطر بالمعتاد صحّت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شموله لغيره أيضا و ان لم ينصرف إليه اللفظ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بالنسبة إلى هيئة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يتبادر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في الفمّ ثم ازدراده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هذه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زمان جواز ازدرادها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الوضع جزء من ماهيّة الأكل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ماهية الأكل بتمامها، أو مما ينصرف إليه الذهن من لفظه، و لذا لو وضع لقمة خبز في فمه في الليل و أمسكه إلى طلوع الفجر، فسد صومه بازدرادها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w:t>
      </w:r>
      <w:r>
        <w:rPr>
          <w:rStyle w:val="FootnoteAnchor"/>
          <w:rtl w:val="true"/>
        </w:rPr>
        <w:footnoteReference w:id="1008"/>
      </w:r>
      <w:r>
        <w:rPr>
          <w:rFonts w:ascii="Amiri" w:hAnsi="Amiri" w:eastAsia="Amiri" w:cs="Amiri"/>
          <w:color w:val="111111"/>
          <w:sz w:val="28"/>
          <w:sz w:val="28"/>
          <w:szCs w:val="28"/>
          <w:rtl w:val="true"/>
          <w:lang w:bidi="ar-SA"/>
        </w:rPr>
        <w:t>فتارة يجاب عنها بالفرق بين ازدراد القلس و ازدراد بقايا الغذاء، فيصدق الأكل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باحتمال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يزدرده، يفطره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بإمكان الفرق بينهما في الحكم فلا يفسد الأوّل، للنص </w:t>
      </w:r>
      <w:r>
        <w:rPr>
          <w:rStyle w:val="FootnoteAnchor"/>
          <w:rtl w:val="true"/>
        </w:rPr>
        <w:footnoteReference w:id="1009"/>
      </w:r>
      <w:r>
        <w:rPr>
          <w:rFonts w:ascii="Amiri" w:hAnsi="Amiri" w:eastAsia="Amiri" w:cs="Amiri"/>
          <w:color w:val="111111"/>
          <w:sz w:val="28"/>
          <w:sz w:val="28"/>
          <w:szCs w:val="28"/>
          <w:rtl w:val="true"/>
          <w:lang w:bidi="ar-SA"/>
        </w:rPr>
        <w:t>دون الثاني، لأنّ إلحاقه به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الأسلم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بطرحها عن الحجّية لمخالفتها للمشهور، بل لإطلاقات الإجماعات المدّعاة على إفساد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بالتوجيهات السابقة في مقام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ابتلع شيئا منها سهوا، أو سبق إلى الحلق بغير اختيار، فإنّه لا يفطر </w:t>
      </w:r>
      <w:r>
        <w:rPr>
          <w:rStyle w:val="FootnoteAnchor"/>
          <w:rtl w:val="true"/>
        </w:rPr>
        <w:footnoteReference w:id="1010"/>
      </w:r>
      <w:r>
        <w:rPr>
          <w:rFonts w:ascii="Amiri" w:hAnsi="Amiri" w:eastAsia="Amiri" w:cs="Amiri"/>
          <w:color w:val="111111"/>
          <w:sz w:val="28"/>
          <w:sz w:val="28"/>
          <w:szCs w:val="28"/>
          <w:rtl w:val="true"/>
          <w:lang w:bidi="ar-SA"/>
        </w:rPr>
        <w:t xml:space="preserve">، لما دلّ على اختصاص الإفساد بفعل المفطر عمدا، و نفي الحكم عن غيره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بالإفساد إذا قصّر في التخليل </w:t>
      </w:r>
      <w:r>
        <w:rPr>
          <w:rStyle w:val="FootnoteAnchor"/>
          <w:rtl w:val="true"/>
        </w:rPr>
        <w:footnoteReference w:id="1012"/>
      </w:r>
      <w:r>
        <w:rPr>
          <w:rFonts w:ascii="IRNazanin" w:hAnsi="IRNazanin" w:eastAsia="IRNazanin"/>
          <w:color w:val="111111"/>
          <w:sz w:val="28"/>
          <w:sz w:val="28"/>
          <w:szCs w:val="28"/>
          <w:rtl w:val="true"/>
          <w:lang w:bidi="fa-IR"/>
        </w:rPr>
        <w:t>و لم أعثر على مستنده</w:t>
      </w:r>
      <w:r>
        <w:rPr>
          <w:rFonts w:eastAsia="IRNazanin" w:cs="IRNazanin"/>
          <w:color w:val="111111"/>
          <w:sz w:val="28"/>
          <w:szCs w:val="28"/>
          <w:rtl w:val="true"/>
          <w:lang w:bidi="fa-IR"/>
        </w:rPr>
        <w:t>.</w:t>
      </w:r>
      <w:bookmarkStart w:id="69" w:name="pg19900_214637"/>
    </w:p>
    <w:p>
      <w:pPr>
        <w:pStyle w:val="Heading6"/>
        <w:numPr>
          <w:ilvl w:val="5"/>
          <w:numId w:val="1"/>
        </w:numPr>
        <w:rPr/>
      </w:pPr>
      <w:bookmarkStart w:id="70" w:name="__RefHeading___Toc2061654_2314609296"/>
      <w:bookmarkStart w:id="71" w:name="_Toc26"/>
      <w:bookmarkEnd w:id="69"/>
      <w:bookmarkEnd w:id="70"/>
      <w:r>
        <w:rPr>
          <w:rtl w:val="true"/>
        </w:rPr>
        <w:t>[</w:t>
      </w:r>
      <w:r>
        <w:rPr>
          <w:rtl w:val="true"/>
        </w:rPr>
        <w:t>ابتلاع الماء عند المضمضة عبثا</w:t>
      </w:r>
      <w:r>
        <w:rPr>
          <w:rtl w:val="true"/>
        </w:rPr>
        <w:t>]</w:t>
      </w:r>
      <w:bookmarkEnd w:id="71"/>
    </w:p>
    <w:p>
      <w:pPr>
        <w:pStyle w:val="BookText"/>
        <w:rPr/>
      </w:pPr>
      <w:r>
        <w:rPr>
          <w:rFonts w:ascii="Amiri" w:hAnsi="Amiri" w:eastAsia="Amiri" w:cs="Amiri"/>
          <w:color w:val="111111"/>
          <w:sz w:val="28"/>
          <w:sz w:val="28"/>
          <w:szCs w:val="28"/>
          <w:rtl w:val="true"/>
          <w:lang w:bidi="ar-SA"/>
        </w:rPr>
        <w:t>و في إلحاق العابث بالمضمضة أو طرح الخرز و شبهه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ابتلاعه من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بالتبرّد </w:t>
      </w:r>
      <w:r>
        <w:rPr>
          <w:rStyle w:val="FootnoteAnchor"/>
          <w:rtl w:val="true"/>
        </w:rPr>
        <w:footnoteReference w:id="1013"/>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و من فحوى ما دلّ على الإفساد بالمضمضة لوضوء النافلة، بل إطلاق ذيل رواية يونس المتقدّمة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بالفحوى موقوف على ثبوت الحكم في الأصل أوّلا، و قد عرفت التأمّل فيه، و على حجّية الأولوية ثانيا، و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يونس، فقد عرفت كونها مقطوعة، و لا جابر لها في المقام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طرح الخرز و شبهه، فأولى بعدم الدليل، فعدم الإلحاق أولى، و إن كان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بالقيد عمّا لو ابتلعه عمدا، فإنّه يوجب الإفساد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الإفساد بمطلق الأكل و إن كان غير معتاد</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2061656_2314609296"/>
      <w:bookmarkStart w:id="73" w:name="_Toc27"/>
      <w:bookmarkEnd w:id="72"/>
      <w:r>
        <w:rPr>
          <w:rtl w:val="true"/>
        </w:rPr>
        <w:t>[</w:t>
      </w:r>
      <w:r>
        <w:rPr>
          <w:rtl w:val="true"/>
        </w:rPr>
        <w:t>وصول الدواء إلى الجوف من الإحليل بالحقنة بالمائع</w:t>
      </w:r>
      <w:r>
        <w:rPr>
          <w:rtl w:val="true"/>
        </w:rPr>
        <w:t>]</w:t>
      </w:r>
      <w:bookmarkEnd w:id="73"/>
    </w:p>
    <w:p>
      <w:pPr>
        <w:pStyle w:val="BookText"/>
        <w:rPr/>
      </w:pPr>
      <w:r>
        <w:rPr>
          <w:rFonts w:ascii="Amiri" w:hAnsi="Amiri" w:eastAsia="Amiri" w:cs="Amiri"/>
          <w:color w:val="111111"/>
          <w:sz w:val="28"/>
          <w:sz w:val="28"/>
          <w:szCs w:val="28"/>
          <w:rtl w:val="true"/>
          <w:lang w:bidi="ar-SA"/>
        </w:rPr>
        <w:t xml:space="preserve">و كذا الكلام في إلحاق وصول الدواء إلى الجوف من الإحليل بالحقنة بالمائع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الأقوى عدم الإلحاق للأصل، مضافا إلى رواية محمّد بن مسلم </w:t>
      </w:r>
      <w:r>
        <w:rPr>
          <w:rStyle w:val="FootnoteAnchor"/>
          <w:rtl w:val="true"/>
        </w:rPr>
        <w:footnoteReference w:id="1017"/>
      </w:r>
      <w:r>
        <w:rPr>
          <w:rFonts w:ascii="Amiri" w:hAnsi="Amiri" w:eastAsia="Amiri" w:cs="Amiri"/>
          <w:color w:val="111111"/>
          <w:sz w:val="28"/>
          <w:sz w:val="28"/>
          <w:szCs w:val="28"/>
          <w:rtl w:val="true"/>
          <w:lang w:bidi="ar-SA"/>
        </w:rPr>
        <w:t xml:space="preserve">الحاصرة للمضرّات </w:t>
      </w:r>
      <w:r>
        <w:rPr>
          <w:rStyle w:val="FootnoteAnchor"/>
          <w:rtl w:val="true"/>
        </w:rPr>
        <w:footnoteReference w:id="1018"/>
      </w:r>
      <w:r>
        <w:rPr>
          <w:rFonts w:ascii="Amiri" w:hAnsi="Amiri" w:eastAsia="Amiri" w:cs="Amiri"/>
          <w:color w:val="111111"/>
          <w:sz w:val="28"/>
          <w:sz w:val="28"/>
          <w:szCs w:val="28"/>
          <w:rtl w:val="true"/>
          <w:lang w:bidi="ar-SA"/>
        </w:rPr>
        <w:t xml:space="preserve">فيما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الشيخ في المبسوط </w:t>
      </w:r>
      <w:r>
        <w:rPr>
          <w:rStyle w:val="FootnoteAnchor"/>
          <w:rtl w:val="true"/>
        </w:rPr>
        <w:footnoteReference w:id="1020"/>
      </w:r>
      <w:r>
        <w:rPr>
          <w:rFonts w:ascii="Amiri" w:hAnsi="Amiri" w:eastAsia="Amiri" w:cs="Amiri"/>
          <w:color w:val="111111"/>
          <w:sz w:val="28"/>
          <w:sz w:val="28"/>
          <w:szCs w:val="28"/>
          <w:rtl w:val="true"/>
          <w:lang w:bidi="ar-SA"/>
        </w:rPr>
        <w:t xml:space="preserve">و المصنف في المختلف </w:t>
      </w:r>
      <w:r>
        <w:rPr>
          <w:rStyle w:val="FootnoteAnchor"/>
          <w:rtl w:val="true"/>
        </w:rPr>
        <w:footnoteReference w:id="1021"/>
      </w:r>
      <w:bookmarkStart w:id="74" w:name="pg19900_214638"/>
    </w:p>
    <w:p>
      <w:pPr>
        <w:pStyle w:val="BookText"/>
        <w:rPr/>
      </w:pPr>
      <w:bookmarkEnd w:id="74"/>
      <w:r>
        <w:rPr>
          <w:rFonts w:ascii="Amiri" w:hAnsi="Amiri" w:eastAsia="Amiri" w:cs="Amiri"/>
          <w:color w:val="111111"/>
          <w:sz w:val="28"/>
          <w:sz w:val="28"/>
          <w:szCs w:val="28"/>
          <w:rtl w:val="true"/>
          <w:lang w:bidi="ar-SA"/>
        </w:rPr>
        <w:t>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بأنّه قد أوصل إلى جوفه مفطرا بأحد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المثانة تنفذ إلى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موجبا للإفطار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كلتا المقدمتين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حكاه في المدارك </w:t>
      </w:r>
      <w:r>
        <w:rPr>
          <w:rStyle w:val="FootnoteAnchor"/>
          <w:rtl w:val="true"/>
        </w:rPr>
        <w:footnoteReference w:id="1022"/>
      </w:r>
      <w:r>
        <w:rPr>
          <w:rFonts w:ascii="IRNazanin" w:hAnsi="IRNazanin" w:eastAsia="IRNazanin"/>
          <w:color w:val="111111"/>
          <w:sz w:val="28"/>
          <w:sz w:val="28"/>
          <w:szCs w:val="28"/>
          <w:rtl w:val="true"/>
          <w:lang w:bidi="fa-IR"/>
        </w:rPr>
        <w:t xml:space="preserve">عن المحقق </w:t>
      </w:r>
      <w:r>
        <w:rPr>
          <w:rStyle w:val="FootnoteAnchor"/>
          <w:rtl w:val="true"/>
        </w:rPr>
        <w:footnoteReference w:id="1023"/>
      </w:r>
      <w:r>
        <w:rPr>
          <w:rFonts w:ascii="Amiri" w:hAnsi="Amiri" w:eastAsia="Amiri" w:cs="Amiri"/>
          <w:color w:val="111111"/>
          <w:sz w:val="28"/>
          <w:sz w:val="28"/>
          <w:szCs w:val="28"/>
          <w:rtl w:val="true"/>
          <w:lang w:bidi="ar-SA"/>
        </w:rPr>
        <w:t>من أنّ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للمثانة منفذا إلى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بل ربما كان ما يرد إليها من الماء على سبيل الرشح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كون كلّ مفطر يصل إلى الجوف بأحد المسلكين مفسدا للصوم، فإن مناط الإفساد عنوانات خاصة، لا مطلق إيصال الشي‌ء إلى الجوف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أظهر منه ما لو </w:t>
      </w:r>
      <w:r>
        <w:rPr>
          <w:rStyle w:val="FootnoteAnchor"/>
          <w:rtl w:val="true"/>
        </w:rPr>
        <w:footnoteReference w:id="1025"/>
      </w:r>
      <w:r>
        <w:rPr>
          <w:rFonts w:ascii="Amiri" w:hAnsi="Amiri" w:eastAsia="Amiri" w:cs="Amiri"/>
          <w:color w:val="111111"/>
          <w:sz w:val="28"/>
          <w:sz w:val="28"/>
          <w:szCs w:val="28"/>
          <w:rtl w:val="true"/>
          <w:lang w:bidi="ar-SA"/>
        </w:rPr>
        <w:t xml:space="preserve">وصل بغيره كالطعن بالرمح، فلا يفسده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2061658_2314609296"/>
      <w:bookmarkStart w:id="76" w:name="_Toc28"/>
      <w:bookmarkEnd w:id="75"/>
      <w:r>
        <w:rPr>
          <w:rtl w:val="true"/>
        </w:rPr>
        <w:t>[</w:t>
      </w:r>
      <w:r>
        <w:rPr>
          <w:rtl w:val="true"/>
        </w:rPr>
        <w:t>السعوط بما يتعدى إلى الحلق</w:t>
      </w:r>
      <w:r>
        <w:rPr>
          <w:rtl w:val="true"/>
        </w:rPr>
        <w:t>]</w:t>
      </w:r>
      <w:bookmarkEnd w:id="76"/>
    </w:p>
    <w:p>
      <w:pPr>
        <w:pStyle w:val="BookText"/>
        <w:rPr/>
      </w:pPr>
      <w:r>
        <w:rPr>
          <w:rFonts w:ascii="Amiri" w:hAnsi="Amiri" w:eastAsia="Amiri" w:cs="Amiri"/>
          <w:color w:val="111111"/>
          <w:sz w:val="28"/>
          <w:sz w:val="28"/>
          <w:szCs w:val="28"/>
          <w:rtl w:val="true"/>
          <w:lang w:bidi="ar-SA"/>
        </w:rPr>
        <w:t>و هل السعوط بما يتعدى إلى الحلق كالابتلاع؟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للأصل، و عدم صدق شي‌ء من عنوانات المفطر عليه، فإنّه ليس أكلا و لا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الرواية الحاصرة </w:t>
      </w:r>
      <w:r>
        <w:rPr>
          <w:rStyle w:val="FootnoteAnchor"/>
          <w:rtl w:val="true"/>
        </w:rPr>
        <w:footnoteReference w:id="1027"/>
      </w:r>
      <w:r>
        <w:rPr>
          <w:rFonts w:ascii="Amiri" w:hAnsi="Amiri" w:eastAsia="Amiri" w:cs="Amiri"/>
          <w:color w:val="111111"/>
          <w:sz w:val="28"/>
          <w:sz w:val="28"/>
          <w:szCs w:val="28"/>
          <w:rtl w:val="true"/>
          <w:lang w:bidi="ar-SA"/>
        </w:rPr>
        <w:t xml:space="preserve">و المعلّلة، لعدم إفساد بعض الأشياء بأنّه ليس بطعام يؤكل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على الإفساد بما سبق من أنّه أوصل إلى جوفه 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ترك الاحتياط</w:t>
      </w:r>
      <w:r>
        <w:rPr>
          <w:rFonts w:eastAsia="Amiri" w:cs="Amiri" w:ascii="Amiri" w:hAnsi="Amiri"/>
          <w:color w:val="111111"/>
          <w:sz w:val="28"/>
          <w:szCs w:val="28"/>
          <w:rtl w:val="true"/>
          <w:lang w:bidi="ar-SA"/>
        </w:rPr>
        <w:t>.</w:t>
      </w:r>
      <w:bookmarkStart w:id="77" w:name="pg19900_214639"/>
    </w:p>
    <w:p>
      <w:pPr>
        <w:pStyle w:val="Heading6"/>
        <w:numPr>
          <w:ilvl w:val="5"/>
          <w:numId w:val="1"/>
        </w:numPr>
        <w:rPr/>
      </w:pPr>
      <w:bookmarkStart w:id="78" w:name="__RefHeading___Toc2061660_2314609296"/>
      <w:bookmarkStart w:id="79" w:name="_Toc29"/>
      <w:bookmarkEnd w:id="77"/>
      <w:bookmarkEnd w:id="78"/>
      <w:r>
        <w:rPr>
          <w:rtl w:val="true"/>
        </w:rPr>
        <w:t>[</w:t>
      </w:r>
      <w:r>
        <w:rPr>
          <w:rtl w:val="true"/>
        </w:rPr>
        <w:t>السعوط بما يتعدى إلى الدماغ</w:t>
      </w:r>
      <w:r>
        <w:rPr>
          <w:rtl w:val="true"/>
        </w:rPr>
        <w:t>]</w:t>
      </w:r>
      <w:bookmarkEnd w:id="79"/>
    </w:p>
    <w:p>
      <w:pPr>
        <w:pStyle w:val="BookText"/>
        <w:rPr/>
      </w:pPr>
      <w:r>
        <w:rPr>
          <w:rFonts w:ascii="Amiri" w:hAnsi="Amiri" w:eastAsia="Amiri" w:cs="Amiri"/>
          <w:color w:val="111111"/>
          <w:sz w:val="28"/>
          <w:sz w:val="28"/>
          <w:szCs w:val="28"/>
          <w:rtl w:val="true"/>
          <w:lang w:bidi="ar-SA"/>
        </w:rPr>
        <w:t xml:space="preserve">و من هنا يعلم أنّه لا يبطل </w:t>
      </w:r>
      <w:r>
        <w:rPr>
          <w:rStyle w:val="FootnoteAnchor"/>
          <w:rtl w:val="true"/>
        </w:rPr>
        <w:footnoteReference w:id="1029"/>
      </w:r>
      <w:r>
        <w:rPr>
          <w:rFonts w:ascii="Amiri" w:hAnsi="Amiri" w:eastAsia="Amiri" w:cs="Amiri"/>
          <w:color w:val="111111"/>
          <w:sz w:val="28"/>
          <w:sz w:val="28"/>
          <w:szCs w:val="28"/>
          <w:rtl w:val="true"/>
          <w:lang w:bidi="ar-SA"/>
        </w:rPr>
        <w:t>بالوصول إلى الدماغ خاصّة من دون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المفيد </w:t>
      </w:r>
      <w:r>
        <w:rPr>
          <w:rStyle w:val="FootnoteAnchor"/>
          <w:rtl w:val="true"/>
        </w:rPr>
        <w:footnoteReference w:id="1030"/>
      </w:r>
      <w:r>
        <w:rPr>
          <w:rFonts w:ascii="Amiri" w:hAnsi="Amiri" w:eastAsia="Amiri" w:cs="Amiri"/>
          <w:color w:val="111111"/>
          <w:sz w:val="28"/>
          <w:sz w:val="28"/>
          <w:szCs w:val="28"/>
          <w:rtl w:val="true"/>
          <w:lang w:bidi="ar-SA"/>
        </w:rPr>
        <w:t xml:space="preserve">و سلّار </w:t>
      </w:r>
      <w:r>
        <w:rPr>
          <w:rStyle w:val="FootnoteAnchor"/>
          <w:rtl w:val="true"/>
        </w:rPr>
        <w:footnoteReference w:id="1031"/>
      </w:r>
      <w:r>
        <w:rPr>
          <w:rFonts w:ascii="Amiri" w:hAnsi="Amiri" w:eastAsia="Amiri" w:cs="Amiri"/>
          <w:color w:val="111111"/>
          <w:sz w:val="28"/>
          <w:sz w:val="28"/>
          <w:szCs w:val="28"/>
          <w:rtl w:val="true"/>
          <w:lang w:bidi="ar-SA"/>
        </w:rPr>
        <w:t>فأوجبا به القضاء و الكفّارة، و استدل لهما المصنّف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الدماغ جوف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بعض الروايات إشعار به كرواية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يكتحل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أتخوّف أن يدخل رأسه</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ترك الاحتياط</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2061662_2314609296"/>
      <w:bookmarkStart w:id="81" w:name="_Toc30"/>
      <w:bookmarkEnd w:id="80"/>
      <w:r>
        <w:rPr>
          <w:rtl w:val="true"/>
        </w:rPr>
        <w:t>[</w:t>
      </w:r>
      <w:r>
        <w:rPr>
          <w:rtl w:val="true"/>
        </w:rPr>
        <w:t>حكم الاكتحال للصائم</w:t>
      </w:r>
      <w:r>
        <w:rPr>
          <w:rtl w:val="true"/>
        </w:rPr>
        <w:t>]</w:t>
      </w:r>
      <w:bookmarkEnd w:id="81"/>
    </w:p>
    <w:p>
      <w:pPr>
        <w:pStyle w:val="BookText"/>
        <w:rPr/>
      </w:pPr>
      <w:r>
        <w:rPr>
          <w:rFonts w:ascii="Amiri" w:hAnsi="Amiri" w:eastAsia="Amiri" w:cs="Amiri"/>
          <w:color w:val="111111"/>
          <w:sz w:val="28"/>
          <w:sz w:val="28"/>
          <w:szCs w:val="28"/>
          <w:rtl w:val="true"/>
          <w:lang w:bidi="ar-SA"/>
        </w:rPr>
        <w:t>و كذا لا يفطر بالاكتحال، و إن وجد منه طعما في الحلق و الظاهر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الأخبار الكثيرة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المعلّلة بأنّه ليس بطعام يؤكل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على ثبوت البأس بما له </w:t>
      </w:r>
      <w:r>
        <w:rPr>
          <w:rStyle w:val="FootnoteAnchor"/>
          <w:rtl w:val="true"/>
        </w:rPr>
        <w:footnoteReference w:id="1036"/>
      </w:r>
      <w:r>
        <w:rPr>
          <w:rFonts w:ascii="Amiri" w:hAnsi="Amiri" w:eastAsia="Amiri" w:cs="Amiri"/>
          <w:color w:val="111111"/>
          <w:sz w:val="28"/>
          <w:sz w:val="28"/>
          <w:szCs w:val="28"/>
          <w:rtl w:val="true"/>
          <w:lang w:bidi="ar-SA"/>
        </w:rPr>
        <w:t xml:space="preserve">مسك </w:t>
      </w:r>
      <w:r>
        <w:rPr>
          <w:rStyle w:val="FootnoteAnchor"/>
          <w:rtl w:val="true"/>
        </w:rPr>
        <w:footnoteReference w:id="1037"/>
      </w:r>
      <w:r>
        <w:rPr>
          <w:rFonts w:ascii="Amiri" w:hAnsi="Amiri" w:eastAsia="Amiri" w:cs="Amiri"/>
          <w:color w:val="111111"/>
          <w:sz w:val="28"/>
          <w:sz w:val="28"/>
          <w:szCs w:val="28"/>
          <w:rtl w:val="true"/>
          <w:lang w:bidi="ar-SA"/>
        </w:rPr>
        <w:t xml:space="preserve">محمول على الكراهة </w:t>
      </w:r>
      <w:r>
        <w:rPr>
          <w:rStyle w:val="FootnoteAnchor"/>
          <w:rtl w:val="true"/>
        </w:rPr>
        <w:footnoteReference w:id="1038"/>
      </w:r>
      <w:r>
        <w:rPr>
          <w:rFonts w:ascii="Amiri" w:hAnsi="Amiri" w:eastAsia="Amiri" w:cs="Amiri"/>
          <w:color w:val="111111"/>
          <w:sz w:val="28"/>
          <w:sz w:val="28"/>
          <w:szCs w:val="28"/>
          <w:rtl w:val="true"/>
          <w:lang w:bidi="ar-SA"/>
        </w:rPr>
        <w:t>، مضافا إلى أنّ الحرمة لا توجب الإفطار</w:t>
      </w:r>
      <w:r>
        <w:rPr>
          <w:rFonts w:eastAsia="Amiri" w:cs="Amiri" w:ascii="Amiri" w:hAnsi="Amiri"/>
          <w:color w:val="111111"/>
          <w:sz w:val="28"/>
          <w:szCs w:val="28"/>
          <w:rtl w:val="true"/>
          <w:lang w:bidi="ar-SA"/>
        </w:rPr>
        <w:t>.</w:t>
      </w:r>
      <w:bookmarkStart w:id="82" w:name="pg19900_214640"/>
    </w:p>
    <w:p>
      <w:pPr>
        <w:pStyle w:val="Heading6"/>
        <w:numPr>
          <w:ilvl w:val="5"/>
          <w:numId w:val="1"/>
        </w:numPr>
        <w:rPr/>
      </w:pPr>
      <w:bookmarkStart w:id="83" w:name="__RefHeading___Toc2061664_2314609296"/>
      <w:bookmarkStart w:id="84" w:name="_Toc31"/>
      <w:bookmarkEnd w:id="82"/>
      <w:bookmarkEnd w:id="83"/>
      <w:r>
        <w:rPr>
          <w:rtl w:val="true"/>
        </w:rPr>
        <w:t>[</w:t>
      </w:r>
      <w:r>
        <w:rPr>
          <w:rtl w:val="true"/>
        </w:rPr>
        <w:t>التقطير في الأذُن</w:t>
      </w:r>
      <w:r>
        <w:rPr>
          <w:rtl w:val="true"/>
        </w:rPr>
        <w:t>]</w:t>
      </w:r>
      <w:bookmarkEnd w:id="84"/>
    </w:p>
    <w:p>
      <w:pPr>
        <w:pStyle w:val="BookText"/>
        <w:rPr/>
      </w:pPr>
      <w:r>
        <w:rPr>
          <w:rFonts w:ascii="Amiri" w:hAnsi="Amiri" w:eastAsia="Amiri" w:cs="Amiri"/>
          <w:color w:val="111111"/>
          <w:sz w:val="28"/>
          <w:sz w:val="28"/>
          <w:szCs w:val="28"/>
          <w:rtl w:val="true"/>
          <w:lang w:bidi="ar-SA"/>
        </w:rPr>
        <w:t xml:space="preserve">و لا بالتقطير في الأذُن لرواية ليث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الصائم يصبّ في اذنه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السعوط، فإنّه يكره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قيّده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يصل إلى الجوف تعويلا على الاستدلال السابق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2061666_2314609296"/>
      <w:bookmarkStart w:id="86" w:name="_Toc32"/>
      <w:bookmarkEnd w:id="85"/>
      <w:r>
        <w:rPr>
          <w:rtl w:val="true"/>
        </w:rPr>
        <w:t>[</w:t>
      </w:r>
      <w:r>
        <w:rPr>
          <w:rtl w:val="true"/>
        </w:rPr>
        <w:t>الفصد و الحجامة</w:t>
      </w:r>
      <w:r>
        <w:rPr>
          <w:rtl w:val="true"/>
        </w:rPr>
        <w:t>]</w:t>
      </w:r>
      <w:bookmarkEnd w:id="86"/>
    </w:p>
    <w:p>
      <w:pPr>
        <w:pStyle w:val="BookText"/>
        <w:rPr/>
      </w:pPr>
      <w:r>
        <w:rPr>
          <w:rFonts w:ascii="Amiri" w:hAnsi="Amiri" w:eastAsia="Amiri" w:cs="Amiri"/>
          <w:color w:val="111111"/>
          <w:sz w:val="28"/>
          <w:sz w:val="28"/>
          <w:szCs w:val="28"/>
          <w:rtl w:val="true"/>
          <w:lang w:bidi="ar-SA"/>
        </w:rPr>
        <w:t xml:space="preserve">و لا بالفصد و الحجامة و عن المنتهى الإجماع عليه </w:t>
      </w:r>
      <w:r>
        <w:rPr>
          <w:rStyle w:val="FootnoteAnchor"/>
          <w:rtl w:val="true"/>
        </w:rPr>
        <w:footnoteReference w:id="1041"/>
      </w:r>
      <w:r>
        <w:rPr>
          <w:rFonts w:ascii="Amiri" w:hAnsi="Amiri" w:eastAsia="Amiri" w:cs="Amiri"/>
          <w:color w:val="111111"/>
          <w:sz w:val="28"/>
          <w:sz w:val="28"/>
          <w:szCs w:val="28"/>
          <w:rtl w:val="true"/>
          <w:lang w:bidi="ar-SA"/>
        </w:rPr>
        <w:t xml:space="preserve">، للأصل و الروايات الحاصرة </w:t>
      </w:r>
      <w:r>
        <w:rPr>
          <w:rStyle w:val="FootnoteAnchor"/>
          <w:rtl w:val="true"/>
        </w:rPr>
        <w:footnoteReference w:id="1042"/>
      </w:r>
      <w:r>
        <w:rPr>
          <w:rFonts w:ascii="Amiri" w:hAnsi="Amiri" w:eastAsia="Amiri" w:cs="Amiri"/>
          <w:color w:val="111111"/>
          <w:sz w:val="28"/>
          <w:sz w:val="28"/>
          <w:szCs w:val="28"/>
          <w:rtl w:val="true"/>
          <w:lang w:bidi="ar-SA"/>
        </w:rPr>
        <w:t xml:space="preserve">و خصوص الأخبار الكثيرة </w:t>
      </w:r>
      <w:r>
        <w:rPr>
          <w:rStyle w:val="FootnoteAnchor"/>
          <w:rtl w:val="true"/>
        </w:rPr>
        <w:footnoteReference w:id="1043"/>
      </w:r>
      <w:r>
        <w:rPr>
          <w:rFonts w:ascii="Amiri" w:hAnsi="Amiri" w:eastAsia="Amiri" w:cs="Amiri"/>
          <w:color w:val="111111"/>
          <w:sz w:val="28"/>
          <w:sz w:val="28"/>
          <w:szCs w:val="28"/>
          <w:rtl w:val="true"/>
          <w:lang w:bidi="ar-SA"/>
        </w:rPr>
        <w:t>إلّا أنّها خالية عن ذكر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يكرهان للأخبار الكثيرة </w:t>
      </w:r>
      <w:r>
        <w:rPr>
          <w:rStyle w:val="FootnoteAnchor"/>
          <w:rtl w:val="true"/>
        </w:rPr>
        <w:footnoteReference w:id="1044"/>
      </w:r>
      <w:r>
        <w:rPr>
          <w:rFonts w:ascii="Amiri" w:hAnsi="Amiri" w:eastAsia="Amiri" w:cs="Amiri"/>
          <w:color w:val="111111"/>
          <w:sz w:val="28"/>
          <w:sz w:val="28"/>
          <w:szCs w:val="28"/>
          <w:rtl w:val="true"/>
          <w:lang w:bidi="ar-SA"/>
        </w:rPr>
        <w:t xml:space="preserve">و في بعضها التعليل بحصول الغشيان أو ثوران المرّة </w:t>
      </w:r>
      <w:r>
        <w:rPr>
          <w:rStyle w:val="FootnoteAnchor"/>
          <w:rtl w:val="true"/>
        </w:rPr>
        <w:footnoteReference w:id="1045"/>
      </w:r>
      <w:r>
        <w:rPr>
          <w:rFonts w:ascii="Amiri" w:hAnsi="Amiri" w:eastAsia="Amiri" w:cs="Amiri"/>
          <w:color w:val="111111"/>
          <w:sz w:val="28"/>
          <w:sz w:val="28"/>
          <w:szCs w:val="28"/>
          <w:rtl w:val="true"/>
          <w:lang w:bidi="ar-SA"/>
        </w:rPr>
        <w:t xml:space="preserve">، و مقتضى ذلك أنّ الكراهة للضعف بهما </w:t>
      </w:r>
      <w:r>
        <w:rPr>
          <w:rStyle w:val="FootnoteAnchor"/>
          <w:rtl w:val="true"/>
        </w:rPr>
        <w:footnoteReference w:id="1046"/>
      </w:r>
      <w:r>
        <w:rPr>
          <w:rFonts w:ascii="Amiri" w:hAnsi="Amiri" w:eastAsia="Amiri" w:cs="Amiri"/>
          <w:color w:val="111111"/>
          <w:sz w:val="28"/>
          <w:sz w:val="28"/>
          <w:szCs w:val="28"/>
          <w:rtl w:val="true"/>
          <w:lang w:bidi="ar-SA"/>
        </w:rPr>
        <w:t xml:space="preserve">فلو أمنه لم يكره كما صرّح بذلك في بعضها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2061668_2314609296"/>
      <w:bookmarkStart w:id="88" w:name="_Toc33"/>
      <w:bookmarkEnd w:id="87"/>
      <w:r>
        <w:rPr>
          <w:rtl w:val="true"/>
        </w:rPr>
        <w:t>[</w:t>
      </w:r>
      <w:r>
        <w:rPr>
          <w:rtl w:val="true"/>
        </w:rPr>
        <w:t>دخول الذبابة في الحلق من غير قصد</w:t>
      </w:r>
      <w:r>
        <w:rPr>
          <w:rtl w:val="true"/>
        </w:rPr>
        <w:t>]</w:t>
      </w:r>
      <w:bookmarkEnd w:id="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بدخول الذبابة الحلق من غير قصد لما ذكر و لخصوص الرواية المعلّلة بأنّه ليس بطعام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bookmarkStart w:id="89" w:name="pg19900_214641"/>
    </w:p>
    <w:p>
      <w:pPr>
        <w:pStyle w:val="BookText"/>
        <w:rPr/>
      </w:pPr>
      <w:bookmarkEnd w:id="89"/>
      <w:r>
        <w:rPr>
          <w:rFonts w:ascii="Amiri" w:hAnsi="Amiri" w:eastAsia="Amiri" w:cs="Amiri"/>
          <w:color w:val="111111"/>
          <w:sz w:val="28"/>
          <w:sz w:val="28"/>
          <w:szCs w:val="28"/>
          <w:rtl w:val="true"/>
          <w:lang w:bidi="ar-SA"/>
        </w:rPr>
        <w:t xml:space="preserve">و لا بابتلاع الريق و إن جمعه بالعلك و تغيّر طعمه في الفم، ما لم ينفصل عنه </w:t>
      </w:r>
      <w:r>
        <w:rPr>
          <w:rStyle w:val="FootnoteAnchor"/>
          <w:rtl w:val="true"/>
        </w:rPr>
        <w:footnoteReference w:id="1049"/>
      </w:r>
      <w:r>
        <w:rPr>
          <w:rFonts w:ascii="Amiri" w:hAnsi="Amiri" w:eastAsia="Amiri" w:cs="Amiri"/>
          <w:color w:val="111111"/>
          <w:sz w:val="28"/>
          <w:sz w:val="28"/>
          <w:szCs w:val="28"/>
          <w:rtl w:val="true"/>
          <w:lang w:bidi="ar-SA"/>
        </w:rPr>
        <w:t>لعدم صدق الأكل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تغيّر طعمه بالعلك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بامتزاجه بأجزاء العلك، فانّ وجود الطعم في الريق دليل على تخلّل شي‌ء من أجزاء ذي الطعم فيه، لاستحالة انتقال الأعراض فكان ابتلاعه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تخلّل أجزاء ذي الطعم و احتمال حصول التغيّر بالمجاورة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المصنّف في المنتهى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لطخ باطن قدميه بالحنظل وجد طعمه و لا يفطره إجماعا</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سلّم فلا نسلم صدق الأكل بازدراد هذه الأجزاء الرقيقة، فإنّ هذه ليست أعظم من الأجزاء الترابية المخلوطة بالهواء الواصل إلى الجوف، و احترز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انفصل عن الفم، فإنّ الظاهر أنّه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الأكل، فتأمّل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2061670_2314609296"/>
      <w:bookmarkStart w:id="91" w:name="_Toc34"/>
      <w:bookmarkEnd w:id="90"/>
      <w:r>
        <w:rPr>
          <w:rtl w:val="true"/>
        </w:rPr>
        <w:t>[</w:t>
      </w:r>
      <w:r>
        <w:rPr>
          <w:rtl w:val="true"/>
        </w:rPr>
        <w:t>ابتلاع النخامة</w:t>
      </w:r>
      <w:r>
        <w:rPr>
          <w:rtl w:val="true"/>
        </w:rPr>
        <w:t>]</w:t>
      </w:r>
      <w:bookmarkEnd w:id="91"/>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053"/>
      </w:r>
      <w:r>
        <w:rPr>
          <w:rFonts w:ascii="Amiri" w:hAnsi="Amiri" w:eastAsia="Amiri" w:cs="Amiri"/>
          <w:color w:val="111111"/>
          <w:sz w:val="28"/>
          <w:sz w:val="28"/>
          <w:szCs w:val="28"/>
          <w:rtl w:val="true"/>
          <w:lang w:bidi="ar-SA"/>
        </w:rPr>
        <w:t>و كذا النخامة إذا لم يحصل في حدّ الظاهر من الفم، لم يفطر بابتلاعها لعدم صدق الأكل و الشرب، و لا إيصال شي‌ء من الخارج إلى الجوف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انصبت من الدماغ إلى </w:t>
      </w:r>
      <w:r>
        <w:rPr>
          <w:rStyle w:val="FootnoteAnchor"/>
          <w:rtl w:val="true"/>
        </w:rPr>
        <w:footnoteReference w:id="1054"/>
      </w:r>
      <w:r>
        <w:rPr>
          <w:rFonts w:ascii="Amiri" w:hAnsi="Amiri" w:eastAsia="Amiri" w:cs="Amiri"/>
          <w:color w:val="111111"/>
          <w:sz w:val="28"/>
          <w:sz w:val="28"/>
          <w:szCs w:val="28"/>
          <w:rtl w:val="true"/>
          <w:lang w:bidi="ar-SA"/>
        </w:rPr>
        <w:t>الثقبة النافذة إلى أقصى الفم، و لم يقدر</w:t>
      </w:r>
    </w:p>
    <w:p>
      <w:pPr>
        <w:pStyle w:val="BookText"/>
        <w:rPr/>
      </w:pPr>
      <w:r>
        <w:rPr>
          <w:rFonts w:ascii="Amiri" w:hAnsi="Amiri" w:eastAsia="Amiri" w:cs="Amiri"/>
          <w:color w:val="111111"/>
          <w:sz w:val="28"/>
          <w:sz w:val="28"/>
          <w:szCs w:val="28"/>
          <w:rtl w:val="true"/>
          <w:lang w:bidi="ar-SA"/>
        </w:rPr>
        <w:t>على مجّها حتى نزلت إلى الجوف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ابتلعها بعد حصولها في فضاء الفم اختيارا بطل صومه و لعلّه لصدق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الريق يتولّد في نفس الفضاء بخلاف النخامة، فكان كدخول شي‌ء من الخارج إليه، فيفسد ابتلاعه و إيصاله إلى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عدم الإفساد به لا يخلو عن قوّة، للشك في صدق الأكل عليه فيبقى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يزدرد الصائم نخامته</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إلّا أنّ مقتضى 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القائلين بالبطلان به حكم بوجوب الكفارة </w:t>
      </w:r>
      <w:r>
        <w:rPr>
          <w:rStyle w:val="FootnoteAnchor"/>
          <w:rtl w:val="true"/>
        </w:rPr>
        <w:footnoteReference w:id="1056"/>
      </w:r>
      <w:r>
        <w:rPr>
          <w:rFonts w:ascii="Amiri" w:hAnsi="Amiri" w:eastAsia="Amiri" w:cs="Amiri"/>
          <w:color w:val="111111"/>
          <w:sz w:val="28"/>
          <w:sz w:val="28"/>
          <w:szCs w:val="28"/>
          <w:rtl w:val="true"/>
          <w:lang w:bidi="ar-SA"/>
        </w:rPr>
        <w:t xml:space="preserve">و تعدّى بعض هؤلاء فحكم بوجوب كفارة الجمع </w:t>
      </w:r>
      <w:r>
        <w:rPr>
          <w:rStyle w:val="FootnoteAnchor"/>
          <w:rtl w:val="true"/>
        </w:rPr>
        <w:footnoteReference w:id="1057"/>
      </w:r>
      <w:r>
        <w:rPr>
          <w:rFonts w:ascii="Amiri" w:hAnsi="Amiri" w:eastAsia="Amiri" w:cs="Amiri"/>
          <w:color w:val="111111"/>
          <w:sz w:val="28"/>
          <w:sz w:val="28"/>
          <w:szCs w:val="28"/>
          <w:rtl w:val="true"/>
          <w:lang w:bidi="ar-SA"/>
        </w:rPr>
        <w:t>استنادا إلى تحريم ازدرادها على غير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 لعدم الدليل على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انصراف أدلّتها إلّا إلى الأكل المتعارف الّذي ليس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الإجماعات المحكية و الشهرة العظيمة </w:t>
      </w:r>
      <w:r>
        <w:rPr>
          <w:rStyle w:val="FootnoteAnchor"/>
          <w:rtl w:val="true"/>
        </w:rPr>
        <w:footnoteReference w:id="1058"/>
      </w:r>
      <w:r>
        <w:rPr>
          <w:rFonts w:ascii="Amiri" w:hAnsi="Amiri" w:eastAsia="Amiri" w:cs="Amiri"/>
          <w:color w:val="111111"/>
          <w:sz w:val="28"/>
          <w:sz w:val="28"/>
          <w:szCs w:val="28"/>
          <w:rtl w:val="true"/>
          <w:lang w:bidi="ar-SA"/>
        </w:rPr>
        <w:t>و الاحتياط اللازم، لم نقل بالتحريم في الأكل الغير المتعارف مطلقا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تحريم ازدراد النخامة على غير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ان شاء اللّٰه تعالى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bookmarkStart w:id="92" w:name="pg19900_214643"/>
    </w:p>
    <w:p>
      <w:pPr>
        <w:pStyle w:val="BookText"/>
        <w:rPr/>
      </w:pPr>
      <w:bookmarkEnd w:id="92"/>
      <w:r>
        <w:rPr>
          <w:rFonts w:ascii="Amiri" w:hAnsi="Amiri" w:eastAsia="Amiri" w:cs="Amiri"/>
          <w:color w:val="111111"/>
          <w:sz w:val="28"/>
          <w:sz w:val="28"/>
          <w:szCs w:val="28"/>
          <w:rtl w:val="true"/>
          <w:lang w:bidi="ar-SA"/>
        </w:rPr>
        <w:t>و لو قدر على قطعها من مجراها فتركها حتى نزلت، فالأقرب عدم الإفطار لأنّ سبب الحكم بعدم إفسادها ليس هو حصولها بغير اختيار المكلّف و قصده، فيكون من قبيل الأكل الغير المختار و الغير المقصود، بل السبب عدم صدق الأكل عليه، فلا يفرّق بين صورتي القدرة على الكف عنه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علم بنزولها إلى الحلق عند رفع الرأس إلى العلو فلا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يوجب النزول من الدماغ إلى أقصى الحلق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2061672_2314609296"/>
      <w:bookmarkStart w:id="94" w:name="_Toc35"/>
      <w:bookmarkEnd w:id="93"/>
      <w:r>
        <w:rPr>
          <w:rtl w:val="true"/>
        </w:rPr>
        <w:t>[</w:t>
      </w:r>
      <w:r>
        <w:rPr>
          <w:rtl w:val="true"/>
        </w:rPr>
        <w:t>دخول الماء بالاستنشاق إلى الدماغ</w:t>
      </w:r>
      <w:r>
        <w:rPr>
          <w:rtl w:val="true"/>
        </w:rPr>
        <w:t>]</w:t>
      </w:r>
      <w:bookmarkEnd w:id="94"/>
    </w:p>
    <w:p>
      <w:pPr>
        <w:pStyle w:val="BookText"/>
        <w:rPr/>
      </w:pPr>
      <w:r>
        <w:rPr>
          <w:rFonts w:ascii="Amiri" w:hAnsi="Amiri" w:eastAsia="Amiri" w:cs="Amiri"/>
          <w:color w:val="111111"/>
          <w:sz w:val="28"/>
          <w:sz w:val="28"/>
          <w:szCs w:val="28"/>
          <w:rtl w:val="true"/>
          <w:lang w:bidi="ar-SA"/>
        </w:rPr>
        <w:t>و لو استنشق فدخل الماء دماغه بل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يفطر إلّا أنّه لا ينبغي ترك الاحتياط حين الوصول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جرى الريق ببقية الطعام في خلل الأسنان و لم يتعمّد الابتلاع فإن قصّر في التخليل، فالأقرب القضاء خاصّة و لعلّه لكونه كالمتعمّد لابتلاعها، بل هو هو، لأنّ الفعل الغير الاختياري الناشئ من فعل أو ترك اختياري، اختياري </w:t>
      </w:r>
      <w:r>
        <w:rPr>
          <w:rStyle w:val="FootnoteAnchor"/>
          <w:rtl w:val="true"/>
        </w:rPr>
        <w:footnoteReference w:id="106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يقصّر في التخليل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تعمّد الابتلاع فالقضاء و الكفّارة و قد سبق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2061674_2314609296"/>
      <w:bookmarkStart w:id="96" w:name="_Toc36"/>
      <w:bookmarkEnd w:id="95"/>
      <w:r>
        <w:rPr>
          <w:rtl w:val="true"/>
        </w:rPr>
        <w:t>[</w:t>
      </w:r>
      <w:r>
        <w:rPr>
          <w:rtl w:val="true"/>
        </w:rPr>
        <w:t>في ما يكره للصائم</w:t>
      </w:r>
      <w:r>
        <w:rPr>
          <w:rtl w:val="true"/>
        </w:rPr>
        <w:t>]</w:t>
      </w:r>
      <w:bookmarkEnd w:id="96"/>
    </w:p>
    <w:p>
      <w:pPr>
        <w:pStyle w:val="Heading6"/>
        <w:numPr>
          <w:ilvl w:val="5"/>
          <w:numId w:val="1"/>
        </w:numPr>
        <w:rPr/>
      </w:pPr>
      <w:bookmarkStart w:id="97" w:name="__RefHeading___Toc2061676_2314609296"/>
      <w:bookmarkStart w:id="98" w:name="_Toc37"/>
      <w:bookmarkEnd w:id="97"/>
      <w:r>
        <w:rPr>
          <w:rtl w:val="true"/>
        </w:rPr>
        <w:t>[</w:t>
      </w:r>
      <w:r>
        <w:rPr>
          <w:rtl w:val="true"/>
        </w:rPr>
        <w:t>تقبيل النساء و اللمس و الملاعبة</w:t>
      </w:r>
      <w:r>
        <w:rPr>
          <w:rtl w:val="true"/>
        </w:rPr>
        <w:t>]</w:t>
      </w:r>
      <w:bookmarkEnd w:id="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تقبيل النساء و اللمس و الملاعبة إمّا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المطلقة كرواية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و أنا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صومك</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 عن </w:t>
      </w:r>
      <w:r>
        <w:rPr>
          <w:rStyle w:val="FootnoteAnchor"/>
          <w:rtl w:val="true"/>
        </w:rPr>
        <w:footnoteReference w:id="1065"/>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يقبّل أو يلمس و هو يقضي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آخر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عدم الأمن من سبق المنيّ كما 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هل يباشر الصائم أو يقبّل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عليه، فليتنزّه عن ذلك، إلّا أن يثق ألّا </w:t>
      </w:r>
      <w:r>
        <w:rPr>
          <w:rStyle w:val="FootnoteAnchor"/>
          <w:rtl w:val="true"/>
        </w:rPr>
        <w:footnoteReference w:id="1069"/>
      </w:r>
      <w:r>
        <w:rPr>
          <w:rFonts w:ascii="Amiri" w:hAnsi="Amiri" w:eastAsia="Amiri" w:cs="Amiri"/>
          <w:color w:val="111111"/>
          <w:sz w:val="28"/>
          <w:sz w:val="28"/>
          <w:szCs w:val="28"/>
          <w:rtl w:val="true"/>
          <w:lang w:bidi="ar-SA"/>
        </w:rPr>
        <w:t>يسبقه منيّه</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رواية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يمسّ من المرأة شيئا، أ يفسد ذلك صومه أو ينقضه؟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 الجارية و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الكبير مثلي و مثلك فلا بأس، و أمّا الشاب الشبق فلا، لأنّه لا يؤمن، و القبلة إحدى الشهوتين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يؤمن على سبق المنيّ، بقرينة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إحدى الشهوتين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الموجبتين لسبق المني،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الاكتحال خصوصا بما فيه صبر أو مسك</w:t>
      </w:r>
      <w:r>
        <w:rPr>
          <w:rFonts w:eastAsia="Amiri" w:cs="Amiri" w:ascii="Amiri" w:hAnsi="Amiri"/>
          <w:color w:val="111111"/>
          <w:sz w:val="28"/>
          <w:szCs w:val="28"/>
          <w:rtl w:val="true"/>
          <w:lang w:bidi="ar-SA"/>
        </w:rPr>
        <w:t>.</w:t>
      </w:r>
      <w:bookmarkStart w:id="99" w:name="pg19900_214645"/>
    </w:p>
    <w:p>
      <w:pPr>
        <w:pStyle w:val="BookText"/>
        <w:rPr/>
      </w:pPr>
      <w:bookmarkEnd w:id="99"/>
      <w:r>
        <w:rPr>
          <w:rFonts w:ascii="Amiri" w:hAnsi="Amiri" w:eastAsia="Amiri" w:cs="Amiri"/>
          <w:color w:val="111111"/>
          <w:sz w:val="28"/>
          <w:sz w:val="28"/>
          <w:szCs w:val="28"/>
          <w:rtl w:val="true"/>
          <w:lang w:bidi="ar-SA"/>
        </w:rPr>
        <w:t xml:space="preserve">و يدلّ على كراهة مطلق </w:t>
      </w:r>
      <w:r>
        <w:rPr>
          <w:rStyle w:val="FootnoteAnchor"/>
          <w:rtl w:val="true"/>
        </w:rPr>
        <w:footnoteReference w:id="1073"/>
      </w:r>
      <w:r>
        <w:rPr>
          <w:rFonts w:ascii="Amiri" w:hAnsi="Amiri" w:eastAsia="Amiri" w:cs="Amiri"/>
          <w:color w:val="111111"/>
          <w:sz w:val="28"/>
          <w:sz w:val="28"/>
          <w:szCs w:val="28"/>
          <w:rtl w:val="true"/>
          <w:lang w:bidi="ar-SA"/>
        </w:rPr>
        <w:t xml:space="preserve">الاكتحال رواية سعد بن سعد الأشعري،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يصيبه الرمد في شهر رمضان هل يذرّ </w:t>
      </w:r>
      <w:r>
        <w:rPr>
          <w:rStyle w:val="FootnoteAnchor"/>
          <w:rtl w:val="true"/>
        </w:rPr>
        <w:footnoteReference w:id="1074"/>
      </w:r>
      <w:r>
        <w:rPr>
          <w:rFonts w:ascii="Amiri" w:hAnsi="Amiri" w:eastAsia="Amiri" w:cs="Amiri"/>
          <w:color w:val="111111"/>
          <w:sz w:val="28"/>
          <w:sz w:val="28"/>
          <w:szCs w:val="28"/>
          <w:rtl w:val="true"/>
          <w:lang w:bidi="ar-SA"/>
        </w:rPr>
        <w:t>عينه بالنهار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يذرّها إذا أفطر، و لا يذرّها و هو صائم</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يكتحل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أتخوّف أن يدخل رأسه</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خصوص ما فيه صبر أو مسك رواية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المرأة تكتحل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كحلا تجد له طعما في حلقها فلا بأس</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الكحل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كحلا ليس فيه مسك و ليس له طعم في الحلق فلا بأس</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2061678_2314609296"/>
      <w:bookmarkStart w:id="101" w:name="_Toc38"/>
      <w:bookmarkEnd w:id="100"/>
      <w:r>
        <w:rPr>
          <w:rtl w:val="true"/>
        </w:rPr>
        <w:t>[</w:t>
      </w:r>
      <w:r>
        <w:rPr>
          <w:rtl w:val="true"/>
        </w:rPr>
        <w:t>إخراج الدم و دخول الحمّام المضعفان</w:t>
      </w:r>
      <w:r>
        <w:rPr>
          <w:rtl w:val="true"/>
        </w:rPr>
        <w:t>]</w:t>
      </w:r>
      <w:bookmarkEnd w:id="101"/>
    </w:p>
    <w:p>
      <w:pPr>
        <w:pStyle w:val="BookText"/>
        <w:rPr/>
      </w:pPr>
      <w:r>
        <w:rPr>
          <w:rFonts w:ascii="IRNazanin" w:hAnsi="IRNazanin" w:eastAsia="IRNazanin"/>
          <w:color w:val="111111"/>
          <w:sz w:val="28"/>
          <w:sz w:val="28"/>
          <w:szCs w:val="28"/>
          <w:rtl w:val="true"/>
          <w:lang w:bidi="fa-IR"/>
        </w:rPr>
        <w:t>و إخراج الدم و دخول الحمّام المضعفان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يدلّ على كراهة الأوّل فقد مضى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يدلّ على كراهة الثاني، فرواية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يدخل الحمّام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bookmarkStart w:id="102" w:name="pg19900_214646"/>
    </w:p>
    <w:p>
      <w:pPr>
        <w:pStyle w:val="BookText"/>
        <w:rPr/>
      </w:pPr>
      <w:bookmarkEnd w:id="102"/>
      <w:r>
        <w:rPr>
          <w:rFonts w:ascii="IRNazanin" w:hAnsi="IRNazanin" w:eastAsia="IRNazanin"/>
          <w:color w:val="111111"/>
          <w:sz w:val="28"/>
          <w:sz w:val="28"/>
          <w:szCs w:val="28"/>
          <w:rtl w:val="true"/>
          <w:lang w:bidi="fa-IR"/>
        </w:rPr>
        <w:t>دلّت بمفهومها على المطلوب</w:t>
      </w:r>
      <w:r>
        <w:rPr>
          <w:rFonts w:eastAsia="IRNazanin" w:cs="IRNazanin"/>
          <w:color w:val="111111"/>
          <w:sz w:val="28"/>
          <w:szCs w:val="28"/>
          <w:rtl w:val="true"/>
          <w:lang w:bidi="fa-IR"/>
        </w:rPr>
        <w:t>.</w:t>
      </w:r>
    </w:p>
    <w:p>
      <w:pPr>
        <w:pStyle w:val="Heading6"/>
        <w:numPr>
          <w:ilvl w:val="5"/>
          <w:numId w:val="1"/>
        </w:numPr>
        <w:rPr/>
      </w:pPr>
      <w:bookmarkStart w:id="103" w:name="__RefHeading___Toc2061680_2314609296"/>
      <w:bookmarkStart w:id="104" w:name="_Toc39"/>
      <w:bookmarkEnd w:id="103"/>
      <w:r>
        <w:rPr>
          <w:rtl w:val="true"/>
        </w:rPr>
        <w:t>[</w:t>
      </w:r>
      <w:r>
        <w:rPr>
          <w:rtl w:val="true"/>
        </w:rPr>
        <w:t>السعوط بما لا يتعدّى إلى الحلق</w:t>
      </w:r>
      <w:r>
        <w:rPr>
          <w:rtl w:val="true"/>
        </w:rPr>
        <w:t>]</w:t>
      </w:r>
      <w:bookmarkEnd w:id="104"/>
    </w:p>
    <w:p>
      <w:pPr>
        <w:pStyle w:val="BookText"/>
        <w:rPr/>
      </w:pPr>
      <w:r>
        <w:rPr>
          <w:rFonts w:ascii="Amiri" w:hAnsi="Amiri" w:eastAsia="Amiri" w:cs="Amiri"/>
          <w:color w:val="111111"/>
          <w:sz w:val="28"/>
          <w:sz w:val="28"/>
          <w:szCs w:val="28"/>
          <w:rtl w:val="true"/>
          <w:lang w:bidi="ar-SA"/>
        </w:rPr>
        <w:t xml:space="preserve">و السعوط بما لا يتعدّى إلى الحلق لرواية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بالكحل للصائم، و كره السعوط للصائم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يصبّ في اذنه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احترز بالقيد عمّا يتعدى، حيث حكم فيه سابقا </w:t>
      </w:r>
      <w:r>
        <w:rPr>
          <w:rStyle w:val="FootnoteAnchor"/>
          <w:rtl w:val="true"/>
        </w:rPr>
        <w:footnoteReference w:id="1083"/>
      </w:r>
      <w:r>
        <w:rPr>
          <w:rFonts w:ascii="IRNazanin" w:hAnsi="IRNazanin" w:eastAsia="IRNazanin"/>
          <w:color w:val="111111"/>
          <w:sz w:val="28"/>
          <w:sz w:val="28"/>
          <w:szCs w:val="28"/>
          <w:rtl w:val="true"/>
          <w:lang w:bidi="fa-IR"/>
        </w:rPr>
        <w:t>بالإفساد و عرفت ضعفه</w:t>
      </w:r>
      <w:r>
        <w:rPr>
          <w:rFonts w:eastAsia="IRNazanin" w:cs="IRNazanin"/>
          <w:color w:val="111111"/>
          <w:sz w:val="28"/>
          <w:szCs w:val="28"/>
          <w:rtl w:val="true"/>
          <w:lang w:bidi="fa-IR"/>
        </w:rPr>
        <w:t>.</w:t>
      </w:r>
    </w:p>
    <w:p>
      <w:pPr>
        <w:pStyle w:val="Heading6"/>
        <w:numPr>
          <w:ilvl w:val="5"/>
          <w:numId w:val="1"/>
        </w:numPr>
        <w:rPr/>
      </w:pPr>
      <w:bookmarkStart w:id="105" w:name="__RefHeading___Toc2061682_2314609296"/>
      <w:bookmarkStart w:id="106" w:name="_Toc40"/>
      <w:bookmarkEnd w:id="105"/>
      <w:r>
        <w:rPr>
          <w:rtl w:val="true"/>
        </w:rPr>
        <w:t>[</w:t>
      </w:r>
      <w:r>
        <w:rPr>
          <w:rtl w:val="true"/>
        </w:rPr>
        <w:t>شمّ الرياحين</w:t>
      </w:r>
      <w:r>
        <w:rPr>
          <w:rtl w:val="true"/>
        </w:rPr>
        <w:t>]</w:t>
      </w:r>
      <w:bookmarkEnd w:id="106"/>
    </w:p>
    <w:p>
      <w:pPr>
        <w:pStyle w:val="BookText"/>
        <w:rPr/>
      </w:pPr>
      <w:r>
        <w:rPr>
          <w:rFonts w:ascii="Amiri" w:hAnsi="Amiri" w:eastAsia="Amiri" w:cs="Amiri"/>
          <w:color w:val="111111"/>
          <w:sz w:val="28"/>
          <w:sz w:val="28"/>
          <w:szCs w:val="28"/>
          <w:rtl w:val="true"/>
          <w:lang w:bidi="ar-SA"/>
        </w:rPr>
        <w:t>و شمّ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المنتهى الإجماع عليه </w:t>
      </w:r>
      <w:r>
        <w:rPr>
          <w:rStyle w:val="FootnoteAnchor"/>
          <w:rtl w:val="true"/>
        </w:rPr>
        <w:footnoteReference w:id="1084"/>
      </w:r>
      <w:r>
        <w:rPr>
          <w:rFonts w:ascii="Amiri" w:hAnsi="Amiri" w:eastAsia="Amiri" w:cs="Amiri"/>
          <w:color w:val="111111"/>
          <w:sz w:val="28"/>
          <w:sz w:val="28"/>
          <w:szCs w:val="28"/>
          <w:rtl w:val="true"/>
          <w:lang w:bidi="ar-SA"/>
        </w:rPr>
        <w:t xml:space="preserve">لرواية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مرسلة الفقيه،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المحرم يشم الريحان؟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الاخبار من نفي البأس عنه </w:t>
      </w:r>
      <w:r>
        <w:rPr>
          <w:rStyle w:val="FootnoteAnchor"/>
          <w:rtl w:val="true"/>
        </w:rPr>
        <w:footnoteReference w:id="1087"/>
      </w:r>
      <w:r>
        <w:rPr>
          <w:rFonts w:ascii="Amiri" w:hAnsi="Amiri" w:eastAsia="Amiri" w:cs="Amiri"/>
          <w:color w:val="111111"/>
          <w:sz w:val="28"/>
          <w:sz w:val="28"/>
          <w:szCs w:val="28"/>
          <w:rtl w:val="true"/>
          <w:lang w:bidi="ar-SA"/>
        </w:rPr>
        <w:t>محمول على نفي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يتأكّد الكراهة في النرجس لرواية الكليني، عن محمّد بن العيص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ينهى </w:t>
      </w:r>
      <w:r>
        <w:rPr>
          <w:rStyle w:val="FootnoteAnchor"/>
          <w:rtl w:val="true"/>
        </w:rPr>
        <w:footnoteReference w:id="1089"/>
      </w:r>
      <w:r>
        <w:rPr>
          <w:rFonts w:ascii="IRNazanin" w:hAnsi="IRNazanin" w:eastAsia="IRNazanin"/>
          <w:color w:val="111111"/>
          <w:sz w:val="28"/>
          <w:sz w:val="28"/>
          <w:szCs w:val="28"/>
          <w:rtl w:val="true"/>
          <w:lang w:bidi="fa-IR"/>
        </w:rPr>
        <w:t>عن النرجس للصائم</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bookmarkStart w:id="107" w:name="pg19900_214647"/>
    </w:p>
    <w:p>
      <w:pPr>
        <w:pStyle w:val="BookText"/>
        <w:rPr/>
      </w:pPr>
      <w:bookmarkEnd w:id="107"/>
      <w:r>
        <w:rPr>
          <w:rFonts w:ascii="Amiri" w:hAnsi="Amiri" w:eastAsia="Amiri" w:cs="Amiri"/>
          <w:color w:val="111111"/>
          <w:sz w:val="28"/>
          <w:sz w:val="28"/>
          <w:szCs w:val="28"/>
          <w:rtl w:val="true"/>
          <w:lang w:bidi="ar-SA"/>
        </w:rPr>
        <w:t>و وجه تأكّد الكراهة فيه تخصيصه بالذكر في الخبر</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2061684_2314609296"/>
      <w:bookmarkStart w:id="109" w:name="_Toc41"/>
      <w:bookmarkEnd w:id="108"/>
      <w:r>
        <w:rPr>
          <w:rtl w:val="true"/>
        </w:rPr>
        <w:t>[</w:t>
      </w:r>
      <w:r>
        <w:rPr>
          <w:rtl w:val="true"/>
        </w:rPr>
        <w:t>الحقنة بالجامد</w:t>
      </w:r>
      <w:r>
        <w:rPr>
          <w:rtl w:val="true"/>
        </w:rPr>
        <w:t>]</w:t>
      </w:r>
      <w:bookmarkEnd w:id="109"/>
    </w:p>
    <w:p>
      <w:pPr>
        <w:pStyle w:val="BookText"/>
        <w:rPr/>
      </w:pPr>
      <w:r>
        <w:rPr>
          <w:rFonts w:ascii="Amiri" w:hAnsi="Amiri" w:eastAsia="Amiri" w:cs="Amiri"/>
          <w:color w:val="111111"/>
          <w:sz w:val="28"/>
          <w:sz w:val="28"/>
          <w:szCs w:val="28"/>
          <w:rtl w:val="true"/>
          <w:lang w:bidi="ar-SA"/>
        </w:rPr>
        <w:t xml:space="preserve">و الحقنة بالجامد لرواية الشيخ، عن أحمد بن محمد، عن علي بن الحسن </w:t>
      </w:r>
      <w:r>
        <w:rPr>
          <w:rStyle w:val="FootnoteAnchor"/>
          <w:rtl w:val="true"/>
        </w:rPr>
        <w:footnoteReference w:id="1091"/>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ما تقول في اللطف يستدخله الإنسان و هو صائم؟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حرّمه بعض </w:t>
      </w:r>
      <w:r>
        <w:rPr>
          <w:rStyle w:val="FootnoteAnchor"/>
          <w:rtl w:val="true"/>
        </w:rPr>
        <w:footnoteReference w:id="1093"/>
      </w:r>
      <w:r>
        <w:rPr>
          <w:rFonts w:ascii="Amiri" w:hAnsi="Amiri" w:eastAsia="Amiri" w:cs="Amiri"/>
          <w:color w:val="111111"/>
          <w:sz w:val="28"/>
          <w:sz w:val="28"/>
          <w:szCs w:val="28"/>
          <w:rtl w:val="true"/>
          <w:lang w:bidi="ar-SA"/>
        </w:rPr>
        <w:t xml:space="preserve">استنادا إلى عموم إطلاق رواية البزنطي،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 قصور هذه الرواية </w:t>
      </w:r>
      <w:r>
        <w:rPr>
          <w:rStyle w:val="FootnoteAnchor"/>
          <w:rtl w:val="true"/>
        </w:rPr>
        <w:footnoteReference w:id="1095"/>
      </w:r>
      <w:r>
        <w:rPr>
          <w:rFonts w:ascii="Amiri" w:hAnsi="Amiri" w:eastAsia="Amiri" w:cs="Amiri"/>
          <w:color w:val="111111"/>
          <w:sz w:val="28"/>
          <w:sz w:val="28"/>
          <w:szCs w:val="28"/>
          <w:rtl w:val="true"/>
          <w:lang w:bidi="ar-SA"/>
        </w:rPr>
        <w:t>سندا عن 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لو سلم قصور المقيّد، فالمطلق أقصر من حيث شموله للجامد، لأنّ المتبادر عرفا من الاحتقان أن يكون بالمائع، فتأمّل</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2061686_2314609296"/>
      <w:bookmarkStart w:id="111" w:name="_Toc42"/>
      <w:bookmarkEnd w:id="110"/>
      <w:r>
        <w:rPr>
          <w:rtl w:val="true"/>
        </w:rPr>
        <w:t>[</w:t>
      </w:r>
      <w:r>
        <w:rPr>
          <w:rtl w:val="true"/>
        </w:rPr>
        <w:t>بلّ الثوب على الجسد</w:t>
      </w:r>
      <w:r>
        <w:rPr>
          <w:rtl w:val="true"/>
        </w:rPr>
        <w:t>]</w:t>
      </w:r>
      <w:bookmarkEnd w:id="111"/>
    </w:p>
    <w:p>
      <w:pPr>
        <w:pStyle w:val="BookText"/>
        <w:rPr/>
      </w:pPr>
      <w:r>
        <w:rPr>
          <w:rFonts w:ascii="Amiri" w:hAnsi="Amiri" w:eastAsia="Amiri" w:cs="Amiri"/>
          <w:color w:val="111111"/>
          <w:sz w:val="28"/>
          <w:sz w:val="28"/>
          <w:szCs w:val="28"/>
          <w:rtl w:val="true"/>
          <w:lang w:bidi="ar-SA"/>
        </w:rPr>
        <w:t>و بلّ الثوب على الجسد لرواية الحسن بن راشد،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الحسن الصيقل </w:t>
      </w:r>
      <w:r>
        <w:rPr>
          <w:rStyle w:val="FootnoteAnchor"/>
          <w:rtl w:val="true"/>
        </w:rPr>
        <w:footnoteReference w:id="10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الصائم 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يلزق ثوبك و هو رطب و أنت صائم</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و إن كانت ظاهرة في الحرمة، إلّا أنّ اللّازم صرفها إلى الكراهة، لقصور سندها و مخالفتها للشهرة</w:t>
      </w:r>
      <w:r>
        <w:rPr>
          <w:rFonts w:eastAsia="Amiri" w:cs="Amiri" w:ascii="Amiri" w:hAnsi="Amiri"/>
          <w:color w:val="111111"/>
          <w:sz w:val="28"/>
          <w:szCs w:val="28"/>
          <w:rtl w:val="true"/>
          <w:lang w:bidi="ar-SA"/>
        </w:rPr>
        <w:t>.</w:t>
      </w:r>
      <w:bookmarkStart w:id="112" w:name="pg19900_214649"/>
    </w:p>
    <w:p>
      <w:pPr>
        <w:pStyle w:val="Heading6"/>
        <w:numPr>
          <w:ilvl w:val="5"/>
          <w:numId w:val="1"/>
        </w:numPr>
        <w:rPr/>
      </w:pPr>
      <w:bookmarkStart w:id="113" w:name="__RefHeading___Toc2061688_2314609296"/>
      <w:bookmarkStart w:id="114" w:name="_Toc43"/>
      <w:bookmarkEnd w:id="112"/>
      <w:bookmarkEnd w:id="113"/>
      <w:r>
        <w:rPr>
          <w:rtl w:val="true"/>
        </w:rPr>
        <w:t>[</w:t>
      </w:r>
      <w:r>
        <w:rPr>
          <w:rtl w:val="true"/>
        </w:rPr>
        <w:t>قاعدة</w:t>
      </w:r>
      <w:r>
        <w:rPr>
          <w:rtl w:val="true"/>
        </w:rPr>
        <w:t>]</w:t>
      </w:r>
      <w:bookmarkEnd w:id="114"/>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1100"/>
      </w:r>
      <w:r>
        <w:rPr>
          <w:rFonts w:ascii="Amiri" w:hAnsi="Amiri" w:eastAsia="Amiri" w:cs="Amiri"/>
          <w:color w:val="111111"/>
          <w:sz w:val="28"/>
          <w:sz w:val="28"/>
          <w:szCs w:val="28"/>
          <w:rtl w:val="true"/>
          <w:lang w:bidi="ar-SA"/>
        </w:rPr>
        <w:t xml:space="preserve">كلّ موضع تمسّكنا </w:t>
      </w:r>
      <w:r>
        <w:rPr>
          <w:rStyle w:val="FootnoteAnchor"/>
          <w:rtl w:val="true"/>
        </w:rPr>
        <w:footnoteReference w:id="1101"/>
      </w:r>
      <w:r>
        <w:rPr>
          <w:rFonts w:ascii="Amiri" w:hAnsi="Amiri" w:eastAsia="Amiri" w:cs="Amiri"/>
          <w:color w:val="111111"/>
          <w:sz w:val="28"/>
          <w:sz w:val="28"/>
          <w:szCs w:val="28"/>
          <w:rtl w:val="true"/>
          <w:lang w:bidi="ar-SA"/>
        </w:rPr>
        <w:t>في عدم إفساد الشي‌ء للصوم بالأصل، فالمراد نفي إيجابه القضاء أو الكفّارة، لأصالة البراءة، و ليس المراد جواز ارتكابه و صحّة الصوم معه، لأنّ الأصل في العبادات الفساد، و الشغل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 عن كلّ ما شك في مدخلية الكفّ عنه 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 الصوم بدون الكفّ لكن لا على وجه 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شككنا في كون شي‌ء مفسدا للصوم أم لا؟ فيحكم بوجوب الكفّ عنه، و لكن لو لم يكف عنه فلا يجب قضاء و لا كفارة</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وجوب الكفّ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الشغل اليقيني يستدعي البراءة اليقينيّة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يكف فلأصالة البراءة، فإنّ أصالة الاحتياط </w:t>
      </w:r>
      <w:r>
        <w:rPr>
          <w:rStyle w:val="FootnoteAnchor"/>
          <w:rtl w:val="true"/>
        </w:rPr>
        <w:footnoteReference w:id="1103"/>
      </w:r>
      <w:r>
        <w:rPr>
          <w:rFonts w:ascii="Amiri" w:hAnsi="Amiri" w:eastAsia="Amiri" w:cs="Amiri"/>
          <w:color w:val="111111"/>
          <w:sz w:val="28"/>
          <w:sz w:val="28"/>
          <w:szCs w:val="28"/>
          <w:rtl w:val="true"/>
          <w:lang w:bidi="ar-SA"/>
        </w:rPr>
        <w:t>لا يوجب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القضاء بأمر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لازم فساد الصوم؟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لم يثبت بالاحتياط إلّا وجوب الاجتناب عن المشكوك و هذا معنى الفساد المقتضى للأصل، لا الفساد بمعنى ترتّب جميع أحكام الفاسد، إلّا أنّه لو شككنا في شرطية شي‌ء لصحّة الصلاة أو جزئية شي‌ء لها يحكم </w:t>
      </w:r>
      <w:r>
        <w:rPr>
          <w:rStyle w:val="FootnoteAnchor"/>
          <w:rtl w:val="true"/>
        </w:rPr>
        <w:footnoteReference w:id="1104"/>
      </w:r>
      <w:r>
        <w:rPr>
          <w:rFonts w:ascii="Amiri" w:hAnsi="Amiri" w:eastAsia="Amiri" w:cs="Amiri"/>
          <w:color w:val="111111"/>
          <w:sz w:val="28"/>
          <w:sz w:val="28"/>
          <w:szCs w:val="28"/>
          <w:rtl w:val="true"/>
          <w:lang w:bidi="ar-SA"/>
        </w:rPr>
        <w:t>بفسادها بدونه للاحتياط، و مع ذلك فإذا لم يتمكّن منه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متمكّنا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بوجوب الإتيان بالصلاة بدون هذا المشكوك، لاستصحاب بقاء التكليف مع أنّ مقتضى فساد العبادة بدونه هو عدم وجوبها حين طروّ العجز عن المشكوك، و ما نحن فيه من هذا القبيل</w:t>
      </w:r>
      <w:r>
        <w:rPr>
          <w:rFonts w:eastAsia="Amiri" w:cs="Amiri" w:ascii="Amiri" w:hAnsi="Amiri"/>
          <w:color w:val="111111"/>
          <w:sz w:val="28"/>
          <w:szCs w:val="28"/>
          <w:rtl w:val="true"/>
          <w:lang w:bidi="ar-SA"/>
        </w:rPr>
        <w:t>.</w:t>
      </w:r>
      <w:bookmarkStart w:id="115" w:name="pg19900_214651"/>
    </w:p>
    <w:p>
      <w:pPr>
        <w:pStyle w:val="Heading5"/>
        <w:numPr>
          <w:ilvl w:val="4"/>
          <w:numId w:val="1"/>
        </w:numPr>
        <w:rPr/>
      </w:pPr>
      <w:bookmarkStart w:id="116" w:name="__RefHeading___Toc2061690_2314609296"/>
      <w:bookmarkStart w:id="117" w:name="_Toc44"/>
      <w:bookmarkEnd w:id="115"/>
      <w:bookmarkEnd w:id="116"/>
      <w:r>
        <w:rPr>
          <w:rtl w:val="true"/>
        </w:rPr>
        <w:t>[</w:t>
      </w:r>
      <w:r>
        <w:rPr>
          <w:rtl w:val="true"/>
        </w:rPr>
        <w:t>المطلب الثالث في ما يجب بالإفطار</w:t>
      </w:r>
      <w:r>
        <w:rPr>
          <w:rtl w:val="true"/>
        </w:rPr>
        <w:t>]</w:t>
      </w:r>
      <w:bookmarkEnd w:id="117"/>
    </w:p>
    <w:p>
      <w:pPr>
        <w:pStyle w:val="Heading6"/>
        <w:numPr>
          <w:ilvl w:val="5"/>
          <w:numId w:val="1"/>
        </w:numPr>
        <w:rPr/>
      </w:pPr>
      <w:bookmarkStart w:id="118" w:name="__RefHeading___Toc2061692_2314609296"/>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المطلب الثالث في ما يجب بالإفطار</w:t>
      </w:r>
    </w:p>
    <w:p>
      <w:pPr>
        <w:pStyle w:val="Heading6"/>
        <w:numPr>
          <w:ilvl w:val="5"/>
          <w:numId w:val="1"/>
        </w:numPr>
        <w:rPr/>
      </w:pPr>
      <w:bookmarkStart w:id="120" w:name="__RefHeading___Toc2061694_2314609296"/>
      <w:bookmarkStart w:id="121" w:name="_Toc46"/>
      <w:bookmarkEnd w:id="120"/>
      <w:r>
        <w:rPr>
          <w:rtl w:val="true"/>
        </w:rPr>
        <w:t>[</w:t>
      </w:r>
      <w:r>
        <w:rPr>
          <w:rtl w:val="true"/>
        </w:rPr>
        <w:t>القضاء و الكفارة في الأكل و الشرب</w:t>
      </w:r>
      <w:r>
        <w:rPr>
          <w:rtl w:val="true"/>
        </w:rPr>
        <w:t>]</w:t>
      </w:r>
      <w:bookmarkEnd w:id="121"/>
    </w:p>
    <w:p>
      <w:pPr>
        <w:pStyle w:val="BookText"/>
        <w:rPr/>
      </w:pPr>
      <w:r>
        <w:rPr>
          <w:rFonts w:ascii="Amiri" w:hAnsi="Amiri" w:eastAsia="Amiri" w:cs="Amiri"/>
          <w:color w:val="111111"/>
          <w:sz w:val="28"/>
          <w:sz w:val="28"/>
          <w:szCs w:val="28"/>
          <w:rtl w:val="true"/>
          <w:lang w:bidi="ar-SA"/>
        </w:rPr>
        <w:t>يجب القضاء و الكفارة بالأكل و الشرب المعتاد إجماعا محقّقا و محكيا و غيره بناء على صدق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عليهما بالإفطار الموجب للأمرين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أنّهما مختصّان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بالمعتاد، و مجرّد الصدق غير كاف في إفادة المطلق للعموم، فلا دليل على كون غير المعتاد مفطرا حتّى يدخل في الأخبار الدالّة على وجوب الأمرين بتناوله، مع أنّه لو سلّم شمول لفظ الأكل له و صدق الإفطار عليه، لكن لا نسلّم شمول الإفطار له، بل لا يبعد دعوى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فالحكم موقوف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لفظي الأكل و الشرب بالمعتاد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الإفطار بالأكل و الشرب المعتادين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شي‌ء منهما لم يثبت</w:t>
      </w:r>
      <w:r>
        <w:rPr>
          <w:rFonts w:eastAsia="Amiri" w:cs="Amiri" w:ascii="Amiri" w:hAnsi="Amiri"/>
          <w:color w:val="111111"/>
          <w:sz w:val="28"/>
          <w:szCs w:val="28"/>
          <w:rtl w:val="true"/>
          <w:lang w:bidi="ar-SA"/>
        </w:rPr>
        <w:t>.</w:t>
      </w:r>
      <w:bookmarkStart w:id="122" w:name="pg19900_214652"/>
    </w:p>
    <w:p>
      <w:pPr>
        <w:pStyle w:val="BookText"/>
        <w:rPr/>
      </w:pPr>
      <w:bookmarkEnd w:id="122"/>
      <w:r>
        <w:rPr>
          <w:rFonts w:ascii="Amiri" w:hAnsi="Amiri" w:eastAsia="Amiri" w:cs="Amiri"/>
          <w:color w:val="111111"/>
          <w:sz w:val="28"/>
          <w:sz w:val="28"/>
          <w:szCs w:val="28"/>
          <w:rtl w:val="true"/>
          <w:lang w:bidi="ar-SA"/>
        </w:rPr>
        <w:t>نعم، قد عرفت أنّ مقتضى الاحتياط اللازم وجوب الكف عنه، لكن ذلك غير كاف في صدق الإفطار</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061696_2314609296"/>
      <w:bookmarkStart w:id="124" w:name="_Toc47"/>
      <w:bookmarkEnd w:id="123"/>
      <w:r>
        <w:rPr>
          <w:rtl w:val="true"/>
        </w:rPr>
        <w:t>[</w:t>
      </w:r>
      <w:r>
        <w:rPr>
          <w:rtl w:val="true"/>
        </w:rPr>
        <w:t>القضاء و الكفارة في الجماع و الوطء</w:t>
      </w:r>
      <w:r>
        <w:rPr>
          <w:rtl w:val="true"/>
        </w:rPr>
        <w:t>]</w:t>
      </w:r>
      <w:bookmarkEnd w:id="124"/>
    </w:p>
    <w:p>
      <w:pPr>
        <w:pStyle w:val="BookText"/>
        <w:rPr/>
      </w:pPr>
      <w:r>
        <w:rPr>
          <w:rFonts w:ascii="Amiri" w:hAnsi="Amiri" w:eastAsia="Amiri" w:cs="Amiri"/>
          <w:color w:val="111111"/>
          <w:sz w:val="28"/>
          <w:sz w:val="28"/>
          <w:szCs w:val="28"/>
          <w:rtl w:val="true"/>
          <w:lang w:bidi="ar-SA"/>
        </w:rPr>
        <w:t>و كذا يجبان بحصول الجماع قبلا بالإجماع و الأخبار الدالّة على كونه مفطرا، فيشمله ما دلّ على وجوب الأمرين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دبر المرأة أم دبر الغلام،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سابقا من الأدلّة على كونه مفطرا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وطء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بحصول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 إليه المحقّق </w:t>
      </w:r>
      <w:r>
        <w:rPr>
          <w:rStyle w:val="FootnoteAnchor"/>
          <w:rtl w:val="true"/>
        </w:rPr>
        <w:footnoteReference w:id="1107"/>
      </w:r>
      <w:r>
        <w:rPr>
          <w:rFonts w:ascii="Amiri" w:hAnsi="Amiri" w:eastAsia="Amiri" w:cs="Amiri"/>
          <w:color w:val="111111"/>
          <w:sz w:val="28"/>
          <w:sz w:val="28"/>
          <w:szCs w:val="28"/>
          <w:rtl w:val="true"/>
          <w:lang w:bidi="ar-SA"/>
        </w:rPr>
        <w:t xml:space="preserve">و المصنّف </w:t>
      </w:r>
      <w:r>
        <w:rPr>
          <w:rStyle w:val="FootnoteAnchor"/>
          <w:rtl w:val="true"/>
        </w:rPr>
        <w:footnoteReference w:id="1108"/>
      </w:r>
      <w:r>
        <w:rPr>
          <w:rFonts w:ascii="Amiri" w:hAnsi="Amiri" w:eastAsia="Amiri" w:cs="Amiri"/>
          <w:color w:val="111111"/>
          <w:sz w:val="28"/>
          <w:sz w:val="28"/>
          <w:szCs w:val="28"/>
          <w:rtl w:val="true"/>
          <w:lang w:bidi="ar-SA"/>
        </w:rPr>
        <w:t>من كون مناط الإفساد مطلق الوطي الموجب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 أعثر على مستند حصول الجنابة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بوطي البهيمة و لا على مستند إناطة الإفساد و الإفطار بتعمّد الجنابة</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يستدلّ على كون وطي البهيمة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بحصول الجنابة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السابقة الدالّة على كون النكاح مفطرا </w:t>
      </w:r>
      <w:r>
        <w:rPr>
          <w:rStyle w:val="FootnoteAnchor"/>
          <w:rtl w:val="true"/>
        </w:rPr>
        <w:footnoteReference w:id="1110"/>
      </w:r>
      <w:r>
        <w:rPr>
          <w:rFonts w:ascii="Amiri" w:hAnsi="Amiri" w:eastAsia="Amiri" w:cs="Amiri"/>
          <w:color w:val="111111"/>
          <w:sz w:val="28"/>
          <w:sz w:val="28"/>
          <w:szCs w:val="28"/>
          <w:rtl w:val="true"/>
          <w:lang w:bidi="ar-SA"/>
        </w:rPr>
        <w:t xml:space="preserve">لما مرّ من أن المراد به هنا مطلق الوطي قطعا، و إن قلنا بكونه حقيقة في العقد، لتعذّر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مجازاته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حتى أنّه 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المعنى الحقيقي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باختصاصه بنكاح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125" w:name="pg19900_214653"/>
    </w:p>
    <w:p>
      <w:pPr>
        <w:pStyle w:val="BookText"/>
        <w:rPr/>
      </w:pPr>
      <w:bookmarkEnd w:id="125"/>
      <w:r>
        <w:rPr>
          <w:rFonts w:ascii="Amiri" w:hAnsi="Amiri" w:eastAsia="Amiri" w:cs="Amiri"/>
          <w:color w:val="111111"/>
          <w:sz w:val="28"/>
          <w:sz w:val="28"/>
          <w:szCs w:val="28"/>
          <w:rtl w:val="true"/>
          <w:lang w:bidi="ar-SA"/>
        </w:rPr>
        <w:t xml:space="preserve">مضافا إلى ضعف تلك الأخبار و عدم حصول </w:t>
      </w:r>
      <w:r>
        <w:rPr>
          <w:rStyle w:val="FootnoteAnchor"/>
          <w:rtl w:val="true"/>
        </w:rPr>
        <w:footnoteReference w:id="1112"/>
      </w:r>
      <w:r>
        <w:rPr>
          <w:rFonts w:ascii="Amiri" w:hAnsi="Amiri" w:eastAsia="Amiri" w:cs="Amiri"/>
          <w:color w:val="111111"/>
          <w:sz w:val="28"/>
          <w:sz w:val="28"/>
          <w:szCs w:val="28"/>
          <w:rtl w:val="true"/>
          <w:lang w:bidi="ar-SA"/>
        </w:rPr>
        <w:t>الانجبار لها في هذا المضمار</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061698_2314609296"/>
      <w:bookmarkStart w:id="127" w:name="_Toc48"/>
      <w:bookmarkEnd w:id="126"/>
      <w:r>
        <w:rPr>
          <w:rtl w:val="true"/>
        </w:rPr>
        <w:t>[</w:t>
      </w:r>
      <w:r>
        <w:rPr>
          <w:rtl w:val="true"/>
        </w:rPr>
        <w:t>القضاء و الكفارة في البقاء على الجنابة</w:t>
      </w:r>
      <w:r>
        <w:rPr>
          <w:rtl w:val="true"/>
        </w:rPr>
        <w:t>]</w:t>
      </w:r>
      <w:bookmarkEnd w:id="127"/>
    </w:p>
    <w:p>
      <w:pPr>
        <w:pStyle w:val="BookText"/>
        <w:rPr/>
      </w:pPr>
      <w:r>
        <w:rPr>
          <w:rFonts w:ascii="Amiri" w:hAnsi="Amiri" w:eastAsia="Amiri" w:cs="Amiri"/>
          <w:color w:val="111111"/>
          <w:sz w:val="28"/>
          <w:sz w:val="28"/>
          <w:szCs w:val="28"/>
          <w:rtl w:val="true"/>
          <w:lang w:bidi="ar-SA"/>
        </w:rPr>
        <w:t>و يجبان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تعمد البقاء على الجنابة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أو بمعناه </w:t>
      </w:r>
      <w:r>
        <w:rPr>
          <w:rStyle w:val="FootnoteAnchor"/>
          <w:rtl w:val="true"/>
        </w:rPr>
        <w:footnoteReference w:id="1113"/>
      </w:r>
      <w:r>
        <w:rPr>
          <w:rFonts w:ascii="Amiri" w:hAnsi="Amiri" w:eastAsia="Amiri" w:cs="Amiri"/>
          <w:color w:val="111111"/>
          <w:sz w:val="28"/>
          <w:sz w:val="28"/>
          <w:szCs w:val="28"/>
          <w:rtl w:val="true"/>
          <w:lang w:bidi="ar-SA"/>
        </w:rPr>
        <w:t xml:space="preserve">النوم عقيبها حتى يطلع الفجر </w:t>
      </w:r>
      <w:r>
        <w:rPr>
          <w:rStyle w:val="FootnoteAnchor"/>
          <w:rtl w:val="true"/>
        </w:rPr>
        <w:footnoteReference w:id="1114"/>
      </w:r>
      <w:r>
        <w:rPr>
          <w:rFonts w:ascii="Amiri" w:hAnsi="Amiri" w:eastAsia="Amiri" w:cs="Amiri"/>
          <w:color w:val="111111"/>
          <w:sz w:val="28"/>
          <w:sz w:val="28"/>
          <w:szCs w:val="28"/>
          <w:rtl w:val="true"/>
          <w:lang w:bidi="ar-SA"/>
        </w:rPr>
        <w:t>مع العزم على ترك الاغتسال أو مع اعتياد عدم الانتباه، و الحق به النوم من غير نيّة الغسل و إن لم ينو عدمه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سابقا </w:t>
      </w:r>
      <w:r>
        <w:rPr>
          <w:rStyle w:val="FootnoteAnchor"/>
          <w:rtl w:val="true"/>
        </w:rPr>
        <w:footnoteReference w:id="1115"/>
      </w:r>
      <w:r>
        <w:rPr>
          <w:rFonts w:ascii="Amiri" w:hAnsi="Amiri" w:eastAsia="Amiri" w:cs="Amiri"/>
          <w:color w:val="111111"/>
          <w:sz w:val="28"/>
          <w:sz w:val="28"/>
          <w:szCs w:val="28"/>
          <w:rtl w:val="true"/>
          <w:lang w:bidi="ar-SA"/>
        </w:rPr>
        <w:t>عدم الدليل على كونه مفسدا يوجب القضاء، فضلا عن كونه مفطرا يوجب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النوم مع نية الغسل فلا إشكال في عدم الإفساد به إذا كان في المرتبة </w:t>
      </w:r>
      <w:r>
        <w:rPr>
          <w:rStyle w:val="FootnoteAnchor"/>
          <w:rtl w:val="true"/>
        </w:rPr>
        <w:footnoteReference w:id="1116"/>
      </w:r>
      <w:r>
        <w:rPr>
          <w:rFonts w:ascii="Amiri" w:hAnsi="Amiri" w:eastAsia="Amiri" w:cs="Amiri"/>
          <w:color w:val="111111"/>
          <w:sz w:val="28"/>
          <w:sz w:val="28"/>
          <w:szCs w:val="28"/>
          <w:rtl w:val="true"/>
          <w:lang w:bidi="ar-SA"/>
        </w:rPr>
        <w:t xml:space="preserve">الاولى، و عرفت كونه مفسدا إذا وقع في المرتبة </w:t>
      </w:r>
      <w:r>
        <w:rPr>
          <w:rStyle w:val="FootnoteAnchor"/>
          <w:rtl w:val="true"/>
        </w:rPr>
        <w:footnoteReference w:id="1117"/>
      </w:r>
      <w:r>
        <w:rPr>
          <w:rFonts w:ascii="Amiri" w:hAnsi="Amiri" w:eastAsia="Amiri" w:cs="Amiri"/>
          <w:color w:val="111111"/>
          <w:sz w:val="28"/>
          <w:sz w:val="28"/>
          <w:szCs w:val="28"/>
          <w:rtl w:val="true"/>
          <w:lang w:bidi="ar-SA"/>
        </w:rPr>
        <w:t>الثانية، و سيأتي حكم الثالثة</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2061700_2314609296"/>
      <w:bookmarkStart w:id="129" w:name="_Toc49"/>
      <w:bookmarkEnd w:id="128"/>
      <w:r>
        <w:rPr>
          <w:rtl w:val="true"/>
        </w:rPr>
        <w:t>[</w:t>
      </w:r>
      <w:r>
        <w:rPr>
          <w:rtl w:val="true"/>
        </w:rPr>
        <w:t>القضاء و الكفارة في الاستمناء و إيصال الغبار و معاودة الجنب النوم ثالثا</w:t>
      </w:r>
      <w:r>
        <w:rPr>
          <w:rtl w:val="true"/>
        </w:rPr>
        <w:t>]</w:t>
      </w:r>
      <w:bookmarkEnd w:id="129"/>
    </w:p>
    <w:p>
      <w:pPr>
        <w:pStyle w:val="BookText"/>
        <w:rPr/>
      </w:pPr>
      <w:r>
        <w:rPr>
          <w:rFonts w:ascii="Amiri" w:hAnsi="Amiri" w:eastAsia="Amiri" w:cs="Amiri"/>
          <w:color w:val="111111"/>
          <w:sz w:val="28"/>
          <w:sz w:val="28"/>
          <w:szCs w:val="28"/>
          <w:rtl w:val="true"/>
          <w:lang w:bidi="ar-SA"/>
        </w:rPr>
        <w:t xml:space="preserve">و كذا يجبان بارتكاب الاستمناء و إيصال الغبار الغليظ إلى الحلق متعمّدا إجماعا في الأوّل، و على الأقوى في الثاني، لما مضى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يعدّ من المفطرات الموجبة للقضاء و الكفارة معاودة الجنب النوم</w:t>
      </w:r>
    </w:p>
    <w:p>
      <w:pPr>
        <w:pStyle w:val="BookText"/>
        <w:rPr/>
      </w:pPr>
      <w:r>
        <w:rPr>
          <w:rFonts w:ascii="Amiri" w:hAnsi="Amiri" w:eastAsia="Amiri" w:cs="Amiri"/>
          <w:color w:val="111111"/>
          <w:sz w:val="28"/>
          <w:sz w:val="28"/>
          <w:szCs w:val="28"/>
          <w:rtl w:val="true"/>
          <w:lang w:bidi="ar-SA"/>
        </w:rPr>
        <w:t xml:space="preserve">ثالثا عقيب انتباهتين بل عن الغنية </w:t>
      </w:r>
      <w:r>
        <w:rPr>
          <w:rStyle w:val="FootnoteAnchor"/>
          <w:rtl w:val="true"/>
        </w:rPr>
        <w:footnoteReference w:id="1119"/>
      </w:r>
      <w:r>
        <w:rPr>
          <w:rFonts w:ascii="IRNazanin" w:hAnsi="IRNazanin" w:eastAsia="IRNazanin"/>
          <w:color w:val="111111"/>
          <w:sz w:val="28"/>
          <w:sz w:val="28"/>
          <w:szCs w:val="28"/>
          <w:rtl w:val="true"/>
          <w:lang w:bidi="fa-IR"/>
        </w:rPr>
        <w:t xml:space="preserve">و الخلاف </w:t>
      </w:r>
      <w:r>
        <w:rPr>
          <w:rStyle w:val="FootnoteAnchor"/>
          <w:rtl w:val="true"/>
        </w:rPr>
        <w:footnoteReference w:id="1120"/>
      </w:r>
      <w:r>
        <w:rPr>
          <w:rFonts w:ascii="Amiri" w:hAnsi="Amiri" w:eastAsia="Amiri" w:cs="Amiri"/>
          <w:color w:val="111111"/>
          <w:sz w:val="28"/>
          <w:sz w:val="28"/>
          <w:szCs w:val="28"/>
          <w:rtl w:val="true"/>
          <w:lang w:bidi="ar-SA"/>
        </w:rPr>
        <w:t xml:space="preserve">و الوسيلة </w:t>
      </w:r>
      <w:r>
        <w:rPr>
          <w:rStyle w:val="FootnoteAnchor"/>
          <w:rtl w:val="true"/>
        </w:rPr>
        <w:footnoteReference w:id="1121"/>
      </w:r>
      <w:r>
        <w:rPr>
          <w:rFonts w:ascii="Amiri" w:hAnsi="Amiri" w:eastAsia="Amiri" w:cs="Amiri"/>
          <w:color w:val="111111"/>
          <w:sz w:val="28"/>
          <w:sz w:val="28"/>
          <w:szCs w:val="28"/>
          <w:rtl w:val="true"/>
          <w:lang w:bidi="ar-SA"/>
        </w:rPr>
        <w:t xml:space="preserve">و شرح القواعد للمحقّق الثاني </w:t>
      </w:r>
      <w:r>
        <w:rPr>
          <w:rStyle w:val="FootnoteAnchor"/>
          <w:rtl w:val="true"/>
        </w:rPr>
        <w:footnoteReference w:id="1122"/>
      </w:r>
      <w:r>
        <w:rPr>
          <w:rFonts w:ascii="Amiri" w:hAnsi="Amiri" w:eastAsia="Amiri" w:cs="Amiri"/>
          <w:color w:val="111111"/>
          <w:sz w:val="28"/>
          <w:sz w:val="28"/>
          <w:szCs w:val="28"/>
          <w:rtl w:val="true"/>
          <w:lang w:bidi="ar-SA"/>
        </w:rPr>
        <w:t xml:space="preserve">الإجماع عليه، و لعلّه لما رواه سليمان بن جعفر المروزي، عن الفقيه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الرجل في شهر رمضان بليل و لا يغتسل حتى يصبح، فعليه صوم شهرين متتابعين مع صوم ذلك اليوم، و لا يدرك فضل يومه</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إبراهيم بن عبد الحميد، عن بعض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احتلام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احتلم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نهارا في شهر رمضان، فلا ينام حتى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Style w:val="FootnoteAnchor"/>
          <w:rtl w:val="true"/>
        </w:rPr>
        <w:footnoteReference w:id="1125"/>
      </w:r>
      <w:r>
        <w:rPr>
          <w:rFonts w:ascii="Amiri" w:hAnsi="Amiri" w:eastAsia="Amiri" w:cs="Amiri"/>
          <w:color w:val="111111"/>
          <w:sz w:val="28"/>
          <w:sz w:val="28"/>
          <w:szCs w:val="28"/>
          <w:rtl w:val="true"/>
          <w:lang w:bidi="ar-SA"/>
        </w:rPr>
        <w:t xml:space="preserve">أجنب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ينام إلا ساعة حتى يغتسل، فمن أجنب في شهر رمضان</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فنام حتى يصبح، فعليه عتق رقبة أو إطعام ستين مسكينا و قضاء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صيامه</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 لكن لن يدركه أبدا</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دلّتا بإطلاقهما على وجوب القضاء و الكفارة على مطلق من لم يغتسل أو نام حتى أصبح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ما دلّ الدليل على عدم إيجابه لشي‌ء، كالنومة الاولى في الجملة، أو إيجابه القضاء خاصّة كالنومة الثانية كذلك، فبقي الباقي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يضرّ ضعف سندهما، لانجباره </w:t>
      </w:r>
      <w:r>
        <w:rPr>
          <w:rStyle w:val="FootnoteAnchor"/>
          <w:rtl w:val="true"/>
        </w:rPr>
        <w:footnoteReference w:id="1130"/>
      </w:r>
      <w:r>
        <w:rPr>
          <w:rFonts w:ascii="Amiri" w:hAnsi="Amiri" w:eastAsia="Amiri" w:cs="Amiri"/>
          <w:color w:val="111111"/>
          <w:sz w:val="28"/>
          <w:sz w:val="28"/>
          <w:szCs w:val="28"/>
          <w:rtl w:val="true"/>
          <w:lang w:bidi="ar-SA"/>
        </w:rPr>
        <w:t xml:space="preserve">بالإجماعات المحكية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بالشهرة</w:t>
      </w:r>
    </w:p>
    <w:p>
      <w:pPr>
        <w:pStyle w:val="BookText"/>
        <w:rPr/>
      </w:pPr>
      <w:r>
        <w:rPr>
          <w:rFonts w:ascii="Amiri" w:hAnsi="Amiri" w:eastAsia="Amiri" w:cs="Amiri"/>
          <w:color w:val="111111"/>
          <w:sz w:val="28"/>
          <w:sz w:val="28"/>
          <w:szCs w:val="28"/>
          <w:rtl w:val="true"/>
          <w:lang w:bidi="ar-SA"/>
        </w:rPr>
        <w:t>المحكية</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بل المحقّقة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اشتمال الثانية على ما لا يقال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النوم مع الاحتلام نهارا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يسقط الباقي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معارضتهما بإطلاق ما دلّ من الاخبار على عدم وجوب شي‌ء بتأخير الغسل متعمّدا إلى طلوع الفجر أو النوم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خرج منه بعض الصور التي دلّ الدليل على وجوب القضاء مع الكفارة فيه أو القضاء خاصّة و بقي الباقي، لترجيحهما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32"/>
      </w:r>
      <w:r>
        <w:rPr>
          <w:rFonts w:ascii="Amiri" w:hAnsi="Amiri" w:eastAsia="Amiri" w:cs="Amiri"/>
          <w:color w:val="111111"/>
          <w:sz w:val="28"/>
          <w:sz w:val="28"/>
          <w:szCs w:val="28"/>
          <w:rtl w:val="true"/>
          <w:lang w:bidi="ar-SA"/>
        </w:rPr>
        <w:t xml:space="preserve">لموافقتها للعامّة و مخالفة </w:t>
      </w:r>
      <w:r>
        <w:rPr>
          <w:rStyle w:val="FootnoteAnchor"/>
          <w:rtl w:val="true"/>
        </w:rPr>
        <w:footnoteReference w:id="1133"/>
      </w:r>
      <w:r>
        <w:rPr>
          <w:rFonts w:ascii="Amiri" w:hAnsi="Amiri" w:eastAsia="Amiri" w:cs="Amiri"/>
          <w:color w:val="111111"/>
          <w:sz w:val="28"/>
          <w:sz w:val="28"/>
          <w:szCs w:val="28"/>
          <w:rtl w:val="true"/>
          <w:lang w:bidi="ar-SA"/>
        </w:rPr>
        <w:t>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الاخبار بعد تخصيصها </w:t>
      </w:r>
      <w:r>
        <w:rPr>
          <w:rStyle w:val="FootnoteAnchor"/>
          <w:rtl w:val="true"/>
        </w:rPr>
        <w:footnoteReference w:id="1134"/>
      </w:r>
      <w:r>
        <w:rPr>
          <w:rFonts w:ascii="Amiri" w:hAnsi="Amiri" w:eastAsia="Amiri" w:cs="Amiri"/>
          <w:color w:val="111111"/>
          <w:sz w:val="28"/>
          <w:sz w:val="28"/>
          <w:szCs w:val="28"/>
          <w:rtl w:val="true"/>
          <w:lang w:bidi="ar-SA"/>
        </w:rPr>
        <w:t>بما خصّصت به ليست موافقة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كذلك قبل التخصيص، و لهذا طرحناها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الشمول لصورة </w:t>
      </w:r>
      <w:r>
        <w:rPr>
          <w:rStyle w:val="FootnoteAnchor"/>
          <w:rtl w:val="true"/>
        </w:rPr>
        <w:footnoteReference w:id="1135"/>
      </w:r>
      <w:r>
        <w:rPr>
          <w:rFonts w:ascii="Amiri" w:hAnsi="Amiri" w:eastAsia="Amiri" w:cs="Amiri"/>
          <w:color w:val="111111"/>
          <w:sz w:val="28"/>
          <w:sz w:val="28"/>
          <w:szCs w:val="28"/>
          <w:rtl w:val="true"/>
          <w:lang w:bidi="ar-SA"/>
        </w:rPr>
        <w:t>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تعارضها </w:t>
      </w:r>
      <w:r>
        <w:rPr>
          <w:rStyle w:val="FootnoteAnchor"/>
          <w:rtl w:val="true"/>
        </w:rPr>
        <w:footnoteReference w:id="1136"/>
      </w:r>
      <w:r>
        <w:rPr>
          <w:rFonts w:ascii="IRNazanin" w:hAnsi="IRNazanin" w:eastAsia="IRNazanin"/>
          <w:color w:val="111111"/>
          <w:sz w:val="28"/>
          <w:sz w:val="28"/>
          <w:szCs w:val="28"/>
          <w:rtl w:val="true"/>
          <w:lang w:bidi="fa-IR"/>
        </w:rPr>
        <w:t>مع ما دلّ على الإفطار بتعمّد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لاعتضادهما بالإجماعات المحكية و الشهرة الظاهرة، عكس تلك الأخبار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الروايتين </w:t>
      </w:r>
      <w:r>
        <w:rPr>
          <w:rStyle w:val="FootnoteAnchor"/>
          <w:rtl w:val="true"/>
        </w:rPr>
        <w:footnoteReference w:id="1137"/>
      </w:r>
      <w:r>
        <w:rPr>
          <w:rFonts w:ascii="Amiri" w:hAnsi="Amiri" w:eastAsia="Amiri" w:cs="Amiri"/>
          <w:color w:val="111111"/>
          <w:sz w:val="28"/>
          <w:sz w:val="28"/>
          <w:szCs w:val="28"/>
          <w:rtl w:val="true"/>
          <w:lang w:bidi="ar-SA"/>
        </w:rPr>
        <w:t xml:space="preserve">و إن كانتا مطلقتين من حيث التمكّن من الغسل </w:t>
      </w:r>
      <w:r>
        <w:rPr>
          <w:rStyle w:val="FootnoteAnchor"/>
          <w:rtl w:val="true"/>
        </w:rPr>
        <w:footnoteReference w:id="1138"/>
      </w:r>
      <w:r>
        <w:rPr>
          <w:rFonts w:ascii="Amiri" w:hAnsi="Amiri" w:eastAsia="Amiri" w:cs="Amiri"/>
          <w:color w:val="111111"/>
          <w:sz w:val="28"/>
          <w:sz w:val="28"/>
          <w:szCs w:val="28"/>
          <w:rtl w:val="true"/>
          <w:lang w:bidi="ar-SA"/>
        </w:rPr>
        <w:t>و عدمه، إلّا أنّ اللازم في الأخبار الضعيفة الاقتصار على القدر المنجبر من مدلولاتها، و ليس في هذا المقام إلّا وجوب الأمرين بالنوم الواقع بعد انتباهتين</w:t>
      </w:r>
    </w:p>
    <w:p>
      <w:pPr>
        <w:pStyle w:val="BookText"/>
        <w:rPr/>
      </w:pPr>
      <w:r>
        <w:rPr>
          <w:rFonts w:ascii="Amiri" w:hAnsi="Amiri" w:eastAsia="Amiri" w:cs="Amiri"/>
          <w:color w:val="111111"/>
          <w:sz w:val="28"/>
          <w:sz w:val="28"/>
          <w:szCs w:val="28"/>
          <w:rtl w:val="true"/>
          <w:lang w:bidi="ar-SA"/>
        </w:rPr>
        <w:t>مع تمكنه من الغسل فيهما فلو لم يتمكن منه لمانع فلا شي‌ء عليه، و كذا لو تمكن منه في الاولى و لم يتمكن منه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خاصّة؟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و من عدم الفرق في تفويت الغسل على نفسه بالنوم الثاني بين أن يصبح أو ينتبه في وقت لا يتمكن </w:t>
      </w:r>
      <w:r>
        <w:rPr>
          <w:rStyle w:val="FootnoteAnchor"/>
          <w:rtl w:val="true"/>
        </w:rPr>
        <w:footnoteReference w:id="1139"/>
      </w:r>
      <w:r>
        <w:rPr>
          <w:rFonts w:ascii="Amiri" w:hAnsi="Amiri" w:eastAsia="Amiri" w:cs="Amiri"/>
          <w:color w:val="111111"/>
          <w:sz w:val="28"/>
          <w:sz w:val="28"/>
          <w:szCs w:val="28"/>
          <w:rtl w:val="true"/>
          <w:lang w:bidi="ar-SA"/>
        </w:rPr>
        <w:t>من الغسل فيفضي ذلك إلى أن يصبح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أقوى، لعدم الدليل، مضافا إلى رواية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تصيبه الجنابة في شهر رمضان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ذلك اليوم إلّا أن يستيقظ قبل أن يطلع الفجر، فإن انتظر ماء يسخن له أو يستقى فطلع الفجر فلا يقضي يومه</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بإطلاقها تشمل ما لو كان الاستيقاظ المستثنى فيها واقعا بعد استيقاظ آخر عن النوم بعد الجنابة، و لو عكس فلم يتمكّن في الاولى و تمكّن في الثانية فنام عنها فالظاهر وجوب القضاء عليه، لأنّ غاية الأمر كون الانتباهة الاولى كعدمها فيكون النوم الثالث بمنزلة النوم الثاني يجب له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الكفارة فلا دليل على وجوبها إلا إطلاق الروايتين </w:t>
      </w:r>
      <w:r>
        <w:rPr>
          <w:rStyle w:val="FootnoteAnchor"/>
          <w:rtl w:val="true"/>
        </w:rPr>
        <w:footnoteReference w:id="1141"/>
      </w:r>
      <w:r>
        <w:rPr>
          <w:rFonts w:ascii="Amiri" w:hAnsi="Amiri" w:eastAsia="Amiri" w:cs="Amiri"/>
          <w:color w:val="111111"/>
          <w:sz w:val="28"/>
          <w:sz w:val="28"/>
          <w:szCs w:val="28"/>
          <w:rtl w:val="true"/>
          <w:lang w:bidi="ar-SA"/>
        </w:rPr>
        <w:t>لكنه موقوف على وجود الإجماعات الجابرة لهما في هذا المقام و كذا الشهرة و إلّا فعدم الوجوب متعيّن، للأصل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محلّ الخلاف في هذه المسألة ما إذا كان النوم الثالث مع نية الغسل قبل الطلوع فيستمر حتى يطلع فلو كان مع نية عدم الغسل فلا خلاف في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من قال بوجوبها لتعمّد البقاء على</w:t>
      </w:r>
      <w:bookmarkStart w:id="130" w:name="pg19900_214657"/>
    </w:p>
    <w:p>
      <w:pPr>
        <w:pStyle w:val="BookText"/>
        <w:rPr/>
      </w:pPr>
      <w:bookmarkEnd w:id="130"/>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مع عدم نيّة شي‌ء من الغسل و عدمه عند جماعة منهم، و منهم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لم يستمر </w:t>
      </w:r>
      <w:r>
        <w:rPr>
          <w:rStyle w:val="FootnoteAnchor"/>
          <w:rtl w:val="true"/>
        </w:rPr>
        <w:footnoteReference w:id="1142"/>
      </w:r>
      <w:r>
        <w:rPr>
          <w:rFonts w:ascii="Amiri" w:hAnsi="Amiri" w:eastAsia="Amiri" w:cs="Amiri"/>
          <w:color w:val="111111"/>
          <w:sz w:val="28"/>
          <w:sz w:val="28"/>
          <w:szCs w:val="28"/>
          <w:rtl w:val="true"/>
          <w:lang w:bidi="ar-SA"/>
        </w:rPr>
        <w:t>النوم إلى طلوع الفجر بل استيقظ من النوم الثالث و اغتسل فلا شي‌ء عليه، و لو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الاغتسال فالظاهر عدم وجوب الكفارة عليه، للأصل و رواية محمّد بن مسلم المتقدّمة بالتقريب المذكور </w:t>
      </w:r>
      <w:r>
        <w:rPr>
          <w:rStyle w:val="FootnoteAnchor"/>
          <w:rtl w:val="true"/>
        </w:rPr>
        <w:footnoteReference w:id="1143"/>
      </w:r>
      <w:r>
        <w:rPr>
          <w:rFonts w:ascii="Amiri" w:hAnsi="Amiri" w:eastAsia="Amiri" w:cs="Amiri"/>
          <w:color w:val="111111"/>
          <w:sz w:val="28"/>
          <w:sz w:val="28"/>
          <w:szCs w:val="28"/>
          <w:rtl w:val="true"/>
          <w:lang w:bidi="ar-SA"/>
        </w:rPr>
        <w:t>في صورة عدم التمكّن من الغسل في الانتباهة الثانية،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عداه من المفسدات يجب به القضاء خاصّة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061702_2314609296"/>
      <w:bookmarkStart w:id="132" w:name="_Toc50"/>
      <w:bookmarkEnd w:id="131"/>
      <w:r>
        <w:rPr>
          <w:rtl w:val="true"/>
        </w:rPr>
        <w:t>[</w:t>
      </w:r>
      <w:r>
        <w:rPr>
          <w:rtl w:val="true"/>
        </w:rPr>
        <w:t>انحصار وجوب الكفارة في الصوم المعين</w:t>
      </w:r>
      <w:r>
        <w:rPr>
          <w:rtl w:val="true"/>
        </w:rPr>
        <w:t>]</w:t>
      </w:r>
      <w:bookmarkEnd w:id="132"/>
    </w:p>
    <w:p>
      <w:pPr>
        <w:pStyle w:val="BookText"/>
        <w:rPr/>
      </w:pPr>
      <w:r>
        <w:rPr>
          <w:rFonts w:ascii="Amiri" w:hAnsi="Amiri" w:eastAsia="Amiri" w:cs="Amiri"/>
          <w:color w:val="111111"/>
          <w:sz w:val="28"/>
          <w:sz w:val="28"/>
          <w:szCs w:val="28"/>
          <w:rtl w:val="true"/>
          <w:lang w:bidi="ar-SA"/>
        </w:rPr>
        <w:t xml:space="preserve">و إنما يجب الكفارة كائنة ما كانت بحصول أحد موجباتها المتقدّمة في الصوم المتعيّن </w:t>
      </w:r>
      <w:r>
        <w:rPr>
          <w:rStyle w:val="FootnoteAnchor"/>
          <w:rtl w:val="true"/>
        </w:rPr>
        <w:footnoteReference w:id="1144"/>
      </w:r>
      <w:r>
        <w:rPr>
          <w:rFonts w:ascii="Amiri" w:hAnsi="Amiri" w:eastAsia="Amiri" w:cs="Amiri"/>
          <w:color w:val="111111"/>
          <w:sz w:val="28"/>
          <w:sz w:val="28"/>
          <w:szCs w:val="28"/>
          <w:rtl w:val="true"/>
          <w:lang w:bidi="ar-SA"/>
        </w:rPr>
        <w:t xml:space="preserve">الواجب بأصل الشرع أو بالعرض كرمضان إجماعا محققا و محكيا </w:t>
      </w:r>
      <w:r>
        <w:rPr>
          <w:rStyle w:val="FootnoteAnchor"/>
          <w:rtl w:val="true"/>
        </w:rPr>
        <w:footnoteReference w:id="1145"/>
      </w:r>
      <w:r>
        <w:rPr>
          <w:rFonts w:ascii="Amiri" w:hAnsi="Amiri" w:eastAsia="Amiri" w:cs="Amiri"/>
          <w:color w:val="111111"/>
          <w:sz w:val="28"/>
          <w:sz w:val="28"/>
          <w:szCs w:val="28"/>
          <w:rtl w:val="true"/>
          <w:lang w:bidi="ar-SA"/>
        </w:rPr>
        <w:t xml:space="preserve">و قضائه إذا أفسده بعد الزوال على الأشهر الأظهر، لرواية بريد العجلي،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أهله في يوم يقضيه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الزوال فلا شي‌ء عليه إلّا يوما مكان يوم، و إن كان أتى أهله بعد الزوال فإنّ عليه أن يتصدّق على عشرة مساكين، لكلّ مسكين مد، فإن لم يقدر عليه، صام يوما مكان يوم و صام ثلاثة أيام كفّارة لما صنع</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w:t>
      </w:r>
    </w:p>
    <w:p>
      <w:pPr>
        <w:pStyle w:val="BookText"/>
        <w:rPr/>
      </w:pPr>
      <w:r>
        <w:rPr>
          <w:rFonts w:ascii="Amiri" w:hAnsi="Amiri" w:eastAsia="Amiri" w:cs="Amiri"/>
          <w:color w:val="111111"/>
          <w:sz w:val="28"/>
          <w:sz w:val="28"/>
          <w:szCs w:val="28"/>
          <w:rtl w:val="true"/>
          <w:lang w:bidi="ar-SA"/>
        </w:rPr>
        <w:t xml:space="preserve">فلا شي‌ء عليه، يصوم يوما بدله، و إن فعل ذلك بعد العصر صام ذلك اليوم و أطعم عشرة مساكين، فإن لم يمكنه </w:t>
      </w:r>
      <w:r>
        <w:rPr>
          <w:rStyle w:val="FootnoteAnchor"/>
          <w:rtl w:val="true"/>
        </w:rPr>
        <w:footnoteReference w:id="1147"/>
      </w:r>
      <w:r>
        <w:rPr>
          <w:rFonts w:ascii="Amiri" w:hAnsi="Amiri" w:eastAsia="Amiri" w:cs="Amiri"/>
          <w:color w:val="111111"/>
          <w:sz w:val="28"/>
          <w:sz w:val="28"/>
          <w:szCs w:val="28"/>
          <w:rtl w:val="true"/>
          <w:lang w:bidi="ar-SA"/>
        </w:rPr>
        <w:t>صام ثلاثة أيّام كفارة لذلك</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بعد الانجبار بالشهرة العظيمة، كاشتمال الثانية على التحديد بصلاة العصر، مع إمكان استفادة المطلب من ذيلها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فعل ذلك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الإجماع المركب،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w:t>
      </w:r>
      <w:r>
        <w:rPr>
          <w:rStyle w:val="FootnoteAnchor"/>
          <w:rtl w:val="true"/>
        </w:rPr>
        <w:footnoteReference w:id="11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الكفارة، محتجّا برواية عمّار الساباطي،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أيام من شهر رمضان و يريد أن يقضيها، متى يريد أن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ان تزول الشمس، فإذا زالت الشمس، فان كان نوى الصوم فليصم، و إن كان نوى الإفطار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نوى الإفطار يستقيم أن 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الصوم، ثم أفطر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 ليس عليه شي‌ء إلّا قضاء ذلك اليوم الذي أراد أن يقضيه</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و إن كانت أعمّ من الرواية السابقة فتخصيصها بها متعيّن بمقتضى قاعدة الجمع بين العام و الخاص،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في مقام البيان</w:t>
      </w:r>
      <w:bookmarkStart w:id="133" w:name="pg19900_214659"/>
    </w:p>
    <w:p>
      <w:pPr>
        <w:pStyle w:val="BookText"/>
        <w:rPr/>
      </w:pPr>
      <w:bookmarkEnd w:id="133"/>
      <w:r>
        <w:rPr>
          <w:rFonts w:ascii="Amiri" w:hAnsi="Amiri" w:eastAsia="Amiri" w:cs="Amiri"/>
          <w:color w:val="111111"/>
          <w:sz w:val="28"/>
          <w:sz w:val="28"/>
          <w:szCs w:val="28"/>
          <w:rtl w:val="true"/>
          <w:lang w:bidi="ar-SA"/>
        </w:rPr>
        <w:t>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في عدم وجوب الكفّارة </w:t>
      </w:r>
      <w:r>
        <w:rPr>
          <w:rStyle w:val="FootnoteAnchor"/>
          <w:rtl w:val="true"/>
        </w:rPr>
        <w:footnoteReference w:id="1152"/>
      </w:r>
      <w:r>
        <w:rPr>
          <w:rFonts w:ascii="IRNazanin" w:hAnsi="IRNazanin" w:eastAsia="IRNazanin"/>
          <w:color w:val="111111"/>
          <w:sz w:val="28"/>
          <w:sz w:val="28"/>
          <w:szCs w:val="28"/>
          <w:rtl w:val="true"/>
          <w:lang w:bidi="fa-IR"/>
        </w:rPr>
        <w:t xml:space="preserve">، فالجمع </w:t>
      </w:r>
      <w:r>
        <w:rPr>
          <w:rStyle w:val="FootnoteAnchor"/>
          <w:rtl w:val="true"/>
        </w:rPr>
        <w:footnoteReference w:id="1153"/>
      </w:r>
      <w:r>
        <w:rPr>
          <w:rFonts w:ascii="Amiri" w:hAnsi="Amiri" w:eastAsia="Amiri" w:cs="Amiri"/>
          <w:color w:val="111111"/>
          <w:sz w:val="28"/>
          <w:sz w:val="28"/>
          <w:szCs w:val="28"/>
          <w:rtl w:val="true"/>
          <w:lang w:bidi="ar-SA"/>
        </w:rPr>
        <w:t>بحمل الأوليين على الاستحباب أولى لو لا مخالفة هذه الرواية للشهرة العظيمة التي هي من أعظم الموهنات و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يجب الكفارة بإفطار الصوم الواجب بسبب النذر المعين على الخلاف الآتي في مقدارها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الاعتكاف الواجب كما سيجي‌ء عن قريب إن شاء اللّٰه</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دون ما عداه من الصوم واجبا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المطلق و قضاء غير رمضان و قضاء رمضان قبل الزوال و صوم الكفارة أو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فسد الصوم فإنّ فساده لا يستلزم ثبوت الكفارة بل القضاء أيضا لو لا الفرض الجديد</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061704_2314609296"/>
      <w:bookmarkStart w:id="135" w:name="_Toc51"/>
      <w:bookmarkEnd w:id="134"/>
      <w:r>
        <w:rPr>
          <w:rtl w:val="true"/>
        </w:rPr>
        <w:t>[</w:t>
      </w:r>
      <w:r>
        <w:rPr>
          <w:rtl w:val="true"/>
        </w:rPr>
        <w:t>تكرّر الكفارة بتكرّر السبب</w:t>
      </w:r>
      <w:r>
        <w:rPr>
          <w:rtl w:val="true"/>
        </w:rPr>
        <w:t>]</w:t>
      </w:r>
      <w:bookmarkEnd w:id="135"/>
    </w:p>
    <w:p>
      <w:pPr>
        <w:pStyle w:val="BookText"/>
        <w:rPr/>
      </w:pPr>
      <w:r>
        <w:rPr>
          <w:rFonts w:ascii="Amiri" w:hAnsi="Amiri" w:eastAsia="Amiri" w:cs="Amiri"/>
          <w:color w:val="111111"/>
          <w:sz w:val="28"/>
          <w:sz w:val="28"/>
          <w:szCs w:val="28"/>
          <w:rtl w:val="true"/>
          <w:lang w:bidi="ar-SA"/>
        </w:rPr>
        <w:t>و يتكرّر الكفارة بتكرّر السبب الموجب لها في يومين مطلقا في جميع أفراده اتّحد جنسه أو اختلف تخلّل التكفير أم لا، إجماعا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يتكرّر بتكرّره في يوم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الوطء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تخلّل التكفير لا مع عدمه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الوطء مطلقا و في غيره مع التخلّل أو اختلاف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57"/>
      </w:r>
      <w:r>
        <w:rPr>
          <w:rFonts w:ascii="Amiri" w:hAnsi="Amiri" w:eastAsia="Amiri" w:cs="Amiri"/>
          <w:color w:val="111111"/>
          <w:sz w:val="28"/>
          <w:sz w:val="28"/>
          <w:szCs w:val="28"/>
          <w:rtl w:val="true"/>
          <w:lang w:bidi="ar-SA"/>
        </w:rPr>
        <w:t>مع التغاير أو مع تخلّل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عدم دليل صالح </w:t>
      </w:r>
      <w:r>
        <w:rPr>
          <w:rStyle w:val="FootnoteAnchor"/>
          <w:rtl w:val="true"/>
        </w:rPr>
        <w:footnoteReference w:id="1158"/>
      </w:r>
      <w:r>
        <w:rPr>
          <w:rFonts w:ascii="Amiri" w:hAnsi="Amiri" w:eastAsia="Amiri" w:cs="Amiri"/>
          <w:color w:val="111111"/>
          <w:sz w:val="28"/>
          <w:sz w:val="28"/>
          <w:szCs w:val="28"/>
          <w:rtl w:val="true"/>
          <w:lang w:bidi="ar-SA"/>
        </w:rPr>
        <w:t xml:space="preserve">على شي‌ء من باقي الأقوال، عدا ما يزعم للأخير من إطلاقات الأخبار </w:t>
      </w:r>
      <w:r>
        <w:rPr>
          <w:rStyle w:val="FootnoteAnchor"/>
          <w:rtl w:val="true"/>
        </w:rPr>
        <w:footnoteReference w:id="1159"/>
      </w:r>
      <w:r>
        <w:rPr>
          <w:rFonts w:ascii="Amiri" w:hAnsi="Amiri" w:eastAsia="Amiri" w:cs="Amiri"/>
          <w:color w:val="111111"/>
          <w:sz w:val="28"/>
          <w:sz w:val="28"/>
          <w:szCs w:val="28"/>
          <w:rtl w:val="true"/>
          <w:lang w:bidi="ar-SA"/>
        </w:rPr>
        <w:t>بإيجاب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الأسباب المفطرة كالجماع و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w:t>
      </w:r>
      <w:r>
        <w:rPr>
          <w:rStyle w:val="FootnoteAnchor"/>
          <w:rtl w:val="true"/>
        </w:rPr>
        <w:footnoteReference w:id="1160"/>
      </w:r>
      <w:r>
        <w:rPr>
          <w:rFonts w:ascii="Amiri" w:hAnsi="Amiri" w:eastAsia="Amiri" w:cs="Amiri"/>
          <w:color w:val="111111"/>
          <w:sz w:val="28"/>
          <w:sz w:val="28"/>
          <w:szCs w:val="28"/>
          <w:rtl w:val="true"/>
          <w:lang w:bidi="ar-SA"/>
        </w:rPr>
        <w:t>بقول مطلق فإذا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الكفارة بمقتضى ما دلّ على هذا الحكم، و هكذا </w:t>
      </w:r>
      <w:r>
        <w:rPr>
          <w:rStyle w:val="FootnoteAnchor"/>
          <w:rtl w:val="true"/>
        </w:rPr>
        <w:footnoteReference w:id="1161"/>
      </w:r>
      <w:r>
        <w:rPr>
          <w:rFonts w:ascii="Amiri" w:hAnsi="Amiri" w:eastAsia="Amiri" w:cs="Amiri"/>
          <w:color w:val="111111"/>
          <w:sz w:val="28"/>
          <w:sz w:val="28"/>
          <w:szCs w:val="28"/>
          <w:rtl w:val="true"/>
          <w:lang w:bidi="ar-SA"/>
        </w:rPr>
        <w:t>إذا استمنى يجب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 ما دلّ على هذا الحكم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فإذا جامع فكفّر ثم جامع يصدق عليه أنّه جامع في شهر رمضان فتجب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يكفّر و فعل مرارا لم تجب إلّا واحدة، لأنّ وجوب الكفارة منوط بحصول ماهيّة هذه الأفعال و هي تصدق مع الاتحاد و التعدّد، و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وجوب الكفارة بالإفطار في شهر رمضان لا يثبت الكفارة إلّا لأوّل ما يرتكب من المفسدات، لأنّه المفطر دون ما يقع بعده، و إن وقع في زمان يجب الإمساك فيه إلّا أنّه لا يسمى إفطارا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دلّ على وجوب الكفارة لخصوص بعض الأسباب كالجماع و الاستمناء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bookmarkStart w:id="136" w:name="pg19900_214661"/>
    </w:p>
    <w:p>
      <w:pPr>
        <w:pStyle w:val="BookText"/>
        <w:rPr/>
      </w:pPr>
      <w:bookmarkEnd w:id="136"/>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السؤال عن وقوعها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الإفطار بها فلا يشمل المتكرّر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روي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الكفارة تتكرّر بتكرّر الوطء</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الرواية غير معلومة السند و لا جابر لها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061706_2314609296"/>
      <w:bookmarkStart w:id="138" w:name="_Toc52"/>
      <w:bookmarkEnd w:id="137"/>
      <w:r>
        <w:rPr>
          <w:rtl w:val="true"/>
        </w:rPr>
        <w:t>[</w:t>
      </w:r>
      <w:r>
        <w:rPr>
          <w:rtl w:val="true"/>
        </w:rPr>
        <w:t>عقوبة الإفطار مع العلم و التعمد</w:t>
      </w:r>
      <w:r>
        <w:rPr>
          <w:rtl w:val="true"/>
        </w:rPr>
        <w:t>]</w:t>
      </w:r>
      <w:bookmarkEnd w:id="138"/>
    </w:p>
    <w:p>
      <w:pPr>
        <w:pStyle w:val="BookText"/>
        <w:rPr/>
      </w:pPr>
      <w:r>
        <w:rPr>
          <w:rFonts w:ascii="Amiri" w:hAnsi="Amiri" w:eastAsia="Amiri" w:cs="Amiri"/>
          <w:color w:val="111111"/>
          <w:sz w:val="28"/>
          <w:sz w:val="28"/>
          <w:szCs w:val="28"/>
          <w:rtl w:val="true"/>
          <w:lang w:bidi="ar-SA"/>
        </w:rPr>
        <w:t>و يعزّر المفطر مع العلم و التعمد بما يراه الحاكم، فإن تخلّل التعزير مرّتين فلم ينفعه و عاد قتل في الثالثة وفاقا للأكثر، بل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لرواية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أخذ في شهر رمضان و قد أخذ </w:t>
      </w:r>
      <w:r>
        <w:rPr>
          <w:rStyle w:val="FootnoteAnchor"/>
          <w:rtl w:val="true"/>
        </w:rPr>
        <w:footnoteReference w:id="1167"/>
      </w:r>
      <w:r>
        <w:rPr>
          <w:rFonts w:ascii="Amiri" w:hAnsi="Amiri" w:eastAsia="Amiri" w:cs="Amiri"/>
          <w:color w:val="111111"/>
          <w:sz w:val="28"/>
          <w:sz w:val="28"/>
          <w:szCs w:val="28"/>
          <w:rtl w:val="true"/>
          <w:lang w:bidi="ar-SA"/>
        </w:rPr>
        <w:t xml:space="preserve">ثلاث مرّات، و قد رفع إلى الإمام عليه السلام </w:t>
      </w:r>
      <w:r>
        <w:rPr>
          <w:rStyle w:val="FootnoteAnchor"/>
          <w:rtl w:val="true"/>
        </w:rPr>
        <w:footnoteReference w:id="1168"/>
      </w:r>
      <w:r>
        <w:rPr>
          <w:rFonts w:ascii="Amiri" w:hAnsi="Amiri" w:eastAsia="Amiri" w:cs="Amiri"/>
          <w:color w:val="111111"/>
          <w:sz w:val="28"/>
          <w:sz w:val="28"/>
          <w:szCs w:val="28"/>
          <w:rtl w:val="true"/>
          <w:lang w:bidi="ar-SA"/>
        </w:rPr>
        <w:t>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فليقتل في الثالثة</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عموم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الكبائر إذا أقيم عليهم الحدّ مرّتين قتلوا في الثالثة</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الرابعة، للرواية المرسلة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الكبائر يقتلون فيها</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ضعفها و خلوّها عن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برواية سماعة المعتضدة بالرواية العامّة</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061708_2314609296"/>
      <w:bookmarkStart w:id="140" w:name="_Toc53"/>
      <w:bookmarkEnd w:id="139"/>
      <w:r>
        <w:rPr>
          <w:rtl w:val="true"/>
        </w:rPr>
        <w:t>[</w:t>
      </w:r>
      <w:r>
        <w:rPr>
          <w:rtl w:val="true"/>
        </w:rPr>
        <w:t>المكره زوجته على الجماع</w:t>
      </w:r>
      <w:r>
        <w:rPr>
          <w:rtl w:val="true"/>
        </w:rPr>
        <w:t>]</w:t>
      </w:r>
      <w:bookmarkEnd w:id="14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أكره زوجته على الجماع فعليه كفارتان، لرواية المفضل بن عمر،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أهله و هو صائم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41" w:name="pg19900_214662"/>
    </w:p>
    <w:p>
      <w:pPr>
        <w:pStyle w:val="BookText"/>
        <w:rPr/>
      </w:pPr>
      <w:bookmarkEnd w:id="141"/>
      <w:r>
        <w:rPr>
          <w:rFonts w:ascii="Amiri" w:hAnsi="Amiri" w:eastAsia="Amiri" w:cs="Amiri"/>
          <w:color w:val="111111"/>
          <w:sz w:val="28"/>
          <w:sz w:val="28"/>
          <w:szCs w:val="28"/>
          <w:rtl w:val="true"/>
          <w:lang w:bidi="ar-SA"/>
        </w:rPr>
        <w:t xml:space="preserve">استكرهها فعليه كفارتان، و إن كانت مطاوعة فعليه كفارة و عليها كفارة، و إن كان أكرهها فعليه ضرب خمسين سوطا نصف الحدّ، و إن كان طاوعته </w:t>
      </w:r>
      <w:r>
        <w:rPr>
          <w:rStyle w:val="FootnoteAnchor"/>
          <w:rtl w:val="true"/>
        </w:rPr>
        <w:footnoteReference w:id="1172"/>
      </w:r>
      <w:r>
        <w:rPr>
          <w:rFonts w:ascii="Amiri" w:hAnsi="Amiri" w:eastAsia="Amiri" w:cs="Amiri"/>
          <w:color w:val="111111"/>
          <w:sz w:val="28"/>
          <w:sz w:val="28"/>
          <w:szCs w:val="28"/>
          <w:rtl w:val="true"/>
          <w:lang w:bidi="ar-SA"/>
        </w:rPr>
        <w:t>ضرب خمسة و عشرين سوطا و ضربت خمسة و عشرين سوطا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ضعفها منجبر بعمل العلماء على ما حكي عن المحقّق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علمائنا ادّعوا على ذلك إجماع الإمامية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العماني </w:t>
      </w:r>
      <w:r>
        <w:rPr>
          <w:rStyle w:val="FootnoteAnchor"/>
          <w:rtl w:val="true"/>
        </w:rPr>
        <w:footnoteReference w:id="1175"/>
      </w:r>
      <w:r>
        <w:rPr>
          <w:rFonts w:ascii="Amiri" w:hAnsi="Amiri" w:eastAsia="Amiri" w:cs="Amiri"/>
          <w:color w:val="111111"/>
          <w:sz w:val="28"/>
          <w:sz w:val="28"/>
          <w:szCs w:val="28"/>
          <w:rtl w:val="true"/>
          <w:lang w:bidi="ar-SA"/>
        </w:rPr>
        <w:t xml:space="preserve">فأوجب عليه </w:t>
      </w:r>
      <w:r>
        <w:rPr>
          <w:rStyle w:val="FootnoteAnchor"/>
          <w:rtl w:val="true"/>
        </w:rPr>
        <w:footnoteReference w:id="1176"/>
      </w:r>
      <w:r>
        <w:rPr>
          <w:rFonts w:ascii="Amiri" w:hAnsi="Amiri" w:eastAsia="Amiri" w:cs="Amiri"/>
          <w:color w:val="111111"/>
          <w:sz w:val="28"/>
          <w:sz w:val="28"/>
          <w:szCs w:val="28"/>
          <w:rtl w:val="true"/>
          <w:lang w:bidi="ar-SA"/>
        </w:rPr>
        <w:t>كفّارة واحدة و هو ضعيف عديم المستند، مع أنّ مقتضى ما ذكر سابقا من معذورية المكره أن لا يفسد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لو طاوعته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المطاوعة ابتداء أو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يتحمّل الكفارة حينئذ للأصل و عمومات أدلّة وجوبها على المفسد، و خصوص رواية المفضّل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يعزر كلّ واحد منهما مع المطاوعة بخمسة و عشرين سوطا و مع إكراهها يضرب الزوج خمسين سوطا كما في الرواية</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2061710_2314609296"/>
      <w:bookmarkStart w:id="143" w:name="_Toc54"/>
      <w:bookmarkEnd w:id="142"/>
      <w:r>
        <w:rPr>
          <w:rtl w:val="true"/>
        </w:rPr>
        <w:t>[</w:t>
      </w:r>
      <w:r>
        <w:rPr>
          <w:rtl w:val="true"/>
        </w:rPr>
        <w:t>إكراه الأجنبية و الأمة على الجماع</w:t>
      </w:r>
      <w:r>
        <w:rPr>
          <w:rtl w:val="true"/>
        </w:rPr>
        <w:t>]</w:t>
      </w:r>
      <w:bookmarkEnd w:id="1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التحمّل عن الأجنبية و الأمة المكرهتين لفحوى تحمّله عن</w:t>
      </w:r>
    </w:p>
    <w:p>
      <w:pPr>
        <w:pStyle w:val="BookText"/>
        <w:rPr/>
      </w:pPr>
      <w:r>
        <w:rPr>
          <w:rFonts w:ascii="Amiri" w:hAnsi="Amiri" w:eastAsia="Amiri" w:cs="Amiri"/>
          <w:color w:val="111111"/>
          <w:sz w:val="28"/>
          <w:sz w:val="28"/>
          <w:szCs w:val="28"/>
          <w:rtl w:val="true"/>
          <w:lang w:bidi="ar-SA"/>
        </w:rPr>
        <w:t>زوجته و صدق الأهل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الفحوى سيّما مع قوة احتمال كون عظم الذنب مانعا عن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إعادة الصيد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الأهل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فانصرافه إلى غيرها واضح، فلا مخرج عن الأصل، و لكن لا 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الكلام فيما لو أكرهته، فإنّ مقتضى الأصل عدم تحمّلها الكفارة عنه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تبرّع متبرّع بالتكفير عن الميّت أجزأ عنه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bookmarkStart w:id="144" w:name="pg19900_214664"/>
    </w:p>
    <w:p>
      <w:pPr>
        <w:pStyle w:val="Heading6"/>
        <w:numPr>
          <w:ilvl w:val="5"/>
          <w:numId w:val="1"/>
        </w:numPr>
        <w:rPr/>
      </w:pPr>
      <w:bookmarkStart w:id="145" w:name="__RefHeading___Toc2061712_2314609296"/>
      <w:bookmarkStart w:id="146" w:name="_Toc55"/>
      <w:bookmarkEnd w:id="144"/>
      <w:bookmarkEnd w:id="145"/>
      <w:r>
        <w:rPr>
          <w:rtl w:val="true"/>
        </w:rPr>
        <w:t>[</w:t>
      </w:r>
      <w:r>
        <w:rPr>
          <w:rtl w:val="true"/>
        </w:rPr>
        <w:t>فروع</w:t>
      </w:r>
      <w:r>
        <w:rPr>
          <w:rtl w:val="true"/>
        </w:rPr>
        <w:t>]</w:t>
      </w:r>
      <w:bookmarkEnd w:id="146"/>
    </w:p>
    <w:p>
      <w:pPr>
        <w:pStyle w:val="Heading6"/>
        <w:numPr>
          <w:ilvl w:val="5"/>
          <w:numId w:val="1"/>
        </w:numPr>
        <w:rPr/>
      </w:pPr>
      <w:bookmarkStart w:id="147" w:name="__RefHeading___Toc2061714_2314609296"/>
      <w:bookmarkStart w:id="148" w:name="_Toc56"/>
      <w:bookmarkEnd w:id="147"/>
      <w:r>
        <w:rPr>
          <w:rtl w:val="true"/>
        </w:rPr>
        <w:t>[</w:t>
      </w:r>
      <w:r>
        <w:rPr>
          <w:rtl w:val="true"/>
        </w:rPr>
        <w:t>الأوّل لو طلع الفجر لفظ ما في فيه من الطعام</w:t>
      </w:r>
      <w:r>
        <w:rPr>
          <w:rtl w:val="true"/>
        </w:rPr>
        <w:t>]</w:t>
      </w:r>
      <w:bookmarkEnd w:id="148"/>
    </w:p>
    <w:p>
      <w:pPr>
        <w:pStyle w:val="BookText"/>
        <w:rPr/>
      </w:pPr>
      <w:r>
        <w:rPr>
          <w:rFonts w:ascii="Amiri" w:hAnsi="Amiri" w:eastAsia="Amiri" w:cs="Amiri"/>
          <w:color w:val="111111"/>
          <w:sz w:val="28"/>
          <w:sz w:val="28"/>
          <w:szCs w:val="28"/>
          <w:rtl w:val="true"/>
          <w:lang w:bidi="ar-SA"/>
        </w:rPr>
        <w:t>فروع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طلع الفجر لفظ ما في فيه من الطعام، فإن ابتلعه كفّر و وجهه قد مرّ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2061716_2314609296"/>
      <w:bookmarkStart w:id="150" w:name="_Toc57"/>
      <w:bookmarkEnd w:id="149"/>
      <w:r>
        <w:rPr>
          <w:rtl w:val="true"/>
        </w:rPr>
        <w:t>[</w:t>
      </w:r>
      <w:r>
        <w:rPr>
          <w:rtl w:val="true"/>
        </w:rPr>
        <w:t>الثاني يجوز لمريد صوم الغد الجماع في الليل</w:t>
      </w:r>
      <w:r>
        <w:rPr>
          <w:rtl w:val="true"/>
        </w:rPr>
        <w:t>]</w:t>
      </w:r>
      <w:bookmarkEnd w:id="15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لمريد صوم الغد الجماع في الليل إلى أن يبقى لطلوع الفجر مقدار فعله و الغسل بناء على الأظهر الأشهر من حرمة البقاء على الجنابة، فإن علم التضيّق فواقع وجبت الكفارة على ما مر و لو ظن السعة و لو بالاستصحاب فإن راعى بنفسه فلم يعلم بالطلوع فجامع فتبيّن وقوعه في النهار فلا شي‌ء من الإثم و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لما مرّ من ذيل رواية معاوية بن عمّار في أمر الجارية </w:t>
      </w:r>
      <w:r>
        <w:rPr>
          <w:rStyle w:val="FootnoteAnchor"/>
          <w:rtl w:val="true"/>
        </w:rPr>
        <w:footnoteReference w:id="1179"/>
      </w:r>
      <w:r>
        <w:rPr>
          <w:rFonts w:ascii="Amiri" w:hAnsi="Amiri" w:eastAsia="Amiri" w:cs="Amiri"/>
          <w:color w:val="111111"/>
          <w:sz w:val="28"/>
          <w:sz w:val="28"/>
          <w:szCs w:val="28"/>
          <w:rtl w:val="true"/>
          <w:lang w:bidi="ar-SA"/>
        </w:rPr>
        <w:t>فإنّها و إن اختصت بالأكل و الشرب إلّا أنّ الظاهر عدم القول بالفصل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حكم المراعاة إخبار من يجوز التعويل على خبره شرعا، و كذا إذا لم يتمكّن من المراعاة ففعل المفطر تعويلا على مجرّد الاستصحاب، على الظاهر،</w:t>
      </w:r>
      <w:bookmarkStart w:id="151" w:name="pg19900_214665"/>
    </w:p>
    <w:p>
      <w:pPr>
        <w:pStyle w:val="BookText"/>
        <w:rPr/>
      </w:pPr>
      <w:bookmarkEnd w:id="151"/>
      <w:r>
        <w:rPr>
          <w:rFonts w:ascii="Amiri" w:hAnsi="Amiri" w:eastAsia="Amiri" w:cs="Amiri"/>
          <w:color w:val="111111"/>
          <w:sz w:val="28"/>
          <w:sz w:val="28"/>
          <w:szCs w:val="28"/>
          <w:rtl w:val="true"/>
          <w:lang w:bidi="ar-SA"/>
        </w:rPr>
        <w:t>لما عرفت من عدم الدليل على القضاء في هذه الصورة و 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يراع مع التمكّن و لا أخبره من يكون قوله حجّة شرعا ف الواجب القضاء خاصّة لما مرّ من الروايات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كفارة لعدم الدليل عليها</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2061718_2314609296"/>
      <w:bookmarkStart w:id="153" w:name="_Toc58"/>
      <w:bookmarkEnd w:id="152"/>
      <w:r>
        <w:rPr>
          <w:rtl w:val="true"/>
        </w:rPr>
        <w:t>[</w:t>
      </w:r>
      <w:r>
        <w:rPr>
          <w:rtl w:val="true"/>
        </w:rPr>
        <w:t>الثالث لو أفطر المنفرد برؤية هلال رمضان</w:t>
      </w:r>
      <w:r>
        <w:rPr>
          <w:rtl w:val="true"/>
        </w:rPr>
        <w:t>]</w:t>
      </w:r>
      <w:bookmarkEnd w:id="15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المنفرد برؤية هلال رمضان في يوم شك فيه غيره من الناس أثم لتعبّده بمقتضى علمه و وجب القضاء و الكفارة عليه لأنّه أفطر في نهار رمضان متعمّدا من غير عذر، و عدم علم غيره بكونه من رمضان أو علمه بعدمه لا يجدي مع علمه، فإنّ كلا مكلّف بعلمه </w:t>
      </w:r>
      <w:r>
        <w:rPr>
          <w:rStyle w:val="FootnoteAnchor"/>
          <w:rtl w:val="true"/>
        </w:rPr>
        <w:footnoteReference w:id="1181"/>
      </w:r>
      <w:r>
        <w:rPr>
          <w:rFonts w:ascii="Amiri" w:hAnsi="Amiri" w:eastAsia="Amiri" w:cs="Amiri"/>
          <w:color w:val="111111"/>
          <w:sz w:val="28"/>
          <w:sz w:val="28"/>
          <w:szCs w:val="28"/>
          <w:rtl w:val="true"/>
          <w:lang w:bidi="ar-SA"/>
        </w:rPr>
        <w:t xml:space="preserve">و الظاهر عدم الخلاف فيه إلّا عن أبي حنيفة </w:t>
      </w:r>
      <w:r>
        <w:rPr>
          <w:rStyle w:val="FootnoteAnchor"/>
          <w:rtl w:val="true"/>
        </w:rPr>
        <w:footnoteReference w:id="1182"/>
      </w:r>
      <w:r>
        <w:rPr>
          <w:rFonts w:ascii="Amiri" w:hAnsi="Amiri" w:eastAsia="Amiri" w:cs="Amiri"/>
          <w:color w:val="111111"/>
          <w:sz w:val="28"/>
          <w:sz w:val="28"/>
          <w:szCs w:val="28"/>
          <w:rtl w:val="true"/>
          <w:lang w:bidi="ar-SA"/>
        </w:rPr>
        <w:t xml:space="preserve">فنفى الكفارة محتجّا بوجهين سخيفين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2061720_2314609296"/>
      <w:bookmarkStart w:id="155" w:name="_Toc59"/>
      <w:bookmarkEnd w:id="154"/>
      <w:r>
        <w:rPr>
          <w:rtl w:val="true"/>
        </w:rPr>
        <w:t>[</w:t>
      </w:r>
      <w:r>
        <w:rPr>
          <w:rtl w:val="true"/>
        </w:rPr>
        <w:t>الرابع لو سقط فرض الصوم بعد إفساده</w:t>
      </w:r>
      <w:r>
        <w:rPr>
          <w:rtl w:val="true"/>
        </w:rPr>
        <w:t>]</w:t>
      </w:r>
      <w:bookmarkEnd w:id="15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عن المكلف فرض الصوم بعد إفساده بأن ظنّ سلامته من موانع الصوم و وجدانه لجميع شروطه و لم يصم أو أفسده في أثناء النهار بعد قصده في أوّله، ثم عرض له بعض مسقطات الصوم، فالمحكي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سقوط الكفارة </w:t>
      </w:r>
      <w:r>
        <w:rPr>
          <w:rStyle w:val="FootnoteAnchor"/>
          <w:rtl w:val="true"/>
        </w:rPr>
        <w:footnoteReference w:id="1184"/>
      </w:r>
      <w:r>
        <w:rPr>
          <w:rFonts w:ascii="Amiri" w:hAnsi="Amiri" w:eastAsia="Amiri" w:cs="Amiri"/>
          <w:color w:val="111111"/>
          <w:sz w:val="28"/>
          <w:sz w:val="28"/>
          <w:szCs w:val="28"/>
          <w:rtl w:val="true"/>
          <w:lang w:bidi="ar-SA"/>
        </w:rPr>
        <w:t xml:space="preserve">، بل حكي عن الشيخ في الخلاف دعوى الإجماع عليه </w:t>
      </w:r>
      <w:r>
        <w:rPr>
          <w:rStyle w:val="FootnoteAnchor"/>
          <w:rtl w:val="true"/>
        </w:rPr>
        <w:footnoteReference w:id="1185"/>
      </w:r>
      <w:r>
        <w:rPr>
          <w:rFonts w:ascii="Amiri" w:hAnsi="Amiri" w:eastAsia="Amiri" w:cs="Amiri"/>
          <w:color w:val="111111"/>
          <w:sz w:val="28"/>
          <w:sz w:val="28"/>
          <w:szCs w:val="28"/>
          <w:rtl w:val="true"/>
          <w:lang w:bidi="ar-SA"/>
        </w:rPr>
        <w:t>و كأنّه لمطلقات وجوب الكفارة بفعل المفطر مع وجوب الإمساك عنه، و هذا صادق بالنسبة إلى حال هذا الشخص</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أنّه يصدق على هذا الشخص أنّه أفطر يوما من رمضان من غير عذر فهو مسلّم، إلّا أنّ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باليوم</w:t>
      </w:r>
    </w:p>
    <w:p>
      <w:pPr>
        <w:pStyle w:val="BookText"/>
        <w:rPr/>
      </w:pPr>
      <w:r>
        <w:rPr>
          <w:rFonts w:ascii="Amiri" w:hAnsi="Amiri" w:eastAsia="Amiri" w:cs="Amiri"/>
          <w:color w:val="111111"/>
          <w:sz w:val="28"/>
          <w:sz w:val="28"/>
          <w:szCs w:val="28"/>
          <w:rtl w:val="true"/>
          <w:lang w:bidi="ar-SA"/>
        </w:rPr>
        <w:t>الذي استجمع المكلف فيه الشرائط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يسلّم الظهور في ذلك فلا أقلّ من كون اللفظ مجملا بالنسبة إلى اليوم الذي فقد المكلف بعض الشرائط في أثنائه، فإنّ المطلقات المشكّكة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يتبادر منه الفرد الشائع، بحيث يعلم عدم إرادة القدر المشترك الشامل للنادر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 منها ما يتردّد </w:t>
      </w:r>
      <w:r>
        <w:rPr>
          <w:rStyle w:val="FootnoteAnchor"/>
          <w:rtl w:val="true"/>
        </w:rPr>
        <w:footnoteReference w:id="1186"/>
      </w:r>
      <w:r>
        <w:rPr>
          <w:rFonts w:ascii="Amiri" w:hAnsi="Amiri" w:eastAsia="Amiri" w:cs="Amiri"/>
          <w:color w:val="111111"/>
          <w:sz w:val="28"/>
          <w:sz w:val="28"/>
          <w:szCs w:val="28"/>
          <w:rtl w:val="true"/>
          <w:lang w:bidi="ar-SA"/>
        </w:rPr>
        <w:t xml:space="preserve">الأمر بين ارادة القدر المشترك لكونه هو الموضوع له و بين إرادة خصوص الفرد الشائع بقرينة الشيوع </w:t>
      </w:r>
      <w:r>
        <w:rPr>
          <w:rStyle w:val="FootnoteAnchor"/>
          <w:rtl w:val="true"/>
        </w:rPr>
        <w:footnoteReference w:id="1187"/>
      </w:r>
      <w:r>
        <w:rPr>
          <w:rFonts w:ascii="Amiri" w:hAnsi="Amiri" w:eastAsia="Amiri" w:cs="Amiri"/>
          <w:color w:val="111111"/>
          <w:sz w:val="28"/>
          <w:sz w:val="28"/>
          <w:szCs w:val="28"/>
          <w:rtl w:val="true"/>
          <w:lang w:bidi="ar-SA"/>
        </w:rPr>
        <w:t>نظير المجاز المشهور بل هو هو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فالأدلّة الدالّة على أنّ من أفطر يوما من رمضان متعمّدا فعليه كذا و كذا، لو لم نقل بكونها من قبيل الأول فغاية الأمر أن يكون </w:t>
      </w:r>
      <w:r>
        <w:rPr>
          <w:rStyle w:val="FootnoteAnchor"/>
          <w:rtl w:val="true"/>
        </w:rPr>
        <w:footnoteReference w:id="1188"/>
      </w:r>
      <w:r>
        <w:rPr>
          <w:rFonts w:ascii="Amiri" w:hAnsi="Amiri" w:eastAsia="Amiri" w:cs="Amiri"/>
          <w:color w:val="111111"/>
          <w:sz w:val="28"/>
          <w:sz w:val="28"/>
          <w:szCs w:val="28"/>
          <w:rtl w:val="true"/>
          <w:lang w:bidi="ar-SA"/>
        </w:rPr>
        <w:t>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ما كان، فلا يستفاد منها حكم اليوم الذي طرأ المانع في أثنائه، فيرجع في حكم الإفطار فيه قبل طروّ المانع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أنّه يصدق عليه أنّه فعل المفطر في زمان يجب الإمساك عليه، فهو مسلّم، لكن لا دليل على وجوب الكفارة بالإفطار في زمان يجب الإمساك، و إنّما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من أفطر يوما من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تنصرف إلى المقام</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فالأقرب سقوط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w:t>
      </w:r>
      <w:r>
        <w:rPr>
          <w:rStyle w:val="FootnoteAnchor"/>
          <w:rtl w:val="true"/>
        </w:rPr>
        <w:footnoteReference w:id="1190"/>
      </w:r>
      <w:r>
        <w:rPr>
          <w:rFonts w:ascii="IRNazanin" w:hAnsi="IRNazanin" w:eastAsia="IRNazanin"/>
          <w:color w:val="111111"/>
          <w:sz w:val="28"/>
          <w:sz w:val="28"/>
          <w:szCs w:val="28"/>
          <w:rtl w:val="true"/>
          <w:lang w:bidi="fa-IR"/>
        </w:rPr>
        <w:t>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الإسلام</w:t>
      </w:r>
      <w:r>
        <w:rPr>
          <w:rFonts w:eastAsia="IRNazanin" w:cs="IRNazanin"/>
          <w:color w:val="111111"/>
          <w:sz w:val="28"/>
          <w:szCs w:val="28"/>
          <w:rtl w:val="true"/>
          <w:lang w:bidi="fa-IR"/>
        </w:rPr>
        <w:t xml:space="preserve">- </w:t>
      </w:r>
      <w:r>
        <w:rPr>
          <w:rStyle w:val="FootnoteAnchor"/>
          <w:rtl w:val="true"/>
        </w:rPr>
        <w:footnoteReference w:id="1191"/>
      </w:r>
      <w:r>
        <w:rPr>
          <w:rFonts w:ascii="Amiri" w:hAnsi="Amiri" w:eastAsia="Amiri" w:cs="Amiri"/>
          <w:color w:val="111111"/>
          <w:sz w:val="28"/>
          <w:sz w:val="28"/>
          <w:szCs w:val="28"/>
          <w:rtl w:val="true"/>
          <w:lang w:bidi="ar-SA"/>
        </w:rPr>
        <w:t>و غيرهما بنوا وجوب الكفارة في هذه المسألة على مسألة أصولية،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أمر الآمر مع علمه بانتفاء الشرط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تجب الكفارة، لوجوب الصوم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تجب، لعدم وجوب الصوم عليه، لعلم اللّٰه سبحانه بانتفاء شرط الصوم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هذا البناء نظر، إذ لا منافاة بين الحكم بامتناع التكليف بالفعل مع علم الآمر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الحكم بثبوت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لتحقّق الإفطار في صوم واجب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للتأمل في كلّ من البناء المذكور و النظر فيه مجال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في الأخبار الدالّة </w:t>
      </w:r>
      <w:r>
        <w:rPr>
          <w:rStyle w:val="FootnoteAnchor"/>
          <w:rtl w:val="true"/>
        </w:rPr>
        <w:footnoteReference w:id="1194"/>
      </w:r>
      <w:r>
        <w:rPr>
          <w:rFonts w:ascii="Amiri" w:hAnsi="Amiri" w:eastAsia="Amiri" w:cs="Amiri"/>
          <w:color w:val="111111"/>
          <w:sz w:val="28"/>
          <w:sz w:val="28"/>
          <w:szCs w:val="28"/>
          <w:rtl w:val="true"/>
          <w:lang w:bidi="ar-SA"/>
        </w:rPr>
        <w:t>على وجوب الكفارة ما يدلّ على إناطتها بوجوب الصوم على المكلّف، مثلا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من كان واجدا لشروط الصوم في تمام اليوم، و من كان فاقدا لها أو لبعضها كذلك، و من كان واجدا لها في بعض اليوم فاقدا لها في البعض الآخر، سواء أفطر بعد حصول العذر أو قبله، عالما بأنّه سيطرأ العذر أو غير عالم به كما هو فرض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الدليل على خروج بعض الأفراد لا بدّ من الحكم عليه </w:t>
      </w:r>
      <w:r>
        <w:rPr>
          <w:rStyle w:val="FootnoteAnchor"/>
          <w:rtl w:val="true"/>
        </w:rPr>
        <w:footnoteReference w:id="1195"/>
      </w:r>
      <w:r>
        <w:rPr>
          <w:rFonts w:ascii="Amiri" w:hAnsi="Amiri" w:eastAsia="Amiri" w:cs="Amiri"/>
          <w:color w:val="111111"/>
          <w:sz w:val="28"/>
          <w:sz w:val="28"/>
          <w:szCs w:val="28"/>
          <w:rtl w:val="true"/>
          <w:lang w:bidi="ar-SA"/>
        </w:rPr>
        <w:t xml:space="preserve">بالبقاء تحت الإطلاق، و المتيقّن خروج الفرد الثاني </w:t>
      </w:r>
      <w:r>
        <w:rPr>
          <w:rStyle w:val="FootnoteAnchor"/>
          <w:rtl w:val="true"/>
        </w:rPr>
        <w:footnoteReference w:id="1196"/>
      </w:r>
      <w:r>
        <w:rPr>
          <w:rFonts w:ascii="Amiri" w:hAnsi="Amiri" w:eastAsia="Amiri" w:cs="Amiri"/>
          <w:color w:val="111111"/>
          <w:sz w:val="28"/>
          <w:sz w:val="28"/>
          <w:szCs w:val="28"/>
          <w:rtl w:val="true"/>
          <w:lang w:bidi="ar-SA"/>
        </w:rPr>
        <w:t>و لا دليل على خروج غيره و منه الفرد الأخير، فلا بدّ من الحكم عليه بوجوب الكفارة عليه، سواء قلنا بوجوب الصوم عليه أم قلنا بعدم وجوبه، و ليس خروج ما خرج من ذلك المطلق لأجل عنوان عدم وجوب الصوم حتى يحصل الخروج في كلّ مورد صدق عدم وجوب الصوم، فيتكلّم في أنّ هذا الشخص هل يجب عليه الصوم أم لا؟ و يبتنى على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تسليم شمول المطلقات من حيث الانصراف لهذا الفرد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فلا فرق في عدم وجوب الكفارة بين القول بوجوب الصوم عليه و بين القول بعدمه،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لهؤلاء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بالتنافي بين عدم التكليف و وجوب الكفارة، لمخالفة الوجوب الظاهري،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الثابت من أدلّة الكفارة هو وجوبها على من وجب عليه الصوم في الواقع، و أمّا من لم يجب عليه واقعا فلم تدل تلك الأدلّة على وجوب الكفارة، فيبقى تحت الأصل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مختصة بذنب خاص، و هو ترك الصوم و مخالفة أوامر الصوم، و الشخص المذكور لم يخالفها، و إنّما خالف الأدلّة الدالّة على وجوب العمل بمقتضى الاعتقاد حيث أنّه اعتقد في أوّل النهار أنّه سالم عن الأعذار إلى الغروب، فاعتقد وجوب الصوم عليه، و قد تقرّر أنّه يجب العمل بمقتضى الاعتقاد في الأحكام الشرعية و موضوعاتها، فلا يعاقب هذا الشخص</w:t>
      </w:r>
    </w:p>
    <w:p>
      <w:pPr>
        <w:pStyle w:val="BookText"/>
        <w:rPr/>
      </w:pPr>
      <w:r>
        <w:rPr>
          <w:rFonts w:ascii="Amiri" w:hAnsi="Amiri" w:eastAsia="Amiri" w:cs="Amiri"/>
          <w:color w:val="111111"/>
          <w:sz w:val="28"/>
          <w:sz w:val="28"/>
          <w:szCs w:val="28"/>
          <w:rtl w:val="true"/>
          <w:lang w:bidi="ar-SA"/>
        </w:rPr>
        <w:t xml:space="preserve">على ترك الصوم و إنّما يعاقب على ترك العمل بمقتضى الاعتقاد الذي هو حكم اللّٰه الظاهري، و من هنا ظهر فساد التمسّك على عدم السقوط بالاستصحاب، حيث أنّ الشخص قبل طروّ العذر لم </w:t>
      </w:r>
      <w:r>
        <w:rPr>
          <w:rStyle w:val="FootnoteAnchor"/>
          <w:rtl w:val="true"/>
        </w:rPr>
        <w:footnoteReference w:id="1199"/>
      </w:r>
      <w:r>
        <w:rPr>
          <w:rFonts w:ascii="IRNazanin" w:hAnsi="IRNazanin" w:eastAsia="IRNazanin"/>
          <w:color w:val="111111"/>
          <w:sz w:val="28"/>
          <w:sz w:val="28"/>
          <w:szCs w:val="28"/>
          <w:rtl w:val="true"/>
          <w:lang w:bidi="fa-IR"/>
        </w:rPr>
        <w:t>تسقط عنه، و الأصل عدم حدوث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أنّه لا دليل على كون الكفارة واجبة على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الإفطار المتعقّب بطروّ العذر موجبا للكفارة، نعم قبل طروّ العذر لمّا ظن أنّه سالم عن العذر اعتقد </w:t>
      </w:r>
      <w:r>
        <w:rPr>
          <w:rStyle w:val="FootnoteAnchor"/>
          <w:rtl w:val="true"/>
        </w:rPr>
        <w:footnoteReference w:id="1200"/>
      </w:r>
      <w:r>
        <w:rPr>
          <w:rFonts w:ascii="Amiri" w:hAnsi="Amiri" w:eastAsia="Amiri" w:cs="Amiri"/>
          <w:color w:val="111111"/>
          <w:sz w:val="28"/>
          <w:sz w:val="28"/>
          <w:szCs w:val="28"/>
          <w:rtl w:val="true"/>
          <w:lang w:bidi="ar-SA"/>
        </w:rPr>
        <w:t xml:space="preserve">أنّ عليه الكفارة، فإذا تبيّن العذر و علم </w:t>
      </w:r>
      <w:r>
        <w:rPr>
          <w:rStyle w:val="FootnoteAnchor"/>
          <w:rtl w:val="true"/>
        </w:rPr>
        <w:footnoteReference w:id="1201"/>
      </w:r>
      <w:r>
        <w:rPr>
          <w:rFonts w:ascii="Amiri" w:hAnsi="Amiri" w:eastAsia="Amiri" w:cs="Amiri"/>
          <w:color w:val="111111"/>
          <w:sz w:val="28"/>
          <w:sz w:val="28"/>
          <w:szCs w:val="28"/>
          <w:rtl w:val="true"/>
          <w:lang w:bidi="ar-SA"/>
        </w:rPr>
        <w:t>أنّه في الزمان السابق كان ممّن هو غير جامع للشرائط إلى آخر اليوم،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الفرد لا دليل على وجوب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فنشك أنّه هل وجب عليه الكفارة من أوّل الأمر أم لا؟ و إنّما كان مظنونا له بواسطة ظنّ السلامة عن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الاستصحاب إنّما يجري إذا اختص الشك بالزمان اللاحق، و لا يسري إلى السابق، بأن يكون في زمان الشك عالما بثبوت المستصحب في السابق، و ليس الأمر هنا كذلك، لأنّه بعد طروّ العذر لا يقطع بأنّ الكفارة وجبت عليه سابقا في الواقع بل يشك فيه أيضا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يعلم أنّها كانت واجبة عليه ظاهرا لكن الوجوب الظاهري لما كان دائرا مدار الظن بالسلامة و منوطا به، فبزواله يقطع بزواله، كما لو اعتقد كون الشي‌ء المائع خمرا أوّلا، ثم شك في خمريته فشك في حرمته، فحينئذ لا يجوز استصحاب الحرمة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اعتقاد الخمرية، و هو واضح غاية</w:t>
      </w:r>
      <w:bookmarkStart w:id="156" w:name="pg19900_214670"/>
    </w:p>
    <w:p>
      <w:pPr>
        <w:pStyle w:val="BookText"/>
        <w:rPr/>
      </w:pPr>
      <w:bookmarkEnd w:id="156"/>
      <w:r>
        <w:rPr>
          <w:rFonts w:ascii="IRNazanin" w:hAnsi="IRNazanin" w:eastAsia="IRNazanin"/>
          <w:color w:val="111111"/>
          <w:sz w:val="28"/>
          <w:sz w:val="28"/>
          <w:szCs w:val="28"/>
          <w:rtl w:val="true"/>
          <w:lang w:bidi="fa-IR"/>
        </w:rPr>
        <w:t>الوضوح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جميع ذلك علم أنّ مرادنا بسقوط الكفارة بطروّ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العذر عن كون الكفارة غير واجبة عليه من أوّل الأمر، لا الإسقاط الحقيقي بمعنى استقرار الوجوب عليه ثم ارتفاعه و زواله بطروّ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أفطرت المرأة الصائمة الظانة للسلامة من العذر، فبنت على التكفير، و أعتقت رقبة كفارة لافطارها بمقتضى ظن السلامة ثم حاضت، فالأقرب بطلانه إذ الحيض كاشف عن أنّه لم يكن عليها كفارة من أوّل الأمر كما لو شهد عدلان عند الحاكم بما يوجب إعتاق الشخص لعبده، فألزمه بالإعتاق فأعتق، ثم تبيّن كذبهما، حيث حكم المصنّف في مبحث العتق ببطلانه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الكفّارة مستقرّة عليها و كان طروّ الحيض رافعا لها، لم يكن معنى لبطلان العتق، إذ لو سلّم رافعية العذر للوجوب المستقر فإنّما هي قبل الامتثال، و أمّا بعده فلا وجوب حتى يرفعه العذر، و مقتضى ذلك صحّة العتق لحصول الامتثال به</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061722_2314609296"/>
      <w:bookmarkStart w:id="158" w:name="_Toc60"/>
      <w:bookmarkEnd w:id="157"/>
      <w:r>
        <w:rPr>
          <w:rtl w:val="true"/>
        </w:rPr>
        <w:t>[</w:t>
      </w:r>
      <w:r>
        <w:rPr>
          <w:rtl w:val="true"/>
        </w:rPr>
        <w:t>الخامس لو وجب شهران متتابعان فعجز، صام ثمانية عشر يوما</w:t>
      </w:r>
      <w:r>
        <w:rPr>
          <w:rtl w:val="true"/>
        </w:rPr>
        <w:t>]</w:t>
      </w:r>
      <w:bookmarkEnd w:id="1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شهران متتابعان سواء كان بكفارة أو بنذر فعجز، صام ثمانية عشر يوما لرواية أبي بصير و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عليه السلام عن الرجل يكون عليه صيام شهرين متتابعين، فلم يقدر على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يقدر على العتق</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و لم يقدر على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ثمانية عشر يوما عن </w:t>
      </w:r>
      <w:r>
        <w:rPr>
          <w:rStyle w:val="FootnoteAnchor"/>
          <w:rtl w:val="true"/>
        </w:rPr>
        <w:footnoteReference w:id="1205"/>
      </w:r>
      <w:r>
        <w:rPr>
          <w:rFonts w:ascii="Amiri" w:hAnsi="Amiri" w:eastAsia="Amiri" w:cs="Amiri"/>
          <w:color w:val="111111"/>
          <w:sz w:val="28"/>
          <w:sz w:val="28"/>
          <w:szCs w:val="28"/>
          <w:rtl w:val="true"/>
          <w:lang w:bidi="ar-SA"/>
        </w:rPr>
        <w:t xml:space="preserve">كلّ عشرة أيام </w:t>
      </w:r>
      <w:r>
        <w:rPr>
          <w:rStyle w:val="FootnoteAnchor"/>
          <w:rtl w:val="true"/>
        </w:rPr>
        <w:footnoteReference w:id="1206"/>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 الرواية غير صحيحة، فالتعويل عليها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الحكم مشهورا، و الا فالحكم بوجوب الصدقة بما تمكن </w:t>
      </w:r>
      <w:r>
        <w:rPr>
          <w:rStyle w:val="FootnoteAnchor"/>
          <w:rtl w:val="true"/>
        </w:rPr>
        <w:footnoteReference w:id="1208"/>
      </w:r>
      <w:r>
        <w:rPr>
          <w:rFonts w:ascii="Amiri" w:hAnsi="Amiri" w:eastAsia="Amiri" w:cs="Amiri"/>
          <w:color w:val="111111"/>
          <w:sz w:val="28"/>
          <w:sz w:val="28"/>
          <w:szCs w:val="28"/>
          <w:rtl w:val="true"/>
          <w:lang w:bidi="ar-SA"/>
        </w:rPr>
        <w:t xml:space="preserve">في كفارة شهر رمضان أحسن، وفاقا لصاحب المدارك </w:t>
      </w:r>
      <w:r>
        <w:rPr>
          <w:rStyle w:val="FootnoteAnchor"/>
          <w:rtl w:val="true"/>
        </w:rPr>
        <w:footnoteReference w:id="1209"/>
      </w:r>
      <w:r>
        <w:rPr>
          <w:rFonts w:ascii="Amiri" w:hAnsi="Amiri" w:eastAsia="Amiri" w:cs="Amiri"/>
          <w:color w:val="111111"/>
          <w:sz w:val="28"/>
          <w:sz w:val="28"/>
          <w:szCs w:val="28"/>
          <w:rtl w:val="true"/>
          <w:lang w:bidi="ar-SA"/>
        </w:rPr>
        <w:t xml:space="preserve">و المحكي عن ابن الجنيد </w:t>
      </w:r>
      <w:r>
        <w:rPr>
          <w:rStyle w:val="FootnoteAnchor"/>
          <w:rtl w:val="true"/>
        </w:rPr>
        <w:footnoteReference w:id="1210"/>
      </w:r>
      <w:r>
        <w:rPr>
          <w:rFonts w:ascii="Amiri" w:hAnsi="Amiri" w:eastAsia="Amiri" w:cs="Amiri"/>
          <w:color w:val="111111"/>
          <w:sz w:val="28"/>
          <w:sz w:val="28"/>
          <w:szCs w:val="28"/>
          <w:rtl w:val="true"/>
          <w:lang w:bidi="ar-SA"/>
        </w:rPr>
        <w:t xml:space="preserve">و الصدوق في المقنع </w:t>
      </w:r>
      <w:r>
        <w:rPr>
          <w:rStyle w:val="FootnoteAnchor"/>
          <w:rtl w:val="true"/>
        </w:rPr>
        <w:footnoteReference w:id="1211"/>
      </w:r>
      <w:r>
        <w:rPr>
          <w:rFonts w:ascii="Amiri" w:hAnsi="Amiri" w:eastAsia="Amiri" w:cs="Amiri"/>
          <w:color w:val="111111"/>
          <w:sz w:val="28"/>
          <w:sz w:val="28"/>
          <w:szCs w:val="28"/>
          <w:rtl w:val="true"/>
          <w:lang w:bidi="ar-SA"/>
        </w:rPr>
        <w:t>، لرواية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الموصوفة بالصحّة في كلام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أفطر في شهر رمضان يوما واحدا متعمدا </w:t>
      </w:r>
      <w:r>
        <w:rPr>
          <w:rStyle w:val="FootnoteAnchor"/>
          <w:rtl w:val="true"/>
        </w:rPr>
        <w:footnoteReference w:id="1212"/>
      </w:r>
      <w:r>
        <w:rPr>
          <w:rFonts w:ascii="Amiri" w:hAnsi="Amiri" w:eastAsia="Amiri" w:cs="Amiri"/>
          <w:color w:val="111111"/>
          <w:sz w:val="28"/>
          <w:sz w:val="28"/>
          <w:szCs w:val="28"/>
          <w:rtl w:val="true"/>
          <w:lang w:bidi="ar-SA"/>
        </w:rPr>
        <w:t>من غير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قريبة منه رواية أخرى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هذه أخصّ من السابقة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الأمرين </w:t>
      </w:r>
      <w:r>
        <w:rPr>
          <w:rStyle w:val="FootnoteAnchor"/>
          <w:rtl w:val="true"/>
        </w:rPr>
        <w:footnoteReference w:id="1215"/>
      </w:r>
      <w:r>
        <w:rPr>
          <w:rFonts w:ascii="Amiri" w:hAnsi="Amiri" w:eastAsia="Amiri" w:cs="Amiri"/>
          <w:color w:val="111111"/>
          <w:sz w:val="28"/>
          <w:sz w:val="28"/>
          <w:szCs w:val="28"/>
          <w:rtl w:val="true"/>
          <w:lang w:bidi="ar-SA"/>
        </w:rPr>
        <w:t>و هو حسن مع تكافؤ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 عن صوم ثمانية عشر أو التصدق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عدم الخلاف فيه، و يدلّ عليه رواية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عجز عن الكفّارة التي تجب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صوم أو عتق أو</w:t>
      </w:r>
    </w:p>
    <w:p>
      <w:pPr>
        <w:pStyle w:val="BookText"/>
        <w:rPr/>
      </w:pPr>
      <w:r>
        <w:rPr>
          <w:rFonts w:ascii="Amiri" w:hAnsi="Amiri" w:eastAsia="Amiri" w:cs="Amiri"/>
          <w:color w:val="111111"/>
          <w:sz w:val="28"/>
          <w:sz w:val="28"/>
          <w:szCs w:val="28"/>
          <w:rtl w:val="true"/>
          <w:lang w:bidi="ar-SA"/>
        </w:rPr>
        <w:t>صدقة في يمين أو نذر أو قتل أو غير ذلك مما تجب على صاحبه فيه الكفارة، فالاستغفار له كفارة ما خلا يمين الظهار</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قدر على أكثر من ثمانية عشر يوما أو على الأقل، فالوجه عدم الوجوب للأصل، نعم لا يبعد وجوب الأقل عملا بالخبر المشهور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قدر على العدد دون الوصف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التوالي فالوجه وجوب المقدور و لم اعرف هذا الوجه بعد دلالة الرواية على وجوب صوم ثمانية عشر مع العجز عن صيام شهرين متتابعين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و أختاها، لا تجري في الأمور المقيّدة و المركبات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الرواية حكم صورة العجز عن أصل الصيام، فليتأمل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صام شهرا فعجز، احتمل وجوب تسعة لكون كلّ ثلاثة أيام من الثمانية عشر بدلا من عشرة أيام من الشهرين، كما في الخبر </w:t>
      </w:r>
      <w:r>
        <w:rPr>
          <w:rStyle w:val="FootnoteAnchor"/>
          <w:rtl w:val="true"/>
        </w:rPr>
        <w:footnoteReference w:id="1223"/>
      </w:r>
      <w:r>
        <w:rPr>
          <w:rFonts w:ascii="Amiri" w:hAnsi="Amiri" w:eastAsia="Amiri" w:cs="Amiri"/>
          <w:color w:val="111111"/>
          <w:sz w:val="28"/>
          <w:sz w:val="28"/>
          <w:szCs w:val="28"/>
          <w:rtl w:val="true"/>
          <w:lang w:bidi="ar-SA"/>
        </w:rPr>
        <w:t>في إحدى النسختين</w:t>
      </w:r>
      <w:r>
        <w:rPr>
          <w:rFonts w:eastAsia="Amiri" w:cs="Amiri" w:ascii="Amiri" w:hAnsi="Amiri"/>
          <w:color w:val="111111"/>
          <w:sz w:val="28"/>
          <w:szCs w:val="28"/>
          <w:rtl w:val="true"/>
          <w:lang w:bidi="ar-SA"/>
        </w:rPr>
        <w:t>.</w:t>
      </w:r>
      <w:bookmarkStart w:id="159" w:name="pg19900_214673"/>
    </w:p>
    <w:p>
      <w:pPr>
        <w:pStyle w:val="BookText"/>
        <w:rPr/>
      </w:pPr>
      <w:bookmarkEnd w:id="159"/>
      <w:r>
        <w:rPr>
          <w:rFonts w:ascii="Amiri" w:hAnsi="Amiri" w:eastAsia="Amiri" w:cs="Amiri"/>
          <w:color w:val="111111"/>
          <w:sz w:val="28"/>
          <w:sz w:val="28"/>
          <w:szCs w:val="28"/>
          <w:rtl w:val="true"/>
          <w:lang w:bidi="ar-SA"/>
        </w:rPr>
        <w:t>و يحتمل وجوب مجموع ثمانية عشر إذ يصدق عليه أنّه لا يقدر على الصيام و أخويه فيدخل في الرواية، لأنّ عدم القدرة فيها أعمّ من أن يكون ابتداء أو يحصل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السقوط رأسا، لا لما قيل من أنّه عجز و صام ثمانية عشر، لأنّ بدليّة صوم ثمانية عشر ليست إلّا إذا وقعت حال العجز لا حال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من الرواية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للأصل و اختصاص مورد السؤال في الرواية بحكم التبادر بمن لم يقدر ابتداء و عدم الدليل على بدلية كلّ ثلاثة عن عشرة</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2061724_2314609296"/>
      <w:bookmarkStart w:id="161" w:name="_Toc61"/>
      <w:bookmarkEnd w:id="160"/>
      <w:r>
        <w:rPr>
          <w:rtl w:val="true"/>
        </w:rPr>
        <w:t>[</w:t>
      </w:r>
      <w:r>
        <w:rPr>
          <w:rtl w:val="true"/>
        </w:rPr>
        <w:t>السادس لو أجنب ليلا و تعذر الماء بعد تمكّنه من الغسل حتى أصبح فالقضاء على إشكال</w:t>
      </w:r>
      <w:r>
        <w:rPr>
          <w:rtl w:val="true"/>
        </w:rPr>
        <w:t>]</w:t>
      </w:r>
      <w:bookmarkEnd w:id="16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أجنب ليلا و تعذر الماء بعد تمكّنه من الغسل حتى أصبح فالقضاء على إشكال 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الدالّة على وجوب القضاء بعدم الاغتسال </w:t>
      </w:r>
      <w:r>
        <w:rPr>
          <w:rStyle w:val="FootnoteAnchor"/>
          <w:rtl w:val="true"/>
        </w:rPr>
        <w:footnoteReference w:id="1225"/>
      </w:r>
      <w:r>
        <w:rPr>
          <w:rFonts w:ascii="Amiri" w:hAnsi="Amiri" w:eastAsia="Amiri" w:cs="Amiri"/>
          <w:color w:val="111111"/>
          <w:sz w:val="28"/>
          <w:sz w:val="28"/>
          <w:szCs w:val="28"/>
          <w:rtl w:val="true"/>
          <w:lang w:bidi="ar-SA"/>
        </w:rPr>
        <w:t>مع أنّه مفرّط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الأصل و اختصاص الإطلاقات بصورة التمكّن بحكم التبادر و منع التفريط لعدم وجوب الغسل فورا، و هذا أقوى و إن كان الأوّل أحوط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أو ظنّ عدم تمكّنه بعد زمان التمكّن وجب عليه في ذلك الزمان، فإن أخّر فالظاهر وجوب القضاء و الكفارة، لأنّه في معنى الباقي على الجنابة متعمّدا</w:t>
      </w:r>
      <w:r>
        <w:rPr>
          <w:rFonts w:eastAsia="Amiri" w:cs="Amiri" w:ascii="Amiri" w:hAnsi="Amiri"/>
          <w:color w:val="111111"/>
          <w:sz w:val="28"/>
          <w:szCs w:val="28"/>
          <w:rtl w:val="true"/>
          <w:lang w:bidi="ar-SA"/>
        </w:rPr>
        <w:t>.</w:t>
      </w:r>
      <w:bookmarkStart w:id="162" w:name="pg19900_214674"/>
    </w:p>
    <w:p>
      <w:pPr>
        <w:pStyle w:val="Heading5"/>
        <w:numPr>
          <w:ilvl w:val="4"/>
          <w:numId w:val="1"/>
        </w:numPr>
        <w:rPr/>
      </w:pPr>
      <w:bookmarkStart w:id="163" w:name="__RefHeading___Toc2061726_2314609296"/>
      <w:bookmarkStart w:id="164" w:name="_Toc62"/>
      <w:bookmarkEnd w:id="162"/>
      <w:bookmarkEnd w:id="163"/>
      <w:r>
        <w:rPr>
          <w:rtl w:val="true"/>
        </w:rPr>
        <w:t>[</w:t>
      </w:r>
      <w:r>
        <w:rPr>
          <w:rtl w:val="true"/>
        </w:rPr>
        <w:t>المطلب الرابع في بقايا مباحث موجبات الإفطار</w:t>
      </w:r>
      <w:r>
        <w:rPr>
          <w:rtl w:val="true"/>
        </w:rPr>
        <w:t>]</w:t>
      </w:r>
      <w:bookmarkEnd w:id="164"/>
    </w:p>
    <w:p>
      <w:pPr>
        <w:pStyle w:val="BookText"/>
        <w:rPr/>
      </w:pPr>
      <w:r>
        <w:rPr>
          <w:rFonts w:ascii="Amiri" w:hAnsi="Amiri" w:eastAsia="Amiri" w:cs="Amiri"/>
          <w:color w:val="111111"/>
          <w:sz w:val="28"/>
          <w:sz w:val="28"/>
          <w:szCs w:val="28"/>
          <w:rtl w:val="true"/>
          <w:lang w:bidi="ar-SA"/>
        </w:rPr>
        <w:t>المطلب الرابع في بقايا مباحث موجبات الإفطار و يجب بالإفطار في الجملة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هو واجب على كلّ تارك للصوم عمدا بردّة أو سفر مبيح للإفطار أو مرض كذلك، أو نوم أو حيض أو نفاس حاصلين في جزء من النهار، أو بغير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القضاء بفوت الصوم بالارتداد فالظاهر عدم الخلاف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الذخيرة</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و استدلّ عليه بعضهم بالعمومات الدالّة على وجوب قضاء ما فات من الصيام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بعد على مثل هذه المطلقات أو العمومات، نعم قد ادّعي الإجماع على وجوب القضاء على كلّ من أفسد </w:t>
      </w:r>
      <w:r>
        <w:rPr>
          <w:rStyle w:val="FootnoteAnchor"/>
          <w:rtl w:val="true"/>
        </w:rPr>
        <w:footnoteReference w:id="1227"/>
      </w:r>
      <w:r>
        <w:rPr>
          <w:rFonts w:ascii="Amiri" w:hAnsi="Amiri" w:eastAsia="Amiri" w:cs="Amiri"/>
          <w:color w:val="111111"/>
          <w:sz w:val="28"/>
          <w:sz w:val="28"/>
          <w:szCs w:val="28"/>
          <w:rtl w:val="true"/>
          <w:lang w:bidi="ar-SA"/>
        </w:rPr>
        <w:t xml:space="preserve">صومه عدا ما استثني، و هو حسن لو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يزعم من</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روايتي الحلبي و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الرجل شي‌ء من صوم شهر رمضان فليقضه في أيّ الشهور </w:t>
      </w:r>
      <w:r>
        <w:rPr>
          <w:rStyle w:val="FootnoteAnchor"/>
          <w:rtl w:val="true"/>
        </w:rPr>
        <w:footnoteReference w:id="1229"/>
      </w:r>
      <w:r>
        <w:rPr>
          <w:rFonts w:ascii="Amiri" w:hAnsi="Amiri" w:eastAsia="Amiri" w:cs="Amiri"/>
          <w:color w:val="111111"/>
          <w:sz w:val="28"/>
          <w:sz w:val="28"/>
          <w:szCs w:val="28"/>
          <w:rtl w:val="true"/>
          <w:lang w:bidi="ar-SA"/>
        </w:rPr>
        <w:t>شاء، أيّاما متتابعة</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شيئا من رمضان في عذر، فإن قضاه متتابعا فهو أفضل و إن قضاه متفرّقا فحسن</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و ليس فيهما دلالة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تدلّ </w:t>
      </w:r>
      <w:r>
        <w:rPr>
          <w:rStyle w:val="FootnoteAnchor"/>
          <w:rtl w:val="true"/>
        </w:rPr>
        <w:footnoteReference w:id="1232"/>
      </w:r>
      <w:r>
        <w:rPr>
          <w:rFonts w:ascii="Amiri" w:hAnsi="Amiri" w:eastAsia="Amiri" w:cs="Amiri"/>
          <w:color w:val="111111"/>
          <w:sz w:val="28"/>
          <w:sz w:val="28"/>
          <w:szCs w:val="28"/>
          <w:rtl w:val="true"/>
          <w:lang w:bidi="ar-SA"/>
        </w:rPr>
        <w:t>على التوسعة في القضاء لمن كان عليه القضاء، و ليس الكلام إلّا فيمن عليه، و ليس فيها بيان لمن عليه القضاء عموما أو خصوصا، بل المراد بيان الحكم بالتوسعة لمن عليه قضاء، فإذا وقع الكلام في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أنّه هل عليه قضاء و هل عليه شي‌ء من صوم رمضان أم لا؟ فلا تدلّ هذه الرواية على أنّ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ما ثبت انّ عليه القضاء إذا وقع الكلام في أنّه فوري أم لا؟ فهذه الرواية تدلّ على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لاختصاصها بذوي الأعذار فلا يشمل مثل المرتد مثلا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واردة في مقام بيان الرخصة في تفريق القضاء لمن عليه القضاء لا في مقام بيان وجوب القضاء فحكم هذه الرواية بعد الفراغ عن وجوب القضاء على الشخص</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دالّة على التوسعة في القضاء لكلّ من أفطر في عذر، و التوسعة و التخيير بين التتابع و التفريق فرع وجوب أصل القضاء فيدلّ</w:t>
      </w:r>
    </w:p>
    <w:p>
      <w:pPr>
        <w:pStyle w:val="BookText"/>
        <w:rPr/>
      </w:pPr>
      <w:r>
        <w:rPr>
          <w:rFonts w:ascii="Amiri" w:hAnsi="Amiri" w:eastAsia="Amiri" w:cs="Amiri"/>
          <w:color w:val="111111"/>
          <w:sz w:val="28"/>
          <w:sz w:val="28"/>
          <w:szCs w:val="28"/>
          <w:rtl w:val="true"/>
          <w:lang w:bidi="ar-SA"/>
        </w:rPr>
        <w:t>عليه بالالتزام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أعثر على إجماع أو دليل يدلّ بإطلاقه أو عمومه على وجوب قضاء الصوم على كلّ من لم يصم لعذر أو لغيره، لكن عليك بالتتبع لعلّك تجد ذلك، و لا اعتبار بعدم عثوري لقلّة الكتب عندي، و ليس عندي من كتب الأخبار إلّا الإستبصار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أحد أنّ الإطلاقات الدالّة على سقوط القضاء عن الكافر إذا أسلم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تدلّ على سقوط القضاء عن المرتد، و ذلك لأنّ المتبادر الكافر الأصلي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القضاء إذا فات بالسفر أو المرض المبيحين، فهو أيضا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وجوبه إذا فات بالنوم، و المراد به أن لا يسبق النيّة من الشخص و يستمرّ نومه إلى زمان يخرج وقت تدارك النية و هو ما قبل الزوال أو 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لم أعثر على دليل عليه، و لا يشمله أيضا إطلاق رواية ابن سنان المتقدّمة </w:t>
      </w:r>
      <w:r>
        <w:rPr>
          <w:rStyle w:val="FootnoteAnchor"/>
          <w:rtl w:val="true"/>
        </w:rPr>
        <w:footnoteReference w:id="1235"/>
      </w:r>
      <w:r>
        <w:rPr>
          <w:rFonts w:ascii="Amiri" w:hAnsi="Amiri" w:eastAsia="Amiri" w:cs="Amiri"/>
          <w:color w:val="111111"/>
          <w:sz w:val="28"/>
          <w:sz w:val="28"/>
          <w:szCs w:val="28"/>
          <w:rtl w:val="true"/>
          <w:lang w:bidi="ar-SA"/>
        </w:rPr>
        <w:t>إذ لا يصدق على هذا الشخص أنّه أفطر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القضاء إذا فات بالحيض أو النفاس، فهو أيضا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من الأخبار الدالّة على اشتراط وجوبه بالخلوّ عنهما، المشتملة على ذكر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زرارة و الحسن بن راشد في خصوص الحيض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ليس عليها أن تقضي الصلاة و عليها أن تقضي صوم شهر رمضان</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قاس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وجوبه على تارك الأداء بغير عذر، فإن كان تركه بأحد الأسباب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نصّ على وجوب القضاء فيها لصدق الإفطار عليها كالأكل و الشرب و الجماع و نحوها، أو بالخصوص كالنوم الثاني للجنب و ترك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الدليل على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تركه لشي‌ء آخر مثل ترك النيّة أو نيّة الإفطار بناء على حصول الإفساد به فيحتاج الحكم بوجوب القضاء فيه إلى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واحد منهما و لا على الإجماع المدّعى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المرتد عن فطرة و غيرها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ملّة سواء في الحكم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القضاء لو فات الأداء بجنون أو صغر أو كفر أصلي أو إغماء إجماعا في الأوّلين، و قد يحتجّ لهما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 عن النائم حتى يستيقظ و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لأنّه إن أريد به رفع القلم عنهما بالنسبة إلى القضاء، فلا ريب في أنّ الكلام في وجوبه عليهما بعد البلوغ و الإفاقة، و إن أريد به نفي الأداء</w:t>
      </w:r>
    </w:p>
    <w:p>
      <w:pPr>
        <w:pStyle w:val="BookText"/>
        <w:rPr/>
      </w:pPr>
      <w:r>
        <w:rPr>
          <w:rFonts w:ascii="Amiri" w:hAnsi="Amiri" w:eastAsia="Amiri" w:cs="Amiri"/>
          <w:color w:val="111111"/>
          <w:sz w:val="28"/>
          <w:sz w:val="28"/>
          <w:szCs w:val="28"/>
          <w:rtl w:val="true"/>
          <w:lang w:bidi="ar-SA"/>
        </w:rPr>
        <w:t>عنهما المستلزم لنفي القضاء فالملازمة ممنوعة، فالعمدة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السقوط عن الكافر بعد ما أسلم،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أسلم في النصف من شهر رمضان، ما عليه من 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ما أسلم فيه</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قوم أسلموا في شهر رمضان و قد مضى منه أيّام، هل عليهم أن يقضوا </w:t>
      </w:r>
      <w:r>
        <w:rPr>
          <w:rStyle w:val="FootnoteAnchor"/>
          <w:rtl w:val="true"/>
        </w:rPr>
        <w:footnoteReference w:id="1241"/>
      </w:r>
      <w:r>
        <w:rPr>
          <w:rFonts w:ascii="Amiri" w:hAnsi="Amiri" w:eastAsia="Amiri" w:cs="Amiri"/>
          <w:color w:val="111111"/>
          <w:sz w:val="28"/>
          <w:sz w:val="28"/>
          <w:szCs w:val="28"/>
          <w:rtl w:val="true"/>
          <w:lang w:bidi="ar-SA"/>
        </w:rPr>
        <w:t>ما مضى منه أو يومهم الذي أسلموا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قضاء ما مضى </w:t>
      </w:r>
      <w:r>
        <w:rPr>
          <w:rStyle w:val="FootnoteAnchor"/>
          <w:rtl w:val="true"/>
        </w:rPr>
        <w:footnoteReference w:id="1242"/>
      </w:r>
      <w:r>
        <w:rPr>
          <w:rFonts w:ascii="Amiri" w:hAnsi="Amiri" w:eastAsia="Amiri" w:cs="Amiri"/>
          <w:color w:val="111111"/>
          <w:sz w:val="28"/>
          <w:sz w:val="28"/>
          <w:szCs w:val="28"/>
          <w:rtl w:val="true"/>
          <w:lang w:bidi="ar-SA"/>
        </w:rPr>
        <w:t>و لا يومهم الذي أسلموا فيه إلّا أن يكونوا أسلموا قبل طلوع الفجر</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بالأصلي يحتمل أن يراد به إخراج المرتدّ فقط، و يحتمل أن يراد به إخراجه و إخراج من انتحل الإسلام من الفرق المحكوم بكفرهم كالخوارج و الغلاة و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المرتد فقد مضى من المصنّف الحكم بوجوب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انتحل الإسلام فالظاهر من بعض عدم وجوب القضاء عليهم إذا أوقعوا الأداء صحيحا بحسب اعتقادهم، و وجوبه إذا أوقعوه فاسدا كذلك، و كذا حكم غيرهم من المخالفين إذا استبصروا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في الثاني إلى العمومات الدالّة على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المتناولة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الأوّل إلى رواية محمّد بن مسلم و بريد و الفضيل </w:t>
      </w:r>
      <w:r>
        <w:rPr>
          <w:rStyle w:val="FootnoteAnchor"/>
          <w:rtl w:val="true"/>
        </w:rPr>
        <w:footnoteReference w:id="1245"/>
      </w:r>
      <w:r>
        <w:rPr>
          <w:rFonts w:ascii="Amiri" w:hAnsi="Amiri" w:eastAsia="Amiri" w:cs="Amiri"/>
          <w:color w:val="111111"/>
          <w:sz w:val="28"/>
          <w:sz w:val="28"/>
          <w:szCs w:val="28"/>
          <w:rtl w:val="true"/>
          <w:lang w:bidi="ar-SA"/>
        </w:rPr>
        <w:t xml:space="preserve">و زرارة عنهما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بعض هذه الأهواء كالحروريّة </w:t>
      </w:r>
      <w:r>
        <w:rPr>
          <w:rStyle w:val="FootnoteAnchor"/>
          <w:rtl w:val="true"/>
        </w:rPr>
        <w:footnoteReference w:id="1246"/>
      </w:r>
      <w:r>
        <w:rPr>
          <w:rFonts w:ascii="Amiri" w:hAnsi="Amiri" w:eastAsia="Amiri" w:cs="Amiri"/>
          <w:color w:val="111111"/>
          <w:sz w:val="28"/>
          <w:sz w:val="28"/>
          <w:szCs w:val="28"/>
          <w:rtl w:val="true"/>
          <w:lang w:bidi="ar-SA"/>
        </w:rPr>
        <w:t xml:space="preserve">و المرجئة </w:t>
      </w:r>
      <w:r>
        <w:rPr>
          <w:rStyle w:val="FootnoteAnchor"/>
          <w:rtl w:val="true"/>
        </w:rPr>
        <w:footnoteReference w:id="1247"/>
      </w:r>
      <w:r>
        <w:rPr>
          <w:rFonts w:ascii="Amiri" w:hAnsi="Amiri" w:eastAsia="Amiri" w:cs="Amiri"/>
          <w:color w:val="111111"/>
          <w:sz w:val="28"/>
          <w:sz w:val="28"/>
          <w:szCs w:val="28"/>
          <w:rtl w:val="true"/>
          <w:lang w:bidi="ar-SA"/>
        </w:rPr>
        <w:t xml:space="preserve">و العثمانية </w:t>
      </w:r>
      <w:r>
        <w:rPr>
          <w:rStyle w:val="FootnoteAnchor"/>
          <w:rtl w:val="true"/>
        </w:rPr>
        <w:footnoteReference w:id="1248"/>
      </w:r>
      <w:r>
        <w:rPr>
          <w:rFonts w:ascii="Amiri" w:hAnsi="Amiri" w:eastAsia="Amiri" w:cs="Amiri"/>
          <w:color w:val="111111"/>
          <w:sz w:val="28"/>
          <w:sz w:val="28"/>
          <w:szCs w:val="28"/>
          <w:rtl w:val="true"/>
          <w:lang w:bidi="ar-SA"/>
        </w:rPr>
        <w:t xml:space="preserve">و القدريّة </w:t>
      </w:r>
      <w:r>
        <w:rPr>
          <w:rStyle w:val="FootnoteAnchor"/>
          <w:rtl w:val="true"/>
        </w:rPr>
        <w:footnoteReference w:id="1249"/>
      </w:r>
      <w:r>
        <w:rPr>
          <w:rFonts w:ascii="Amiri" w:hAnsi="Amiri" w:eastAsia="Amiri" w:cs="Amiri"/>
          <w:color w:val="111111"/>
          <w:sz w:val="28"/>
          <w:sz w:val="28"/>
          <w:szCs w:val="28"/>
          <w:rtl w:val="true"/>
          <w:lang w:bidi="ar-SA"/>
        </w:rPr>
        <w:t xml:space="preserve">ثم يتوب و يعرف هذا الأمر و يحسن رأيه، يعيد </w:t>
      </w:r>
      <w:r>
        <w:rPr>
          <w:rStyle w:val="FootnoteAnchor"/>
          <w:rtl w:val="true"/>
        </w:rPr>
        <w:footnoteReference w:id="1250"/>
      </w:r>
      <w:r>
        <w:rPr>
          <w:rFonts w:ascii="Amiri" w:hAnsi="Amiri" w:eastAsia="Amiri" w:cs="Amiri"/>
          <w:color w:val="111111"/>
          <w:sz w:val="28"/>
          <w:sz w:val="28"/>
          <w:szCs w:val="28"/>
          <w:rtl w:val="true"/>
          <w:lang w:bidi="ar-SA"/>
        </w:rPr>
        <w:t>كلّ صلاة صلاها أو صوم أو زكاة أو حج، أو ليس عليه إعادة شي‌ء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عليه إعادة شي‌ء من ذلك غير الزكاة فإنّه لا بدّ </w:t>
      </w:r>
      <w:r>
        <w:rPr>
          <w:rStyle w:val="FootnoteAnchor"/>
          <w:rtl w:val="true"/>
        </w:rPr>
        <w:footnoteReference w:id="1251"/>
      </w:r>
      <w:r>
        <w:rPr>
          <w:rFonts w:ascii="Amiri" w:hAnsi="Amiri" w:eastAsia="Amiri" w:cs="Amiri"/>
          <w:color w:val="111111"/>
          <w:sz w:val="28"/>
          <w:sz w:val="28"/>
          <w:szCs w:val="28"/>
          <w:rtl w:val="true"/>
          <w:lang w:bidi="ar-SA"/>
        </w:rPr>
        <w:t xml:space="preserve">من أن يؤدّيها، لأنّه وضع الزكاة في غير موضعها و إنّما موضعها أهل الولاية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بريد بن معاوية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 هو في بعض هذه الأصناف من أهل القبلة ناصب متديّن، ثم منّ اللّٰه عليه فعرف هذا الأمر، يقضي حجّة الإسلام؟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أحبّ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عمله و هو في حال نصبه و ضلالته ثم منّ اللّٰه تعالى عليه و عرّفه الولاية فإنّه</w:t>
      </w:r>
    </w:p>
    <w:p>
      <w:pPr>
        <w:pStyle w:val="BookText"/>
        <w:rPr/>
      </w:pPr>
      <w:r>
        <w:rPr>
          <w:rFonts w:ascii="Amiri" w:hAnsi="Amiri" w:eastAsia="Amiri" w:cs="Amiri"/>
          <w:color w:val="111111"/>
          <w:sz w:val="28"/>
          <w:sz w:val="28"/>
          <w:szCs w:val="28"/>
          <w:rtl w:val="true"/>
          <w:lang w:bidi="ar-SA"/>
        </w:rPr>
        <w:t xml:space="preserve">يؤجر عليه إلّا الزكاة فإنّه يعيد </w:t>
      </w:r>
      <w:r>
        <w:rPr>
          <w:rStyle w:val="FootnoteAnchor"/>
          <w:rtl w:val="true"/>
        </w:rPr>
        <w:footnoteReference w:id="1253"/>
      </w:r>
      <w:r>
        <w:rPr>
          <w:rFonts w:ascii="Amiri" w:hAnsi="Amiri" w:eastAsia="Amiri" w:cs="Amiri"/>
          <w:color w:val="111111"/>
          <w:sz w:val="28"/>
          <w:sz w:val="28"/>
          <w:szCs w:val="28"/>
          <w:rtl w:val="true"/>
          <w:lang w:bidi="ar-SA"/>
        </w:rPr>
        <w:t xml:space="preserve">لأنّه وضعها في غير موضعها </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لأهل الولاية</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و أمّا الصلاة و الحج و الصيام فليس عليه القضاء</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سقوط القضاء بالإغماء فهو مذهب الشيخ في النهاية </w:t>
      </w:r>
      <w:r>
        <w:rPr>
          <w:rStyle w:val="FootnoteAnchor"/>
          <w:rtl w:val="true"/>
        </w:rPr>
        <w:footnoteReference w:id="1257"/>
      </w:r>
      <w:r>
        <w:rPr>
          <w:rFonts w:ascii="IRNazanin" w:hAnsi="IRNazanin" w:eastAsia="IRNazanin"/>
          <w:color w:val="111111"/>
          <w:sz w:val="28"/>
          <w:sz w:val="28"/>
          <w:szCs w:val="28"/>
          <w:rtl w:val="true"/>
          <w:lang w:bidi="fa-IR"/>
        </w:rPr>
        <w:t xml:space="preserve">و المبسوط </w:t>
      </w:r>
      <w:r>
        <w:rPr>
          <w:rStyle w:val="FootnoteAnchor"/>
          <w:rtl w:val="true"/>
        </w:rPr>
        <w:footnoteReference w:id="1258"/>
      </w:r>
      <w:r>
        <w:rPr>
          <w:rFonts w:ascii="Amiri" w:hAnsi="Amiri" w:eastAsia="Amiri" w:cs="Amiri"/>
          <w:color w:val="111111"/>
          <w:sz w:val="28"/>
          <w:sz w:val="28"/>
          <w:szCs w:val="28"/>
          <w:rtl w:val="true"/>
          <w:lang w:bidi="ar-SA"/>
        </w:rPr>
        <w:t xml:space="preserve">و ابن إدريس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w:t>
      </w:r>
      <w:r>
        <w:rPr>
          <w:rStyle w:val="FootnoteAnchor"/>
          <w:rtl w:val="true"/>
        </w:rPr>
        <w:footnoteReference w:id="1260"/>
      </w:r>
      <w:r>
        <w:rPr>
          <w:rFonts w:ascii="Amiri" w:hAnsi="Amiri" w:eastAsia="Amiri" w:cs="Amiri"/>
          <w:color w:val="111111"/>
          <w:sz w:val="28"/>
          <w:sz w:val="28"/>
          <w:szCs w:val="28"/>
          <w:rtl w:val="true"/>
          <w:lang w:bidi="ar-SA"/>
        </w:rPr>
        <w:t xml:space="preserve">و المصنّف </w:t>
      </w:r>
      <w:r>
        <w:rPr>
          <w:rStyle w:val="FootnoteAnchor"/>
          <w:rtl w:val="true"/>
        </w:rPr>
        <w:footnoteReference w:id="1261"/>
      </w:r>
      <w:r>
        <w:rPr>
          <w:rFonts w:ascii="Amiri" w:hAnsi="Amiri" w:eastAsia="Amiri" w:cs="Amiri"/>
          <w:color w:val="111111"/>
          <w:sz w:val="28"/>
          <w:sz w:val="28"/>
          <w:szCs w:val="28"/>
          <w:rtl w:val="true"/>
          <w:lang w:bidi="ar-SA"/>
        </w:rPr>
        <w:t>و حكي عن عامّة المتأخّرين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Style w:val="FootnoteAnchor"/>
          <w:rtl w:val="true"/>
        </w:rPr>
        <w:footnoteReference w:id="1262"/>
      </w:r>
      <w:r>
        <w:rPr>
          <w:rFonts w:ascii="Amiri" w:hAnsi="Amiri" w:eastAsia="Amiri" w:cs="Amiri"/>
          <w:color w:val="111111"/>
          <w:sz w:val="28"/>
          <w:sz w:val="28"/>
          <w:szCs w:val="28"/>
          <w:rtl w:val="true"/>
          <w:lang w:bidi="ar-SA"/>
        </w:rPr>
        <w:t>لم ينو قبله و زاد المصنّف في التعميم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عولج بالمفطر و مستندهم رواية أيّوب </w:t>
      </w:r>
      <w:r>
        <w:rPr>
          <w:rStyle w:val="FootnoteAnchor"/>
          <w:rtl w:val="true"/>
        </w:rPr>
        <w:footnoteReference w:id="1263"/>
      </w:r>
      <w:r>
        <w:rPr>
          <w:rFonts w:ascii="Amiri" w:hAnsi="Amiri" w:eastAsia="Amiri" w:cs="Amiri"/>
          <w:color w:val="111111"/>
          <w:sz w:val="28"/>
          <w:sz w:val="28"/>
          <w:szCs w:val="28"/>
          <w:rtl w:val="true"/>
          <w:lang w:bidi="ar-SA"/>
        </w:rPr>
        <w:t>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الثالث عليه السلام أسأله عن المغمى عليه يوما أو أكثر هل يقضي ما فاته أم لا؟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يقضي الصوم و لا يقضي الصلاة</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المغمى عليه يوما أو أكثر هل يقضي ما فاته من الصلاة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 لا يقضي الصلاة</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المشايخ الثلاثة </w:t>
      </w:r>
      <w:r>
        <w:rPr>
          <w:rStyle w:val="FootnoteAnchor"/>
          <w:rtl w:val="true"/>
        </w:rPr>
        <w:footnoteReference w:id="1266"/>
      </w:r>
      <w:r>
        <w:rPr>
          <w:rFonts w:ascii="IRNazanin" w:hAnsi="IRNazanin" w:eastAsia="IRNazanin"/>
          <w:color w:val="111111"/>
          <w:sz w:val="28"/>
          <w:sz w:val="28"/>
          <w:szCs w:val="28"/>
          <w:rtl w:val="true"/>
          <w:lang w:bidi="fa-IR"/>
        </w:rPr>
        <w:t xml:space="preserve">فقالوا بوجوب القضاء إن </w:t>
      </w:r>
      <w:r>
        <w:rPr>
          <w:rStyle w:val="FootnoteAnchor"/>
          <w:rtl w:val="true"/>
        </w:rPr>
        <w:footnoteReference w:id="1267"/>
      </w:r>
      <w:r>
        <w:rPr>
          <w:rFonts w:ascii="Amiri" w:hAnsi="Amiri" w:eastAsia="Amiri" w:cs="Amiri"/>
          <w:color w:val="111111"/>
          <w:sz w:val="28"/>
          <w:sz w:val="28"/>
          <w:szCs w:val="28"/>
          <w:rtl w:val="true"/>
          <w:lang w:bidi="ar-SA"/>
        </w:rPr>
        <w:t>لم يسبق منه النية،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للقائلين بالوجوب على حجّة يعتدّ بها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دليل دالّ </w:t>
      </w:r>
      <w:r>
        <w:rPr>
          <w:rStyle w:val="FootnoteAnchor"/>
          <w:rtl w:val="true"/>
        </w:rPr>
        <w:footnoteReference w:id="1269"/>
      </w:r>
      <w:r>
        <w:rPr>
          <w:rFonts w:ascii="Amiri" w:hAnsi="Amiri" w:eastAsia="Amiri" w:cs="Amiri"/>
          <w:color w:val="111111"/>
          <w:sz w:val="28"/>
          <w:sz w:val="28"/>
          <w:szCs w:val="28"/>
          <w:rtl w:val="true"/>
          <w:lang w:bidi="ar-SA"/>
        </w:rPr>
        <w:t xml:space="preserve">على وجوب القضاء بفوت الصوم كما ادّعاه هذا المحقّق في مواضع </w:t>
      </w:r>
      <w:r>
        <w:rPr>
          <w:rStyle w:val="FootnoteAnchor"/>
          <w:rtl w:val="true"/>
        </w:rPr>
        <w:footnoteReference w:id="1270"/>
      </w:r>
      <w:r>
        <w:rPr>
          <w:rFonts w:ascii="Amiri" w:hAnsi="Amiri" w:eastAsia="Amiri" w:cs="Amiri"/>
          <w:color w:val="111111"/>
          <w:sz w:val="28"/>
          <w:sz w:val="28"/>
          <w:szCs w:val="28"/>
          <w:rtl w:val="true"/>
          <w:lang w:bidi="ar-SA"/>
        </w:rPr>
        <w:t xml:space="preserve">فلعلّه هو دليلهم </w:t>
      </w:r>
      <w:r>
        <w:rPr>
          <w:rStyle w:val="FootnoteAnchor"/>
          <w:rtl w:val="true"/>
        </w:rPr>
        <w:footnoteReference w:id="1271"/>
      </w:r>
      <w:r>
        <w:rPr>
          <w:rFonts w:ascii="Amiri" w:hAnsi="Amiri" w:eastAsia="Amiri" w:cs="Amiri"/>
          <w:color w:val="111111"/>
          <w:sz w:val="28"/>
          <w:sz w:val="28"/>
          <w:szCs w:val="28"/>
          <w:rtl w:val="true"/>
          <w:lang w:bidi="ar-SA"/>
        </w:rPr>
        <w:t>نظرا إلى فساد الصوم بعدم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النائم إذا لم يسبق منه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يوجد في الإغماء دليل على وجوب القضاء كذا في النوم، و لو دلّ العموم </w:t>
      </w:r>
      <w:r>
        <w:rPr>
          <w:rStyle w:val="FootnoteAnchor"/>
          <w:rtl w:val="true"/>
        </w:rPr>
        <w:footnoteReference w:id="1272"/>
      </w:r>
      <w:r>
        <w:rPr>
          <w:rFonts w:ascii="Amiri" w:hAnsi="Amiri" w:eastAsia="Amiri" w:cs="Amiri"/>
          <w:color w:val="111111"/>
          <w:sz w:val="28"/>
          <w:sz w:val="28"/>
          <w:szCs w:val="28"/>
          <w:rtl w:val="true"/>
          <w:lang w:bidi="ar-SA"/>
        </w:rPr>
        <w:t xml:space="preserve">المدّعى </w:t>
      </w:r>
      <w:r>
        <w:rPr>
          <w:rStyle w:val="FootnoteAnchor"/>
          <w:rtl w:val="true"/>
        </w:rPr>
        <w:footnoteReference w:id="1273"/>
      </w:r>
      <w:r>
        <w:rPr>
          <w:rFonts w:ascii="Amiri" w:hAnsi="Amiri" w:eastAsia="Amiri" w:cs="Amiri"/>
          <w:color w:val="111111"/>
          <w:sz w:val="28"/>
          <w:sz w:val="28"/>
          <w:szCs w:val="28"/>
          <w:rtl w:val="true"/>
          <w:lang w:bidi="ar-SA"/>
        </w:rPr>
        <w:t>على وجوب القضاء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القضاء في الإغماء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النوم و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و سيجي‌ء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اللّٰهمّ إلّا أن يفرّق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الجواب عن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بتخصيصه بالروايتين </w:t>
      </w:r>
      <w:r>
        <w:rPr>
          <w:rStyle w:val="FootnoteAnchor"/>
          <w:rtl w:val="true"/>
        </w:rPr>
        <w:footnoteReference w:id="1275"/>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فالقول بالوجوب ضعيف كضعف ما احتجّ به لهم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الإغماء مرض فيدخل في عموم ما دلّ على ثبوت القضاء إذا فات الصوم بالمرض، و من أنّه يجب عليه قضاء الصلاة فكذا الصوم، لعدم القول بالفرق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المرض عليه أو عدم انصرافه إليه، و على فرض تسليمهما فعمومات وجوب القضاء بسبب المرض مخصّصة بالروايتين، لأنّهما خاصّتان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الحكم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وجوب قضائها لعلّه محمول على الاستحباب بقرينة الروايتين المصرّحتين بعدم وجوب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ادّعي من عدم القول بالفرق غايته أن يكون بالنسبة إلينا إجماعا مركبا منقولا لا يعارض الروايتين مع اشتهار مضمونهما سيّما بين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77"/>
      </w:r>
      <w:r>
        <w:rPr>
          <w:rFonts w:ascii="Amiri" w:hAnsi="Amiri" w:eastAsia="Amiri" w:cs="Amiri"/>
          <w:color w:val="111111"/>
          <w:sz w:val="28"/>
          <w:sz w:val="28"/>
          <w:szCs w:val="28"/>
          <w:rtl w:val="true"/>
          <w:lang w:bidi="ar-SA"/>
        </w:rPr>
        <w:t>تسليم تعارض ما ذكر من الدليل مع الروايتين و تساقطهما و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على فرض وجود عموم دالّ على وجوب قضاء ما فات، فتأمّل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ذكره المصنّف من التعميم لصورة المعالجة بالمفطر كذلك، و لا يتوهّم وجوب القضاء حينئذ </w:t>
      </w:r>
      <w:r>
        <w:rPr>
          <w:rStyle w:val="FootnoteAnchor"/>
          <w:rtl w:val="true"/>
        </w:rPr>
        <w:footnoteReference w:id="1278"/>
      </w:r>
      <w:r>
        <w:rPr>
          <w:rFonts w:ascii="Amiri" w:hAnsi="Amiri" w:eastAsia="Amiri" w:cs="Amiri"/>
          <w:color w:val="111111"/>
          <w:sz w:val="28"/>
          <w:sz w:val="28"/>
          <w:szCs w:val="28"/>
          <w:rtl w:val="true"/>
          <w:lang w:bidi="ar-SA"/>
        </w:rPr>
        <w:t xml:space="preserve">للأدلّة الدالّة على كون هذا الشي‌ء مفطرا و موجبا للقضاء لأنّ مورد تلك الأدلّة حال </w:t>
      </w:r>
      <w:r>
        <w:rPr>
          <w:rStyle w:val="FootnoteAnchor"/>
          <w:rtl w:val="true"/>
        </w:rPr>
        <w:footnoteReference w:id="1279"/>
      </w:r>
      <w:r>
        <w:rPr>
          <w:rFonts w:ascii="Amiri" w:hAnsi="Amiri" w:eastAsia="Amiri" w:cs="Amiri"/>
          <w:color w:val="111111"/>
          <w:sz w:val="28"/>
          <w:sz w:val="28"/>
          <w:szCs w:val="28"/>
          <w:rtl w:val="true"/>
          <w:lang w:bidi="ar-SA"/>
        </w:rPr>
        <w:t>التكليف، و لذا لا توجب شيئا على</w:t>
      </w:r>
    </w:p>
    <w:p>
      <w:pPr>
        <w:pStyle w:val="BookText"/>
        <w:rPr/>
      </w:pPr>
      <w:r>
        <w:rPr>
          <w:rFonts w:ascii="Amiri" w:hAnsi="Amiri" w:eastAsia="Amiri" w:cs="Amiri"/>
          <w:color w:val="111111"/>
          <w:sz w:val="28"/>
          <w:sz w:val="28"/>
          <w:szCs w:val="28"/>
          <w:rtl w:val="true"/>
          <w:lang w:bidi="ar-SA"/>
        </w:rPr>
        <w:t>الناسي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التتابع في القضاء لما فيه من المسارعة إلى الخير و لرواية </w:t>
      </w:r>
      <w:r>
        <w:rPr>
          <w:rStyle w:val="FootnoteAnchor"/>
          <w:rtl w:val="true"/>
        </w:rPr>
        <w:footnoteReference w:id="1280"/>
      </w:r>
      <w:r>
        <w:rPr>
          <w:rFonts w:ascii="Amiri" w:hAnsi="Amiri" w:eastAsia="Amiri" w:cs="Amiri"/>
          <w:color w:val="111111"/>
          <w:sz w:val="28"/>
          <w:sz w:val="28"/>
          <w:szCs w:val="28"/>
          <w:rtl w:val="true"/>
          <w:lang w:bidi="ar-SA"/>
        </w:rPr>
        <w:t xml:space="preserve">ابن سنان المتقدّمة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ابن إدريس أنّه حكى عن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يستحبّ التفريق، و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تتابع ستة و تفريق البواقي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ضعيفان، و مستندهما ضعيف بالنسبة إلى أدلّة استحباب التتابع، و لو سلّم التكافؤ فالمرجع بعد التساقط عمومات المسابقة إلى الخير مضافا إلى تأيّده </w:t>
      </w:r>
      <w:r>
        <w:rPr>
          <w:rStyle w:val="FootnoteAnchor"/>
          <w:rtl w:val="true"/>
        </w:rPr>
        <w:footnoteReference w:id="1283"/>
      </w: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الظاهر عدم كون وجوب القضاء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إطلاقات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رواية الحلبي المتقدّمة </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 في أيّ الشهور شاء، أيّاما 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رواية ابن سنان المتقدّمة </w:t>
      </w:r>
      <w:r>
        <w:rPr>
          <w:rStyle w:val="FootnoteAnchor"/>
          <w:rtl w:val="true"/>
        </w:rPr>
        <w:footnoteReference w:id="1285"/>
      </w:r>
      <w:r>
        <w:rPr>
          <w:rFonts w:ascii="Amiri" w:hAnsi="Amiri" w:eastAsia="Amiri" w:cs="Amiri"/>
          <w:color w:val="111111"/>
          <w:sz w:val="28"/>
          <w:sz w:val="28"/>
          <w:szCs w:val="28"/>
          <w:rtl w:val="true"/>
          <w:lang w:bidi="ar-SA"/>
        </w:rPr>
        <w:t xml:space="preserve">حيث دلت على جواز التفريق المنافي لوجوب المبادرة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بن البختري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نساء النبي صلّى اللّٰه عليه و آله و سلم إذا كان عليهن صيام أخّرن ذلك إلى شعبان كراهة أن يمنعن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أبي الصلاح </w:t>
      </w:r>
      <w:r>
        <w:rPr>
          <w:rStyle w:val="FootnoteAnchor"/>
          <w:rtl w:val="true"/>
        </w:rPr>
        <w:footnoteReference w:id="1288"/>
      </w:r>
      <w:r>
        <w:rPr>
          <w:rFonts w:ascii="Amiri" w:hAnsi="Amiri" w:eastAsia="Amiri" w:cs="Amiri"/>
          <w:color w:val="111111"/>
          <w:sz w:val="28"/>
          <w:sz w:val="28"/>
          <w:szCs w:val="28"/>
          <w:rtl w:val="true"/>
          <w:lang w:bidi="ar-SA"/>
        </w:rPr>
        <w:t xml:space="preserve">و هو ضعيف غير واضح المستند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المصنّف رحمه اللّٰه اكتفى عن الحكم بعدم وجوب الفورية بالحكم باستحباب التتابع</w:t>
      </w:r>
      <w:r>
        <w:rPr>
          <w:rFonts w:eastAsia="Amiri" w:cs="Amiri" w:ascii="Amiri" w:hAnsi="Amiri"/>
          <w:color w:val="111111"/>
          <w:sz w:val="28"/>
          <w:szCs w:val="28"/>
          <w:rtl w:val="true"/>
          <w:lang w:bidi="ar-SA"/>
        </w:rPr>
        <w:t>.</w:t>
      </w:r>
      <w:bookmarkStart w:id="165" w:name="pg19900_214684"/>
    </w:p>
    <w:p>
      <w:pPr>
        <w:pStyle w:val="Heading2"/>
        <w:numPr>
          <w:ilvl w:val="1"/>
          <w:numId w:val="1"/>
        </w:numPr>
        <w:rPr/>
      </w:pPr>
      <w:bookmarkStart w:id="166" w:name="__RefHeading___Toc2061728_2314609296"/>
      <w:bookmarkStart w:id="167" w:name="_Toc63"/>
      <w:bookmarkEnd w:id="165"/>
      <w:bookmarkEnd w:id="166"/>
      <w:r>
        <w:rPr>
          <w:rtl w:val="true"/>
        </w:rPr>
        <w:t xml:space="preserve">مسائل متفرّقة </w:t>
      </w:r>
      <w:r>
        <w:rPr>
          <w:rtl w:val="true"/>
        </w:rPr>
        <w:t>[</w:t>
      </w:r>
      <w:r>
        <w:rPr>
          <w:rtl w:val="true"/>
        </w:rPr>
        <w:t>من كتاب الصوم</w:t>
      </w:r>
      <w:r>
        <w:rPr>
          <w:rtl w:val="true"/>
        </w:rPr>
        <w:t>]</w:t>
      </w:r>
      <w:bookmarkEnd w:id="1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061730_2314609296"/>
      <w:bookmarkStart w:id="169" w:name="_Toc64"/>
      <w:bookmarkEnd w:id="168"/>
      <w:r>
        <w:rPr>
          <w:rtl w:val="true"/>
        </w:rPr>
        <w:t>اشارة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عناوين هذه المسائل قد ذكرها العلّامة قدّس سرّه في كتاب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عناوين بعض هذه المسائل و تكرار البحث عنها ببيانين مختلفين كالمسألة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المسائل وردت 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أثبتناه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ورد بعضها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الآخر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ترتيب المسائل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بنظرنا فقد انتهجنا نهجها في ترتيب هذه المسائل و إليك عناوين هذه المسائل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الصبي الاحتلام أو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الصبي في نهار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لمن عليه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فاته الصيام 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الفور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شهر رمضان فمات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الإفطار في قضاء رمضان قبل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صوم الصبيّ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آفاق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صوم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الحامل المقرب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الشيخ و الشيخة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 شهر رمضان فمات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استمر به المرض الى رمضان القابل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برء المريض بعد خروج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الرّجل و عليه 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الإفطار قبل الزوال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صوم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من استغرق نومه مجموع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صوم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bookmarkStart w:id="170" w:name="pg19900_214688"/>
    </w:p>
    <w:p>
      <w:pPr>
        <w:pStyle w:val="Heading3"/>
        <w:numPr>
          <w:ilvl w:val="2"/>
          <w:numId w:val="1"/>
        </w:numPr>
        <w:rPr/>
      </w:pPr>
      <w:bookmarkStart w:id="171" w:name="__RefHeading___Toc2061732_2314609296"/>
      <w:bookmarkStart w:id="172" w:name="_Toc65"/>
      <w:bookmarkEnd w:id="170"/>
      <w:bookmarkEnd w:id="171"/>
      <w:r>
        <w:rPr>
          <w:rtl w:val="true"/>
        </w:rPr>
        <w:t xml:space="preserve">مسألة </w:t>
      </w:r>
      <w:r>
        <w:rPr>
          <w:rtl w:val="true"/>
        </w:rPr>
        <w:t>[</w:t>
      </w:r>
      <w:r>
        <w:rPr/>
        <w:t>1</w:t>
      </w:r>
      <w:r>
        <w:rPr>
          <w:rtl w:val="true"/>
        </w:rPr>
        <w:t xml:space="preserve">] </w:t>
      </w:r>
      <w:r>
        <w:rPr>
          <w:rtl w:val="true"/>
        </w:rPr>
        <w:t>يعلم البلوغ بالسن و خروج المني و انبات الشعر الخشن على العانة</w:t>
      </w:r>
      <w:r>
        <w:rPr>
          <w:rtl w:val="true"/>
        </w:rPr>
        <w:t>.</w:t>
      </w:r>
      <w:bookmarkEnd w:id="172"/>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2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البلوغ بالسن و خروج المني و انبات الشعر الخشن على العانة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 فهو في الذكر خمس عشرة سنة على المشهور كما عن جماعة بل عن الخلاف </w:t>
      </w:r>
      <w:r>
        <w:rPr>
          <w:rStyle w:val="FootnoteAnchor"/>
          <w:rtl w:val="true"/>
        </w:rPr>
        <w:footnoteReference w:id="1292"/>
      </w:r>
      <w:r>
        <w:rPr>
          <w:rFonts w:ascii="Amiri" w:hAnsi="Amiri" w:eastAsia="Amiri" w:cs="Amiri"/>
          <w:color w:val="111111"/>
          <w:sz w:val="28"/>
          <w:sz w:val="28"/>
          <w:szCs w:val="28"/>
          <w:rtl w:val="true"/>
          <w:lang w:bidi="ar-SA"/>
        </w:rPr>
        <w:t xml:space="preserve">و الغنية </w:t>
      </w:r>
      <w:r>
        <w:rPr>
          <w:rStyle w:val="FootnoteAnchor"/>
          <w:rtl w:val="true"/>
        </w:rPr>
        <w:footnoteReference w:id="129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السرائر </w:t>
      </w:r>
      <w:r>
        <w:rPr>
          <w:rStyle w:val="FootnoteAnchor"/>
          <w:rtl w:val="true"/>
        </w:rPr>
        <w:footnoteReference w:id="1294"/>
      </w:r>
      <w:r>
        <w:rPr>
          <w:rFonts w:ascii="Amiri" w:hAnsi="Amiri" w:eastAsia="Amiri" w:cs="Amiri"/>
          <w:color w:val="111111"/>
          <w:sz w:val="28"/>
          <w:sz w:val="28"/>
          <w:szCs w:val="28"/>
          <w:rtl w:val="true"/>
          <w:lang w:bidi="ar-SA"/>
        </w:rPr>
        <w:t xml:space="preserve">في باب النوادر عن كتاب القضاء، و ظاهر التذكرة في كتاب الحجر </w:t>
      </w:r>
      <w:r>
        <w:rPr>
          <w:rStyle w:val="FootnoteAnchor"/>
          <w:rtl w:val="true"/>
        </w:rPr>
        <w:footnoteReference w:id="1295"/>
      </w:r>
      <w:r>
        <w:rPr>
          <w:rFonts w:ascii="Amiri" w:hAnsi="Amiri" w:eastAsia="Amiri" w:cs="Amiri"/>
          <w:color w:val="111111"/>
          <w:sz w:val="28"/>
          <w:sz w:val="28"/>
          <w:szCs w:val="28"/>
          <w:rtl w:val="true"/>
          <w:lang w:bidi="ar-SA"/>
        </w:rPr>
        <w:t xml:space="preserve">، و ظاهر كنز العرفان </w:t>
      </w:r>
      <w:r>
        <w:rPr>
          <w:rStyle w:val="FootnoteAnchor"/>
          <w:rtl w:val="true"/>
        </w:rPr>
        <w:footnoteReference w:id="1296"/>
      </w:r>
      <w:r>
        <w:rPr>
          <w:rFonts w:ascii="Amiri" w:hAnsi="Amiri" w:eastAsia="Amiri" w:cs="Amiri"/>
          <w:color w:val="111111"/>
          <w:sz w:val="28"/>
          <w:sz w:val="28"/>
          <w:szCs w:val="28"/>
          <w:rtl w:val="true"/>
          <w:lang w:bidi="ar-SA"/>
        </w:rPr>
        <w:t xml:space="preserve">و آيات الأحكام </w:t>
      </w:r>
      <w:r>
        <w:rPr>
          <w:rStyle w:val="FootnoteAnchor"/>
          <w:rtl w:val="true"/>
        </w:rPr>
        <w:footnoteReference w:id="1297"/>
      </w:r>
      <w:r>
        <w:rPr>
          <w:rFonts w:ascii="Amiri" w:hAnsi="Amiri" w:eastAsia="Amiri" w:cs="Amiri"/>
          <w:color w:val="111111"/>
          <w:sz w:val="28"/>
          <w:sz w:val="28"/>
          <w:szCs w:val="28"/>
          <w:rtl w:val="true"/>
          <w:lang w:bidi="ar-SA"/>
        </w:rPr>
        <w:t xml:space="preserve">للأردبيلي، و ظاهر مجمع البيان </w:t>
      </w:r>
      <w:r>
        <w:rPr>
          <w:rStyle w:val="FootnoteAnchor"/>
          <w:rtl w:val="true"/>
        </w:rPr>
        <w:footnoteReference w:id="1298"/>
      </w:r>
      <w:r>
        <w:rPr>
          <w:rFonts w:ascii="Amiri" w:hAnsi="Amiri" w:eastAsia="Amiri" w:cs="Amiri"/>
          <w:color w:val="111111"/>
          <w:sz w:val="28"/>
          <w:sz w:val="28"/>
          <w:szCs w:val="28"/>
          <w:rtl w:val="true"/>
          <w:lang w:bidi="ar-SA"/>
        </w:rPr>
        <w:t>، و كشف</w:t>
      </w:r>
    </w:p>
    <w:p>
      <w:pPr>
        <w:pStyle w:val="BookText"/>
        <w:rPr/>
      </w:pPr>
      <w:r>
        <w:rPr>
          <w:rFonts w:ascii="IRNazanin" w:hAnsi="IRNazanin" w:eastAsia="IRNazanin"/>
          <w:color w:val="111111"/>
          <w:sz w:val="28"/>
          <w:sz w:val="28"/>
          <w:szCs w:val="28"/>
          <w:rtl w:val="true"/>
          <w:lang w:bidi="fa-IR"/>
        </w:rPr>
        <w:t xml:space="preserve">الرموز </w:t>
      </w:r>
      <w:r>
        <w:rPr>
          <w:rStyle w:val="FootnoteAnchor"/>
          <w:rtl w:val="true"/>
        </w:rPr>
        <w:footnoteReference w:id="1299"/>
      </w:r>
      <w:r>
        <w:rPr>
          <w:rFonts w:ascii="IRNazanin" w:hAnsi="IRNazanin" w:eastAsia="IRNazanin"/>
          <w:color w:val="111111"/>
          <w:sz w:val="28"/>
          <w:sz w:val="28"/>
          <w:szCs w:val="28"/>
          <w:rtl w:val="true"/>
          <w:lang w:bidi="fa-IR"/>
        </w:rPr>
        <w:t>، و عن المقتصر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جمهور الأصحاب </w:t>
      </w:r>
      <w:r>
        <w:rPr>
          <w:rStyle w:val="FootnoteAnchor"/>
          <w:rtl w:val="true"/>
        </w:rPr>
        <w:footnoteReference w:id="1300"/>
      </w:r>
      <w:r>
        <w:rPr>
          <w:rFonts w:ascii="Amiri" w:hAnsi="Amiri" w:eastAsia="Amiri" w:cs="Amiri"/>
          <w:color w:val="111111"/>
          <w:sz w:val="28"/>
          <w:sz w:val="28"/>
          <w:szCs w:val="28"/>
          <w:rtl w:val="true"/>
          <w:lang w:bidi="ar-SA"/>
        </w:rPr>
        <w:t>، و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الأصول الكثيرة، و عموم ما دلّ من الكتاب </w:t>
      </w:r>
      <w:r>
        <w:rPr>
          <w:rStyle w:val="FootnoteAnchor"/>
          <w:rtl w:val="true"/>
        </w:rPr>
        <w:footnoteReference w:id="1302"/>
      </w:r>
      <w:r>
        <w:rPr>
          <w:rFonts w:ascii="Amiri" w:hAnsi="Amiri" w:eastAsia="Amiri" w:cs="Amiri"/>
          <w:color w:val="111111"/>
          <w:sz w:val="28"/>
          <w:sz w:val="28"/>
          <w:szCs w:val="28"/>
          <w:rtl w:val="true"/>
          <w:lang w:bidi="ar-SA"/>
        </w:rPr>
        <w:t xml:space="preserve">و السنّة </w:t>
      </w:r>
      <w:r>
        <w:rPr>
          <w:rStyle w:val="FootnoteAnchor"/>
          <w:rtl w:val="true"/>
        </w:rPr>
        <w:footnoteReference w:id="1303"/>
      </w:r>
      <w:r>
        <w:rPr>
          <w:rFonts w:ascii="Amiri" w:hAnsi="Amiri" w:eastAsia="Amiri" w:cs="Amiri"/>
          <w:color w:val="111111"/>
          <w:sz w:val="28"/>
          <w:sz w:val="28"/>
          <w:szCs w:val="28"/>
          <w:rtl w:val="true"/>
          <w:lang w:bidi="ar-SA"/>
        </w:rPr>
        <w:t>على عدم انقطاع الصبا إلى أن يحتلم، خرج من أكمل الخمس عشرة،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استكمل المولود خمس عشرة سنة، كتب ما له و ما عليه، و أخذت منه الحدود</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مستطرفات السرائر، عن كتاب المشيخة لابن محبوب، عن حمزة بن 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الغلام لا يجوز أمره في الشراء و البيع، و لا يخرج من اليتم حتّى يبلغ خمس عشرة سنة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يحتلم</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حسنة يزيد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إذا زوّجه أبوه و لم يدرك، كان له الخيار </w:t>
      </w:r>
      <w:r>
        <w:rPr>
          <w:rStyle w:val="FootnoteAnchor"/>
          <w:rtl w:val="true"/>
        </w:rPr>
        <w:footnoteReference w:id="1308"/>
      </w:r>
      <w:r>
        <w:rPr>
          <w:rFonts w:ascii="Amiri" w:hAnsi="Amiri" w:eastAsia="Amiri" w:cs="Amiri"/>
          <w:color w:val="111111"/>
          <w:sz w:val="28"/>
          <w:sz w:val="28"/>
          <w:szCs w:val="28"/>
          <w:rtl w:val="true"/>
          <w:lang w:bidi="ar-SA"/>
        </w:rPr>
        <w:t>إذا أدرك و بلغ خمس عشرة سنة أو يشعر في وجهه أو ينبت في عانته قبل ذلك</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و ما تقدّم من الشهرة المحقّقة و حكاية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ما في</w:t>
      </w:r>
    </w:p>
    <w:p>
      <w:pPr>
        <w:pStyle w:val="BookText"/>
        <w:rPr/>
      </w:pPr>
      <w:r>
        <w:rPr>
          <w:rFonts w:ascii="Amiri" w:hAnsi="Amiri" w:eastAsia="Amiri" w:cs="Amiri"/>
          <w:color w:val="111111"/>
          <w:sz w:val="28"/>
          <w:sz w:val="28"/>
          <w:szCs w:val="28"/>
          <w:rtl w:val="true"/>
          <w:lang w:bidi="ar-SA"/>
        </w:rPr>
        <w:t>هذه الروايات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الصدوق رحمه اللّٰه في باب انقطاع يتم اليتيم </w:t>
      </w:r>
      <w:r>
        <w:rPr>
          <w:rStyle w:val="FootnoteAnchor"/>
          <w:rtl w:val="true"/>
        </w:rPr>
        <w:footnoteReference w:id="1310"/>
      </w:r>
      <w:r>
        <w:rPr>
          <w:rFonts w:ascii="Amiri" w:hAnsi="Amiri" w:eastAsia="Amiri" w:cs="Amiri"/>
          <w:color w:val="111111"/>
          <w:sz w:val="28"/>
          <w:sz w:val="28"/>
          <w:szCs w:val="28"/>
          <w:rtl w:val="true"/>
          <w:lang w:bidi="ar-SA"/>
        </w:rPr>
        <w:t xml:space="preserve">، و عن الكفاية </w:t>
      </w:r>
      <w:r>
        <w:rPr>
          <w:rStyle w:val="FootnoteAnchor"/>
          <w:rtl w:val="true"/>
        </w:rPr>
        <w:footnoteReference w:id="1311"/>
      </w:r>
      <w:r>
        <w:rPr>
          <w:rFonts w:ascii="Amiri" w:hAnsi="Amiri" w:eastAsia="Amiri" w:cs="Amiri"/>
          <w:color w:val="111111"/>
          <w:sz w:val="28"/>
          <w:sz w:val="28"/>
          <w:szCs w:val="28"/>
          <w:rtl w:val="true"/>
          <w:lang w:bidi="ar-SA"/>
        </w:rPr>
        <w:t xml:space="preserve">و المفاتيح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الذكر إكمال الثالث عشر و الدخول في الرابع عشر، و يحكى نسبته إلى الشيخ في كتابي الأخبار </w:t>
      </w:r>
      <w:r>
        <w:rPr>
          <w:rStyle w:val="FootnoteAnchor"/>
          <w:rtl w:val="true"/>
        </w:rPr>
        <w:footnoteReference w:id="1313"/>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المقدّس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تقويته </w:t>
      </w:r>
      <w:r>
        <w:rPr>
          <w:rStyle w:val="FootnoteAnchor"/>
          <w:rtl w:val="true"/>
        </w:rPr>
        <w:footnoteReference w:id="1315"/>
      </w:r>
      <w:r>
        <w:rPr>
          <w:rFonts w:ascii="Amiri" w:hAnsi="Amiri" w:eastAsia="Amiri" w:cs="Amiri"/>
          <w:color w:val="111111"/>
          <w:sz w:val="28"/>
          <w:sz w:val="28"/>
          <w:szCs w:val="28"/>
          <w:rtl w:val="true"/>
          <w:lang w:bidi="ar-SA"/>
        </w:rPr>
        <w:t>، لعموم ما دلّ على ثبوت التكاليف الشرعية على كلّ مميّز، خرج منه من دون الثلاث عشرة، و للروايات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سنان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تصحيحها، و عن آخر تحسينها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أشدّه ثلاث عشرة سنة، و دخل في الأربع عشرة، وجب عليه ما وجب على المحتلمين، احتلم أو لم يحتلم، و كتبت عليه السيئات، و كتبت له الحسنات، و جاز أمره في كلّ شي‌ء إلا أن يكون ضعيفا أو سفيها</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روايتان أخريان لعبد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كم يجري الأحكام على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سنة و أربع عشرة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يحتلم فإنّ الأحكام تجري عليه</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الغلام متى تجب عليه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عليه ثلاث عشرة سنة، فإن احتلم قبل ذلك فقد وجبت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جرى عليه القلم</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و الجارية مثل ذلك إذا أتى لها ثلاث عشرة سنة، أو حاضت قبل ذلك فقد وجبت عليها الصلاة، و جرى عليها القلم</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أمّا عن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فبتخصيصها بما دلّ بعمومه على اعتبار الاحتلام في ثبوت القلم، مضافا إلى ما ذكر و ما لم يذكر من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روايات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بمنزلة رواية واحدة بطرق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فأحكم ما يقال فيها و في روايتي الثمالي و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أولاهما على الترديد بين الثلاث عشرة و الأربع عشرة أو التخيير بينهما، و الثانية على اتحاد حكم الأنثى و الذكر، و لم يقل بشي‌ء من 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تقاوم أدلّة المشهور، من جهة اعتضادها بالشهرة و حكاية الإجماع مستفيضة، مع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الرجوع إلى العمومات و الأصول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وجوب حمل أخبار المشهور على التقيّة، من جهة موافقتها للمحكيّ عن الشافعي و أحمد و أبي يوسف و محمد بن الحسن و الأوزاعي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عدا الأوزاعي من هؤلاء متأخّر عن زمان الباقر عليه السلام الذي كان يفتي بمرّ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ولده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فلا تتحقّق التقية،</w:t>
      </w:r>
    </w:p>
    <w:p>
      <w:pPr>
        <w:pStyle w:val="BookText"/>
        <w:rPr/>
      </w:pPr>
      <w:r>
        <w:rPr>
          <w:rFonts w:ascii="Amiri" w:hAnsi="Amiri" w:eastAsia="Amiri" w:cs="Amiri"/>
          <w:color w:val="111111"/>
          <w:sz w:val="28"/>
          <w:sz w:val="28"/>
          <w:szCs w:val="28"/>
          <w:rtl w:val="true"/>
          <w:lang w:bidi="ar-SA"/>
        </w:rPr>
        <w:t>و الأوزاعي كان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من يتّقى عنه قضاة الحجاز و العراق، مع أنّ مخالفة جمهور الإمامية لا تتدارك بمخالفة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ضعف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منه ما يحكى عن الإسكافي </w:t>
      </w:r>
      <w:r>
        <w:rPr>
          <w:rStyle w:val="FootnoteAnchor"/>
          <w:rtl w:val="true"/>
        </w:rPr>
        <w:footnoteReference w:id="1322"/>
      </w:r>
      <w:r>
        <w:rPr>
          <w:rFonts w:ascii="Amiri" w:hAnsi="Amiri" w:eastAsia="Amiri" w:cs="Amiri"/>
          <w:color w:val="111111"/>
          <w:sz w:val="28"/>
          <w:sz w:val="28"/>
          <w:szCs w:val="28"/>
          <w:rtl w:val="true"/>
          <w:lang w:bidi="ar-SA"/>
        </w:rPr>
        <w:t>أيضا من حصوله بإكمال الرابعة عشرة، و لم نجد ما يدلّ على مدّعاه إلّا دعوى انصراف أدلّة الخمس عشرة إلى الطعن فيها بإكمال الأربع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له برواية الثمالي المتقدّمة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الترديد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هو إكمال الأربع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هذين ما عن الكفاية </w:t>
      </w:r>
      <w:r>
        <w:rPr>
          <w:rStyle w:val="FootnoteAnchor"/>
          <w:rtl w:val="true"/>
        </w:rPr>
        <w:footnoteReference w:id="1324"/>
      </w:r>
      <w:r>
        <w:rPr>
          <w:rFonts w:ascii="Amiri" w:hAnsi="Amiri" w:eastAsia="Amiri" w:cs="Amiri"/>
          <w:color w:val="111111"/>
          <w:sz w:val="28"/>
          <w:sz w:val="28"/>
          <w:szCs w:val="28"/>
          <w:rtl w:val="true"/>
          <w:lang w:bidi="ar-SA"/>
        </w:rPr>
        <w:t xml:space="preserve">من نسبته إلى بعض القول بتحققه بإكمال العاشر </w:t>
      </w:r>
      <w:r>
        <w:rPr>
          <w:rStyle w:val="FootnoteAnchor"/>
          <w:rtl w:val="true"/>
        </w:rPr>
        <w:footnoteReference w:id="1325"/>
      </w:r>
      <w:r>
        <w:rPr>
          <w:rFonts w:ascii="Amiri" w:hAnsi="Amiri" w:eastAsia="Amiri" w:cs="Amiri"/>
          <w:color w:val="111111"/>
          <w:sz w:val="28"/>
          <w:sz w:val="28"/>
          <w:szCs w:val="28"/>
          <w:rtl w:val="true"/>
          <w:lang w:bidi="ar-SA"/>
        </w:rPr>
        <w:t>، لما دلّ على جواز وصيّته و غيرها، من الصدقة 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مضافا إلى ما ورد في الغلام الزاني بمحصنة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ترجم، لأنّ من نكحها ليس بمدرك</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ما ورد في طلاقه </w:t>
      </w:r>
      <w:r>
        <w:rPr>
          <w:rStyle w:val="FootnoteAnchor"/>
          <w:rtl w:val="true"/>
        </w:rPr>
        <w:footnoteReference w:id="1327"/>
      </w:r>
      <w:r>
        <w:rPr>
          <w:rFonts w:ascii="Amiri" w:hAnsi="Amiri" w:eastAsia="Amiri" w:cs="Amiri"/>
          <w:color w:val="111111"/>
          <w:sz w:val="28"/>
          <w:sz w:val="28"/>
          <w:szCs w:val="28"/>
          <w:rtl w:val="true"/>
          <w:lang w:bidi="ar-SA"/>
        </w:rPr>
        <w:t xml:space="preserve">و حجّه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الأنثى فالأقرب أنّ بلوغها بالسن بإكمال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w:t>
      </w:r>
      <w:r>
        <w:rPr>
          <w:rStyle w:val="FootnoteAnchor"/>
          <w:rtl w:val="true"/>
        </w:rPr>
        <w:footnoteReference w:id="1329"/>
      </w:r>
      <w:r>
        <w:rPr>
          <w:rFonts w:ascii="Amiri" w:hAnsi="Amiri" w:eastAsia="Amiri" w:cs="Amiri"/>
          <w:color w:val="111111"/>
          <w:sz w:val="28"/>
          <w:sz w:val="28"/>
          <w:szCs w:val="28"/>
          <w:rtl w:val="true"/>
          <w:lang w:bidi="ar-SA"/>
        </w:rPr>
        <w:t xml:space="preserve">و الغنية </w:t>
      </w:r>
      <w:r>
        <w:rPr>
          <w:rStyle w:val="FootnoteAnchor"/>
          <w:rtl w:val="true"/>
        </w:rPr>
        <w:footnoteReference w:id="1330"/>
      </w:r>
      <w:r>
        <w:rPr>
          <w:rFonts w:ascii="IRNazanin" w:hAnsi="IRNazanin" w:eastAsia="IRNazanin"/>
          <w:color w:val="111111"/>
          <w:sz w:val="28"/>
          <w:sz w:val="28"/>
          <w:szCs w:val="28"/>
          <w:rtl w:val="true"/>
          <w:lang w:bidi="fa-IR"/>
        </w:rPr>
        <w:t xml:space="preserve">و السرائر </w:t>
      </w:r>
      <w:r>
        <w:rPr>
          <w:rStyle w:val="FootnoteAnchor"/>
          <w:rtl w:val="true"/>
        </w:rPr>
        <w:footnoteReference w:id="1331"/>
      </w:r>
      <w:r>
        <w:rPr>
          <w:rFonts w:ascii="Amiri" w:hAnsi="Amiri" w:eastAsia="Amiri" w:cs="Amiri"/>
          <w:color w:val="111111"/>
          <w:sz w:val="28"/>
          <w:sz w:val="28"/>
          <w:szCs w:val="28"/>
          <w:rtl w:val="true"/>
          <w:lang w:bidi="ar-SA"/>
        </w:rPr>
        <w:t xml:space="preserve">و التذكرة </w:t>
      </w:r>
      <w:r>
        <w:rPr>
          <w:rStyle w:val="FootnoteAnchor"/>
          <w:rtl w:val="true"/>
        </w:rPr>
        <w:footnoteReference w:id="1332"/>
      </w:r>
      <w:r>
        <w:rPr>
          <w:rFonts w:ascii="Amiri" w:hAnsi="Amiri" w:eastAsia="Amiri" w:cs="Amiri"/>
          <w:color w:val="111111"/>
          <w:sz w:val="28"/>
          <w:sz w:val="28"/>
          <w:szCs w:val="28"/>
          <w:rtl w:val="true"/>
          <w:lang w:bidi="ar-SA"/>
        </w:rPr>
        <w:t xml:space="preserve">و الروضة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روايات، و ما تقدّم من رواية عمّار لا قائل به </w:t>
      </w:r>
      <w:r>
        <w:rPr>
          <w:rStyle w:val="FootnoteAnchor"/>
          <w:rtl w:val="true"/>
        </w:rPr>
        <w:footnoteReference w:id="1334"/>
      </w:r>
      <w:r>
        <w:rPr>
          <w:rFonts w:ascii="Amiri" w:hAnsi="Amiri" w:eastAsia="Amiri" w:cs="Amiri"/>
          <w:color w:val="111111"/>
          <w:sz w:val="28"/>
          <w:sz w:val="28"/>
          <w:szCs w:val="28"/>
          <w:rtl w:val="true"/>
          <w:lang w:bidi="ar-SA"/>
        </w:rPr>
        <w:t xml:space="preserve">نعم عن ابن حمزة في باب الخمس من </w:t>
      </w:r>
      <w:r>
        <w:rPr>
          <w:rStyle w:val="FootnoteAnchor"/>
          <w:rtl w:val="true"/>
        </w:rPr>
        <w:footnoteReference w:id="1335"/>
      </w:r>
      <w:r>
        <w:rPr>
          <w:rFonts w:ascii="Amiri" w:hAnsi="Amiri" w:eastAsia="Amiri" w:cs="Amiri"/>
          <w:color w:val="111111"/>
          <w:sz w:val="28"/>
          <w:sz w:val="28"/>
          <w:szCs w:val="28"/>
          <w:rtl w:val="true"/>
          <w:lang w:bidi="ar-SA"/>
        </w:rPr>
        <w:t xml:space="preserve">الوسيلة </w:t>
      </w:r>
      <w:r>
        <w:rPr>
          <w:rStyle w:val="FootnoteAnchor"/>
          <w:rtl w:val="true"/>
        </w:rPr>
        <w:footnoteReference w:id="1336"/>
      </w:r>
      <w:r>
        <w:rPr>
          <w:rFonts w:ascii="Amiri" w:hAnsi="Amiri" w:eastAsia="Amiri" w:cs="Amiri"/>
          <w:color w:val="111111"/>
          <w:sz w:val="28"/>
          <w:sz w:val="28"/>
          <w:szCs w:val="28"/>
          <w:rtl w:val="true"/>
          <w:lang w:bidi="ar-SA"/>
        </w:rPr>
        <w:t xml:space="preserve">و ابن سعيد في صوم الجامع </w:t>
      </w:r>
      <w:r>
        <w:rPr>
          <w:rStyle w:val="FootnoteAnchor"/>
          <w:rtl w:val="true"/>
        </w:rPr>
        <w:footnoteReference w:id="1337"/>
      </w:r>
      <w:r>
        <w:rPr>
          <w:rFonts w:ascii="IRNazanin" w:hAnsi="IRNazanin" w:eastAsia="IRNazanin"/>
          <w:color w:val="111111"/>
          <w:sz w:val="28"/>
          <w:sz w:val="28"/>
          <w:szCs w:val="28"/>
          <w:rtl w:val="true"/>
          <w:lang w:bidi="fa-IR"/>
        </w:rPr>
        <w:t xml:space="preserve">و الحجر منه </w:t>
      </w:r>
      <w:r>
        <w:rPr>
          <w:rStyle w:val="FootnoteAnchor"/>
          <w:rtl w:val="true"/>
        </w:rPr>
        <w:footnoteReference w:id="1338"/>
      </w:r>
      <w:r>
        <w:rPr>
          <w:rFonts w:ascii="Amiri" w:hAnsi="Amiri" w:eastAsia="Amiri" w:cs="Amiri"/>
          <w:color w:val="111111"/>
          <w:sz w:val="28"/>
          <w:sz w:val="28"/>
          <w:szCs w:val="28"/>
          <w:rtl w:val="true"/>
          <w:lang w:bidi="ar-SA"/>
        </w:rPr>
        <w:t xml:space="preserve">أنه عشر سنين، و عن اللمعة </w:t>
      </w:r>
      <w:r>
        <w:rPr>
          <w:rStyle w:val="FootnoteAnchor"/>
          <w:rtl w:val="true"/>
        </w:rPr>
        <w:footnoteReference w:id="1339"/>
      </w:r>
      <w:r>
        <w:rPr>
          <w:rFonts w:ascii="IRNazanin" w:hAnsi="IRNazanin" w:eastAsia="IRNazanin"/>
          <w:color w:val="111111"/>
          <w:sz w:val="28"/>
          <w:sz w:val="28"/>
          <w:szCs w:val="28"/>
          <w:rtl w:val="true"/>
          <w:lang w:bidi="fa-IR"/>
        </w:rPr>
        <w:t xml:space="preserve">نسبته إلى المبسوط </w:t>
      </w:r>
      <w:r>
        <w:rPr>
          <w:rStyle w:val="FootnoteAnchor"/>
          <w:rtl w:val="true"/>
        </w:rPr>
        <w:footnoteReference w:id="1340"/>
      </w:r>
      <w:r>
        <w:rPr>
          <w:rFonts w:ascii="Amiri" w:hAnsi="Amiri" w:eastAsia="Amiri" w:cs="Amiri"/>
          <w:color w:val="111111"/>
          <w:sz w:val="28"/>
          <w:sz w:val="28"/>
          <w:szCs w:val="28"/>
          <w:rtl w:val="true"/>
          <w:lang w:bidi="ar-SA"/>
        </w:rPr>
        <w:t xml:space="preserve">و هذا القول مع احتمال ارادة الدخول في العاشرة منه لم أجد له مستندا عدا رواية غياث بن إبراهيم،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توطأ جارية لأقل من عشر سنين</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يكفي طعن </w:t>
      </w:r>
      <w:r>
        <w:rPr>
          <w:rStyle w:val="FootnoteAnchor"/>
          <w:rtl w:val="true"/>
        </w:rPr>
        <w:footnoteReference w:id="1342"/>
      </w:r>
      <w:r>
        <w:rPr>
          <w:rFonts w:ascii="Amiri" w:hAnsi="Amiri" w:eastAsia="Amiri" w:cs="Amiri"/>
          <w:color w:val="111111"/>
          <w:sz w:val="28"/>
          <w:sz w:val="28"/>
          <w:szCs w:val="28"/>
          <w:rtl w:val="true"/>
          <w:lang w:bidi="ar-SA"/>
        </w:rPr>
        <w:t xml:space="preserve">الذكر في الخامسة عشر، و عن التذكرة </w:t>
      </w:r>
      <w:r>
        <w:rPr>
          <w:rStyle w:val="FootnoteAnchor"/>
          <w:rtl w:val="true"/>
        </w:rPr>
        <w:footnoteReference w:id="1343"/>
      </w:r>
      <w:r>
        <w:rPr>
          <w:rFonts w:ascii="Amiri" w:hAnsi="Amiri" w:eastAsia="Amiri" w:cs="Amiri"/>
          <w:color w:val="111111"/>
          <w:sz w:val="28"/>
          <w:sz w:val="28"/>
          <w:szCs w:val="28"/>
          <w:rtl w:val="true"/>
          <w:lang w:bidi="ar-SA"/>
        </w:rPr>
        <w:t xml:space="preserve">و المسالك </w:t>
      </w:r>
      <w:r>
        <w:rPr>
          <w:rStyle w:val="FootnoteAnchor"/>
          <w:rtl w:val="true"/>
        </w:rPr>
        <w:footnoteReference w:id="1344"/>
      </w:r>
      <w:r>
        <w:rPr>
          <w:rFonts w:ascii="Amiri" w:hAnsi="Amiri" w:eastAsia="Amiri" w:cs="Amiri"/>
          <w:color w:val="111111"/>
          <w:sz w:val="28"/>
          <w:sz w:val="28"/>
          <w:szCs w:val="28"/>
          <w:rtl w:val="true"/>
          <w:lang w:bidi="ar-SA"/>
        </w:rPr>
        <w:t xml:space="preserve">و جامع المقاصد أنّ عليه فتوى الأصحاب </w:t>
      </w:r>
      <w:r>
        <w:rPr>
          <w:rStyle w:val="FootnoteAnchor"/>
          <w:rtl w:val="true"/>
        </w:rPr>
        <w:footnoteReference w:id="1345"/>
      </w:r>
      <w:r>
        <w:rPr>
          <w:rFonts w:ascii="Amiri" w:hAnsi="Amiri" w:eastAsia="Amiri" w:cs="Amiri"/>
          <w:color w:val="111111"/>
          <w:sz w:val="28"/>
          <w:sz w:val="28"/>
          <w:szCs w:val="28"/>
          <w:rtl w:val="true"/>
          <w:lang w:bidi="ar-SA"/>
        </w:rPr>
        <w:t xml:space="preserve">و هو صريح النبويّ المتقدّم </w:t>
      </w:r>
      <w:r>
        <w:rPr>
          <w:rStyle w:val="FootnoteAnchor"/>
          <w:rtl w:val="true"/>
        </w:rPr>
        <w:footnoteReference w:id="1346"/>
      </w:r>
      <w:r>
        <w:rPr>
          <w:rFonts w:ascii="Amiri" w:hAnsi="Amiri" w:eastAsia="Amiri" w:cs="Amiri"/>
          <w:color w:val="111111"/>
          <w:sz w:val="28"/>
          <w:sz w:val="28"/>
          <w:szCs w:val="28"/>
          <w:rtl w:val="true"/>
          <w:lang w:bidi="ar-SA"/>
        </w:rPr>
        <w:t>و صريح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الجارية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و</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دخل بها و لها تسع سنين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الظاهر من بلوغ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إكمالها، لما </w:t>
      </w:r>
      <w:r>
        <w:rPr>
          <w:rStyle w:val="FootnoteAnchor"/>
          <w:rtl w:val="true"/>
        </w:rPr>
        <w:footnoteReference w:id="1349"/>
      </w:r>
      <w:r>
        <w:rPr>
          <w:rFonts w:ascii="Amiri" w:hAnsi="Amiri" w:eastAsia="Amiri" w:cs="Amiri"/>
          <w:color w:val="111111"/>
          <w:sz w:val="28"/>
          <w:sz w:val="28"/>
          <w:szCs w:val="28"/>
          <w:rtl w:val="true"/>
          <w:lang w:bidi="ar-SA"/>
        </w:rPr>
        <w:t xml:space="preserve">عن مصابيح العلّامة الطباطبائي رحمه اللّٰه </w:t>
      </w:r>
      <w:r>
        <w:rPr>
          <w:rStyle w:val="FootnoteAnchor"/>
          <w:rtl w:val="true"/>
        </w:rPr>
        <w:footnoteReference w:id="1350"/>
      </w:r>
      <w:r>
        <w:rPr>
          <w:rFonts w:ascii="Amiri" w:hAnsi="Amiri" w:eastAsia="Amiri" w:cs="Amiri"/>
          <w:color w:val="111111"/>
          <w:sz w:val="28"/>
          <w:sz w:val="28"/>
          <w:szCs w:val="28"/>
          <w:rtl w:val="true"/>
          <w:lang w:bidi="ar-SA"/>
        </w:rPr>
        <w:t>من الفرق بين بلوغ الخمس عشرة و البلوغ إلى الخمس عشرة، و أنّ الثاني يحصل بالطعن،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الأصول و العمومات المتقدّمة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الأصول و العمومات يعلم وجوب إلحاق الخنثى بالذكر </w:t>
      </w:r>
      <w:r>
        <w:rPr>
          <w:rStyle w:val="FootnoteAnchor"/>
          <w:rtl w:val="true"/>
        </w:rPr>
        <w:footnoteReference w:id="1352"/>
      </w:r>
      <w:r>
        <w:rPr>
          <w:rFonts w:ascii="Amiri" w:hAnsi="Amiri" w:eastAsia="Amiri" w:cs="Amiri"/>
          <w:color w:val="111111"/>
          <w:sz w:val="28"/>
          <w:sz w:val="28"/>
          <w:szCs w:val="28"/>
          <w:rtl w:val="true"/>
          <w:lang w:bidi="ar-SA"/>
        </w:rPr>
        <w:t xml:space="preserve">و السن إنّما يثبت بالعلم و بشهادة العدلين، و في ثبوته بقول الأبوين أو أحدهما وجه قوّاه في الروضة </w:t>
      </w:r>
      <w:r>
        <w:rPr>
          <w:rStyle w:val="FootnoteAnchor"/>
          <w:rtl w:val="true"/>
        </w:rPr>
        <w:footnoteReference w:id="1353"/>
      </w:r>
      <w:r>
        <w:rPr>
          <w:rFonts w:ascii="Amiri" w:hAnsi="Amiri" w:eastAsia="Amiri" w:cs="Amiri"/>
          <w:color w:val="111111"/>
          <w:sz w:val="28"/>
          <w:sz w:val="28"/>
          <w:szCs w:val="28"/>
          <w:rtl w:val="true"/>
          <w:lang w:bidi="ar-SA"/>
        </w:rPr>
        <w:t xml:space="preserve">و استقرب خلافه السيد الأستاد في المناهل </w:t>
      </w:r>
      <w:r>
        <w:rPr>
          <w:rStyle w:val="FootnoteAnchor"/>
          <w:rtl w:val="true"/>
        </w:rPr>
        <w:footnoteReference w:id="1354"/>
      </w: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التحديد بالسن لا يختلف في الأحكام المنوطة بالبلوغ بالإجماع الظاهر المصرّح به في المصابيح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ممّا يحكم معه بالبلوغ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عن المخرج المعتاد للذكر، بالكتاب و السنّة و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 المحكي مستفيضا</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و كذلك الأنثى على المشهور، بل عن مجمع الفائدة </w:t>
      </w:r>
      <w:r>
        <w:rPr>
          <w:rStyle w:val="FootnoteAnchor"/>
          <w:rtl w:val="true"/>
        </w:rPr>
        <w:footnoteReference w:id="1357"/>
      </w:r>
      <w:r>
        <w:rPr>
          <w:rFonts w:ascii="Amiri" w:hAnsi="Amiri" w:eastAsia="Amiri" w:cs="Amiri"/>
          <w:color w:val="111111"/>
          <w:sz w:val="28"/>
          <w:sz w:val="28"/>
          <w:szCs w:val="28"/>
          <w:rtl w:val="true"/>
          <w:lang w:bidi="ar-SA"/>
        </w:rPr>
        <w:t xml:space="preserve">و الرياض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علماؤنا أجمع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انقطاع يتم اليتيم بالاحتلام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هشام بن سالم</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على رفع القلم عن الصبي حتى يحتلم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إرادة خصوص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بإرادة العموم من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سيّما بملاحظة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همّ برجم مجنونة زنت،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رفع القلم عن الصبي حتى يحتلم، و عن المجنون حتى يفيق، و عن النائم حتى يستيقظ؟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المناط العلم بكون الخارج منيّا أو شهادة عدلين، و مع عدمهما يرجع إلى الأوصاف المذكورة لوجوب الغسل على المنزل </w:t>
      </w:r>
      <w:r>
        <w:rPr>
          <w:rStyle w:val="FootnoteAnchor"/>
          <w:rtl w:val="true"/>
        </w:rPr>
        <w:footnoteReference w:id="1363"/>
      </w:r>
      <w:r>
        <w:rPr>
          <w:rFonts w:ascii="Amiri" w:hAnsi="Amiri" w:eastAsia="Amiri" w:cs="Amiri"/>
          <w:color w:val="111111"/>
          <w:sz w:val="28"/>
          <w:sz w:val="28"/>
          <w:szCs w:val="28"/>
          <w:rtl w:val="true"/>
          <w:lang w:bidi="ar-SA"/>
        </w:rPr>
        <w:t>إلّا أن يدّعى أنّ</w:t>
      </w:r>
    </w:p>
    <w:p>
      <w:pPr>
        <w:pStyle w:val="BookText"/>
        <w:rPr/>
      </w:pPr>
      <w:r>
        <w:rPr>
          <w:rFonts w:ascii="Amiri" w:hAnsi="Amiri" w:eastAsia="Amiri" w:cs="Amiri"/>
          <w:color w:val="111111"/>
          <w:sz w:val="28"/>
          <w:sz w:val="28"/>
          <w:szCs w:val="28"/>
          <w:rtl w:val="true"/>
          <w:lang w:bidi="ar-SA"/>
        </w:rPr>
        <w:t>الأسباب المنصوصة لوجوب الغسل لا تدلّ على ثبوت جميع أحكام المني حتى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ظاهر، مع أنّ ثبوت الوجوب يكفي لثبوت البلوغ إلّا أن يراد </w:t>
      </w:r>
      <w:r>
        <w:rPr>
          <w:rStyle w:val="FootnoteAnchor"/>
          <w:rtl w:val="true"/>
        </w:rPr>
        <w:footnoteReference w:id="1364"/>
      </w:r>
      <w:r>
        <w:rPr>
          <w:rFonts w:ascii="Amiri" w:hAnsi="Amiri" w:eastAsia="Amiri" w:cs="Amiri"/>
          <w:color w:val="111111"/>
          <w:sz w:val="28"/>
          <w:sz w:val="28"/>
          <w:szCs w:val="28"/>
          <w:rtl w:val="true"/>
          <w:lang w:bidi="ar-SA"/>
        </w:rPr>
        <w:t>مجرّد السببيّة التي لا تنافي عدم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الصغير الواطئ أو الموطوء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خروجه من المخرج الطبيعيّ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الشرائع </w:t>
      </w:r>
      <w:r>
        <w:rPr>
          <w:rStyle w:val="FootnoteAnchor"/>
          <w:rtl w:val="true"/>
        </w:rPr>
        <w:footnoteReference w:id="1365"/>
      </w:r>
      <w:r>
        <w:rPr>
          <w:rFonts w:ascii="IRNazanin" w:hAnsi="IRNazanin" w:eastAsia="IRNazanin"/>
          <w:color w:val="111111"/>
          <w:sz w:val="28"/>
          <w:sz w:val="28"/>
          <w:szCs w:val="28"/>
          <w:rtl w:val="true"/>
          <w:lang w:bidi="fa-IR"/>
        </w:rPr>
        <w:t xml:space="preserve">، و القواعد </w:t>
      </w:r>
      <w:r>
        <w:rPr>
          <w:rStyle w:val="FootnoteAnchor"/>
          <w:rtl w:val="true"/>
        </w:rPr>
        <w:footnoteReference w:id="1366"/>
      </w:r>
      <w:r>
        <w:rPr>
          <w:rFonts w:ascii="IRNazanin" w:hAnsi="IRNazanin" w:eastAsia="IRNazanin"/>
          <w:color w:val="111111"/>
          <w:sz w:val="28"/>
          <w:sz w:val="28"/>
          <w:szCs w:val="28"/>
          <w:rtl w:val="true"/>
          <w:lang w:bidi="fa-IR"/>
        </w:rPr>
        <w:t xml:space="preserve">و شرحه </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حمل المطلق على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اعتبار اقترانه بالشهوة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للانصراف، و الأقوى خلافه،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من فرجي الخنثى فلا إشكال في بلوغها، و كذا لو خرج من قضيبه مع بلوغه تسعا أو حيضة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أمنى من أحدهما خاصّة، فلو لم نعتبر الخروج من المخرج الطبيعي فنحكم ببلوغه، كما عن العلّامة في التذكرة </w:t>
      </w:r>
      <w:r>
        <w:rPr>
          <w:rStyle w:val="FootnoteAnchor"/>
          <w:rtl w:val="true"/>
        </w:rPr>
        <w:footnoteReference w:id="1369"/>
      </w:r>
      <w:r>
        <w:rPr>
          <w:rFonts w:ascii="Amiri" w:hAnsi="Amiri" w:eastAsia="Amiri" w:cs="Amiri"/>
          <w:color w:val="111111"/>
          <w:sz w:val="28"/>
          <w:sz w:val="28"/>
          <w:szCs w:val="28"/>
          <w:rtl w:val="true"/>
          <w:lang w:bidi="ar-SA"/>
        </w:rPr>
        <w:t xml:space="preserve">و عن الأردبيلي </w:t>
      </w:r>
      <w:r>
        <w:rPr>
          <w:rStyle w:val="FootnoteAnchor"/>
          <w:rtl w:val="true"/>
        </w:rPr>
        <w:footnoteReference w:id="1370"/>
      </w:r>
      <w:r>
        <w:rPr>
          <w:rFonts w:ascii="Amiri" w:hAnsi="Amiri" w:eastAsia="Amiri" w:cs="Amiri"/>
          <w:color w:val="111111"/>
          <w:sz w:val="28"/>
          <w:sz w:val="28"/>
          <w:szCs w:val="28"/>
          <w:rtl w:val="true"/>
          <w:lang w:bidi="ar-SA"/>
        </w:rPr>
        <w:t>الميل اليه بعد الاعتراف بعدم معلومية كونه قولا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وفاقا للمحكيّ عن الفاضلين </w:t>
      </w:r>
      <w:r>
        <w:rPr>
          <w:rStyle w:val="FootnoteAnchor"/>
          <w:rtl w:val="true"/>
        </w:rPr>
        <w:footnoteReference w:id="1371"/>
      </w:r>
      <w:r>
        <w:rPr>
          <w:rFonts w:ascii="Amiri" w:hAnsi="Amiri" w:eastAsia="Amiri" w:cs="Amiri"/>
          <w:color w:val="111111"/>
          <w:sz w:val="28"/>
          <w:sz w:val="28"/>
          <w:szCs w:val="28"/>
          <w:rtl w:val="true"/>
          <w:lang w:bidi="ar-SA"/>
        </w:rPr>
        <w:t xml:space="preserve">و المحقّق و الشهيد الثانيين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اعتبار انفصال المنيّ حسّا أو كفاية تحرّكه عن موضعه إلى قريب المخرج، وجهان</w:t>
      </w:r>
      <w:r>
        <w:rPr>
          <w:rFonts w:eastAsia="Amiri" w:cs="Amiri" w:ascii="Amiri" w:hAnsi="Amiri"/>
          <w:color w:val="111111"/>
          <w:sz w:val="28"/>
          <w:szCs w:val="28"/>
          <w:rtl w:val="true"/>
          <w:lang w:bidi="ar-SA"/>
        </w:rPr>
        <w:t>.</w:t>
      </w:r>
      <w:bookmarkStart w:id="173" w:name="pg19900_214697"/>
    </w:p>
    <w:p>
      <w:pPr>
        <w:pStyle w:val="Heading3"/>
        <w:numPr>
          <w:ilvl w:val="2"/>
          <w:numId w:val="1"/>
        </w:numPr>
        <w:rPr/>
      </w:pPr>
      <w:bookmarkStart w:id="174" w:name="__RefHeading___Toc2061734_2314609296"/>
      <w:bookmarkStart w:id="175" w:name="_Toc66"/>
      <w:bookmarkEnd w:id="173"/>
      <w:bookmarkEnd w:id="174"/>
      <w:r>
        <w:rPr>
          <w:rtl w:val="true"/>
        </w:rPr>
        <w:t>[</w:t>
      </w:r>
      <w:r>
        <w:rPr>
          <w:rtl w:val="true"/>
        </w:rPr>
        <w:t xml:space="preserve">مسألة </w:t>
      </w:r>
      <w:r>
        <w:rPr/>
        <w:t>2</w:t>
      </w:r>
      <w:r>
        <w:rPr>
          <w:rtl w:val="true"/>
        </w:rPr>
        <w:t xml:space="preserve"> </w:t>
      </w:r>
      <w:r>
        <w:rPr>
          <w:rtl w:val="true"/>
        </w:rPr>
        <w:t>ادّعاء الصبيّ الاحتلام</w:t>
      </w:r>
      <w:r>
        <w:rPr>
          <w:rtl w:val="true"/>
        </w:rPr>
        <w:t>]</w:t>
      </w:r>
      <w:bookmarkEnd w:id="1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الصبيّ الاحتلام، فالمحكي عن المسالك </w:t>
      </w:r>
      <w:r>
        <w:rPr>
          <w:rStyle w:val="FootnoteAnchor"/>
          <w:rtl w:val="true"/>
        </w:rPr>
        <w:footnoteReference w:id="1373"/>
      </w:r>
      <w:r>
        <w:rPr>
          <w:rFonts w:ascii="Amiri" w:hAnsi="Amiri" w:eastAsia="Amiri" w:cs="Amiri"/>
          <w:color w:val="111111"/>
          <w:sz w:val="28"/>
          <w:sz w:val="28"/>
          <w:szCs w:val="28"/>
          <w:rtl w:val="true"/>
          <w:lang w:bidi="ar-SA"/>
        </w:rPr>
        <w:t xml:space="preserve">هو القبول بغير بيّنة و لا يمين، و عن غاية المراد </w:t>
      </w:r>
      <w:r>
        <w:rPr>
          <w:rStyle w:val="FootnoteAnchor"/>
          <w:rtl w:val="true"/>
        </w:rPr>
        <w:footnoteReference w:id="1374"/>
      </w:r>
      <w:r>
        <w:rPr>
          <w:rFonts w:ascii="Amiri" w:hAnsi="Amiri" w:eastAsia="Amiri" w:cs="Amiri"/>
          <w:color w:val="111111"/>
          <w:sz w:val="28"/>
          <w:sz w:val="28"/>
          <w:szCs w:val="28"/>
          <w:rtl w:val="true"/>
          <w:lang w:bidi="ar-SA"/>
        </w:rPr>
        <w:t xml:space="preserve">حكاية ذلك عن الشيخ </w:t>
      </w:r>
      <w:r>
        <w:rPr>
          <w:rStyle w:val="FootnoteAnchor"/>
          <w:rtl w:val="true"/>
        </w:rPr>
        <w:footnoteReference w:id="1375"/>
      </w:r>
      <w:r>
        <w:rPr>
          <w:rFonts w:ascii="Amiri" w:hAnsi="Amiri" w:eastAsia="Amiri" w:cs="Amiri"/>
          <w:color w:val="111111"/>
          <w:sz w:val="28"/>
          <w:sz w:val="28"/>
          <w:szCs w:val="28"/>
          <w:rtl w:val="true"/>
          <w:lang w:bidi="ar-SA"/>
        </w:rPr>
        <w:t xml:space="preserve">و العلّامة </w:t>
      </w:r>
      <w:r>
        <w:rPr>
          <w:rStyle w:val="FootnoteAnchor"/>
          <w:rtl w:val="true"/>
        </w:rPr>
        <w:footnoteReference w:id="1376"/>
      </w:r>
      <w:r>
        <w:rPr>
          <w:rFonts w:ascii="Amiri" w:hAnsi="Amiri" w:eastAsia="Amiri" w:cs="Amiri"/>
          <w:color w:val="111111"/>
          <w:sz w:val="28"/>
          <w:sz w:val="28"/>
          <w:szCs w:val="28"/>
          <w:rtl w:val="true"/>
          <w:lang w:bidi="ar-SA"/>
        </w:rPr>
        <w:t xml:space="preserve">و اختاره سيّد مشايخنا في المناهل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ظهور الاتفاق عليه، و لعلّه لأنه لا يعرف إلّا من قبله و يتعسّر إقامة البيّنة عليه، و قد علم من بعض الأخبار </w:t>
      </w:r>
      <w:r>
        <w:rPr>
          <w:rStyle w:val="FootnoteAnchor"/>
          <w:rtl w:val="true"/>
        </w:rPr>
        <w:footnoteReference w:id="1378"/>
      </w:r>
      <w:r>
        <w:rPr>
          <w:rFonts w:ascii="Amiri" w:hAnsi="Amiri" w:eastAsia="Amiri" w:cs="Amiri"/>
          <w:color w:val="111111"/>
          <w:sz w:val="28"/>
          <w:sz w:val="28"/>
          <w:szCs w:val="28"/>
          <w:rtl w:val="true"/>
          <w:lang w:bidi="ar-SA"/>
        </w:rPr>
        <w:t>قبول قول المدّعي فيما يتعذّر أو يتعسّر إقامة البيّنة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ادّعى البلوغ بالسن، فالظاهر عدم القبول إلّا بالبيّنة، و لو ادّعى الإنبات فكذلك، لأنّ موضع الإنبات ليس بعورة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bookmarkStart w:id="176" w:name="pg19900_214698"/>
    </w:p>
    <w:p>
      <w:pPr>
        <w:pStyle w:val="Heading3"/>
        <w:numPr>
          <w:ilvl w:val="2"/>
          <w:numId w:val="1"/>
        </w:numPr>
        <w:rPr/>
      </w:pPr>
      <w:bookmarkStart w:id="177" w:name="__RefHeading___Toc2061736_2314609296"/>
      <w:bookmarkStart w:id="178" w:name="_Toc67"/>
      <w:bookmarkEnd w:id="176"/>
      <w:bookmarkEnd w:id="177"/>
      <w:r>
        <w:rPr>
          <w:rtl w:val="true"/>
        </w:rPr>
        <w:t>[</w:t>
      </w:r>
      <w:r>
        <w:rPr>
          <w:rtl w:val="true"/>
        </w:rPr>
        <w:t xml:space="preserve">مسألة </w:t>
      </w:r>
      <w:r>
        <w:rPr/>
        <w:t>3</w:t>
      </w:r>
      <w:r>
        <w:rPr>
          <w:rtl w:val="true"/>
        </w:rPr>
        <w:t xml:space="preserve"> </w:t>
      </w:r>
      <w:r>
        <w:rPr>
          <w:rtl w:val="true"/>
        </w:rPr>
        <w:t>بلوغ الصبيّ في أثناء النهار</w:t>
      </w:r>
      <w:r>
        <w:rPr>
          <w:rtl w:val="true"/>
        </w:rPr>
        <w:t>]</w:t>
      </w:r>
      <w:bookmarkEnd w:id="1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إذا بلغ الصبيّ في أثناء النهار، فإن كان بعد الزوال فلا خلاف ظاهرا في عدم وجوب الصوم و لا قضائه عليه، و كذلك إذا تناول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قبله فالمشهور أنّه كذلك، و عن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دخل في الصوم بنيّة الندب ثم بلغ أمسك وجوبا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الإمساك و لو لم يدخل فيه </w:t>
      </w:r>
      <w:r>
        <w:rPr>
          <w:rStyle w:val="FootnoteAnchor"/>
          <w:rtl w:val="true"/>
        </w:rPr>
        <w:footnoteReference w:id="1382"/>
      </w:r>
      <w:r>
        <w:rPr>
          <w:rFonts w:ascii="Amiri" w:hAnsi="Amiri" w:eastAsia="Amiri" w:cs="Amiri"/>
          <w:color w:val="111111"/>
          <w:sz w:val="28"/>
          <w:sz w:val="28"/>
          <w:szCs w:val="28"/>
          <w:rtl w:val="true"/>
          <w:lang w:bidi="ar-SA"/>
        </w:rPr>
        <w:t xml:space="preserve">و قوّاه المحقّق في المعتبر </w:t>
      </w:r>
      <w:r>
        <w:rPr>
          <w:rStyle w:val="FootnoteAnchor"/>
          <w:rtl w:val="true"/>
        </w:rPr>
        <w:footnoteReference w:id="1383"/>
      </w:r>
      <w:r>
        <w:rPr>
          <w:rFonts w:ascii="Amiri" w:hAnsi="Amiri" w:eastAsia="Amiri" w:cs="Amiri"/>
          <w:color w:val="111111"/>
          <w:sz w:val="28"/>
          <w:sz w:val="28"/>
          <w:szCs w:val="28"/>
          <w:rtl w:val="true"/>
          <w:lang w:bidi="ar-SA"/>
        </w:rPr>
        <w:t xml:space="preserve">و المدارك </w:t>
      </w:r>
      <w:r>
        <w:rPr>
          <w:rStyle w:val="FootnoteAnchor"/>
          <w:rtl w:val="true"/>
        </w:rPr>
        <w:footnoteReference w:id="1384"/>
      </w:r>
      <w:r>
        <w:rPr>
          <w:rFonts w:ascii="Amiri" w:hAnsi="Amiri" w:eastAsia="Amiri" w:cs="Amiri"/>
          <w:color w:val="111111"/>
          <w:sz w:val="28"/>
          <w:sz w:val="28"/>
          <w:szCs w:val="28"/>
          <w:rtl w:val="true"/>
          <w:lang w:bidi="ar-SA"/>
        </w:rPr>
        <w:t>نظرا إلى أنّه يتمكّن من نيّة الصوم بحيث تسري إلى أوّل النهار، فإنّ زمان النيّة باق إلى الزوال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الكثيرة </w:t>
      </w:r>
      <w:r>
        <w:rPr>
          <w:rStyle w:val="FootnoteAnchor"/>
          <w:rtl w:val="true"/>
        </w:rPr>
        <w:footnoteReference w:id="1385"/>
      </w:r>
      <w:r>
        <w:rPr>
          <w:rFonts w:ascii="Amiri" w:hAnsi="Amiri" w:eastAsia="Amiri" w:cs="Amiri"/>
          <w:color w:val="111111"/>
          <w:sz w:val="28"/>
          <w:sz w:val="28"/>
          <w:szCs w:val="28"/>
          <w:rtl w:val="true"/>
          <w:lang w:bidi="ar-SA"/>
        </w:rPr>
        <w:t>دلّت على جواز تجديد نيّة الصوم الغير المعين الى الزوال مطلقا، و في المعيّن للناسي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تحقّق حقيقة الصوم مع</w:t>
      </w:r>
    </w:p>
    <w:p>
      <w:pPr>
        <w:pStyle w:val="BookText"/>
        <w:rPr/>
      </w:pPr>
      <w:r>
        <w:rPr>
          <w:rFonts w:ascii="Amiri" w:hAnsi="Amiri" w:eastAsia="Amiri" w:cs="Amiri"/>
          <w:color w:val="111111"/>
          <w:sz w:val="28"/>
          <w:sz w:val="28"/>
          <w:szCs w:val="28"/>
          <w:rtl w:val="true"/>
          <w:lang w:bidi="ar-SA"/>
        </w:rPr>
        <w:t>ذلك، لا أنّه في حكم الصائم، فيكشف ذلك عن أنّ الصوم يصدق حقيقة على إمساك مجموع النهار مع النية قبل الزوال، و هذا المعنى يتأتّى من الصبيّ إذا بلغ في أثناء النهار و لم يتناول شيئا، فيمكن أن يكلّف بالصوم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النيّة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جزء من الإمساك و إن تحقّق قبل البلوغ، إلّا أنّ أدلّة وجوب الصوم تدلّ على وجوب جعله مع الإمساك في باقي النهار صوما، بأن ينوي الصوم و يمسك إلى الليل، و لا استبعاد في عدم اتصاف الجزء السابق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الصوم الموسّع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الصوم يوجد من الممسك أوّل النهار بأن يجدّد النيّة قبل الزوال؛ و لهذا يمتثل بذلك أوامر الصوم الإيجابية و الندبية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لو قلنا بامتداد وقت النيّة في المندوب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الواجب و المندوب في حكم الصوم، يدفعه إطلاقات الأخبار بحصول الامتثال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يتّضح عدم الفرق بين ما إذا دخل الصبيّ في الصوم على وجه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كلام الشيخ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استدلال المحقّق </w:t>
      </w:r>
      <w:r>
        <w:rPr>
          <w:rStyle w:val="FootnoteAnchor"/>
          <w:rtl w:val="true"/>
        </w:rPr>
        <w:footnoteReference w:id="1387"/>
      </w:r>
      <w:r>
        <w:rPr>
          <w:rFonts w:ascii="Amiri" w:hAnsi="Amiri" w:eastAsia="Amiri" w:cs="Amiri"/>
          <w:color w:val="111111"/>
          <w:sz w:val="28"/>
          <w:sz w:val="28"/>
          <w:szCs w:val="28"/>
          <w:rtl w:val="true"/>
          <w:lang w:bidi="ar-SA"/>
        </w:rPr>
        <w:t xml:space="preserve">و صاحب المدارك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و إن كان يتوهّم جريانه في مثل الحائض إذا طهرت قبل الزوال، إلّا أنّ ظاهر غير واحد من الأخبار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صحّة الصوم منها إذا طهرت في أوّل النهار معلّلة بأنّ إفطارها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حدث الحيض بنفسه مفطر و مانع عن تحقّق الصوم، فهو بمنزلة الأكل و الشرب في عدم انعقاد الصوم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فصحيحة العيص الدالّة على أنّه لا يجب عليه صوم يومهم الذي أسلموا فيه إلّا أن يسلموا قبل الفجر </w:t>
      </w:r>
      <w:r>
        <w:rPr>
          <w:rStyle w:val="FootnoteAnchor"/>
          <w:rtl w:val="true"/>
        </w:rPr>
        <w:footnoteReference w:id="1390"/>
      </w:r>
      <w:r>
        <w:rPr>
          <w:rFonts w:ascii="Amiri" w:hAnsi="Amiri" w:eastAsia="Amiri" w:cs="Amiri"/>
          <w:color w:val="111111"/>
          <w:sz w:val="28"/>
          <w:sz w:val="28"/>
          <w:szCs w:val="28"/>
          <w:rtl w:val="true"/>
          <w:lang w:bidi="ar-SA"/>
        </w:rPr>
        <w:t xml:space="preserve">تكشف عن أنّ الكفر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الصحّة كالحيض، أو عن أنّ الإسلام يجبّ ما قبله </w:t>
      </w:r>
      <w:r>
        <w:rPr>
          <w:rStyle w:val="FootnoteAnchor"/>
          <w:rtl w:val="true"/>
        </w:rPr>
        <w:footnoteReference w:id="1392"/>
      </w:r>
      <w:r>
        <w:rPr>
          <w:rFonts w:ascii="IRNazanin" w:hAnsi="IRNazanin" w:eastAsia="IRNazanin"/>
          <w:color w:val="111111"/>
          <w:sz w:val="28"/>
          <w:sz w:val="28"/>
          <w:szCs w:val="28"/>
          <w:rtl w:val="true"/>
          <w:lang w:bidi="fa-IR"/>
        </w:rPr>
        <w:t xml:space="preserve">حتى </w:t>
      </w:r>
      <w:r>
        <w:rPr>
          <w:rStyle w:val="FootnoteAnchor"/>
          <w:rtl w:val="true"/>
        </w:rPr>
        <w:footnoteReference w:id="1393"/>
      </w:r>
      <w:r>
        <w:rPr>
          <w:rFonts w:ascii="Amiri" w:hAnsi="Amiri" w:eastAsia="Amiri" w:cs="Amiri"/>
          <w:color w:val="111111"/>
          <w:sz w:val="28"/>
          <w:sz w:val="28"/>
          <w:szCs w:val="28"/>
          <w:rtl w:val="true"/>
          <w:lang w:bidi="ar-SA"/>
        </w:rPr>
        <w:t>أنّه لا يقبل أن يقع الجزء السابق من الإمساك الّذي حصل قبل الإسلام متّصفا بأنّه جزء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الوجه ضعيف و المعتمد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وجوب الإمساك على المريض إذا برء قبل الزوال، كما هو المتّفق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مع قطع النظر عمّا دلّ على جواز تجديد النيّة قبل الزوال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اتصاف صوم مجموع النهار بالوجوب، إذ لا يعقل اتصاف الشي‌ء بعد الوقوع و الانقضاء </w:t>
      </w:r>
      <w:r>
        <w:rPr>
          <w:rStyle w:val="FootnoteAnchor"/>
          <w:rtl w:val="true"/>
        </w:rPr>
        <w:footnoteReference w:id="1394"/>
      </w:r>
      <w:r>
        <w:rPr>
          <w:rFonts w:ascii="Amiri" w:hAnsi="Amiri" w:eastAsia="Amiri" w:cs="Amiri"/>
          <w:color w:val="111111"/>
          <w:sz w:val="28"/>
          <w:sz w:val="28"/>
          <w:szCs w:val="28"/>
          <w:rtl w:val="true"/>
          <w:lang w:bidi="ar-SA"/>
        </w:rPr>
        <w:t>بصفة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تلك الأخبار، فإنّما دلّت على كون الإمساك في أوّل النهار القابل للاتّصاف بالوجوب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لسراية النيّة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القابل للاستحباب مستحبّا، و الإمساك المتحقّق من الصبي قبل البلوغ لا يقبل الاتّصاف بالوجوب، فلا يصير جزء واجب، فلا يتّصف الباقي فقط بالوجوب، لأنّ الصوم لا يتبعّض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اللاحقة إنّما دلّ الدليل على تأثيرها في الإمساك السابق، بحيث تجعله جزء واجب إذا كان في نفسه متّصفا بالوجوب، و جامعا لشرائط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تجعل </w:t>
      </w:r>
      <w:r>
        <w:rPr>
          <w:rStyle w:val="FootnoteAnchor"/>
          <w:rtl w:val="true"/>
        </w:rPr>
        <w:footnoteReference w:id="1395"/>
      </w:r>
      <w:r>
        <w:rPr>
          <w:rFonts w:ascii="Amiri" w:hAnsi="Amiri" w:eastAsia="Amiri" w:cs="Amiri"/>
          <w:color w:val="111111"/>
          <w:sz w:val="28"/>
          <w:sz w:val="28"/>
          <w:szCs w:val="28"/>
          <w:rtl w:val="true"/>
          <w:lang w:bidi="ar-SA"/>
        </w:rPr>
        <w:t>ذلك الجزء جزء مستحبّ إذا كان في نفسه محكوما</w:t>
      </w:r>
    </w:p>
    <w:p>
      <w:pPr>
        <w:pStyle w:val="BookText"/>
        <w:rPr/>
      </w:pPr>
      <w:r>
        <w:rPr>
          <w:rFonts w:ascii="Amiri" w:hAnsi="Amiri" w:eastAsia="Amiri" w:cs="Amiri"/>
          <w:color w:val="111111"/>
          <w:sz w:val="28"/>
          <w:sz w:val="28"/>
          <w:szCs w:val="28"/>
          <w:rtl w:val="true"/>
          <w:lang w:bidi="ar-SA"/>
        </w:rPr>
        <w:t>بالاستحباب، جامعا لشرائط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أنّ إتمام الإمساك المتحقّق فيما قبل الزوال يعدّ صوما واجبا، و يخرج به عن عهدة الصوم الواجب إذا تحقّق الوجوب حين الإمساك الخالي عن النيّة، فإنّ النية لا تجعل غير الواجب المتحقّق سابقا متصفا بالوجوب بعد تحقّقه، و انما تجعل المتّصف بالوجوب الخالي عن النيّة بمنزلة المنويّ، فنيّة الصبيّ لا تؤثّر في إيجاد صفة الوجوب لما تحقّق من الإمساك، فهو باق على عدم وجوبه، و تعلّق الإيجاب بالإمساك الباقي ليس إيجابا للصوم، بل هو تكليف آخر لا دليل عليه، لأنّ الصوم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الأخبار في كفاية النيّة قبل الزوال مختصّة بغير المعيّن، و مسألة الصبي في رمضان الذي حكم بعدم كفاية تأخّر نيّته عن الليل إلّا للناسي و الجاهل و الصبيّ ليس واحدا منهما، فيدخل في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الظاهر في التقارن، و صريح </w:t>
      </w:r>
      <w:r>
        <w:rPr>
          <w:rStyle w:val="FootnoteAnchor"/>
          <w:rtl w:val="true"/>
        </w:rPr>
        <w:footnoteReference w:id="139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هذا الجواب يرجع إلى بطلان هذا العمل من جهة فوات النيّة، كما أنّ حاصل الأوّل يرجع إلى عدم قابليّة اتصاف المجموع بالوجوب لا بنفسه؛ لعدم تعقّله، و لا بتأثير النيّة، لعدم الدليل على تأثيرها في الإيجاب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يجاب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أدلّة مقارنتها بمن تلبّس بأوّل الفعل بصفة الوجوب، فبعد تسليم صدق </w:t>
      </w:r>
      <w:r>
        <w:rPr>
          <w:rStyle w:val="FootnoteAnchor"/>
          <w:rtl w:val="true"/>
        </w:rPr>
        <w:footnoteReference w:id="1399"/>
      </w:r>
      <w:r>
        <w:rPr>
          <w:rFonts w:ascii="Amiri" w:hAnsi="Amiri" w:eastAsia="Amiri" w:cs="Amiri"/>
          <w:color w:val="111111"/>
          <w:sz w:val="28"/>
          <w:sz w:val="28"/>
          <w:szCs w:val="28"/>
          <w:rtl w:val="true"/>
          <w:lang w:bidi="ar-SA"/>
        </w:rPr>
        <w:t>الصوم مع تأخّر النيّة</w:t>
      </w:r>
    </w:p>
    <w:p>
      <w:pPr>
        <w:pStyle w:val="BookText"/>
        <w:rPr/>
      </w:pPr>
      <w:r>
        <w:rPr>
          <w:rFonts w:ascii="IRNazanin" w:hAnsi="IRNazanin" w:eastAsia="IRNazanin"/>
          <w:color w:val="111111"/>
          <w:sz w:val="28"/>
          <w:sz w:val="28"/>
          <w:szCs w:val="28"/>
          <w:rtl w:val="true"/>
          <w:lang w:bidi="fa-IR"/>
        </w:rPr>
        <w:t xml:space="preserve">تشمله </w:t>
      </w:r>
      <w:r>
        <w:rPr>
          <w:rStyle w:val="FootnoteAnchor"/>
          <w:rtl w:val="true"/>
        </w:rPr>
        <w:footnoteReference w:id="1400"/>
      </w:r>
      <w:r>
        <w:rPr>
          <w:rFonts w:ascii="Amiri" w:hAnsi="Amiri" w:eastAsia="Amiri" w:cs="Amiri"/>
          <w:color w:val="111111"/>
          <w:sz w:val="28"/>
          <w:sz w:val="28"/>
          <w:szCs w:val="28"/>
          <w:rtl w:val="true"/>
          <w:lang w:bidi="ar-SA"/>
        </w:rPr>
        <w:t xml:space="preserve">أدلّة الصوم، و النيّة إنّما يشترط تقدّمه </w:t>
      </w:r>
      <w:r>
        <w:rPr>
          <w:rStyle w:val="FootnoteAnchor"/>
          <w:rtl w:val="true"/>
        </w:rPr>
        <w:footnoteReference w:id="1401"/>
      </w:r>
      <w:r>
        <w:rPr>
          <w:rFonts w:ascii="Amiri" w:hAnsi="Amiri" w:eastAsia="Amiri" w:cs="Amiri"/>
          <w:color w:val="111111"/>
          <w:sz w:val="28"/>
          <w:sz w:val="28"/>
          <w:szCs w:val="28"/>
          <w:rtl w:val="true"/>
          <w:lang w:bidi="ar-SA"/>
        </w:rPr>
        <w:t>إذا كان العمل في أوّله متّصفا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حكم المريض إذا برء قبل الزوال هو وجوب الإمساك، لأنّ الصوم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هذا اليوم أو قضاؤه في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فالإمساك المتحقّق منه إنّما تحقّق منه في حال </w:t>
      </w:r>
      <w:r>
        <w:rPr>
          <w:rStyle w:val="FootnoteAnchor"/>
          <w:rtl w:val="true"/>
        </w:rPr>
        <w:footnoteReference w:id="1402"/>
      </w:r>
      <w:r>
        <w:rPr>
          <w:rFonts w:ascii="Amiri" w:hAnsi="Amiri" w:eastAsia="Amiri" w:cs="Amiri"/>
          <w:color w:val="111111"/>
          <w:sz w:val="28"/>
          <w:sz w:val="28"/>
          <w:szCs w:val="28"/>
          <w:rtl w:val="true"/>
          <w:lang w:bidi="ar-SA"/>
        </w:rPr>
        <w:t xml:space="preserve">اشتغال ذمّته بالصوم أداء أو قضاء، فإذا برء و نوى سرى نيته إلى الإمساك السابق </w:t>
      </w:r>
      <w:r>
        <w:rPr>
          <w:rStyle w:val="FootnoteAnchor"/>
          <w:rtl w:val="true"/>
        </w:rPr>
        <w:footnoteReference w:id="140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دخل الصبيّ في الصوم المستحب لم يجب عليه إتمامه لعدم الدليل على ذلك، لأنّ أدلّة وجوب الصوم إنّما تدلّ على وجوب إمساك مجموع النهار، و إمساك مجموع النهار لا يتّصف في حقّه بالوجوب، و سراية نيّة الوجوب إلى الإمساك السابق بحيث يخرجه عن الاستحباب إلى الوجوب غير معلوم، فتعلّق الوجوب عليه يحتاج إلى دليل يوجب عليه الإمساك الباقي، أو يجعل السابق جزء للواجب، و المفروض عدم ثبوت الأوّل، لأنّ المستدلّ إنّما استدلّ بالأخبار الدالّة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الأوّل،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مطلوب عنه </w:t>
      </w:r>
      <w:r>
        <w:rPr>
          <w:rStyle w:val="FootnoteAnchor"/>
          <w:rtl w:val="true"/>
        </w:rPr>
        <w:footnoteReference w:id="1404"/>
      </w:r>
      <w:r>
        <w:rPr>
          <w:rFonts w:ascii="Amiri" w:hAnsi="Amiri" w:eastAsia="Amiri" w:cs="Amiri"/>
          <w:color w:val="111111"/>
          <w:sz w:val="28"/>
          <w:sz w:val="28"/>
          <w:szCs w:val="28"/>
          <w:rtl w:val="true"/>
          <w:lang w:bidi="ar-SA"/>
        </w:rPr>
        <w:t>، ففي بعض أجزائه يرضى الشارع بالترك، و في بعضها لا يرضى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بذلك في الصلاة و سائر عباداته الواجبة إذا دخل فيها مستحبّا فبلغ، فتأمّل فإنّه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المشهور أقوى، بل عن الحلي </w:t>
      </w:r>
      <w:r>
        <w:rPr>
          <w:rStyle w:val="FootnoteAnchor"/>
          <w:rtl w:val="true"/>
        </w:rPr>
        <w:footnoteReference w:id="1405"/>
      </w:r>
      <w:r>
        <w:rPr>
          <w:rFonts w:ascii="IRNazanin" w:hAnsi="IRNazanin" w:eastAsia="IRNazanin"/>
          <w:color w:val="111111"/>
          <w:sz w:val="28"/>
          <w:sz w:val="28"/>
          <w:szCs w:val="28"/>
          <w:rtl w:val="true"/>
          <w:lang w:bidi="fa-IR"/>
        </w:rPr>
        <w:t>دعوى أن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الشيخ </w:t>
      </w:r>
      <w:r>
        <w:rPr>
          <w:rStyle w:val="FootnoteAnchor"/>
          <w:rtl w:val="true"/>
        </w:rPr>
        <w:footnoteReference w:id="1406"/>
      </w:r>
      <w:r>
        <w:rPr>
          <w:rFonts w:ascii="IRNazanin" w:hAnsi="IRNazanin" w:eastAsia="IRNazanin"/>
          <w:color w:val="111111"/>
          <w:sz w:val="28"/>
          <w:sz w:val="28"/>
          <w:szCs w:val="28"/>
          <w:rtl w:val="true"/>
          <w:lang w:bidi="fa-IR"/>
        </w:rPr>
        <w:t xml:space="preserve">خلاف إجماع الأصحاب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bookmarkStart w:id="179" w:name="pg19900_214704"/>
    </w:p>
    <w:p>
      <w:pPr>
        <w:pStyle w:val="Heading3"/>
        <w:numPr>
          <w:ilvl w:val="2"/>
          <w:numId w:val="1"/>
        </w:numPr>
        <w:rPr/>
      </w:pPr>
      <w:bookmarkStart w:id="180" w:name="__RefHeading___Toc2061738_2314609296"/>
      <w:bookmarkStart w:id="181" w:name="_Toc68"/>
      <w:bookmarkEnd w:id="179"/>
      <w:bookmarkEnd w:id="180"/>
      <w:r>
        <w:rPr>
          <w:rtl w:val="true"/>
        </w:rPr>
        <w:t>[</w:t>
      </w:r>
      <w:r>
        <w:rPr>
          <w:rtl w:val="true"/>
        </w:rPr>
        <w:t xml:space="preserve">مسألة </w:t>
      </w:r>
      <w:r>
        <w:rPr/>
        <w:t>4</w:t>
      </w:r>
      <w:r>
        <w:rPr>
          <w:rtl w:val="true"/>
        </w:rPr>
        <w:t xml:space="preserve"> </w:t>
      </w:r>
      <w:r>
        <w:rPr>
          <w:rtl w:val="true"/>
        </w:rPr>
        <w:t>عدم جواز التطوّع في الصوم ممّن عليه صوم واجب</w:t>
      </w:r>
      <w:r>
        <w:rPr>
          <w:rtl w:val="true"/>
        </w:rPr>
        <w:t>]</w:t>
      </w:r>
      <w:bookmarkEnd w:id="1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الأكثر على عدم جواز </w:t>
      </w:r>
      <w:r>
        <w:rPr>
          <w:rStyle w:val="FootnoteAnchor"/>
          <w:rtl w:val="true"/>
        </w:rPr>
        <w:footnoteReference w:id="1409"/>
      </w:r>
      <w:r>
        <w:rPr>
          <w:rFonts w:ascii="Amiri" w:hAnsi="Amiri" w:eastAsia="Amiri" w:cs="Amiri"/>
          <w:color w:val="111111"/>
          <w:sz w:val="28"/>
          <w:sz w:val="28"/>
          <w:szCs w:val="28"/>
          <w:rtl w:val="true"/>
          <w:lang w:bidi="ar-SA"/>
        </w:rPr>
        <w:t xml:space="preserve">التطوّع في الصوم ممّن عليه صوم واجب، و الأخبار الواردة في الباب </w:t>
      </w:r>
      <w:r>
        <w:rPr>
          <w:rStyle w:val="FootnoteAnchor"/>
          <w:rtl w:val="true"/>
        </w:rPr>
        <w:footnoteReference w:id="1410"/>
      </w:r>
      <w:r>
        <w:rPr>
          <w:rFonts w:ascii="Amiri" w:hAnsi="Amiri" w:eastAsia="Amiri" w:cs="Amiri"/>
          <w:color w:val="111111"/>
          <w:sz w:val="28"/>
          <w:sz w:val="28"/>
          <w:szCs w:val="28"/>
          <w:rtl w:val="true"/>
          <w:lang w:bidi="ar-SA"/>
        </w:rPr>
        <w:t>مختصّة بقضاء رمضان، و التمسك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تطوّع في وقت الفريضة</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توهّم فاسد، و لذا ذهب السيّد </w:t>
      </w:r>
      <w:r>
        <w:rPr>
          <w:rStyle w:val="FootnoteAnchor"/>
          <w:rtl w:val="true"/>
        </w:rPr>
        <w:footnoteReference w:id="1412"/>
      </w:r>
      <w:r>
        <w:rPr>
          <w:rFonts w:ascii="Amiri" w:hAnsi="Amiri" w:eastAsia="Amiri" w:cs="Amiri"/>
          <w:color w:val="111111"/>
          <w:sz w:val="28"/>
          <w:sz w:val="28"/>
          <w:szCs w:val="28"/>
          <w:rtl w:val="true"/>
          <w:lang w:bidi="ar-SA"/>
        </w:rPr>
        <w:t xml:space="preserve">و جماعة منهم العلّامة رحمه اللّٰه في القواعد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للمنع بأنّ الصوم حقيقة واحدة في الواجب و المندوب،</w:t>
      </w:r>
    </w:p>
    <w:p>
      <w:pPr>
        <w:pStyle w:val="BookText"/>
        <w:rPr/>
      </w:pPr>
      <w:r>
        <w:rPr>
          <w:rFonts w:ascii="Amiri" w:hAnsi="Amiri" w:eastAsia="Amiri" w:cs="Amiri"/>
          <w:color w:val="111111"/>
          <w:sz w:val="28"/>
          <w:sz w:val="28"/>
          <w:szCs w:val="28"/>
          <w:rtl w:val="true"/>
          <w:lang w:bidi="ar-SA"/>
        </w:rPr>
        <w:t>بمعنى أنّ ما صار موضوعا للأمر الوجوبي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ما صار موضوعا للأمر الندبي في يوم آخر، ليس بين الفرد الواجب و المندوب إلّا اختلاف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يختلف حكم الواجب و المندوب بعد تحقّق وصفي الوجوب و الندب،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المندوب كذا و حكم الواجب كذا </w:t>
      </w:r>
      <w:r>
        <w:rPr>
          <w:rStyle w:val="FootnoteAnchor"/>
          <w:rtl w:val="true"/>
        </w:rPr>
        <w:footnoteReference w:id="1414"/>
      </w:r>
      <w:r>
        <w:rPr>
          <w:rFonts w:ascii="Amiri" w:hAnsi="Amiri" w:eastAsia="Amiri" w:cs="Amiri"/>
          <w:color w:val="111111"/>
          <w:sz w:val="28"/>
          <w:sz w:val="28"/>
          <w:szCs w:val="28"/>
          <w:rtl w:val="true"/>
          <w:lang w:bidi="ar-SA"/>
        </w:rPr>
        <w:t>فإذا طلب حقيقة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يرضى الطالب بتركه، فيستحيل أن يطلبه في بعض هذه الأيّام على وجه يرضى بتركه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اختلف حقيقة الواجب منه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يصير باعتبار اختلاف الحقيقة موضوعا لحكمين مختلفين، كنافلة الفجر مع قضاء الفريضة، أما لو كان حقيقة واحدة، و تعلّق أحد الحكمين به باعتبار وجوده في الخارج وجودا مغايرا لوجود ما تعلّق به الحكم الآخر، بأن يطلبه وجوبا و يطلب فردا آخر منه ندبا، كما لو أوجب صوم يوم غير معيّن و ندب صوم يوم آخر كذلك فأيّهما حصل متقدّما حصل الواجب، و ليس له أن ينوي بالأوّل الندب، لأنّ ما يقع منه أوّلا لا يجوز تركه لا 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كذلك، لأنّ المفروض عدم تغاير في حقيقتهما حتى يكون جواز الترك في أحدهما و عدمه في الآخر مستندا إلى اختلاف الحقيقة، مع أنّه لو فرض صحّة الامتثال للمندوب أولا لم يعقل بقاء الوجوب للثاني، لأن المطلوب وجوبا ماهيّة حصلت بالفرد الأوّل المأتي به ندبا، لأنّ المفروض اتحاد الحقيقة، فطلب الفرد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للحاصل، بخلاف ما لو امتثل الوجوب أوّلا فإنّه يتحقّق امتثال الندب</w:t>
      </w:r>
    </w:p>
    <w:p>
      <w:pPr>
        <w:pStyle w:val="BookText"/>
        <w:rPr/>
      </w:pPr>
      <w:r>
        <w:rPr>
          <w:rFonts w:ascii="Amiri" w:hAnsi="Amiri" w:eastAsia="Amiri" w:cs="Amiri"/>
          <w:color w:val="111111"/>
          <w:sz w:val="28"/>
          <w:sz w:val="28"/>
          <w:szCs w:val="28"/>
          <w:rtl w:val="true"/>
          <w:lang w:bidi="ar-SA"/>
        </w:rPr>
        <w:t xml:space="preserve">ثانيا و ليس طلبا للحاصل، لأنّ المطلوب ندبا في الحقيقة ليس هي الماهية من حيث هي، كيف و قد فرض اتّصافها بالوجوب، فتعيّن أن يكون المطلوب ندبا </w:t>
      </w:r>
      <w:r>
        <w:rPr>
          <w:rStyle w:val="FootnoteAnchor"/>
          <w:rtl w:val="true"/>
        </w:rPr>
        <w:footnoteReference w:id="1415"/>
      </w:r>
      <w:r>
        <w:rPr>
          <w:rFonts w:ascii="IRNazanin" w:hAnsi="IRNazanin" w:eastAsia="IRNazanin"/>
          <w:color w:val="111111"/>
          <w:sz w:val="28"/>
          <w:sz w:val="28"/>
          <w:szCs w:val="28"/>
          <w:rtl w:val="true"/>
          <w:lang w:bidi="fa-IR"/>
        </w:rPr>
        <w:t xml:space="preserve">الفرد الزائد على الفرد المحصّل للواجب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الفرد، و المفروض عدم حصوله فيطلب، و لا يمكن أن يعكس الأمر، فيطلب ندبا الماهية، و يطلب الزائد على الفرد المندوب وجوبا، لأنّه غير معقول مع فرض اتحاد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w:t>
      </w:r>
      <w:r>
        <w:rPr>
          <w:rStyle w:val="FootnoteAnchor"/>
          <w:rtl w:val="true"/>
        </w:rPr>
        <w:footnoteReference w:id="1417"/>
      </w:r>
      <w:r>
        <w:rPr>
          <w:rFonts w:ascii="Amiri" w:hAnsi="Amiri" w:eastAsia="Amiri" w:cs="Amiri"/>
          <w:color w:val="111111"/>
          <w:sz w:val="28"/>
          <w:sz w:val="28"/>
          <w:szCs w:val="28"/>
          <w:rtl w:val="true"/>
          <w:lang w:bidi="ar-SA"/>
        </w:rPr>
        <w:t>أنّ الاحتمالات المتصوّرة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الطلبين إلى الماهية من حيث هي، من غير ملاحظة تعدّد الوجود الخارجي، و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الندب إلى الماهية و الوجوب إلى الزيادة على ما يحصل به امتثال الندب، و قد عرفت أنّه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العكس، و هو المطلوب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اتحاد حقيقة الواجب و المندوب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معلوما، كفى احتماله من جهة الشك في ثبوت الطلب الندبي حينئذ، و عمومات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الوجوب التخييري في حقّ هذا المكلف الّذي وجب عليه الصوم،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أوّل خميس كلّ شهر</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لا يدلّ إلّا على مطلوبيّة إيقاع الماهيّة في هذا اليوم ندبا، و يمكن للمكلّف بقضاء رمضان إيقاع القضاء في هذا اليوم ليفوز بامتثال هذا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تلك الأوامر الندبيّة بالنسبة إليه راجعا إلى أفضل الفردين من الواجب التخييريّ، و بالنسبة</w:t>
      </w:r>
    </w:p>
    <w:p>
      <w:pPr>
        <w:pStyle w:val="BookText"/>
        <w:rPr/>
      </w:pPr>
      <w:r>
        <w:rPr>
          <w:rFonts w:ascii="Amiri" w:hAnsi="Amiri" w:eastAsia="Amiri" w:cs="Amiri"/>
          <w:color w:val="111111"/>
          <w:sz w:val="28"/>
          <w:sz w:val="28"/>
          <w:szCs w:val="28"/>
          <w:rtl w:val="true"/>
          <w:lang w:bidi="ar-SA"/>
        </w:rPr>
        <w:t>إلى غيره مستحبا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استعمالا للّفظ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غالب أدلّة الندب على وجه بيان الثواب و لا يفيد المطلوبية، فافهم و تأمّل</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bookmarkStart w:id="182" w:name="pg19900_214708"/>
    </w:p>
    <w:p>
      <w:pPr>
        <w:pStyle w:val="Heading3"/>
        <w:numPr>
          <w:ilvl w:val="2"/>
          <w:numId w:val="1"/>
        </w:numPr>
        <w:rPr/>
      </w:pPr>
      <w:bookmarkStart w:id="183" w:name="__RefHeading___Toc2061740_2314609296"/>
      <w:bookmarkStart w:id="184" w:name="_Toc69"/>
      <w:bookmarkEnd w:id="182"/>
      <w:bookmarkEnd w:id="183"/>
      <w:r>
        <w:rPr>
          <w:rtl w:val="true"/>
        </w:rPr>
        <w:t>[</w:t>
      </w:r>
      <w:r>
        <w:rPr>
          <w:rtl w:val="true"/>
        </w:rPr>
        <w:t xml:space="preserve">مسألة </w:t>
      </w:r>
      <w:r>
        <w:rPr/>
        <w:t>5</w:t>
      </w:r>
      <w:r>
        <w:rPr>
          <w:rtl w:val="true"/>
        </w:rPr>
        <w:t xml:space="preserve"> </w:t>
      </w:r>
      <w:r>
        <w:rPr>
          <w:rtl w:val="true"/>
        </w:rPr>
        <w:t>وجوب قضاء الصوم على من فاته صيام شهر رمضان</w:t>
      </w:r>
      <w:r>
        <w:rPr>
          <w:rtl w:val="true"/>
        </w:rPr>
        <w:t>]</w:t>
      </w:r>
      <w:bookmarkEnd w:id="1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الظاهر أنّه لا خلاف في أنّ من فاته صيام شهر رمضان لعذر، أو أفسده أو تركه عمدا أو سهوا فعليه القضاء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لهذا الأصل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لِتُكْمِلُوا الْعِدَّةَ </w:t>
      </w:r>
      <w:r>
        <w:rPr>
          <w:rStyle w:val="FootnoteAnchor"/>
          <w:rtl w:val="true"/>
        </w:rPr>
        <w:footnoteReference w:id="1421"/>
      </w:r>
      <w:r>
        <w:rPr>
          <w:rFonts w:ascii="Amiri" w:hAnsi="Amiri" w:eastAsia="Amiri" w:cs="Amiri"/>
          <w:color w:val="111111"/>
          <w:sz w:val="28"/>
          <w:sz w:val="28"/>
          <w:szCs w:val="28"/>
          <w:rtl w:val="true"/>
          <w:lang w:bidi="ar-SA"/>
        </w:rPr>
        <w:t>دلّت الآية على أنّ اللّٰه سبحانه يريد إكمال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أيّام رمضان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على الرجل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شهر رمضان فليقضه في أيّ الشهور شاء</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بناء على أنّه يصدق على كلّ تارك أنّه عليه شي‌ء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ذلك مع ثبوت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من جهة صدق ذلك عرفا و إن لم يجب القضاء، و لذا شاع في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لا يقضى صوم كذا، لأنّ عدم القضاء إنّما يصدق فيما من شأنه وجوب القضاء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الدين على الصوم في بعض موارد أسئلة الأخبار،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و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أو صيام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 ففي الاستدلال بالرواية إشكال، من جهة ظهورها في صورة الاشتغال الفعلي، فحاصلها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اشتغل ذمته بالصوم فليقضه في أي شهر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بقوله عليه السلام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شهر رمضان في عذر، فإن قضاه متتابعا فهو أفضل، و إن قضاء متفرّقا فحسن</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تخيير كلّ من أفطر لعذر بين تفريق القضاء و تتابعه، فدلّ على وجوب أصل القضاء على كلّ مفطر لعذر، و يلحقه المتعمّد في الإفطار بالإجماع القطعي، و خصوص الأخبار التي مضت في وجوب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الرواية </w:t>
      </w:r>
      <w:r>
        <w:rPr>
          <w:rStyle w:val="FootnoteAnchor"/>
          <w:rtl w:val="true"/>
        </w:rPr>
        <w:footnoteReference w:id="1426"/>
      </w:r>
      <w:r>
        <w:rPr>
          <w:rFonts w:ascii="Amiri" w:hAnsi="Amiri" w:eastAsia="Amiri" w:cs="Amiri"/>
          <w:color w:val="111111"/>
          <w:sz w:val="28"/>
          <w:sz w:val="28"/>
          <w:szCs w:val="28"/>
          <w:rtl w:val="true"/>
          <w:lang w:bidi="ar-SA"/>
        </w:rPr>
        <w:t>إنّما تدل على صورة تحقّق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عنوان الإفطار غير عنوان الإفساد، كما إذا نوى الإفطار بناء على فساد الصوم به </w:t>
      </w:r>
      <w:r>
        <w:rPr>
          <w:rStyle w:val="FootnoteAnchor"/>
          <w:rtl w:val="true"/>
        </w:rPr>
        <w:footnoteReference w:id="1427"/>
      </w:r>
      <w:r>
        <w:rPr>
          <w:rFonts w:ascii="Amiri" w:hAnsi="Amiri" w:eastAsia="Amiri" w:cs="Amiri"/>
          <w:color w:val="111111"/>
          <w:sz w:val="28"/>
          <w:sz w:val="28"/>
          <w:szCs w:val="28"/>
          <w:rtl w:val="true"/>
          <w:lang w:bidi="ar-SA"/>
        </w:rPr>
        <w:t xml:space="preserve">و كذا عنوان عدم الصوم أو تركه لأجل الإخلال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بعد الزوال</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يتناول مفطرا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يرد على الاستدلال بمثل التعليل 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w:t>
      </w:r>
    </w:p>
    <w:p>
      <w:pPr>
        <w:pStyle w:val="BookText"/>
        <w:rPr/>
      </w:pPr>
      <w:r>
        <w:rPr>
          <w:rFonts w:ascii="Amiri" w:hAnsi="Amiri" w:eastAsia="Amiri" w:cs="Amiri"/>
          <w:color w:val="111111"/>
          <w:sz w:val="28"/>
          <w:sz w:val="28"/>
          <w:szCs w:val="28"/>
          <w:rtl w:val="true"/>
          <w:lang w:bidi="ar-SA"/>
        </w:rPr>
        <w:t>مسألة الإفطار بظنّ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الذي أفطر قضاء ذلك اليوم، إنّ اللّٰه عز و جل يقول ثُمَّ أَتِمُّوا الصِّيٰامَ إِلَى اللَّيْلِ </w:t>
      </w:r>
      <w:r>
        <w:rPr>
          <w:rStyle w:val="FootnoteAnchor"/>
          <w:rtl w:val="true"/>
        </w:rPr>
        <w:footnoteReference w:id="1429"/>
      </w:r>
      <w:r>
        <w:rPr>
          <w:rFonts w:ascii="Amiri" w:hAnsi="Amiri" w:eastAsia="Amiri" w:cs="Amiri"/>
          <w:color w:val="111111"/>
          <w:sz w:val="28"/>
          <w:sz w:val="28"/>
          <w:szCs w:val="28"/>
          <w:rtl w:val="true"/>
          <w:lang w:bidi="ar-SA"/>
        </w:rPr>
        <w:t>فمن أكل قبل أن يدخل الليل فعليه القضاء، لأنّه أكل متعمّدا</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لفظ الفريضة للصوم نظر، بل الظاهر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بملاحظة تقييد القضاء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لا غير، و لذا اشتهر الاستدلال بها لوجوب مراعاة الترتيب بين الفوائت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صرّحوا في الصوم بعدم وجوب الترتيب بل استشكل بعضهم في استحبابه و لم يلتفت أحد منهم إلى ملاحظة هذه الرواية الظاهرة في وجوب الترتيب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bookmarkStart w:id="185" w:name="pg19900_214711"/>
    </w:p>
    <w:p>
      <w:pPr>
        <w:pStyle w:val="Heading3"/>
        <w:numPr>
          <w:ilvl w:val="2"/>
          <w:numId w:val="1"/>
        </w:numPr>
        <w:rPr/>
      </w:pPr>
      <w:bookmarkStart w:id="186" w:name="__RefHeading___Toc2061742_2314609296"/>
      <w:bookmarkStart w:id="187" w:name="_Toc70"/>
      <w:bookmarkEnd w:id="185"/>
      <w:bookmarkEnd w:id="186"/>
      <w:r>
        <w:rPr>
          <w:rtl w:val="true"/>
        </w:rPr>
        <w:t>[</w:t>
      </w:r>
      <w:r>
        <w:rPr>
          <w:rtl w:val="true"/>
        </w:rPr>
        <w:t xml:space="preserve">مسألة </w:t>
      </w:r>
      <w:r>
        <w:rPr/>
        <w:t>6</w:t>
      </w:r>
      <w:r>
        <w:rPr>
          <w:rtl w:val="true"/>
        </w:rPr>
        <w:t xml:space="preserve"> </w:t>
      </w:r>
      <w:r>
        <w:rPr>
          <w:rtl w:val="true"/>
        </w:rPr>
        <w:t>عدم وجوب الفوريّة في قضاء رمضان</w:t>
      </w:r>
      <w:r>
        <w:rPr>
          <w:rtl w:val="true"/>
        </w:rPr>
        <w:t>]</w:t>
      </w:r>
      <w:bookmarkEnd w:id="1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وجوب الفوريّة في قضاء رمضان، خلافا للمحكيّ عن ظاهر كلام أبي الصلاح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جواز التأخير جميع ما دلّ على جواز التفريق في القضاء </w:t>
      </w:r>
      <w:r>
        <w:rPr>
          <w:rStyle w:val="FootnoteAnchor"/>
          <w:rtl w:val="true"/>
        </w:rPr>
        <w:footnoteReference w:id="1434"/>
      </w:r>
      <w:r>
        <w:rPr>
          <w:rFonts w:ascii="Amiri" w:hAnsi="Amiri" w:eastAsia="Amiri" w:cs="Amiri"/>
          <w:color w:val="111111"/>
          <w:sz w:val="28"/>
          <w:sz w:val="28"/>
          <w:szCs w:val="28"/>
          <w:rtl w:val="true"/>
          <w:lang w:bidi="ar-SA"/>
        </w:rPr>
        <w:t xml:space="preserve">و ما دلّ على جواز التأخير إلى ذي الحجّة </w:t>
      </w:r>
      <w:r>
        <w:rPr>
          <w:rStyle w:val="FootnoteAnchor"/>
          <w:rtl w:val="true"/>
        </w:rPr>
        <w:footnoteReference w:id="1435"/>
      </w:r>
      <w:r>
        <w:rPr>
          <w:rFonts w:ascii="Amiri" w:hAnsi="Amiri" w:eastAsia="Amiri" w:cs="Amiri"/>
          <w:color w:val="111111"/>
          <w:sz w:val="28"/>
          <w:sz w:val="28"/>
          <w:szCs w:val="28"/>
          <w:rtl w:val="true"/>
          <w:lang w:bidi="ar-SA"/>
        </w:rPr>
        <w:t xml:space="preserve">، و على تأخير نساء النبيّ صلّى اللّٰه عليه و آله و سلم صيامهنّ إلى شعبان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الترتيب فالظاهر عدم اعتباره أيضا، و في كلام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فيه خلافا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أصالة البراءة و عموم أدلّة القضاء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بالفوريّة توجّه القول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كلّ يوم إنّما</w:t>
      </w:r>
    </w:p>
    <w:p>
      <w:pPr>
        <w:pStyle w:val="BookText"/>
        <w:rPr/>
      </w:pPr>
      <w:r>
        <w:rPr>
          <w:rFonts w:ascii="Amiri" w:hAnsi="Amiri" w:eastAsia="Amiri" w:cs="Amiri"/>
          <w:color w:val="111111"/>
          <w:sz w:val="28"/>
          <w:sz w:val="28"/>
          <w:szCs w:val="28"/>
          <w:rtl w:val="true"/>
          <w:lang w:bidi="ar-SA"/>
        </w:rPr>
        <w:t>تشتغل الذمة بقضائه في أوّل يوم من أيّام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الترتيب، فهل يؤثّر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انكشف صحّة صوم اليوم الّذي قضاه، فهل يجوز إفطاره بعد الزوال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النيّة،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امرء ما نوى</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و منه يظهر أنّه لا يجوز جعله ليوم آخر بعد الانكشاف</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ينو </w:t>
      </w:r>
      <w:r>
        <w:rPr>
          <w:rStyle w:val="FootnoteAnchor"/>
          <w:rtl w:val="true"/>
        </w:rPr>
        <w:footnoteReference w:id="1439"/>
      </w:r>
      <w:r>
        <w:rPr>
          <w:rFonts w:ascii="Amiri" w:hAnsi="Amiri" w:eastAsia="Amiri" w:cs="Amiri"/>
          <w:color w:val="111111"/>
          <w:sz w:val="28"/>
          <w:sz w:val="28"/>
          <w:szCs w:val="28"/>
          <w:rtl w:val="true"/>
          <w:lang w:bidi="ar-SA"/>
        </w:rPr>
        <w:t xml:space="preserve">فصام أيّاما فاتّفق بعضها مطابقا لليوم الّذي ظهر صحّته، فيكون بدلا عن يوم آخر، فينطبق المقضيّ على ما في الذمّة حتى على القول بالترتيب، لا أنّه يقع المطابق مندوبا أو لغوا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bookmarkStart w:id="188" w:name="pg19900_214713"/>
    </w:p>
    <w:p>
      <w:pPr>
        <w:pStyle w:val="Heading3"/>
        <w:numPr>
          <w:ilvl w:val="2"/>
          <w:numId w:val="1"/>
        </w:numPr>
        <w:rPr/>
      </w:pPr>
      <w:bookmarkStart w:id="189" w:name="__RefHeading___Toc2061744_2314609296"/>
      <w:bookmarkStart w:id="190" w:name="_Toc71"/>
      <w:bookmarkEnd w:id="188"/>
      <w:bookmarkEnd w:id="189"/>
      <w:r>
        <w:rPr>
          <w:rtl w:val="true"/>
        </w:rPr>
        <w:t>[</w:t>
      </w:r>
      <w:r>
        <w:rPr>
          <w:rtl w:val="true"/>
        </w:rPr>
        <w:t xml:space="preserve">مسألة </w:t>
      </w:r>
      <w:r>
        <w:rPr/>
        <w:t>7</w:t>
      </w:r>
      <w:r>
        <w:rPr>
          <w:rtl w:val="true"/>
        </w:rPr>
        <w:t xml:space="preserve"> </w:t>
      </w:r>
      <w:r>
        <w:rPr>
          <w:rtl w:val="true"/>
        </w:rPr>
        <w:t>من فاته شهر رمضان لمرض أو دم، فإن مات قبل البرء و الطهر فلا قضاء عنه</w:t>
      </w:r>
      <w:r>
        <w:rPr>
          <w:rtl w:val="true"/>
        </w:rPr>
        <w:t>]</w:t>
      </w:r>
      <w:bookmarkEnd w:id="1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شهر رمضان لمرض أو دم، فإن مات قبل البرء و الطهر فلا قضاء عنه إجماعا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1441"/>
      </w:r>
      <w:r>
        <w:rPr>
          <w:rFonts w:ascii="IRNazanin" w:hAnsi="IRNazanin" w:eastAsia="IRNazanin"/>
          <w:color w:val="111111"/>
          <w:sz w:val="28"/>
          <w:sz w:val="28"/>
          <w:szCs w:val="28"/>
          <w:rtl w:val="true"/>
          <w:lang w:bidi="fa-IR"/>
        </w:rPr>
        <w:t xml:space="preserve">و عند </w:t>
      </w:r>
      <w:r>
        <w:rPr>
          <w:rStyle w:val="FootnoteAnchor"/>
          <w:rtl w:val="true"/>
        </w:rPr>
        <w:footnoteReference w:id="1442"/>
      </w:r>
      <w:r>
        <w:rPr>
          <w:rFonts w:ascii="Amiri" w:hAnsi="Amiri" w:eastAsia="Amiri" w:cs="Amiri"/>
          <w:color w:val="111111"/>
          <w:sz w:val="28"/>
          <w:sz w:val="28"/>
          <w:szCs w:val="28"/>
          <w:rtl w:val="true"/>
          <w:lang w:bidi="ar-SA"/>
        </w:rPr>
        <w:t>العلماء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Style w:val="FootnoteAnchor"/>
          <w:rtl w:val="true"/>
        </w:rPr>
        <w:footnoteReference w:id="1443"/>
      </w:r>
      <w:r>
        <w:rPr>
          <w:rFonts w:ascii="IRNazanin" w:hAnsi="IRNazanin" w:eastAsia="IRNazanin"/>
          <w:color w:val="111111"/>
          <w:sz w:val="28"/>
          <w:sz w:val="28"/>
          <w:szCs w:val="28"/>
          <w:rtl w:val="true"/>
          <w:lang w:bidi="fa-IR"/>
        </w:rPr>
        <w:t>عن المنتهى</w:t>
      </w:r>
      <w:r>
        <w:rPr>
          <w:rFonts w:eastAsia="IRNazanin" w:cs="IRNazanin"/>
          <w:color w:val="111111"/>
          <w:sz w:val="28"/>
          <w:szCs w:val="28"/>
          <w:rtl w:val="true"/>
          <w:lang w:bidi="fa-IR"/>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و يدلّ عليه الأخبار المستفيضة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بعد البرء و الطهر لكن لم يتمكّن لمانع آخر، فالظاهر إلحاقه بمن مات في المرض أو الدم، 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أنّ القضاء على الوليّ مشروط بتمكّن المكلّف من القضاء و استقراره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 يدلّ على المطلوب </w:t>
      </w:r>
      <w:r>
        <w:rPr>
          <w:rStyle w:val="FootnoteAnchor"/>
          <w:rtl w:val="true"/>
        </w:rPr>
        <w:footnoteReference w:id="1447"/>
      </w:r>
      <w:r>
        <w:rPr>
          <w:rFonts w:ascii="Amiri" w:hAnsi="Amiri" w:eastAsia="Amiri" w:cs="Amiri"/>
          <w:color w:val="111111"/>
          <w:sz w:val="28"/>
          <w:sz w:val="28"/>
          <w:szCs w:val="28"/>
          <w:rtl w:val="true"/>
          <w:lang w:bidi="ar-SA"/>
        </w:rPr>
        <w:t>رواية أبي بصير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يقضى </w:t>
      </w:r>
      <w:r>
        <w:rPr>
          <w:rStyle w:val="FootnoteAnchor"/>
          <w:rtl w:val="true"/>
        </w:rPr>
        <w:footnoteReference w:id="1448"/>
      </w:r>
      <w:r>
        <w:rPr>
          <w:rFonts w:ascii="Amiri" w:hAnsi="Amiri" w:eastAsia="Amiri" w:cs="Amiri"/>
          <w:color w:val="111111"/>
          <w:sz w:val="28"/>
          <w:sz w:val="28"/>
          <w:szCs w:val="28"/>
          <w:rtl w:val="true"/>
          <w:lang w:bidi="ar-SA"/>
        </w:rPr>
        <w:t>عنها، فإنّ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 قد أوصتني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ما لم يجعله اللّٰه عليها؟ فان اشتهيت أن تصوم لنفسك فصم</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بظاهرها على سقوط القضاء عن كلّ ميّت لم يجعل القضاء عليه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لاستمرار عذره الّذي مات فيه أو لطروّ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مات، و إن لم يمت، فإن استمرّ به المرض إلى رمضان المقبل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1450"/>
      </w:r>
      <w:r>
        <w:rPr>
          <w:rFonts w:ascii="IRNazanin" w:hAnsi="IRNazanin" w:eastAsia="IRNazanin"/>
          <w:color w:val="111111"/>
          <w:sz w:val="28"/>
          <w:sz w:val="28"/>
          <w:szCs w:val="28"/>
          <w:rtl w:val="true"/>
          <w:lang w:bidi="fa-IR"/>
        </w:rPr>
        <w:t xml:space="preserve">و الحدائق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القضاء عنه و وجوب الفدية عليه، و يدلّ عليه الأخبار الكثيرة، كصحيحة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يمرض ثم يدرك شهر رمضان و يخرج عنه و هو مريض فلا يصحّ حتى يدركه شهر رمضان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الأوّل و يصوم الثاني، و إن كان صحّ فيما بينهما و لم يصم حتى أدركه شهر رمضان آخر صامهما جميعا و تصدّق عن الأوّل</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حسنة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p>
    <w:p>
      <w:pPr>
        <w:pStyle w:val="BookText"/>
        <w:rPr/>
      </w:pPr>
      <w:r>
        <w:rPr>
          <w:rFonts w:ascii="Amiri" w:hAnsi="Amiri" w:eastAsia="Amiri" w:cs="Amiri"/>
          <w:color w:val="111111"/>
          <w:sz w:val="28"/>
          <w:sz w:val="28"/>
          <w:szCs w:val="28"/>
          <w:rtl w:val="true"/>
          <w:lang w:bidi="ar-SA"/>
        </w:rPr>
        <w:t>قد برء ثم توانى قبل أن يدركه شهر رمضان آخر صام الّذي أدركه و تصدّق عن كلّ يوم بمدّ من طعام على مسكين، و عليه صيامه، و إن كان لم يزل مريضا حتى أدركه رمضان آخر صام الذي أدرك و تصدّق عن الأوّل لكلّ يوم بمدّ من طعام على مسكين، و ليس عليه قضاء</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بابويه </w:t>
      </w:r>
      <w:r>
        <w:rPr>
          <w:rStyle w:val="FootnoteAnchor"/>
          <w:rtl w:val="true"/>
        </w:rPr>
        <w:footnoteReference w:id="1454"/>
      </w:r>
      <w:r>
        <w:rPr>
          <w:rFonts w:ascii="Amiri" w:hAnsi="Amiri" w:eastAsia="Amiri" w:cs="Amiri"/>
          <w:color w:val="111111"/>
          <w:sz w:val="28"/>
          <w:sz w:val="28"/>
          <w:szCs w:val="28"/>
          <w:rtl w:val="true"/>
          <w:lang w:bidi="ar-SA"/>
        </w:rPr>
        <w:t xml:space="preserve">و ابن أبي عقيل </w:t>
      </w:r>
      <w:r>
        <w:rPr>
          <w:rStyle w:val="FootnoteAnchor"/>
          <w:rtl w:val="true"/>
        </w:rPr>
        <w:footnoteReference w:id="1455"/>
      </w:r>
      <w:r>
        <w:rPr>
          <w:rFonts w:ascii="Amiri" w:hAnsi="Amiri" w:eastAsia="Amiri" w:cs="Amiri"/>
          <w:color w:val="111111"/>
          <w:sz w:val="28"/>
          <w:sz w:val="28"/>
          <w:szCs w:val="28"/>
          <w:rtl w:val="true"/>
          <w:lang w:bidi="ar-SA"/>
        </w:rPr>
        <w:t xml:space="preserve">و الحلّي من وجوب القضاء من غير فدية </w:t>
      </w:r>
      <w:r>
        <w:rPr>
          <w:rStyle w:val="FootnoteAnchor"/>
          <w:rtl w:val="true"/>
        </w:rPr>
        <w:footnoteReference w:id="1456"/>
      </w:r>
      <w:r>
        <w:rPr>
          <w:rFonts w:ascii="IRNazanin" w:hAnsi="IRNazanin" w:eastAsia="IRNazanin"/>
          <w:color w:val="111111"/>
          <w:sz w:val="28"/>
          <w:sz w:val="28"/>
          <w:szCs w:val="28"/>
          <w:rtl w:val="true"/>
          <w:lang w:bidi="fa-IR"/>
        </w:rPr>
        <w:t xml:space="preserve">و عن المنتهى </w:t>
      </w:r>
      <w:r>
        <w:rPr>
          <w:rStyle w:val="FootnoteAnchor"/>
          <w:rtl w:val="true"/>
        </w:rPr>
        <w:footnoteReference w:id="1457"/>
      </w:r>
      <w:r>
        <w:rPr>
          <w:rFonts w:ascii="Amiri" w:hAnsi="Amiri" w:eastAsia="Amiri" w:cs="Amiri"/>
          <w:color w:val="111111"/>
          <w:sz w:val="28"/>
          <w:sz w:val="28"/>
          <w:szCs w:val="28"/>
          <w:rtl w:val="true"/>
          <w:lang w:bidi="ar-SA"/>
        </w:rPr>
        <w:t xml:space="preserve">و التحرير </w:t>
      </w:r>
      <w:r>
        <w:rPr>
          <w:rStyle w:val="FootnoteAnchor"/>
          <w:rtl w:val="true"/>
        </w:rPr>
        <w:footnoteReference w:id="1458"/>
      </w:r>
      <w:r>
        <w:rPr>
          <w:rFonts w:ascii="Amiri" w:hAnsi="Amiri" w:eastAsia="Amiri" w:cs="Amiri"/>
          <w:color w:val="111111"/>
          <w:sz w:val="28"/>
          <w:sz w:val="28"/>
          <w:szCs w:val="28"/>
          <w:rtl w:val="true"/>
          <w:lang w:bidi="ar-SA"/>
        </w:rPr>
        <w:t xml:space="preserve">تقويته، لظاهر قوله تعالى فَمَنْ كٰانَ مِنْكُمْ مَرِيضاً أَوْ عَلىٰ سَفَرٍ فَعِدَّةٌ مِنْ أَيّٰامٍ أُخَرَ </w:t>
      </w:r>
      <w:r>
        <w:rPr>
          <w:rStyle w:val="FootnoteAnchor"/>
          <w:rtl w:val="true"/>
        </w:rPr>
        <w:footnoteReference w:id="1459"/>
      </w:r>
      <w:r>
        <w:rPr>
          <w:rFonts w:ascii="Amiri" w:hAnsi="Amiri" w:eastAsia="Amiri" w:cs="Amiri"/>
          <w:color w:val="111111"/>
          <w:sz w:val="28"/>
          <w:sz w:val="28"/>
          <w:szCs w:val="28"/>
          <w:rtl w:val="true"/>
          <w:lang w:bidi="ar-SA"/>
        </w:rPr>
        <w:t>و هو ضعيف لوجوب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التمسك بالإطلاق و عدم دعوى وروده مورد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برء من المرض و حدث </w:t>
      </w:r>
      <w:r>
        <w:rPr>
          <w:rStyle w:val="FootnoteAnchor"/>
          <w:rtl w:val="true"/>
        </w:rPr>
        <w:footnoteReference w:id="1460"/>
      </w:r>
      <w:r>
        <w:rPr>
          <w:rFonts w:ascii="Amiri" w:hAnsi="Amiri" w:eastAsia="Amiri" w:cs="Amiri"/>
          <w:color w:val="111111"/>
          <w:sz w:val="28"/>
          <w:sz w:val="28"/>
          <w:szCs w:val="28"/>
          <w:rtl w:val="true"/>
          <w:lang w:bidi="ar-SA"/>
        </w:rPr>
        <w:t>عذر آخر مانع عن القضاء، فلا يبعد إلحاقه باستمرار المرض، و يدلّ عليه ما عن الصدوق في 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عن مولانا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الرجل أو سافر في شهر رمضان فلم يخرج من سفره أو لم يفق من مرضه</w:t>
      </w:r>
    </w:p>
    <w:p>
      <w:pPr>
        <w:pStyle w:val="BookText"/>
        <w:rPr/>
      </w:pPr>
      <w:r>
        <w:rPr>
          <w:rFonts w:ascii="Amiri" w:hAnsi="Amiri" w:eastAsia="Amiri" w:cs="Amiri"/>
          <w:color w:val="111111"/>
          <w:sz w:val="28"/>
          <w:sz w:val="28"/>
          <w:szCs w:val="28"/>
          <w:rtl w:val="true"/>
          <w:lang w:bidi="ar-SA"/>
        </w:rPr>
        <w:t xml:space="preserve">حتّى يدخل عليه شهر رمضان آخر وجب عليه الفداء للأوّل و سقط القضاء، و إذا أفاق بينهما أو أقام و لم يقضه وجب عليه القضاء و الفداء، لأنّ ذلك الصوم إنّما وجب عليه في تلك السنة في هذا الشهر، و أمّا الذي لم يفق فإنّه لمّا مرّ عليه السنة كلّها و قد غلب اللّٰه عليه و لم يجعل له السبيل إلى أدائها سقط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كلّما غلب اللّٰه عليه</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مثل المغمى عليه في يوم و ليلة، فلا يجب عليه قضاء الصلاة كما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اللّٰه على العبد فهو أعذر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هذه الرواية يستفاد حكم ما لو كان المسوّغ للإفطار غير المرض كالسفر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موجب القضاء في شهر رمضان و العذر المسقط لقضائه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حكم الرمضان الثاني حكم الأوّل في سقوط القضاء إذا استمرّ به المرض إلى الثالث، لا أنّه يقضي بعد الثالث، خلافا للمحكيّ عن المقنع </w:t>
      </w:r>
      <w:r>
        <w:rPr>
          <w:rStyle w:val="FootnoteAnchor"/>
          <w:rtl w:val="true"/>
        </w:rPr>
        <w:footnoteReference w:id="1463"/>
      </w:r>
      <w:r>
        <w:rPr>
          <w:rFonts w:ascii="Amiri" w:hAnsi="Amiri" w:eastAsia="Amiri" w:cs="Amiri"/>
          <w:color w:val="111111"/>
          <w:sz w:val="28"/>
          <w:sz w:val="28"/>
          <w:szCs w:val="28"/>
          <w:rtl w:val="true"/>
          <w:lang w:bidi="ar-SA"/>
        </w:rPr>
        <w:t xml:space="preserve">و متن عبارة الفقه الرضوي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برء بين الرمضانين و تمكّن من القضاء فتركه، فإن كان مع العزم على الترك أو التردّد فيه، فالمشهور وجوب القضاء و الكفّارة، لما تقدّم من الأخبار، خلافا للمحكي عن الحلّي </w:t>
      </w:r>
      <w:r>
        <w:rPr>
          <w:rStyle w:val="FootnoteAnchor"/>
          <w:rtl w:val="true"/>
        </w:rPr>
        <w:footnoteReference w:id="1465"/>
      </w:r>
      <w:r>
        <w:rPr>
          <w:rFonts w:ascii="Amiri" w:hAnsi="Amiri" w:eastAsia="Amiri" w:cs="Amiri"/>
          <w:color w:val="111111"/>
          <w:sz w:val="28"/>
          <w:sz w:val="28"/>
          <w:szCs w:val="28"/>
          <w:rtl w:val="true"/>
          <w:lang w:bidi="ar-SA"/>
        </w:rPr>
        <w:t xml:space="preserve">فلم يوجب الكفارة لمرسلة سعد بن سعد </w:t>
      </w:r>
      <w:r>
        <w:rPr>
          <w:rStyle w:val="FootnoteAnchor"/>
          <w:rtl w:val="true"/>
        </w:rPr>
        <w:footnoteReference w:id="1466"/>
      </w:r>
      <w:r>
        <w:rPr>
          <w:rFonts w:ascii="Amiri" w:hAnsi="Amiri" w:eastAsia="Amiri" w:cs="Amiri"/>
          <w:color w:val="111111"/>
          <w:sz w:val="28"/>
          <w:sz w:val="28"/>
          <w:szCs w:val="28"/>
          <w:rtl w:val="true"/>
          <w:lang w:bidi="ar-SA"/>
        </w:rPr>
        <w:t>الضعيفة</w:t>
      </w:r>
    </w:p>
    <w:p>
      <w:pPr>
        <w:pStyle w:val="BookText"/>
        <w:rPr/>
      </w:pPr>
      <w:r>
        <w:rPr>
          <w:rFonts w:ascii="Amiri" w:hAnsi="Amiri" w:eastAsia="Amiri" w:cs="Amiri"/>
          <w:color w:val="111111"/>
          <w:sz w:val="28"/>
          <w:sz w:val="28"/>
          <w:szCs w:val="28"/>
          <w:rtl w:val="true"/>
          <w:lang w:bidi="ar-SA"/>
        </w:rPr>
        <w:t>سندا و دلالة باحتمال حملها على صورة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المتقدم بعضها تردّه، و من هنا حكي عن المحقّق قدّس سرّه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بهذا الخلاف</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عزم على الفعل و اتّفق المانع ففي وجوب الكفّارة خلاف، فالمحكيّ عن إطلاق كلام ابن بابويه </w:t>
      </w:r>
      <w:r>
        <w:rPr>
          <w:rStyle w:val="FootnoteAnchor"/>
          <w:rtl w:val="true"/>
        </w:rPr>
        <w:footnoteReference w:id="1468"/>
      </w:r>
      <w:r>
        <w:rPr>
          <w:rFonts w:ascii="Amiri" w:hAnsi="Amiri" w:eastAsia="Amiri" w:cs="Amiri"/>
          <w:color w:val="111111"/>
          <w:sz w:val="28"/>
          <w:sz w:val="28"/>
          <w:szCs w:val="28"/>
          <w:rtl w:val="true"/>
          <w:lang w:bidi="ar-SA"/>
        </w:rPr>
        <w:t xml:space="preserve">و العماني </w:t>
      </w:r>
      <w:r>
        <w:rPr>
          <w:rStyle w:val="FootnoteAnchor"/>
          <w:rtl w:val="true"/>
        </w:rPr>
        <w:footnoteReference w:id="1469"/>
      </w:r>
      <w:r>
        <w:rPr>
          <w:rFonts w:ascii="Amiri" w:hAnsi="Amiri" w:eastAsia="Amiri" w:cs="Amiri"/>
          <w:color w:val="111111"/>
          <w:sz w:val="28"/>
          <w:sz w:val="28"/>
          <w:szCs w:val="28"/>
          <w:rtl w:val="true"/>
          <w:lang w:bidi="ar-SA"/>
        </w:rPr>
        <w:t>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صحّ فيما بينهما و لم يقض وجب القضاء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صدق التواني إذا صحّ و لم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اعتمادا على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تعليل وجوب الكفّارة في صورة التواني في رواية أبي بصير المحكيّة عن </w:t>
      </w:r>
      <w:r>
        <w:rPr>
          <w:rStyle w:val="FootnoteAnchor"/>
          <w:rtl w:val="true"/>
        </w:rPr>
        <w:footnoteReference w:id="1471"/>
      </w:r>
      <w:r>
        <w:rPr>
          <w:rFonts w:ascii="Amiri" w:hAnsi="Amiri" w:eastAsia="Amiri" w:cs="Amiri"/>
          <w:color w:val="111111"/>
          <w:sz w:val="28"/>
          <w:sz w:val="28"/>
          <w:szCs w:val="28"/>
          <w:rtl w:val="true"/>
          <w:lang w:bidi="ar-SA"/>
        </w:rPr>
        <w:t>تفسير العياشي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أنّه ضيّع ذلك الصيام</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لأنّ المراد من التضييع ما يشمل مثل اقتراح التأخير مع القدرة على التعجيل، كما أطلق التضييع و التقصير و التفريط في تعليل وجوب القضاء على الحائض للصلاة الّتي دخل وقتها و لم تصلّها فاتّفق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ظاهر روايتي العلل و العيون </w:t>
      </w:r>
      <w:r>
        <w:rPr>
          <w:rStyle w:val="FootnoteAnchor"/>
          <w:rtl w:val="true"/>
        </w:rPr>
        <w:footnoteReference w:id="1473"/>
      </w:r>
      <w:r>
        <w:rPr>
          <w:rFonts w:ascii="Amiri" w:hAnsi="Amiri" w:eastAsia="Amiri" w:cs="Amiri"/>
          <w:color w:val="111111"/>
          <w:sz w:val="28"/>
          <w:sz w:val="28"/>
          <w:szCs w:val="28"/>
          <w:rtl w:val="true"/>
          <w:lang w:bidi="ar-SA"/>
        </w:rPr>
        <w:t>المعلّلتين لوجوب الجمع بين القضاء و الفداء بمجرّد الترك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أبيت عن ذلك كلّه وجب الرجوع إلى إطلاق صحيحة زرارة المتقدّمة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في المسالك </w:t>
      </w:r>
      <w:r>
        <w:rPr>
          <w:rStyle w:val="FootnoteAnchor"/>
          <w:rtl w:val="true"/>
        </w:rPr>
        <w:footnoteReference w:id="1474"/>
      </w:r>
      <w:r>
        <w:rPr>
          <w:rFonts w:ascii="Amiri" w:hAnsi="Amiri" w:eastAsia="Amiri" w:cs="Amiri"/>
          <w:color w:val="111111"/>
          <w:sz w:val="28"/>
          <w:sz w:val="28"/>
          <w:szCs w:val="28"/>
          <w:rtl w:val="true"/>
          <w:lang w:bidi="ar-SA"/>
        </w:rPr>
        <w:t>عن المشهور من تفسيرهم التواني بغير</w:t>
      </w:r>
    </w:p>
    <w:p>
      <w:pPr>
        <w:pStyle w:val="BookText"/>
        <w:rPr/>
      </w:pPr>
      <w:r>
        <w:rPr>
          <w:rFonts w:ascii="Amiri" w:hAnsi="Amiri" w:eastAsia="Amiri" w:cs="Amiri"/>
          <w:color w:val="111111"/>
          <w:sz w:val="28"/>
          <w:sz w:val="28"/>
          <w:szCs w:val="28"/>
          <w:rtl w:val="true"/>
          <w:lang w:bidi="ar-SA"/>
        </w:rPr>
        <w:t xml:space="preserve">العازم على القضاء الظاهر في أنّ العازم غير متهاون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أورد ناسخا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العبارة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الصحيحة المتقدمة و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هذا التعليل لا يناسب ما تقدّم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التفت الى هذا النقص ناسخا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فتركا بعد هذه العبارة بياضا في النسختين، و كتب 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اني رأيت صفحة منقطعة من الأوراق مناسبة للمسألة فكتبتها هنا هكذا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المتقدّمة </w:t>
      </w:r>
      <w:r>
        <w:rPr>
          <w:rStyle w:val="FootnoteAnchor"/>
          <w:rtl w:val="true"/>
        </w:rPr>
        <w:footnoteReference w:id="1475"/>
      </w:r>
      <w:r>
        <w:rPr>
          <w:rFonts w:ascii="Amiri" w:hAnsi="Amiri" w:eastAsia="Amiri" w:cs="Amiri"/>
          <w:color w:val="111111"/>
          <w:sz w:val="28"/>
          <w:sz w:val="28"/>
          <w:szCs w:val="28"/>
          <w:rtl w:val="true"/>
          <w:lang w:bidi="ar-SA"/>
        </w:rPr>
        <w:t xml:space="preserve">و رواية حمّاد </w:t>
      </w:r>
      <w:r>
        <w:rPr>
          <w:rStyle w:val="FootnoteAnchor"/>
          <w:rtl w:val="true"/>
        </w:rPr>
        <w:footnoteReference w:id="1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ظاهرهما أنه لا يجب القضاء إلّا على الرجال، و يحتمل أن يراد ترجيح الرجال مع وجودهم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 أقرب إلى الميّت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يقضى عن المرأة؟ </w:t>
      </w:r>
      <w:r>
        <w:rPr>
          <w:rStyle w:val="FootnoteAnchor"/>
          <w:rtl w:val="true"/>
        </w:rPr>
        <w:footnoteReference w:id="1477"/>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لمصحّحة أبي حمزة،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مرضت في شهر رمضان أو طمثت أو سافرت فماتت قبل خروج شهر رمضان، هل يقضى عنها؟ فقال </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الطمث و المرض فلا و أما السفر فنعم</w:t>
      </w:r>
      <w:r>
        <w:rPr>
          <w:rFonts w:eastAsia="IRNazanin" w:cs="IRNazanin"/>
          <w:color w:val="111111"/>
          <w:sz w:val="28"/>
          <w:szCs w:val="28"/>
          <w:rtl w:val="true"/>
          <w:lang w:bidi="fa-IR"/>
        </w:rPr>
        <w:t xml:space="preserve">» </w:t>
      </w:r>
      <w:r>
        <w:rPr>
          <w:rStyle w:val="FootnoteAnchor"/>
          <w:rtl w:val="true"/>
        </w:rPr>
        <w:footnoteReference w:id="1480"/>
      </w:r>
      <w:r>
        <w:rPr>
          <w:rFonts w:ascii="Amiri" w:hAnsi="Amiri" w:eastAsia="Amiri" w:cs="Amiri"/>
          <w:color w:val="111111"/>
          <w:sz w:val="28"/>
          <w:sz w:val="28"/>
          <w:szCs w:val="28"/>
          <w:rtl w:val="true"/>
          <w:lang w:bidi="ar-SA"/>
        </w:rPr>
        <w:t>و نحوها موثّقة ابن مسلم</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و قيل بعدم دلالتها إلّا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السؤال إنّما هو عن الوجوب كما لا يخفى، فالجواب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الوجوب، مع أنّ رجحان القضاء لما فات في المرض و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تمكّن المرأة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العلامة قدّس سرّه في المنتهى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الجواز لا معنى له، مع أنّه لا قائل بالفصل بين الأعذار الثلاثة في استحباب القضاء، و ما أورده صاحب المدارك </w:t>
      </w:r>
      <w:r>
        <w:rPr>
          <w:rStyle w:val="FootnoteAnchor"/>
          <w:rtl w:val="true"/>
        </w:rPr>
        <w:footnoteReference w:id="1483"/>
      </w:r>
      <w:r>
        <w:rPr>
          <w:rFonts w:ascii="Amiri" w:hAnsi="Amiri" w:eastAsia="Amiri" w:cs="Amiri"/>
          <w:color w:val="111111"/>
          <w:sz w:val="28"/>
          <w:sz w:val="28"/>
          <w:szCs w:val="28"/>
          <w:rtl w:val="true"/>
          <w:lang w:bidi="ar-SA"/>
        </w:rPr>
        <w:t xml:space="preserve">من رواية أبي بصير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أنّه كيف يقضى ما لم 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للثلاثة الّتي هي مورد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بما عن ابن طاوس </w:t>
      </w:r>
      <w:r>
        <w:rPr>
          <w:rStyle w:val="FootnoteAnchor"/>
          <w:rtl w:val="true"/>
        </w:rPr>
        <w:footnoteReference w:id="1485"/>
      </w:r>
      <w:r>
        <w:rPr>
          <w:rFonts w:ascii="Amiri" w:hAnsi="Amiri" w:eastAsia="Amiri" w:cs="Amiri"/>
          <w:color w:val="111111"/>
          <w:sz w:val="28"/>
          <w:sz w:val="28"/>
          <w:szCs w:val="28"/>
          <w:rtl w:val="true"/>
          <w:lang w:bidi="ar-SA"/>
        </w:rPr>
        <w:t>أنّه روى عن عبد اللّٰه بن سنان،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التي حضر </w:t>
      </w:r>
      <w:r>
        <w:rPr>
          <w:rStyle w:val="FootnoteAnchor"/>
          <w:rtl w:val="true"/>
        </w:rPr>
        <w:footnoteReference w:id="1486"/>
      </w:r>
      <w:r>
        <w:rPr>
          <w:rFonts w:ascii="Amiri" w:hAnsi="Amiri" w:eastAsia="Amiri" w:cs="Amiri"/>
          <w:color w:val="111111"/>
          <w:sz w:val="28"/>
          <w:sz w:val="28"/>
          <w:szCs w:val="28"/>
          <w:rtl w:val="true"/>
          <w:lang w:bidi="ar-SA"/>
        </w:rPr>
        <w:t>وقتها قبل أن يموت الميّت يقضيه عنه أولى الناس به</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الميّت يشمل الذكر و الأنثى، مع أنّ الغالب اشتراك الذكر و الأنثى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جواز تبرّع الغير بهذا العمل، و جواز استئجار الوليّ من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عمومات جواز العبادة عن الميت، و انّ الصلاة و الصوم دين </w:t>
      </w:r>
      <w:r>
        <w:rPr>
          <w:rStyle w:val="FootnoteAnchor"/>
          <w:rtl w:val="true"/>
        </w:rPr>
        <w:footnoteReference w:id="1488"/>
      </w:r>
      <w:r>
        <w:rPr>
          <w:rFonts w:ascii="Amiri" w:hAnsi="Amiri" w:eastAsia="Amiri" w:cs="Amiri"/>
          <w:color w:val="111111"/>
          <w:sz w:val="28"/>
          <w:sz w:val="28"/>
          <w:szCs w:val="28"/>
          <w:rtl w:val="true"/>
          <w:lang w:bidi="ar-SA"/>
        </w:rPr>
        <w:t>فيجوز التبرّع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رواية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صلاة أو يكون عليه صوم هل يجوز أن يقضيه رجل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يقضيه إلّا رجل عارف</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الغير العارف ليس وليّا، و إلّا لم يكن معنى للسؤال </w:t>
      </w:r>
      <w:r>
        <w:rPr>
          <w:rStyle w:val="FootnoteAnchor"/>
          <w:rtl w:val="true"/>
        </w:rPr>
        <w:footnoteReference w:id="1490"/>
      </w:r>
      <w:r>
        <w:rPr>
          <w:rFonts w:ascii="Amiri" w:hAnsi="Amiri" w:eastAsia="Amiri" w:cs="Amiri"/>
          <w:color w:val="111111"/>
          <w:sz w:val="28"/>
          <w:sz w:val="28"/>
          <w:szCs w:val="28"/>
          <w:rtl w:val="true"/>
          <w:lang w:bidi="ar-SA"/>
        </w:rPr>
        <w:t>عن فعل الوليّ الغير العارف أنّه يجزي أو لا يجزي؟</w:t>
      </w:r>
    </w:p>
    <w:p>
      <w:pPr>
        <w:pStyle w:val="BookText"/>
        <w:rPr/>
      </w:pPr>
      <w:r>
        <w:rPr>
          <w:rFonts w:ascii="Amiri" w:hAnsi="Amiri" w:eastAsia="Amiri" w:cs="Amiri"/>
          <w:color w:val="111111"/>
          <w:sz w:val="28"/>
          <w:sz w:val="28"/>
          <w:szCs w:val="28"/>
          <w:rtl w:val="true"/>
          <w:lang w:bidi="ar-SA"/>
        </w:rPr>
        <w:t xml:space="preserve">و يؤيّده الخبر الآخر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فإنّه محمول على الاستحباب قطعا، و لا يتحقّق بأن يفوّض الوليّ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من شاء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في الفقيه </w:t>
      </w:r>
      <w:r>
        <w:rPr>
          <w:rStyle w:val="FootnoteAnchor"/>
          <w:rtl w:val="true"/>
        </w:rPr>
        <w:footnoteReference w:id="1493"/>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النسخ الأخرى أوردت هذه القطعة في المتن من دون اي تنبيه على عدم ارتباطها بما تقدم</w:t>
      </w:r>
      <w:r>
        <w:rPr>
          <w:rFonts w:eastAsia="Amiri" w:cs="Amiri" w:ascii="Amiri" w:hAnsi="Amiri"/>
          <w:color w:val="111111"/>
          <w:sz w:val="28"/>
          <w:szCs w:val="28"/>
          <w:rtl w:val="true"/>
          <w:lang w:bidi="ar-SA"/>
        </w:rPr>
        <w:t>.]</w:t>
      </w:r>
      <w:bookmarkStart w:id="191" w:name="pg19900_214721"/>
    </w:p>
    <w:p>
      <w:pPr>
        <w:pStyle w:val="Heading3"/>
        <w:numPr>
          <w:ilvl w:val="2"/>
          <w:numId w:val="1"/>
        </w:numPr>
        <w:rPr/>
      </w:pPr>
      <w:bookmarkStart w:id="192" w:name="__RefHeading___Toc2061746_2314609296"/>
      <w:bookmarkStart w:id="193" w:name="_Toc72"/>
      <w:bookmarkEnd w:id="191"/>
      <w:bookmarkEnd w:id="192"/>
      <w:r>
        <w:rPr>
          <w:rtl w:val="true"/>
        </w:rPr>
        <w:t>[</w:t>
      </w:r>
      <w:r>
        <w:rPr>
          <w:rtl w:val="true"/>
        </w:rPr>
        <w:t xml:space="preserve">مسألة </w:t>
      </w:r>
      <w:r>
        <w:rPr/>
        <w:t>8</w:t>
      </w:r>
      <w:r>
        <w:rPr>
          <w:rtl w:val="true"/>
        </w:rPr>
        <w:t xml:space="preserve"> </w:t>
      </w:r>
      <w:r>
        <w:rPr>
          <w:rtl w:val="true"/>
        </w:rPr>
        <w:t>عدم تحريم إفطار قضاء رمضان قبل الزوال</w:t>
      </w:r>
      <w:r>
        <w:rPr>
          <w:rtl w:val="true"/>
        </w:rPr>
        <w:t>]</w:t>
      </w:r>
      <w:bookmarkEnd w:id="193"/>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4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تحريم إفطار قضاء رمضان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الأخبار المستفيضة </w:t>
      </w:r>
      <w:r>
        <w:rPr>
          <w:rStyle w:val="FootnoteAnchor"/>
          <w:rtl w:val="true"/>
        </w:rPr>
        <w:footnoteReference w:id="1496"/>
      </w:r>
      <w:r>
        <w:rPr>
          <w:rFonts w:ascii="Amiri" w:hAnsi="Amiri" w:eastAsia="Amiri" w:cs="Amiri"/>
          <w:color w:val="111111"/>
          <w:sz w:val="28"/>
          <w:sz w:val="28"/>
          <w:szCs w:val="28"/>
          <w:rtl w:val="true"/>
          <w:lang w:bidi="ar-SA"/>
        </w:rPr>
        <w:t>و مقتضاها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نوى الصوم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ظاهر العماني </w:t>
      </w:r>
      <w:r>
        <w:rPr>
          <w:rStyle w:val="FootnoteAnchor"/>
          <w:rtl w:val="true"/>
        </w:rPr>
        <w:footnoteReference w:id="1497"/>
      </w:r>
      <w:r>
        <w:rPr>
          <w:rFonts w:ascii="Amiri" w:hAnsi="Amiri" w:eastAsia="Amiri" w:cs="Amiri"/>
          <w:color w:val="111111"/>
          <w:sz w:val="28"/>
          <w:sz w:val="28"/>
          <w:szCs w:val="28"/>
          <w:rtl w:val="true"/>
          <w:lang w:bidi="ar-SA"/>
        </w:rPr>
        <w:t xml:space="preserve">لصحيحة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يقضي رمضان أ له أن يفطر بعد ما يصبح قبل الزوال إذا بدا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نوى ذلك من الليل، و كان من قضاء رمضان فلا يفطر، و ليتمّ صومه</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حملها على الكراهة، جمعا بينها و بين ما هو صريح في الجواز من المستفيضة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ظاهر الحلبي التحريم مطلقا </w:t>
      </w:r>
      <w:r>
        <w:rPr>
          <w:rStyle w:val="FootnoteAnchor"/>
          <w:rtl w:val="true"/>
        </w:rPr>
        <w:footnoteReference w:id="1499"/>
      </w:r>
      <w:r>
        <w:rPr>
          <w:rFonts w:ascii="Amiri" w:hAnsi="Amiri" w:eastAsia="Amiri" w:cs="Amiri"/>
          <w:color w:val="111111"/>
          <w:sz w:val="28"/>
          <w:sz w:val="28"/>
          <w:szCs w:val="28"/>
          <w:rtl w:val="true"/>
          <w:lang w:bidi="ar-SA"/>
        </w:rPr>
        <w:t>و لعلّه لإطلاق موثّقة زرارة، عن أبي</w:t>
      </w:r>
    </w:p>
    <w:p>
      <w:pPr>
        <w:pStyle w:val="BookText"/>
        <w:rPr/>
      </w:pPr>
      <w:r>
        <w:rPr>
          <w:rFonts w:ascii="Amiri" w:hAnsi="Amiri" w:eastAsia="Amiri" w:cs="Amiri"/>
          <w:color w:val="111111"/>
          <w:sz w:val="28"/>
          <w:sz w:val="28"/>
          <w:szCs w:val="28"/>
          <w:rtl w:val="true"/>
          <w:lang w:bidi="ar-SA"/>
        </w:rPr>
        <w:t xml:space="preserve">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يقضي رمضان يأتي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أصاب في رمضان، لأنّ ذلك عند اللّٰه من أيامه</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محمولة على ما بعد الزوال، جمعا بينها و بين الأخبار الكثيرة،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أهله في يوم يقضيه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أتى أهله قبل الزوال فلا شي‌ء عليه إلّا يوما مكان يوم، و إن كان أتى أهله بعد الزوال فعليه أن يتصدّق على عشرة مساكين</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تحريمه بعد الزوال،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فيه الكفّارة،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المعهود من التصدّق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مصحّحة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وقع على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وقع عليها قبل صلاة العصر فلا شي‌ء عليه </w:t>
      </w:r>
      <w:r>
        <w:rPr>
          <w:rStyle w:val="FootnoteAnchor"/>
          <w:rtl w:val="true"/>
        </w:rPr>
        <w:footnoteReference w:id="1503"/>
      </w:r>
      <w:r>
        <w:rPr>
          <w:rFonts w:ascii="Amiri" w:hAnsi="Amiri" w:eastAsia="Amiri" w:cs="Amiri"/>
          <w:color w:val="111111"/>
          <w:sz w:val="28"/>
          <w:sz w:val="28"/>
          <w:szCs w:val="28"/>
          <w:rtl w:val="true"/>
          <w:lang w:bidi="ar-SA"/>
        </w:rPr>
        <w:t xml:space="preserve">يصوم يوما بدل يوم، و إن فعل بعد العصر صام ذلك اليوم و أطعم عشرة مساكين، فإن لم يمكنه </w:t>
      </w:r>
      <w:r>
        <w:rPr>
          <w:rStyle w:val="FootnoteAnchor"/>
          <w:rtl w:val="true"/>
        </w:rPr>
        <w:footnoteReference w:id="1504"/>
      </w:r>
      <w:r>
        <w:rPr>
          <w:rFonts w:ascii="Amiri" w:hAnsi="Amiri" w:eastAsia="Amiri" w:cs="Amiri"/>
          <w:color w:val="111111"/>
          <w:sz w:val="28"/>
          <w:sz w:val="28"/>
          <w:szCs w:val="28"/>
          <w:rtl w:val="true"/>
          <w:lang w:bidi="ar-SA"/>
        </w:rPr>
        <w:t>صام ثلاثة أيّام كفارة لذلك</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التقييد بما بعد صلاة العصر كناية عمّا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المواقعة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 الاستدلال هي الفقرة الثانية، فلا يقدح مخالفة ظاهر</w:t>
      </w:r>
    </w:p>
    <w:p>
      <w:pPr>
        <w:pStyle w:val="BookText"/>
        <w:rPr/>
      </w:pPr>
      <w:r>
        <w:rPr>
          <w:rFonts w:ascii="Amiri" w:hAnsi="Amiri" w:eastAsia="Amiri" w:cs="Amiri"/>
          <w:color w:val="111111"/>
          <w:sz w:val="28"/>
          <w:sz w:val="28"/>
          <w:szCs w:val="28"/>
          <w:rtl w:val="true"/>
          <w:lang w:bidi="ar-SA"/>
        </w:rPr>
        <w:t>الأولى للإجماع، سيّما بعد جواز التقييد بما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يظهر مستند الأكثر في الحكم بأنّه مع العجز عن الإطعام يصوم ثلاثة أيّام، مؤيّدا بما مرّ </w:t>
      </w:r>
      <w:r>
        <w:rPr>
          <w:rStyle w:val="FootnoteAnchor"/>
          <w:rtl w:val="true"/>
        </w:rPr>
        <w:footnoteReference w:id="1506"/>
      </w:r>
      <w:r>
        <w:rPr>
          <w:rFonts w:ascii="Amiri" w:hAnsi="Amiri" w:eastAsia="Amiri" w:cs="Amiri"/>
          <w:color w:val="111111"/>
          <w:sz w:val="28"/>
          <w:sz w:val="28"/>
          <w:szCs w:val="28"/>
          <w:rtl w:val="true"/>
          <w:lang w:bidi="ar-SA"/>
        </w:rPr>
        <w:t xml:space="preserve">في بدليّة صوم ثمانية عشر يوما </w:t>
      </w:r>
      <w:r>
        <w:rPr>
          <w:rStyle w:val="FootnoteAnchor"/>
          <w:rtl w:val="true"/>
        </w:rPr>
        <w:footnoteReference w:id="1507"/>
      </w:r>
      <w:r>
        <w:rPr>
          <w:rFonts w:ascii="Amiri" w:hAnsi="Amiri" w:eastAsia="Amiri" w:cs="Amiri"/>
          <w:color w:val="111111"/>
          <w:sz w:val="28"/>
          <w:sz w:val="28"/>
          <w:szCs w:val="28"/>
          <w:rtl w:val="true"/>
          <w:lang w:bidi="ar-SA"/>
        </w:rPr>
        <w:t>عن إطعام ستين مسكينا،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القاضي أنّ هذه الكفارة كفارة يمين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الحلبي التخيير بين الصيام و الإطعام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الصدوقين أنّها كفّارة إفطار شهر رمضان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يظهر للأوّلين مستند، و يشهد للثالث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الممكن حملها على الاستحباب، أو على الإفطار متهاونا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الإفطار في صوم واجب موسّع غير القضاء، للأصل و إطلاق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ظاهر الحلبي تحريم إفطار كلّ صوم واجب </w:t>
      </w:r>
      <w:r>
        <w:rPr>
          <w:rStyle w:val="FootnoteAnchor"/>
          <w:rtl w:val="true"/>
        </w:rPr>
        <w:footnoteReference w:id="1514"/>
      </w:r>
      <w:r>
        <w:rPr>
          <w:rFonts w:ascii="Amiri" w:hAnsi="Amiri" w:eastAsia="Amiri" w:cs="Amiri"/>
          <w:color w:val="111111"/>
          <w:sz w:val="28"/>
          <w:sz w:val="28"/>
          <w:szCs w:val="28"/>
          <w:rtl w:val="true"/>
          <w:lang w:bidi="ar-SA"/>
        </w:rPr>
        <w:t>، و لعلّه لإطلاق حرمة إبطال العمل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لما مرّ في بحث الصلاة من أنّ التمسك بالآية </w:t>
      </w:r>
      <w:r>
        <w:rPr>
          <w:rStyle w:val="FootnoteAnchor"/>
          <w:rtl w:val="true"/>
        </w:rPr>
        <w:footnoteReference w:id="1515"/>
      </w:r>
      <w:r>
        <w:rPr>
          <w:rFonts w:ascii="IRNazanin" w:hAnsi="IRNazanin" w:eastAsia="IRNazanin"/>
          <w:color w:val="111111"/>
          <w:sz w:val="28"/>
          <w:sz w:val="28"/>
          <w:szCs w:val="28"/>
          <w:rtl w:val="true"/>
          <w:lang w:bidi="fa-IR"/>
        </w:rPr>
        <w:t>محل تأمّل، إذ</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إمّا إبطال الجميع، و لا يكون إلّا بالكفر، لأنّه المحبط للأعمال، و إمّا عدم إيجاد العمل على وجه باطل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bookmarkStart w:id="194" w:name="pg19900_214725"/>
    </w:p>
    <w:p>
      <w:pPr>
        <w:pStyle w:val="Heading3"/>
        <w:numPr>
          <w:ilvl w:val="2"/>
          <w:numId w:val="1"/>
        </w:numPr>
        <w:rPr/>
      </w:pPr>
      <w:bookmarkStart w:id="195" w:name="__RefHeading___Toc2061748_2314609296"/>
      <w:bookmarkStart w:id="196" w:name="_Toc73"/>
      <w:bookmarkEnd w:id="194"/>
      <w:bookmarkEnd w:id="195"/>
      <w:r>
        <w:rPr>
          <w:rtl w:val="true"/>
        </w:rPr>
        <w:t>[</w:t>
      </w:r>
      <w:r>
        <w:rPr>
          <w:rtl w:val="true"/>
        </w:rPr>
        <w:t xml:space="preserve">مسألة </w:t>
      </w:r>
      <w:r>
        <w:rPr/>
        <w:t>9</w:t>
      </w:r>
      <w:r>
        <w:rPr>
          <w:rtl w:val="true"/>
        </w:rPr>
        <w:t xml:space="preserve"> </w:t>
      </w:r>
      <w:r>
        <w:rPr>
          <w:rtl w:val="true"/>
        </w:rPr>
        <w:t>شرعية صوم المميّز</w:t>
      </w:r>
      <w:r>
        <w:rPr>
          <w:rtl w:val="true"/>
        </w:rPr>
        <w:t>]</w:t>
      </w:r>
      <w:bookmarkEnd w:id="196"/>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5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المميّز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الشيخ </w:t>
      </w:r>
      <w:r>
        <w:rPr>
          <w:rStyle w:val="FootnoteAnchor"/>
          <w:rtl w:val="true"/>
        </w:rPr>
        <w:footnoteReference w:id="1518"/>
      </w:r>
      <w:r>
        <w:rPr>
          <w:rFonts w:ascii="Amiri" w:hAnsi="Amiri" w:eastAsia="Amiri" w:cs="Amiri"/>
          <w:color w:val="111111"/>
          <w:sz w:val="28"/>
          <w:sz w:val="28"/>
          <w:szCs w:val="28"/>
          <w:rtl w:val="true"/>
          <w:lang w:bidi="ar-SA"/>
        </w:rPr>
        <w:t xml:space="preserve">و المحقّق </w:t>
      </w:r>
      <w:r>
        <w:rPr>
          <w:rStyle w:val="FootnoteAnchor"/>
          <w:rtl w:val="true"/>
        </w:rPr>
        <w:footnoteReference w:id="1519"/>
      </w:r>
      <w:r>
        <w:rPr>
          <w:rFonts w:ascii="Amiri" w:hAnsi="Amiri" w:eastAsia="Amiri" w:cs="Amiri"/>
          <w:color w:val="111111"/>
          <w:sz w:val="28"/>
          <w:sz w:val="28"/>
          <w:szCs w:val="28"/>
          <w:rtl w:val="true"/>
          <w:lang w:bidi="ar-SA"/>
        </w:rPr>
        <w:t xml:space="preserve">و المصنّف في المنتهى </w:t>
      </w:r>
      <w:r>
        <w:rPr>
          <w:rStyle w:val="FootnoteAnchor"/>
          <w:rtl w:val="true"/>
        </w:rPr>
        <w:footnoteReference w:id="1520"/>
      </w:r>
      <w:r>
        <w:rPr>
          <w:rFonts w:ascii="Amiri" w:hAnsi="Amiri" w:eastAsia="Amiri" w:cs="Amiri"/>
          <w:color w:val="111111"/>
          <w:sz w:val="28"/>
          <w:sz w:val="28"/>
          <w:szCs w:val="28"/>
          <w:rtl w:val="true"/>
          <w:lang w:bidi="ar-SA"/>
        </w:rPr>
        <w:t xml:space="preserve">و التذكرة </w:t>
      </w:r>
      <w:r>
        <w:rPr>
          <w:rStyle w:val="FootnoteAnchor"/>
          <w:rtl w:val="true"/>
        </w:rPr>
        <w:footnoteReference w:id="1521"/>
      </w:r>
      <w:r>
        <w:rPr>
          <w:rFonts w:ascii="Amiri" w:hAnsi="Amiri" w:eastAsia="Amiri" w:cs="Amiri"/>
          <w:color w:val="111111"/>
          <w:sz w:val="28"/>
          <w:sz w:val="28"/>
          <w:szCs w:val="28"/>
          <w:rtl w:val="true"/>
          <w:lang w:bidi="ar-SA"/>
        </w:rPr>
        <w:t xml:space="preserve">و التحرير </w:t>
      </w:r>
      <w:r>
        <w:rPr>
          <w:rStyle w:val="FootnoteAnchor"/>
          <w:rtl w:val="true"/>
        </w:rPr>
        <w:footnoteReference w:id="1522"/>
      </w:r>
      <w:r>
        <w:rPr>
          <w:rFonts w:ascii="Amiri" w:hAnsi="Amiri" w:eastAsia="Amiri" w:cs="Amiri"/>
          <w:color w:val="111111"/>
          <w:sz w:val="28"/>
          <w:sz w:val="28"/>
          <w:szCs w:val="28"/>
          <w:rtl w:val="true"/>
          <w:lang w:bidi="ar-SA"/>
        </w:rPr>
        <w:t xml:space="preserve">و الشهيد </w:t>
      </w:r>
      <w:r>
        <w:rPr>
          <w:rStyle w:val="FootnoteAnchor"/>
          <w:rtl w:val="true"/>
        </w:rPr>
        <w:footnoteReference w:id="1523"/>
      </w:r>
      <w:r>
        <w:rPr>
          <w:rFonts w:ascii="IRNazanin" w:hAnsi="IRNazanin" w:eastAsia="IRNazanin"/>
          <w:color w:val="111111"/>
          <w:sz w:val="28"/>
          <w:sz w:val="28"/>
          <w:szCs w:val="28"/>
          <w:rtl w:val="true"/>
          <w:lang w:bidi="fa-IR"/>
        </w:rPr>
        <w:t xml:space="preserve">، بل عن بعض العبائر أنّه المشهور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المنتهى عدم الخلاف فيه إلّا من أبي حنيفة </w:t>
      </w:r>
      <w:r>
        <w:rPr>
          <w:rStyle w:val="FootnoteAnchor"/>
          <w:rtl w:val="true"/>
        </w:rPr>
        <w:footnoteReference w:id="152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الصبيّ بالصوم إذا أطاقه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حدّه إذا بلغ تسع سنين، و يختلف حاله بحسب المكنة و الطاقة، و هذا على جهة الاستحباب دون الفرض و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أهل العلم في</w:t>
      </w:r>
    </w:p>
    <w:p>
      <w:pPr>
        <w:pStyle w:val="BookText"/>
        <w:rPr/>
      </w:pPr>
      <w:r>
        <w:rPr>
          <w:rFonts w:ascii="Amiri" w:hAnsi="Amiri" w:eastAsia="Amiri" w:cs="Amiri"/>
          <w:color w:val="111111"/>
          <w:sz w:val="28"/>
          <w:sz w:val="28"/>
          <w:szCs w:val="28"/>
          <w:rtl w:val="true"/>
          <w:lang w:bidi="ar-SA"/>
        </w:rPr>
        <w:t>شرعية ذلك، لأنّ النبي صلّى اللّٰه عليه و آله و سلم أمر وليّ الصبي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ذلك فإنّ صومه شرعيّ و نيّته صحيحة، و ينوي الندب لانّه الوجه الذي يقع عليه فعله فلا ينوي غيره،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بشرعي و إنّما هو إمساك عن المفطرات للتأديب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النسبة من جهة عدم ذكر خلاف في المسألة إلّا عن أبي حنيفة، لكن يوهنه تقويته له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استظهار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توهّم، لأنّ مراده من ذلك شرعيّة أصل الأخذ بالصوم و أمر الوليّ به لا شرعية فعل الصبي، و لذا لم يستثن أبا حنيفة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فالأقوى اتّصافه بالشرعية، سواء قصد به امتثال نفس الأوامر العامّة المتعلّقة بذلك الفعل، أو قصد بذلك حصول الاعتياد عليه ليسهل عليه بعد البلوغ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bookmarkStart w:id="197" w:name="pg19900_214727"/>
    </w:p>
    <w:p>
      <w:pPr>
        <w:pStyle w:val="Heading3"/>
        <w:numPr>
          <w:ilvl w:val="2"/>
          <w:numId w:val="1"/>
        </w:numPr>
        <w:rPr/>
      </w:pPr>
      <w:bookmarkStart w:id="198" w:name="__RefHeading___Toc2061750_2314609296"/>
      <w:bookmarkStart w:id="199" w:name="_Toc74"/>
      <w:bookmarkEnd w:id="197"/>
      <w:bookmarkEnd w:id="198"/>
      <w:r>
        <w:rPr>
          <w:rtl w:val="true"/>
        </w:rPr>
        <w:t>[</w:t>
      </w:r>
      <w:r>
        <w:rPr>
          <w:rtl w:val="true"/>
        </w:rPr>
        <w:t xml:space="preserve">مسألة </w:t>
      </w:r>
      <w:r>
        <w:rPr/>
        <w:t>10</w:t>
      </w:r>
      <w:r>
        <w:rPr>
          <w:rtl w:val="true"/>
        </w:rPr>
        <w:t xml:space="preserve"> </w:t>
      </w:r>
      <w:r>
        <w:rPr>
          <w:rtl w:val="true"/>
        </w:rPr>
        <w:t>صحة صوم المستحاضة</w:t>
      </w:r>
      <w:r>
        <w:rPr>
          <w:rtl w:val="true"/>
        </w:rPr>
        <w:t>]</w:t>
      </w:r>
      <w:bookmarkEnd w:id="19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5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من المستحاضة بالاستحاضة القليلة مطلقا، لأنّه حدث أصغر لا يمنع عن الصوم، و بالاستحاضة المتوسّطة و الكثيرة إذا فعلت ما يجب عليها من الغسل الواحد أو الأغسال، و لا يصحّ بدونها على المشهور، بل في المدارك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الذخيرة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و في الروض </w:t>
      </w:r>
      <w:r>
        <w:rPr>
          <w:rStyle w:val="FootnoteAnchor"/>
          <w:rtl w:val="true"/>
        </w:rPr>
        <w:footnoteReference w:id="1531"/>
      </w:r>
      <w:r>
        <w:rPr>
          <w:rFonts w:ascii="Amiri" w:hAnsi="Amiri" w:eastAsia="Amiri" w:cs="Amiri"/>
          <w:color w:val="111111"/>
          <w:sz w:val="28"/>
          <w:sz w:val="28"/>
          <w:szCs w:val="28"/>
          <w:rtl w:val="true"/>
          <w:lang w:bidi="ar-SA"/>
        </w:rPr>
        <w:t xml:space="preserve">و المسالك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Style w:val="FootnoteAnchor"/>
          <w:rtl w:val="true"/>
        </w:rPr>
        <w:footnoteReference w:id="1533"/>
      </w:r>
      <w:r>
        <w:rPr>
          <w:rFonts w:ascii="Amiri" w:hAnsi="Amiri" w:eastAsia="Amiri" w:cs="Amiri"/>
          <w:color w:val="111111"/>
          <w:sz w:val="28"/>
          <w:sz w:val="28"/>
          <w:szCs w:val="28"/>
          <w:rtl w:val="true"/>
          <w:lang w:bidi="ar-SA"/>
        </w:rPr>
        <w:t xml:space="preserve">و المسالك الجامعية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34"/>
      </w:r>
      <w:r>
        <w:rPr>
          <w:rFonts w:ascii="IRNazanin" w:hAnsi="IRNazanin" w:eastAsia="IRNazanin"/>
          <w:color w:val="111111"/>
          <w:sz w:val="28"/>
          <w:sz w:val="28"/>
          <w:szCs w:val="28"/>
          <w:rtl w:val="true"/>
          <w:lang w:bidi="fa-IR"/>
        </w:rPr>
        <w:t>جمهور و بعض شروح</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الإجماع، و عن المصابيح للعلّامة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حواشي التحرير و منهج السداد و الطالبية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مكاتبة ابن مهزيار المصحّحة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طهرت من حيضها أو من دم نفاسها في أوّل يوم من شهر رمضان، ثم استحاضت فصلّت و صامت شهر رمضان كلّه من غير أن تعمل ما تعمله المستحاضة من الغسل لكلّ صلاتين، فهل يجوز صومها و صلاتها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 تقضي صلاتها، أنّ رسول اللّٰه صلّى اللّٰه عليه و آله و سلم كان يأمر فاطمة عليها السلام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نسائه</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و قصور سندها بالمكاتبة، و ضعف دلالتها بالاشتمال على عدم وجوب قضاء الصلاة ممنوعان، و مع التسليم فمجبوران بالعمل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لصريح المحقّق </w:t>
      </w:r>
      <w:r>
        <w:rPr>
          <w:rStyle w:val="FootnoteAnchor"/>
          <w:rtl w:val="true"/>
        </w:rPr>
        <w:footnoteReference w:id="1539"/>
      </w:r>
      <w:r>
        <w:rPr>
          <w:rFonts w:ascii="Amiri" w:hAnsi="Amiri" w:eastAsia="Amiri" w:cs="Amiri"/>
          <w:color w:val="111111"/>
          <w:sz w:val="28"/>
          <w:sz w:val="28"/>
          <w:szCs w:val="28"/>
          <w:rtl w:val="true"/>
          <w:lang w:bidi="ar-SA"/>
        </w:rPr>
        <w:t xml:space="preserve">و ظاهر المحكيّ عن المبسوط </w:t>
      </w:r>
      <w:r>
        <w:rPr>
          <w:rStyle w:val="FootnoteAnchor"/>
          <w:rtl w:val="true"/>
        </w:rPr>
        <w:footnoteReference w:id="1540"/>
      </w:r>
      <w:r>
        <w:rPr>
          <w:rFonts w:ascii="Amiri" w:hAnsi="Amiri" w:eastAsia="Amiri" w:cs="Amiri"/>
          <w:color w:val="111111"/>
          <w:sz w:val="28"/>
          <w:sz w:val="28"/>
          <w:szCs w:val="28"/>
          <w:rtl w:val="true"/>
          <w:lang w:bidi="ar-SA"/>
        </w:rPr>
        <w:t xml:space="preserve">و ظاهر المدارك </w:t>
      </w:r>
      <w:r>
        <w:rPr>
          <w:rStyle w:val="FootnoteAnchor"/>
          <w:rtl w:val="true"/>
        </w:rPr>
        <w:footnoteReference w:id="1541"/>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542"/>
      </w:r>
      <w:r>
        <w:rPr>
          <w:rFonts w:ascii="Amiri" w:hAnsi="Amiri" w:eastAsia="Amiri" w:cs="Amiri"/>
          <w:color w:val="111111"/>
          <w:sz w:val="28"/>
          <w:sz w:val="28"/>
          <w:szCs w:val="28"/>
          <w:rtl w:val="true"/>
          <w:lang w:bidi="ar-SA"/>
        </w:rPr>
        <w:t xml:space="preserve">و كشف اللثام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البحار </w:t>
      </w:r>
      <w:r>
        <w:rPr>
          <w:rStyle w:val="FootnoteAnchor"/>
          <w:rtl w:val="true"/>
        </w:rPr>
        <w:footnoteReference w:id="1544"/>
      </w:r>
      <w:r>
        <w:rPr>
          <w:rFonts w:ascii="IRNazanin" w:hAnsi="IRNazanin" w:eastAsia="IRNazanin"/>
          <w:color w:val="111111"/>
          <w:sz w:val="28"/>
          <w:sz w:val="28"/>
          <w:szCs w:val="28"/>
          <w:rtl w:val="true"/>
          <w:lang w:bidi="fa-IR"/>
        </w:rPr>
        <w:t xml:space="preserve">و الحدائق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فتوقّفوا في ذلك، لضعف السند أو الدلالة، و قد عرفت منعهما ثم انجبارهما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النص و الفتوى توقّف الصوم على فعل الأغسال التي لا بدّ منها في الصلاة، لا أنّ </w:t>
      </w:r>
      <w:r>
        <w:rPr>
          <w:rStyle w:val="FootnoteAnchor"/>
          <w:rtl w:val="true"/>
        </w:rPr>
        <w:footnoteReference w:id="1546"/>
      </w:r>
      <w:r>
        <w:rPr>
          <w:rFonts w:ascii="Amiri" w:hAnsi="Amiri" w:eastAsia="Amiri" w:cs="Amiri"/>
          <w:color w:val="111111"/>
          <w:sz w:val="28"/>
          <w:sz w:val="28"/>
          <w:szCs w:val="28"/>
          <w:rtl w:val="true"/>
          <w:lang w:bidi="ar-SA"/>
        </w:rPr>
        <w:t xml:space="preserve">الغسل يجب مستقلّا لأجل الصوم </w:t>
      </w:r>
      <w:r>
        <w:rPr>
          <w:rStyle w:val="FootnoteAnchor"/>
          <w:rtl w:val="true"/>
        </w:rPr>
        <w:footnoteReference w:id="1547"/>
      </w:r>
      <w:r>
        <w:rPr>
          <w:rFonts w:ascii="Amiri" w:hAnsi="Amiri" w:eastAsia="Amiri" w:cs="Amiri"/>
          <w:color w:val="111111"/>
          <w:sz w:val="28"/>
          <w:sz w:val="28"/>
          <w:szCs w:val="28"/>
          <w:rtl w:val="true"/>
          <w:lang w:bidi="ar-SA"/>
        </w:rPr>
        <w:t>كما يجب غسل الجنابة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المكاتبة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وجوب القضاء على من لم تغتسل </w:t>
      </w:r>
      <w:r>
        <w:rPr>
          <w:rStyle w:val="FootnoteAnchor"/>
          <w:rtl w:val="true"/>
        </w:rPr>
        <w:footnoteReference w:id="1548"/>
      </w:r>
      <w:r>
        <w:rPr>
          <w:rFonts w:ascii="IRNazanin" w:hAnsi="IRNazanin" w:eastAsia="IRNazanin"/>
          <w:color w:val="111111"/>
          <w:sz w:val="28"/>
          <w:sz w:val="28"/>
          <w:szCs w:val="28"/>
          <w:rtl w:val="true"/>
          <w:lang w:bidi="fa-IR"/>
        </w:rPr>
        <w:t>لصلاتها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بوجوبه</w:t>
      </w:r>
      <w:r>
        <w:rPr>
          <w:rFonts w:eastAsia="IRNazanin" w:cs="IRNazanin"/>
          <w:color w:val="111111"/>
          <w:sz w:val="28"/>
          <w:szCs w:val="28"/>
          <w:rtl w:val="true"/>
          <w:lang w:bidi="fa-IR"/>
        </w:rPr>
        <w:t xml:space="preserve">- </w:t>
      </w:r>
      <w:r>
        <w:rPr>
          <w:rStyle w:val="FootnoteAnchor"/>
          <w:rtl w:val="true"/>
        </w:rPr>
        <w:footnoteReference w:id="1549"/>
      </w:r>
      <w:r>
        <w:rPr>
          <w:rFonts w:ascii="Amiri" w:hAnsi="Amiri" w:eastAsia="Amiri" w:cs="Amiri"/>
          <w:color w:val="111111"/>
          <w:sz w:val="28"/>
          <w:sz w:val="28"/>
          <w:szCs w:val="28"/>
          <w:rtl w:val="true"/>
          <w:lang w:bidi="ar-SA"/>
        </w:rPr>
        <w:t>في كلّ يوم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أنّها كانت تاركة للغسل رأسا، لا تاركة له لخصوص الصلوات، آتية به للصوم </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يعلم أنّ القضاء مستند إلى ترك غسل الصلوات من حيث انّها أغسال الصلاة </w:t>
      </w:r>
      <w:r>
        <w:rPr>
          <w:rStyle w:val="FootnoteAnchor"/>
          <w:rtl w:val="true"/>
        </w:rPr>
        <w:footnoteReference w:id="1551"/>
      </w:r>
      <w:r>
        <w:rPr>
          <w:rFonts w:ascii="Amiri" w:hAnsi="Amiri" w:eastAsia="Amiri" w:cs="Amiri"/>
          <w:color w:val="111111"/>
          <w:sz w:val="28"/>
          <w:sz w:val="28"/>
          <w:szCs w:val="28"/>
          <w:rtl w:val="true"/>
          <w:lang w:bidi="ar-SA"/>
        </w:rPr>
        <w:t>أو الى ترك رفع حكم حدث الاستحاضة للصوم بغسل مستقلّ، أو بغسل الصلوات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الفتاوى فهي مختلفة في هذا المعنى، فظاهر كثير من عباراتهم كالنص في كونه لأجل الصوم، فعن </w:t>
      </w:r>
      <w:r>
        <w:rPr>
          <w:rStyle w:val="FootnoteAnchor"/>
          <w:rtl w:val="true"/>
        </w:rPr>
        <w:footnoteReference w:id="1552"/>
      </w:r>
      <w:r>
        <w:rPr>
          <w:rFonts w:ascii="Amiri" w:hAnsi="Amiri" w:eastAsia="Amiri" w:cs="Amiri"/>
          <w:color w:val="111111"/>
          <w:sz w:val="28"/>
          <w:sz w:val="28"/>
          <w:szCs w:val="28"/>
          <w:rtl w:val="true"/>
          <w:lang w:bidi="ar-SA"/>
        </w:rPr>
        <w:t xml:space="preserve">الكافي لأبي الصلاح أنّه عدّ في الأمور التي </w:t>
      </w:r>
      <w:r>
        <w:rPr>
          <w:rStyle w:val="FootnoteAnchor"/>
          <w:rtl w:val="true"/>
        </w:rPr>
        <w:footnoteReference w:id="1553"/>
      </w:r>
      <w:r>
        <w:rPr>
          <w:rFonts w:ascii="Amiri" w:hAnsi="Amiri" w:eastAsia="Amiri" w:cs="Amiri"/>
          <w:color w:val="111111"/>
          <w:sz w:val="28"/>
          <w:sz w:val="28"/>
          <w:szCs w:val="28"/>
          <w:rtl w:val="true"/>
          <w:lang w:bidi="ar-SA"/>
        </w:rPr>
        <w:t xml:space="preserve">بكراهيتها </w:t>
      </w:r>
      <w:r>
        <w:rPr>
          <w:rStyle w:val="FootnoteAnchor"/>
          <w:rtl w:val="true"/>
        </w:rPr>
        <w:footnoteReference w:id="1554"/>
      </w:r>
      <w:r>
        <w:rPr>
          <w:rFonts w:ascii="Amiri" w:hAnsi="Amiri" w:eastAsia="Amiri" w:cs="Amiri"/>
          <w:color w:val="111111"/>
          <w:sz w:val="28"/>
          <w:sz w:val="28"/>
          <w:szCs w:val="28"/>
          <w:rtl w:val="true"/>
          <w:lang w:bidi="ar-SA"/>
        </w:rPr>
        <w:t xml:space="preserve">يكون المكلّف صائما التصبّح على الجنابة و الحيض و الاستحاضة و النفاس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ظاهر من أوجب تقديم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معالم الدين </w:t>
      </w:r>
      <w:r>
        <w:rPr>
          <w:rStyle w:val="FootnoteAnchor"/>
          <w:rtl w:val="true"/>
        </w:rPr>
        <w:footnoteReference w:id="1557"/>
      </w:r>
      <w:r>
        <w:rPr>
          <w:rFonts w:ascii="IRNazanin" w:hAnsi="IRNazanin" w:eastAsia="IRNazanin"/>
          <w:color w:val="111111"/>
          <w:sz w:val="28"/>
          <w:sz w:val="28"/>
          <w:szCs w:val="28"/>
          <w:rtl w:val="true"/>
          <w:lang w:bidi="fa-IR"/>
        </w:rPr>
        <w:t xml:space="preserve">و صاحب المنهج </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ظاهر كلام من جعل الصوم غاية مستقلّة لوجوب غسل الاستحاضة، كالمحقّق في الشرائع </w:t>
      </w:r>
      <w:r>
        <w:rPr>
          <w:rStyle w:val="FootnoteAnchor"/>
          <w:rtl w:val="true"/>
        </w:rPr>
        <w:footnoteReference w:id="1559"/>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ظاهر </w:t>
      </w:r>
      <w:r>
        <w:rPr>
          <w:rStyle w:val="FootnoteAnchor"/>
          <w:rtl w:val="true"/>
        </w:rPr>
        <w:footnoteReference w:id="1560"/>
      </w:r>
      <w:r>
        <w:rPr>
          <w:rFonts w:ascii="Amiri" w:hAnsi="Amiri" w:eastAsia="Amiri" w:cs="Amiri"/>
          <w:color w:val="111111"/>
          <w:sz w:val="28"/>
          <w:sz w:val="28"/>
          <w:szCs w:val="28"/>
          <w:rtl w:val="true"/>
          <w:lang w:bidi="ar-SA"/>
        </w:rPr>
        <w:t xml:space="preserve">إطلاقهم الحكم بتوقّف الصوم على الأغسال المعهودة يشعر بعدم وجوب تقديم </w:t>
      </w:r>
      <w:r>
        <w:rPr>
          <w:rStyle w:val="FootnoteAnchor"/>
          <w:rtl w:val="true"/>
        </w:rPr>
        <w:footnoteReference w:id="1561"/>
      </w:r>
      <w:r>
        <w:rPr>
          <w:rFonts w:ascii="Amiri" w:hAnsi="Amiri" w:eastAsia="Amiri" w:cs="Amiri"/>
          <w:color w:val="111111"/>
          <w:sz w:val="28"/>
          <w:sz w:val="28"/>
          <w:szCs w:val="28"/>
          <w:rtl w:val="true"/>
          <w:lang w:bidi="ar-SA"/>
        </w:rPr>
        <w:t xml:space="preserve">غسل الفجر عليه </w:t>
      </w:r>
      <w:r>
        <w:rPr>
          <w:rStyle w:val="FootnoteAnchor"/>
          <w:rtl w:val="true"/>
        </w:rPr>
        <w:footnoteReference w:id="1562"/>
      </w:r>
      <w:r>
        <w:rPr>
          <w:rFonts w:ascii="Amiri" w:hAnsi="Amiri" w:eastAsia="Amiri" w:cs="Amiri"/>
          <w:color w:val="111111"/>
          <w:sz w:val="28"/>
          <w:sz w:val="28"/>
          <w:szCs w:val="28"/>
          <w:rtl w:val="true"/>
          <w:lang w:bidi="ar-SA"/>
        </w:rPr>
        <w:t xml:space="preserve">للصوم، لأنّ المعتبر منه للصلاة </w:t>
      </w:r>
      <w:r>
        <w:rPr>
          <w:rStyle w:val="FootnoteAnchor"/>
          <w:rtl w:val="true"/>
        </w:rPr>
        <w:footnoteReference w:id="1563"/>
      </w:r>
      <w:r>
        <w:rPr>
          <w:rFonts w:ascii="Amiri" w:hAnsi="Amiri" w:eastAsia="Amiri" w:cs="Amiri"/>
          <w:color w:val="111111"/>
          <w:sz w:val="28"/>
          <w:sz w:val="28"/>
          <w:szCs w:val="28"/>
          <w:rtl w:val="true"/>
          <w:lang w:bidi="ar-SA"/>
        </w:rPr>
        <w:t xml:space="preserve">ما كان بعد الفجر، فليكن للصوم كذلك كجعلهم الإخلال </w:t>
      </w:r>
      <w:r>
        <w:rPr>
          <w:rStyle w:val="FootnoteAnchor"/>
          <w:rtl w:val="true"/>
        </w:rPr>
        <w:footnoteReference w:id="1564"/>
      </w:r>
      <w:r>
        <w:rPr>
          <w:rFonts w:ascii="Amiri" w:hAnsi="Amiri" w:eastAsia="Amiri" w:cs="Amiri"/>
          <w:color w:val="111111"/>
          <w:sz w:val="28"/>
          <w:sz w:val="28"/>
          <w:szCs w:val="28"/>
          <w:rtl w:val="true"/>
          <w:lang w:bidi="ar-SA"/>
        </w:rPr>
        <w:t>به مبطلا للصوم، و لا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دم الاستحاضة حدثا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لمغايرته لغيره من الاحداث على بعض الوجوه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وجوب تقديمه على الفجر هنا، لأنّه حدث مانع من الصوم، فيجب تقديمه عليه </w:t>
      </w:r>
      <w:r>
        <w:rPr>
          <w:rStyle w:val="FootnoteAnchor"/>
          <w:rtl w:val="true"/>
        </w:rPr>
        <w:footnoteReference w:id="1565"/>
      </w:r>
      <w:r>
        <w:rPr>
          <w:rFonts w:ascii="Amiri" w:hAnsi="Amiri" w:eastAsia="Amiri" w:cs="Amiri"/>
          <w:color w:val="111111"/>
          <w:sz w:val="28"/>
          <w:sz w:val="28"/>
          <w:szCs w:val="28"/>
          <w:rtl w:val="true"/>
          <w:lang w:bidi="ar-SA"/>
        </w:rPr>
        <w:t xml:space="preserve">كالجنابة و الحيض المنقطع، و جعل الصوم </w:t>
      </w:r>
      <w:r>
        <w:rPr>
          <w:rStyle w:val="FootnoteAnchor"/>
          <w:rtl w:val="true"/>
        </w:rPr>
        <w:footnoteReference w:id="1566"/>
      </w:r>
      <w:r>
        <w:rPr>
          <w:rFonts w:ascii="Amiri" w:hAnsi="Amiri" w:eastAsia="Amiri" w:cs="Amiri"/>
          <w:color w:val="111111"/>
          <w:sz w:val="28"/>
          <w:sz w:val="28"/>
          <w:szCs w:val="28"/>
          <w:rtl w:val="true"/>
          <w:lang w:bidi="ar-SA"/>
        </w:rPr>
        <w:t xml:space="preserve">غاية لوجوب غسل الاستحاضة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الغمس</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يدلّ عليه، لأنّ ما كان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568"/>
      </w:r>
      <w:r>
        <w:rPr>
          <w:rFonts w:ascii="IRNazanin" w:hAnsi="IRNazanin" w:eastAsia="IRNazanin"/>
          <w:color w:val="111111"/>
          <w:sz w:val="28"/>
          <w:sz w:val="28"/>
          <w:szCs w:val="28"/>
          <w:rtl w:val="true"/>
          <w:lang w:bidi="fa-IR"/>
        </w:rPr>
        <w:t>الفعل</w:t>
      </w:r>
    </w:p>
    <w:p>
      <w:pPr>
        <w:pStyle w:val="BookText"/>
        <w:rPr/>
      </w:pPr>
      <w:r>
        <w:rPr>
          <w:rFonts w:ascii="Amiri" w:hAnsi="Amiri" w:eastAsia="Amiri" w:cs="Amiri"/>
          <w:color w:val="111111"/>
          <w:sz w:val="28"/>
          <w:sz w:val="28"/>
          <w:szCs w:val="28"/>
          <w:rtl w:val="true"/>
          <w:lang w:bidi="ar-SA"/>
        </w:rPr>
        <w:t xml:space="preserve">يقدم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المصنّف في النهاية </w:t>
      </w:r>
      <w:r>
        <w:rPr>
          <w:rStyle w:val="FootnoteAnchor"/>
          <w:rtl w:val="true"/>
        </w:rPr>
        <w:footnoteReference w:id="1570"/>
      </w:r>
      <w:r>
        <w:rPr>
          <w:rFonts w:ascii="Amiri" w:hAnsi="Amiri" w:eastAsia="Amiri" w:cs="Amiri"/>
          <w:color w:val="111111"/>
          <w:sz w:val="28"/>
          <w:sz w:val="28"/>
          <w:szCs w:val="28"/>
          <w:rtl w:val="true"/>
          <w:lang w:bidi="ar-SA"/>
        </w:rPr>
        <w:t>التوقّف في وجوب تقديم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شرطا في الصوم فيقدّم عليه كسائر الشروط، و من أنّ اشتراطه في الصلاة دائر مع الصلاة وجودا و عدما و توسّعا و تضيّقا </w:t>
      </w:r>
      <w:r>
        <w:rPr>
          <w:rStyle w:val="FootnoteAnchor"/>
          <w:rtl w:val="true"/>
        </w:rPr>
        <w:footnoteReference w:id="1571"/>
      </w:r>
      <w:r>
        <w:rPr>
          <w:rFonts w:ascii="Amiri" w:hAnsi="Amiri" w:eastAsia="Amiri" w:cs="Amiri"/>
          <w:color w:val="111111"/>
          <w:sz w:val="28"/>
          <w:sz w:val="28"/>
          <w:szCs w:val="28"/>
          <w:rtl w:val="true"/>
          <w:lang w:bidi="ar-SA"/>
        </w:rPr>
        <w:t>و ليس كغيره من الشرائط، و لذا كان غسل الظهرين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تقديمه، و لا ريب أنّ هذا هو الأوجه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573"/>
      </w:r>
      <w:r>
        <w:rPr>
          <w:rFonts w:ascii="Amiri" w:hAnsi="Amiri" w:eastAsia="Amiri" w:cs="Amiri"/>
          <w:color w:val="111111"/>
          <w:sz w:val="28"/>
          <w:sz w:val="28"/>
          <w:szCs w:val="28"/>
          <w:rtl w:val="true"/>
          <w:lang w:bidi="ar-SA"/>
        </w:rPr>
        <w:t xml:space="preserve">الأقوى في المسألة عدم وجوب التقديم، كما اختاره المحقّق و الشهيد الثانيان </w:t>
      </w:r>
      <w:r>
        <w:rPr>
          <w:rStyle w:val="FootnoteAnchor"/>
          <w:rtl w:val="true"/>
        </w:rPr>
        <w:footnoteReference w:id="1574"/>
      </w:r>
      <w:r>
        <w:rPr>
          <w:rFonts w:ascii="Amiri" w:hAnsi="Amiri" w:eastAsia="Amiri" w:cs="Amiri"/>
          <w:color w:val="111111"/>
          <w:sz w:val="28"/>
          <w:sz w:val="28"/>
          <w:szCs w:val="28"/>
          <w:rtl w:val="true"/>
          <w:lang w:bidi="ar-SA"/>
        </w:rPr>
        <w:t xml:space="preserve">و تبعهما في المدارك </w:t>
      </w:r>
      <w:r>
        <w:rPr>
          <w:rStyle w:val="FootnoteAnchor"/>
          <w:rtl w:val="true"/>
        </w:rPr>
        <w:footnoteReference w:id="1575"/>
      </w:r>
      <w:r>
        <w:rPr>
          <w:rFonts w:ascii="Amiri" w:hAnsi="Amiri" w:eastAsia="Amiri" w:cs="Amiri"/>
          <w:color w:val="111111"/>
          <w:sz w:val="28"/>
          <w:sz w:val="28"/>
          <w:szCs w:val="28"/>
          <w:rtl w:val="true"/>
          <w:lang w:bidi="ar-SA"/>
        </w:rPr>
        <w:t>و غيره؛ إذ لم يثبت إلّا توقّف صوم المستحاضة على ما يجب للصلاة من الأغسال، لا أن حدثها يمنع من الانعقاد في الفجر و من الاستمرار على الصحّة في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وجوب التقديم، فهل يجب مراعاة إيقاعه في آخر الليل ليقع متّصلا بالصوم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اتّصاله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ذلك، بل لا يخلو عن قوّة، بناء على وجوب التقديم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توقّف الصوم بعد الغسل على فعل ما عدا الوضوء، من تغيير القطنة و الخرقة و غسل الفرج، و إن حكي عن ظاهر</w:t>
      </w:r>
    </w:p>
    <w:p>
      <w:pPr>
        <w:pStyle w:val="BookText"/>
        <w:rPr/>
      </w:pPr>
      <w:r>
        <w:rPr>
          <w:rFonts w:ascii="Amiri" w:hAnsi="Amiri" w:eastAsia="Amiri" w:cs="Amiri"/>
          <w:color w:val="111111"/>
          <w:sz w:val="28"/>
          <w:sz w:val="28"/>
          <w:szCs w:val="28"/>
          <w:rtl w:val="true"/>
          <w:lang w:bidi="ar-SA"/>
        </w:rPr>
        <w:t xml:space="preserve">صوم النهاية </w:t>
      </w:r>
      <w:r>
        <w:rPr>
          <w:rStyle w:val="FootnoteAnchor"/>
          <w:rtl w:val="true"/>
        </w:rPr>
        <w:footnoteReference w:id="1576"/>
      </w:r>
      <w:r>
        <w:rPr>
          <w:rFonts w:ascii="IRNazanin" w:hAnsi="IRNazanin" w:eastAsia="IRNazanin"/>
          <w:color w:val="111111"/>
          <w:sz w:val="28"/>
          <w:sz w:val="28"/>
          <w:szCs w:val="28"/>
          <w:rtl w:val="true"/>
          <w:lang w:bidi="fa-IR"/>
        </w:rPr>
        <w:t xml:space="preserve">و السرائر </w:t>
      </w:r>
      <w:r>
        <w:rPr>
          <w:rStyle w:val="FootnoteAnchor"/>
          <w:rtl w:val="true"/>
        </w:rPr>
        <w:footnoteReference w:id="1577"/>
      </w:r>
      <w:r>
        <w:rPr>
          <w:rFonts w:ascii="IRNazanin" w:hAnsi="IRNazanin" w:eastAsia="IRNazanin"/>
          <w:color w:val="111111"/>
          <w:sz w:val="28"/>
          <w:sz w:val="28"/>
          <w:szCs w:val="28"/>
          <w:rtl w:val="true"/>
          <w:lang w:bidi="fa-IR"/>
        </w:rPr>
        <w:t xml:space="preserve">و المبسوط </w:t>
      </w:r>
      <w:r>
        <w:rPr>
          <w:rStyle w:val="FootnoteAnchor"/>
          <w:rtl w:val="true"/>
        </w:rPr>
        <w:footnoteReference w:id="1578"/>
      </w:r>
      <w:r>
        <w:rPr>
          <w:rFonts w:ascii="Amiri" w:hAnsi="Amiri" w:eastAsia="Amiri" w:cs="Amiri"/>
          <w:color w:val="111111"/>
          <w:sz w:val="28"/>
          <w:sz w:val="28"/>
          <w:szCs w:val="28"/>
          <w:rtl w:val="true"/>
          <w:lang w:bidi="ar-SA"/>
        </w:rPr>
        <w:t>فساد الصوم إذا أخلّت بما عليها، لكن الظاهر أنّ المراد بكلامهم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الصوم؟ وجهان، مبنيّان على أنّ الحديث الأكبر في الاستحاضة يرفع بكليهما، أو بالغسل؟ و يظهر من الروض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تخلّل الحدث الأصغر في أثناء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جواز الدخول بمجرّد الغسل في الصوم، و جعله دليلا على عدم توقّف رفع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الوضوء، بل المتوقّف هو رفع الحدث الأصغر الحادث منه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يتوقّف صوم اليوم على غسل الليلة المستقبلة؟</w:t>
      </w:r>
    </w:p>
    <w:p>
      <w:pPr>
        <w:pStyle w:val="BookText"/>
        <w:rPr/>
      </w:pPr>
      <w:r>
        <w:rPr>
          <w:rFonts w:ascii="Amiri" w:hAnsi="Amiri" w:eastAsia="Amiri" w:cs="Amiri"/>
          <w:color w:val="111111"/>
          <w:sz w:val="28"/>
          <w:sz w:val="28"/>
          <w:szCs w:val="28"/>
          <w:rtl w:val="true"/>
          <w:lang w:bidi="ar-SA"/>
        </w:rPr>
        <w:t xml:space="preserve">الذي قطع به غير واحد عدم التوقّف، كما عن المصنّف </w:t>
      </w:r>
      <w:r>
        <w:rPr>
          <w:rStyle w:val="FootnoteAnchor"/>
          <w:rtl w:val="true"/>
        </w:rPr>
        <w:footnoteReference w:id="1581"/>
      </w:r>
      <w:r>
        <w:rPr>
          <w:rFonts w:ascii="Amiri" w:hAnsi="Amiri" w:eastAsia="Amiri" w:cs="Amiri"/>
          <w:color w:val="111111"/>
          <w:sz w:val="28"/>
          <w:sz w:val="28"/>
          <w:szCs w:val="28"/>
          <w:rtl w:val="true"/>
          <w:lang w:bidi="ar-SA"/>
        </w:rPr>
        <w:t xml:space="preserve">و الشهيد </w:t>
      </w:r>
      <w:r>
        <w:rPr>
          <w:rStyle w:val="FootnoteAnchor"/>
          <w:rtl w:val="true"/>
        </w:rPr>
        <w:footnoteReference w:id="1582"/>
      </w:r>
      <w:r>
        <w:rPr>
          <w:rFonts w:ascii="Amiri" w:hAnsi="Amiri" w:eastAsia="Amiri" w:cs="Amiri"/>
          <w:color w:val="111111"/>
          <w:sz w:val="28"/>
          <w:sz w:val="28"/>
          <w:szCs w:val="28"/>
          <w:rtl w:val="true"/>
          <w:lang w:bidi="ar-SA"/>
        </w:rPr>
        <w:t xml:space="preserve">القطع به، و عن المدارك أنّه المشهور </w:t>
      </w:r>
      <w:r>
        <w:rPr>
          <w:rStyle w:val="FootnoteAnchor"/>
          <w:rtl w:val="true"/>
        </w:rPr>
        <w:footnoteReference w:id="1583"/>
      </w:r>
      <w:r>
        <w:rPr>
          <w:rFonts w:ascii="Amiri" w:hAnsi="Amiri" w:eastAsia="Amiri" w:cs="Amiri"/>
          <w:color w:val="111111"/>
          <w:sz w:val="28"/>
          <w:sz w:val="28"/>
          <w:szCs w:val="28"/>
          <w:rtl w:val="true"/>
          <w:lang w:bidi="ar-SA"/>
        </w:rPr>
        <w:t>و قد احتمل التوقّف أيضا، و لا ينافيه عدم تأثير اللاحق في السابق، لاحتمال كونه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لأنّ ظاهر الرواية توقّف الصوم على الغسل لكلّ صلاتين، و ظاهر التوقّف كون الموقوف عليه مقدّما على الموقوف، و الحكم بالمراعاة و الكشف خلاف الظاهر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ظاهره توقّفه على غسل الليلة الماضية، لأنّ من صام بدونه يصدق</w:t>
      </w:r>
    </w:p>
    <w:p>
      <w:pPr>
        <w:pStyle w:val="BookText"/>
        <w:rPr/>
      </w:pPr>
      <w:r>
        <w:rPr>
          <w:rFonts w:ascii="Amiri" w:hAnsi="Amiri" w:eastAsia="Amiri" w:cs="Amiri"/>
          <w:color w:val="111111"/>
          <w:sz w:val="28"/>
          <w:sz w:val="28"/>
          <w:szCs w:val="28"/>
          <w:rtl w:val="true"/>
          <w:lang w:bidi="ar-SA"/>
        </w:rPr>
        <w:t xml:space="preserve">عليه أنّه صام و لم يعمل ما </w:t>
      </w:r>
      <w:r>
        <w:rPr>
          <w:rStyle w:val="FootnoteAnchor"/>
          <w:rtl w:val="true"/>
        </w:rPr>
        <w:footnoteReference w:id="1584"/>
      </w:r>
      <w:r>
        <w:rPr>
          <w:rFonts w:ascii="Amiri" w:hAnsi="Amiri" w:eastAsia="Amiri" w:cs="Amiri"/>
          <w:color w:val="111111"/>
          <w:sz w:val="28"/>
          <w:sz w:val="28"/>
          <w:szCs w:val="28"/>
          <w:rtl w:val="true"/>
          <w:lang w:bidi="ar-SA"/>
        </w:rPr>
        <w:t xml:space="preserve">تعمله المستحاضة من الغسل لكلّ صلاتين، و لأنّ ظاهر الرواية </w:t>
      </w:r>
      <w:r>
        <w:rPr>
          <w:rStyle w:val="FootnoteAnchor"/>
          <w:rtl w:val="true"/>
        </w:rPr>
        <w:footnoteReference w:id="1585"/>
      </w:r>
      <w:r>
        <w:rPr>
          <w:rFonts w:ascii="Amiri" w:hAnsi="Amiri" w:eastAsia="Amiri" w:cs="Amiri"/>
          <w:color w:val="111111"/>
          <w:sz w:val="28"/>
          <w:sz w:val="28"/>
          <w:szCs w:val="28"/>
          <w:rtl w:val="true"/>
          <w:lang w:bidi="ar-SA"/>
        </w:rPr>
        <w:t>أنّ حدث الاستحاضة ينافي الوضوء، و لا يرتفع حكمه إلّا بالغسل، نعم لو قدّم الغسل للفجر عليه كفى عن غسل العشاءين لو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طرأ موجب الكثيرة بعد صلاة الظهرين فلا يشترط الغسل نهارا لأنّ الغسل لا يجب حينئذ إلّا للعشاءين، و قد عرفت أنّ غسل المستقبل غير شرط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عدم توقّف الصوم على غسل المسّ للميت، و الظاهر عدم الخلاف فيه، للأصل و العمومات، و عن بعض نسخ رسالة عليّ بن بابويه قدّس سرّه القول بالتوقف مع اعتراف الحاكي بعدم وجدان من نسب الخلاف اليه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لعدم الدليل</w:t>
      </w:r>
      <w:r>
        <w:rPr>
          <w:rFonts w:eastAsia="Amiri" w:cs="Amiri" w:ascii="Amiri" w:hAnsi="Amiri"/>
          <w:color w:val="111111"/>
          <w:sz w:val="28"/>
          <w:szCs w:val="28"/>
          <w:rtl w:val="true"/>
          <w:lang w:bidi="ar-SA"/>
        </w:rPr>
        <w:t>.</w:t>
      </w:r>
      <w:bookmarkStart w:id="200" w:name="pg19900_214734"/>
    </w:p>
    <w:p>
      <w:pPr>
        <w:pStyle w:val="Heading3"/>
        <w:numPr>
          <w:ilvl w:val="2"/>
          <w:numId w:val="1"/>
        </w:numPr>
        <w:rPr/>
      </w:pPr>
      <w:bookmarkStart w:id="201" w:name="__RefHeading___Toc2061752_2314609296"/>
      <w:bookmarkStart w:id="202" w:name="_Toc75"/>
      <w:bookmarkEnd w:id="200"/>
      <w:bookmarkEnd w:id="201"/>
      <w:r>
        <w:rPr>
          <w:rtl w:val="true"/>
        </w:rPr>
        <w:t>[</w:t>
      </w:r>
      <w:r>
        <w:rPr>
          <w:rtl w:val="true"/>
        </w:rPr>
        <w:t xml:space="preserve">مسألة </w:t>
      </w:r>
      <w:r>
        <w:rPr/>
        <w:t>11</w:t>
      </w:r>
      <w:r>
        <w:rPr>
          <w:rtl w:val="true"/>
        </w:rPr>
        <w:t xml:space="preserve"> </w:t>
      </w:r>
      <w:r>
        <w:rPr>
          <w:rtl w:val="true"/>
        </w:rPr>
        <w:t>حكم ثبوت الهلال للبلاد المتقاربة</w:t>
      </w:r>
      <w:r>
        <w:rPr>
          <w:rtl w:val="true"/>
        </w:rPr>
        <w:t>]</w:t>
      </w:r>
      <w:bookmarkEnd w:id="2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رئي </w:t>
      </w:r>
      <w:r>
        <w:rPr>
          <w:rStyle w:val="FootnoteAnchor"/>
          <w:rtl w:val="true"/>
        </w:rPr>
        <w:footnoteReference w:id="1587"/>
      </w:r>
      <w:r>
        <w:rPr>
          <w:rFonts w:ascii="Amiri" w:hAnsi="Amiri" w:eastAsia="Amiri" w:cs="Amiri"/>
          <w:color w:val="111111"/>
          <w:sz w:val="28"/>
          <w:sz w:val="28"/>
          <w:szCs w:val="28"/>
          <w:rtl w:val="true"/>
          <w:lang w:bidi="ar-SA"/>
        </w:rPr>
        <w:t>الهلال في بلد فلا إشكال في ثبوت حكمه لغيره من البلاد المتقاربة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عندهم رؤية أهل </w:t>
      </w:r>
      <w:r>
        <w:rPr>
          <w:rStyle w:val="FootnoteAnchor"/>
          <w:rtl w:val="true"/>
        </w:rPr>
        <w:footnoteReference w:id="1588"/>
      </w:r>
      <w:r>
        <w:rPr>
          <w:rFonts w:ascii="Amiri" w:hAnsi="Amiri" w:eastAsia="Amiri" w:cs="Amiri"/>
          <w:color w:val="111111"/>
          <w:sz w:val="28"/>
          <w:sz w:val="28"/>
          <w:szCs w:val="28"/>
          <w:rtl w:val="true"/>
          <w:lang w:bidi="ar-SA"/>
        </w:rPr>
        <w:t>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الأخبار الكثيرة </w:t>
      </w:r>
      <w:r>
        <w:rPr>
          <w:rStyle w:val="FootnoteAnchor"/>
          <w:rtl w:val="true"/>
        </w:rPr>
        <w:footnoteReference w:id="1589"/>
      </w:r>
      <w:r>
        <w:rPr>
          <w:rFonts w:ascii="Amiri" w:hAnsi="Amiri" w:eastAsia="Amiri" w:cs="Amiri"/>
          <w:color w:val="111111"/>
          <w:sz w:val="28"/>
          <w:sz w:val="28"/>
          <w:szCs w:val="28"/>
          <w:rtl w:val="true"/>
          <w:lang w:bidi="ar-SA"/>
        </w:rPr>
        <w:t xml:space="preserve">و لم يوجد على خلافه قائل منّا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المناهل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بعض العامّة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بالبلاد المتقاربة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المسالك </w:t>
      </w:r>
      <w:r>
        <w:rPr>
          <w:rStyle w:val="FootnoteAnchor"/>
          <w:rtl w:val="true"/>
        </w:rPr>
        <w:footnoteReference w:id="1593"/>
      </w:r>
      <w:r>
        <w:rPr>
          <w:rFonts w:ascii="Amiri" w:hAnsi="Amiri" w:eastAsia="Amiri" w:cs="Amiri"/>
          <w:color w:val="111111"/>
          <w:sz w:val="28"/>
          <w:sz w:val="28"/>
          <w:szCs w:val="28"/>
          <w:rtl w:val="true"/>
          <w:lang w:bidi="ar-SA"/>
        </w:rPr>
        <w:t xml:space="preserve">و المدارك </w:t>
      </w:r>
      <w:r>
        <w:rPr>
          <w:rStyle w:val="FootnoteAnchor"/>
          <w:rtl w:val="true"/>
        </w:rPr>
        <w:footnoteReference w:id="1594"/>
      </w:r>
      <w:r>
        <w:rPr>
          <w:rFonts w:ascii="Amiri" w:hAnsi="Amiri" w:eastAsia="Amiri" w:cs="Amiri"/>
          <w:color w:val="111111"/>
          <w:sz w:val="28"/>
          <w:sz w:val="28"/>
          <w:szCs w:val="28"/>
          <w:rtl w:val="true"/>
          <w:lang w:bidi="ar-SA"/>
        </w:rPr>
        <w:t xml:space="preserve">و الكفاية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تختلف مطالعها، كبغداد و كوفة و نحوهما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يثبت للبلاد المتباعدة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موضع </w:t>
      </w:r>
      <w:r>
        <w:rPr>
          <w:rStyle w:val="FootnoteAnchor"/>
          <w:rtl w:val="true"/>
        </w:rPr>
        <w:footnoteReference w:id="1596"/>
      </w:r>
      <w:r>
        <w:rPr>
          <w:rFonts w:ascii="IRNazanin" w:hAnsi="IRNazanin" w:eastAsia="IRNazanin"/>
          <w:color w:val="111111"/>
          <w:sz w:val="28"/>
          <w:sz w:val="28"/>
          <w:szCs w:val="28"/>
          <w:rtl w:val="true"/>
          <w:lang w:bidi="fa-IR"/>
        </w:rPr>
        <w:t xml:space="preserve">من المنتهى </w:t>
      </w:r>
      <w:r>
        <w:rPr>
          <w:rStyle w:val="FootnoteAnchor"/>
          <w:rtl w:val="true"/>
        </w:rPr>
        <w:footnoteReference w:id="1597"/>
      </w:r>
      <w:r>
        <w:rPr>
          <w:rFonts w:ascii="Amiri" w:hAnsi="Amiri" w:eastAsia="Amiri" w:cs="Amiri"/>
          <w:color w:val="111111"/>
          <w:sz w:val="28"/>
          <w:sz w:val="28"/>
          <w:szCs w:val="28"/>
          <w:rtl w:val="true"/>
          <w:lang w:bidi="ar-SA"/>
        </w:rPr>
        <w:t xml:space="preserve">و التحرير </w:t>
      </w:r>
      <w:r>
        <w:rPr>
          <w:rStyle w:val="FootnoteAnchor"/>
          <w:rtl w:val="true"/>
        </w:rPr>
        <w:footnoteReference w:id="1598"/>
      </w:r>
      <w:r>
        <w:rPr>
          <w:rFonts w:ascii="Amiri" w:hAnsi="Amiri" w:eastAsia="Amiri" w:cs="Amiri"/>
          <w:color w:val="111111"/>
          <w:sz w:val="28"/>
          <w:sz w:val="28"/>
          <w:szCs w:val="28"/>
          <w:rtl w:val="true"/>
          <w:lang w:bidi="ar-SA"/>
        </w:rPr>
        <w:t xml:space="preserve">و عن التذكرة </w:t>
      </w:r>
      <w:r>
        <w:rPr>
          <w:rStyle w:val="FootnoteAnchor"/>
          <w:rtl w:val="true"/>
        </w:rPr>
        <w:footnoteReference w:id="1599"/>
      </w:r>
      <w:r>
        <w:rPr>
          <w:rFonts w:ascii="Amiri" w:hAnsi="Amiri" w:eastAsia="Amiri" w:cs="Amiri"/>
          <w:color w:val="111111"/>
          <w:sz w:val="28"/>
          <w:sz w:val="28"/>
          <w:szCs w:val="28"/>
          <w:rtl w:val="true"/>
          <w:lang w:bidi="ar-SA"/>
        </w:rPr>
        <w:t>حكايته عن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يثبت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في المعتبر </w:t>
      </w:r>
      <w:r>
        <w:rPr>
          <w:rStyle w:val="FootnoteAnchor"/>
          <w:rtl w:val="true"/>
        </w:rPr>
        <w:footnoteReference w:id="1600"/>
      </w:r>
      <w:r>
        <w:rPr>
          <w:rFonts w:ascii="IRNazanin" w:hAnsi="IRNazanin" w:eastAsia="IRNazanin"/>
          <w:color w:val="111111"/>
          <w:sz w:val="28"/>
          <w:sz w:val="28"/>
          <w:szCs w:val="28"/>
          <w:rtl w:val="true"/>
          <w:lang w:bidi="fa-IR"/>
        </w:rPr>
        <w:t xml:space="preserve">و الشرائع </w:t>
      </w:r>
      <w:r>
        <w:rPr>
          <w:rStyle w:val="FootnoteAnchor"/>
          <w:rtl w:val="true"/>
        </w:rPr>
        <w:footnoteReference w:id="1601"/>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Style w:val="FootnoteAnchor"/>
          <w:rtl w:val="true"/>
        </w:rPr>
        <w:footnoteReference w:id="1602"/>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Style w:val="FootnoteAnchor"/>
          <w:rtl w:val="true"/>
        </w:rPr>
        <w:footnoteReference w:id="1603"/>
      </w:r>
      <w:r>
        <w:rPr>
          <w:rFonts w:ascii="IRNazanin" w:hAnsi="IRNazanin" w:eastAsia="IRNazanin"/>
          <w:color w:val="111111"/>
          <w:sz w:val="28"/>
          <w:sz w:val="28"/>
          <w:szCs w:val="28"/>
          <w:rtl w:val="true"/>
          <w:lang w:bidi="fa-IR"/>
        </w:rPr>
        <w:t xml:space="preserve">و عن الجامع </w:t>
      </w:r>
      <w:r>
        <w:rPr>
          <w:rStyle w:val="FootnoteAnchor"/>
          <w:rtl w:val="true"/>
        </w:rPr>
        <w:footnoteReference w:id="1604"/>
      </w:r>
      <w:r>
        <w:rPr>
          <w:rFonts w:ascii="Amiri" w:hAnsi="Amiri" w:eastAsia="Amiri" w:cs="Amiri"/>
          <w:color w:val="111111"/>
          <w:sz w:val="28"/>
          <w:sz w:val="28"/>
          <w:szCs w:val="28"/>
          <w:rtl w:val="true"/>
          <w:lang w:bidi="ar-SA"/>
        </w:rPr>
        <w:t xml:space="preserve">و المسالك </w:t>
      </w:r>
      <w:r>
        <w:rPr>
          <w:rStyle w:val="FootnoteAnchor"/>
          <w:rtl w:val="true"/>
        </w:rPr>
        <w:footnoteReference w:id="1605"/>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606"/>
      </w:r>
      <w:r>
        <w:rPr>
          <w:rFonts w:ascii="Amiri" w:hAnsi="Amiri" w:eastAsia="Amiri" w:cs="Amiri"/>
          <w:color w:val="111111"/>
          <w:sz w:val="28"/>
          <w:sz w:val="28"/>
          <w:szCs w:val="28"/>
          <w:rtl w:val="true"/>
          <w:lang w:bidi="ar-SA"/>
        </w:rPr>
        <w:t xml:space="preserve">و حكي عن الشيخ </w:t>
      </w:r>
      <w:r>
        <w:rPr>
          <w:rStyle w:val="FootnoteAnchor"/>
          <w:rtl w:val="true"/>
        </w:rPr>
        <w:footnoteReference w:id="1607"/>
      </w:r>
      <w:r>
        <w:rPr>
          <w:rFonts w:ascii="Amiri" w:hAnsi="Amiri" w:eastAsia="Amiri" w:cs="Amiri"/>
          <w:color w:val="111111"/>
          <w:sz w:val="28"/>
          <w:sz w:val="28"/>
          <w:szCs w:val="28"/>
          <w:rtl w:val="true"/>
          <w:lang w:bidi="ar-SA"/>
        </w:rPr>
        <w:t>و 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مذهب المعظم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يثبت بشرط إمكان تحقّقه فيها و عدم العلم بعدم وجدانه فيها، فإن علم </w:t>
      </w:r>
      <w:r>
        <w:rPr>
          <w:rStyle w:val="FootnoteAnchor"/>
          <w:rtl w:val="true"/>
        </w:rPr>
        <w:footnoteReference w:id="1609"/>
      </w:r>
      <w:r>
        <w:rPr>
          <w:rFonts w:ascii="Amiri" w:hAnsi="Amiri" w:eastAsia="Amiri" w:cs="Amiri"/>
          <w:color w:val="111111"/>
          <w:sz w:val="28"/>
          <w:sz w:val="28"/>
          <w:szCs w:val="28"/>
          <w:rtl w:val="true"/>
          <w:lang w:bidi="ar-SA"/>
        </w:rPr>
        <w:t xml:space="preserve">بعدم وجوده في الآفاق المتباعدة باعتبار اختلاف المطالع و كرويّة الأرض فلا يعمّهم حكم ثبوت الهلال، و هو المحكي عن المصنّف في المنتهى </w:t>
      </w:r>
      <w:r>
        <w:rPr>
          <w:rStyle w:val="FootnoteAnchor"/>
          <w:rtl w:val="true"/>
        </w:rPr>
        <w:footnoteReference w:id="1610"/>
      </w:r>
      <w:r>
        <w:rPr>
          <w:rFonts w:ascii="Amiri" w:hAnsi="Amiri" w:eastAsia="Amiri" w:cs="Amiri"/>
          <w:color w:val="111111"/>
          <w:sz w:val="28"/>
          <w:sz w:val="28"/>
          <w:szCs w:val="28"/>
          <w:rtl w:val="true"/>
          <w:lang w:bidi="ar-SA"/>
        </w:rPr>
        <w:t xml:space="preserve">و التحرير </w:t>
      </w:r>
      <w:r>
        <w:rPr>
          <w:rStyle w:val="FootnoteAnchor"/>
          <w:rtl w:val="true"/>
        </w:rPr>
        <w:footnoteReference w:id="1611"/>
      </w:r>
      <w:r>
        <w:rPr>
          <w:rFonts w:ascii="Amiri" w:hAnsi="Amiri" w:eastAsia="Amiri" w:cs="Amiri"/>
          <w:color w:val="111111"/>
          <w:sz w:val="28"/>
          <w:sz w:val="28"/>
          <w:szCs w:val="28"/>
          <w:rtl w:val="true"/>
          <w:lang w:bidi="ar-SA"/>
        </w:rPr>
        <w:t xml:space="preserve">بعد اختيار القول الأوّل، و استجوده في المدارك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ينسب إلى المحقّق رحمه اللّٰه أنّه مع العلم بأنّه متى رئي </w:t>
      </w:r>
      <w:r>
        <w:rPr>
          <w:rStyle w:val="FootnoteAnchor"/>
          <w:rtl w:val="true"/>
        </w:rPr>
        <w:footnoteReference w:id="1613"/>
      </w:r>
      <w:r>
        <w:rPr>
          <w:rFonts w:ascii="Amiri" w:hAnsi="Amiri" w:eastAsia="Amiri" w:cs="Amiri"/>
          <w:color w:val="111111"/>
          <w:sz w:val="28"/>
          <w:sz w:val="28"/>
          <w:szCs w:val="28"/>
          <w:rtl w:val="true"/>
          <w:lang w:bidi="ar-SA"/>
        </w:rPr>
        <w:t xml:space="preserve">في بلد يعلم أنّه مع ارتفاع الموانع يجب أن يرى في البلد الآخر، كانت الرؤية فيه رؤية لذلك الآخر </w:t>
      </w:r>
      <w:r>
        <w:rPr>
          <w:rStyle w:val="FootnoteAnchor"/>
          <w:rtl w:val="true"/>
        </w:rPr>
        <w:footnoteReference w:id="1614"/>
      </w:r>
      <w:r>
        <w:rPr>
          <w:rFonts w:ascii="IRNazanin" w:hAnsi="IRNazanin" w:eastAsia="IRNazanin"/>
          <w:color w:val="111111"/>
          <w:sz w:val="28"/>
          <w:sz w:val="28"/>
          <w:szCs w:val="28"/>
          <w:rtl w:val="true"/>
          <w:lang w:bidi="fa-IR"/>
        </w:rPr>
        <w:t xml:space="preserve">و أمّا إذا تباعدت البلدان </w:t>
      </w:r>
      <w:r>
        <w:rPr>
          <w:rStyle w:val="FootnoteAnchor"/>
          <w:rtl w:val="true"/>
        </w:rPr>
        <w:footnoteReference w:id="1615"/>
      </w:r>
      <w:r>
        <w:rPr>
          <w:rFonts w:ascii="Amiri" w:hAnsi="Amiri" w:eastAsia="Amiri" w:cs="Amiri"/>
          <w:color w:val="111111"/>
          <w:sz w:val="28"/>
          <w:sz w:val="28"/>
          <w:szCs w:val="28"/>
          <w:rtl w:val="true"/>
          <w:lang w:bidi="ar-SA"/>
        </w:rPr>
        <w:t xml:space="preserve">تباعدا يزول معه هذا العلم </w:t>
      </w:r>
      <w:r>
        <w:rPr>
          <w:rStyle w:val="FootnoteAnchor"/>
          <w:rtl w:val="true"/>
        </w:rPr>
        <w:footnoteReference w:id="1616"/>
      </w:r>
      <w:r>
        <w:rPr>
          <w:rFonts w:ascii="Amiri" w:hAnsi="Amiri" w:eastAsia="Amiri" w:cs="Amiri"/>
          <w:color w:val="111111"/>
          <w:sz w:val="28"/>
          <w:sz w:val="28"/>
          <w:szCs w:val="28"/>
          <w:rtl w:val="true"/>
          <w:lang w:bidi="ar-SA"/>
        </w:rPr>
        <w:t>فإنّه لا يجب أن يحكم لها بحكم واحد في الأدلّة، لأنّ تساوي عروضها لا يعلم إلّا من أصحاب الإرصاد و أرباب النجوم، و هو طريق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حيث المسافة ليجامع تساوي العروض و عدمه، و المراد بالتباعد على التفسير </w:t>
      </w:r>
      <w:r>
        <w:rPr>
          <w:rStyle w:val="FootnoteAnchor"/>
          <w:rtl w:val="true"/>
        </w:rPr>
        <w:footnoteReference w:id="1617"/>
      </w:r>
      <w:r>
        <w:rPr>
          <w:rFonts w:ascii="Amiri" w:hAnsi="Amiri" w:eastAsia="Amiri" w:cs="Amiri"/>
          <w:color w:val="111111"/>
          <w:sz w:val="28"/>
          <w:sz w:val="28"/>
          <w:szCs w:val="28"/>
          <w:rtl w:val="true"/>
          <w:lang w:bidi="ar-SA"/>
        </w:rPr>
        <w:t>أن يحصل اختلاف العروض الموجب لاختلاف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من الأخبار على أنّه إذا ثبت الرؤية في بلد وجب على من لم يثبت الرؤية عندهم قضاء ذلك اليوم، مثل مصحّحة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صام تسعا و 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بيّنة عادلة على أهل مصر، أنّهم صاموا ثلاثين على رؤية </w:t>
      </w:r>
      <w:r>
        <w:rPr>
          <w:rStyle w:val="FootnoteAnchor"/>
          <w:rtl w:val="true"/>
        </w:rPr>
        <w:footnoteReference w:id="1618"/>
      </w:r>
      <w:r>
        <w:rPr>
          <w:rFonts w:ascii="Amiri" w:hAnsi="Amiri" w:eastAsia="Amiri" w:cs="Amiri"/>
          <w:color w:val="111111"/>
          <w:sz w:val="28"/>
          <w:sz w:val="28"/>
          <w:szCs w:val="28"/>
          <w:rtl w:val="true"/>
          <w:lang w:bidi="ar-SA"/>
        </w:rPr>
        <w:t>قضى يوما</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محسّنة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يوم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تقضه إلّا أن يشهد شاهدان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كان رأس الشهر، و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تصم ذلك اليوم إلّا أن يقضي أهل الأمصار، فإن فعلوا فصمه</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يضاف إلى ذلك أنّه يصدق أنّه أهلّ شهر رمضان فيجب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الصدق بالنسبة إلى أهل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طلوع الفجر بالنسبة إلى بعض و عدم طلوعه بالنسبة إلى آخرين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شهادة الرؤية في بلد إنّما تنفع لأهل البلد الآخر </w:t>
      </w:r>
      <w:r>
        <w:rPr>
          <w:rStyle w:val="FootnoteAnchor"/>
          <w:rtl w:val="true"/>
        </w:rPr>
        <w:footnoteReference w:id="1622"/>
      </w:r>
      <w:r>
        <w:rPr>
          <w:rFonts w:ascii="Amiri" w:hAnsi="Amiri" w:eastAsia="Amiri" w:cs="Amiri"/>
          <w:color w:val="111111"/>
          <w:sz w:val="28"/>
          <w:sz w:val="28"/>
          <w:szCs w:val="28"/>
          <w:rtl w:val="true"/>
          <w:lang w:bidi="ar-SA"/>
        </w:rPr>
        <w:t>بعد مقدّمة مفروغ عنها،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إهلال الهلال على الأوّلين إهلال له </w:t>
      </w:r>
      <w:r>
        <w:rPr>
          <w:rStyle w:val="FootnoteAnchor"/>
          <w:rtl w:val="true"/>
        </w:rPr>
        <w:footnoteReference w:id="1623"/>
      </w:r>
      <w:r>
        <w:rPr>
          <w:rFonts w:ascii="Amiri" w:hAnsi="Amiri" w:eastAsia="Amiri" w:cs="Amiri"/>
          <w:color w:val="111111"/>
          <w:sz w:val="28"/>
          <w:sz w:val="28"/>
          <w:szCs w:val="28"/>
          <w:rtl w:val="true"/>
          <w:lang w:bidi="ar-SA"/>
        </w:rPr>
        <w:t xml:space="preserve">على الآخرين، فكأنّ الشاهد شهد بإهلال الهلال على أهل هذا البلد الآخر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الأخبار، فالظاهر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المتقاربة، مع أنّ الظاهر أنّ الإطلاق في مقام بيان حكم انكشاف كون يوم الشك من رمضان، لا في مقام </w:t>
      </w:r>
      <w:r>
        <w:rPr>
          <w:rStyle w:val="FootnoteAnchor"/>
          <w:rtl w:val="true"/>
        </w:rPr>
        <w:footnoteReference w:id="1625"/>
      </w:r>
      <w:r>
        <w:rPr>
          <w:rFonts w:ascii="Amiri" w:hAnsi="Amiri" w:eastAsia="Amiri" w:cs="Amiri"/>
          <w:color w:val="111111"/>
          <w:sz w:val="28"/>
          <w:sz w:val="28"/>
          <w:szCs w:val="28"/>
          <w:rtl w:val="true"/>
          <w:lang w:bidi="ar-SA"/>
        </w:rPr>
        <w:t>بيان الكاشف و أنّه يحصل بمجرّد الرؤية في بلد من البلاد و لو كان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دلالة في هذا الإطلاق على الشروط المعتبرة في البيّنة، فكذا لا دلالة على الشروط المعتبرة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القرب و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بيان حكم الانكشاف بعد فرض ثبوت الكاشف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التباعد يوجب العلم بعدم ثبوت الهلال للبلد الآخر أو عدم العلم و هو كاف في عدم الخروج عن الأصل، و إطلاق الأخبار قد عرفت أنّها بعد الفراغ عن دلالة البيّنة على المدّعى،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إهلال الشهر على أهل البلد اللازم </w:t>
      </w:r>
      <w:r>
        <w:rPr>
          <w:rStyle w:val="FootnoteAnchor"/>
          <w:rtl w:val="true"/>
        </w:rPr>
        <w:footnoteReference w:id="1626"/>
      </w:r>
      <w:r>
        <w:rPr>
          <w:rFonts w:ascii="Amiri" w:hAnsi="Amiri" w:eastAsia="Amiri" w:cs="Amiri"/>
          <w:color w:val="111111"/>
          <w:sz w:val="28"/>
          <w:sz w:val="28"/>
          <w:szCs w:val="28"/>
          <w:rtl w:val="true"/>
          <w:lang w:bidi="ar-SA"/>
        </w:rPr>
        <w:t xml:space="preserve">من إهلاله على بلد الرؤية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bookmarkStart w:id="203" w:name="pg19900_214738"/>
    </w:p>
    <w:p>
      <w:pPr>
        <w:pStyle w:val="Heading3"/>
        <w:numPr>
          <w:ilvl w:val="2"/>
          <w:numId w:val="1"/>
        </w:numPr>
        <w:rPr/>
      </w:pPr>
      <w:bookmarkStart w:id="204" w:name="__RefHeading___Toc2061754_2314609296"/>
      <w:bookmarkStart w:id="205" w:name="_Toc76"/>
      <w:bookmarkEnd w:id="203"/>
      <w:bookmarkEnd w:id="204"/>
      <w:r>
        <w:rPr>
          <w:rtl w:val="true"/>
        </w:rPr>
        <w:t>[</w:t>
      </w:r>
      <w:r>
        <w:rPr>
          <w:rtl w:val="true"/>
        </w:rPr>
        <w:t xml:space="preserve">مسألة </w:t>
      </w:r>
      <w:r>
        <w:rPr/>
        <w:t>12</w:t>
      </w:r>
      <w:r>
        <w:rPr>
          <w:rtl w:val="true"/>
        </w:rPr>
        <w:t xml:space="preserve"> </w:t>
      </w:r>
      <w:r>
        <w:rPr>
          <w:rtl w:val="true"/>
        </w:rPr>
        <w:t>في وجوب الإفطار على المسافر و عدم صحّة الصوم منه</w:t>
      </w:r>
      <w:r>
        <w:rPr>
          <w:rtl w:val="true"/>
        </w:rPr>
        <w:t>]</w:t>
      </w:r>
      <w:bookmarkEnd w:id="205"/>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6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وجوب الإفطار على المسافر و عدم صحّة الصوم منه و وجوب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و إنّما الخلاف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الإفطار هل هو مشروط بخروج المسافر قبل الزوال؟ فلو خرج بعده أتمّ الصوم مطلقا؟</w:t>
      </w:r>
    </w:p>
    <w:p>
      <w:pPr>
        <w:pStyle w:val="BookText"/>
        <w:rPr/>
      </w:pPr>
      <w:r>
        <w:rPr>
          <w:rFonts w:ascii="Amiri" w:hAnsi="Amiri" w:eastAsia="Amiri" w:cs="Amiri"/>
          <w:color w:val="111111"/>
          <w:sz w:val="28"/>
          <w:sz w:val="28"/>
          <w:szCs w:val="28"/>
          <w:rtl w:val="true"/>
          <w:lang w:bidi="ar-SA"/>
        </w:rPr>
        <w:t xml:space="preserve">أو بالعزم على السفر من الليل، فإن بدا له في النهار لم يفطر، مطلقا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مشروط بكلا الأمرين، و مع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الصوم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غير مشروط بشي‌ء منهما أصلا، بل يفطر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 بعد الزوال و لم يعزم عليه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أقوال، أوسطها أوّلها، و هو المشهور، للروايات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رواية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يخرج من بيته يريد السفر و 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من قبل أن ينتصف النهار فليفطر و ليقض ذلك اليوم، و إن خرج بعد الزوال </w:t>
      </w:r>
      <w:r>
        <w:rPr>
          <w:rStyle w:val="FootnoteAnchor"/>
          <w:rtl w:val="true"/>
        </w:rPr>
        <w:footnoteReference w:id="1630"/>
      </w:r>
      <w:r>
        <w:rPr>
          <w:rFonts w:ascii="Amiri" w:hAnsi="Amiri" w:eastAsia="Amiri" w:cs="Amiri"/>
          <w:color w:val="111111"/>
          <w:sz w:val="28"/>
          <w:sz w:val="28"/>
          <w:szCs w:val="28"/>
          <w:rtl w:val="true"/>
          <w:lang w:bidi="ar-SA"/>
        </w:rPr>
        <w:t>فليتمّ يومه</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رواية محمّد بن مسلم،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 يعتدّ به من شهر رمضان</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بمفهومها على عدم وجوب صيام اليوم و عدم الاعتداد به إذا خرج قبل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عبيد بن زرارة،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يصوم أو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قبل الزوال فليفطر، و إن خرج بعد الزوال فليصم</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في شهر رمضان بعد الزوال أتمّ الصيام، و إن خرج قبل الزوال أفطر</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لاستجماعها للمرجّحات الداخلية كأخصّيتها بالنسبة إلى الأدلّة </w:t>
      </w:r>
      <w:r>
        <w:rPr>
          <w:rStyle w:val="FootnoteAnchor"/>
          <w:rtl w:val="true"/>
        </w:rPr>
        <w:footnoteReference w:id="1635"/>
      </w:r>
      <w:r>
        <w:rPr>
          <w:rFonts w:ascii="Amiri" w:hAnsi="Amiri" w:eastAsia="Amiri" w:cs="Amiri"/>
          <w:color w:val="111111"/>
          <w:sz w:val="28"/>
          <w:sz w:val="28"/>
          <w:szCs w:val="28"/>
          <w:rtl w:val="true"/>
          <w:lang w:bidi="ar-SA"/>
        </w:rPr>
        <w:t xml:space="preserve">الآتية و صحّة بعضها </w:t>
      </w:r>
      <w:r>
        <w:rPr>
          <w:rStyle w:val="FootnoteAnchor"/>
          <w:rtl w:val="true"/>
        </w:rPr>
        <w:footnoteReference w:id="1636"/>
      </w:r>
      <w:r>
        <w:rPr>
          <w:rFonts w:ascii="Amiri" w:hAnsi="Amiri" w:eastAsia="Amiri" w:cs="Amiri"/>
          <w:color w:val="111111"/>
          <w:sz w:val="28"/>
          <w:sz w:val="28"/>
          <w:szCs w:val="28"/>
          <w:rtl w:val="true"/>
          <w:lang w:bidi="ar-SA"/>
        </w:rPr>
        <w:t>و كثرتها، و للمرجّحات الخارجيّة من اشتهار</w:t>
      </w:r>
    </w:p>
    <w:p>
      <w:pPr>
        <w:pStyle w:val="BookText"/>
        <w:rPr/>
      </w:pPr>
      <w:r>
        <w:rPr>
          <w:rFonts w:ascii="Amiri" w:hAnsi="Amiri" w:eastAsia="Amiri" w:cs="Amiri"/>
          <w:color w:val="111111"/>
          <w:sz w:val="28"/>
          <w:sz w:val="28"/>
          <w:szCs w:val="28"/>
          <w:rtl w:val="true"/>
          <w:lang w:bidi="ar-SA"/>
        </w:rPr>
        <w:t xml:space="preserve">مضمونها سيّما بين القدماء، و موافقة الحكم </w:t>
      </w:r>
      <w:r>
        <w:rPr>
          <w:rStyle w:val="FootnoteAnchor"/>
          <w:rtl w:val="true"/>
        </w:rPr>
        <w:footnoteReference w:id="1637"/>
      </w:r>
      <w:r>
        <w:rPr>
          <w:rFonts w:ascii="Amiri" w:hAnsi="Amiri" w:eastAsia="Amiri" w:cs="Amiri"/>
          <w:color w:val="111111"/>
          <w:sz w:val="28"/>
          <w:sz w:val="28"/>
          <w:szCs w:val="28"/>
          <w:rtl w:val="true"/>
          <w:lang w:bidi="ar-SA"/>
        </w:rPr>
        <w:t xml:space="preserve">الأوّل </w:t>
      </w:r>
      <w:r>
        <w:rPr>
          <w:rStyle w:val="FootnoteAnchor"/>
          <w:rtl w:val="true"/>
        </w:rPr>
        <w:footnoteReference w:id="1638"/>
      </w:r>
      <w:r>
        <w:rPr>
          <w:rFonts w:ascii="Amiri" w:hAnsi="Amiri" w:eastAsia="Amiri" w:cs="Amiri"/>
          <w:color w:val="111111"/>
          <w:sz w:val="28"/>
          <w:sz w:val="28"/>
          <w:szCs w:val="28"/>
          <w:rtl w:val="true"/>
          <w:lang w:bidi="ar-SA"/>
        </w:rPr>
        <w:t>من حكميها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قبل الزوال لعموم الكتاب </w:t>
      </w:r>
      <w:r>
        <w:rPr>
          <w:rStyle w:val="FootnoteAnchor"/>
          <w:rtl w:val="true"/>
        </w:rPr>
        <w:footnoteReference w:id="1639"/>
      </w:r>
      <w:r>
        <w:rPr>
          <w:rFonts w:ascii="Amiri" w:hAnsi="Amiri" w:eastAsia="Amiri" w:cs="Amiri"/>
          <w:color w:val="111111"/>
          <w:sz w:val="28"/>
          <w:sz w:val="28"/>
          <w:szCs w:val="28"/>
          <w:rtl w:val="true"/>
          <w:lang w:bidi="ar-SA"/>
        </w:rPr>
        <w:t xml:space="preserve">و السنّة </w:t>
      </w:r>
      <w:r>
        <w:rPr>
          <w:rStyle w:val="FootnoteAnchor"/>
          <w:rtl w:val="true"/>
        </w:rPr>
        <w:footnoteReference w:id="1640"/>
      </w:r>
      <w:r>
        <w:rPr>
          <w:rFonts w:ascii="Amiri" w:hAnsi="Amiri" w:eastAsia="Amiri" w:cs="Amiri"/>
          <w:color w:val="111111"/>
          <w:sz w:val="28"/>
          <w:sz w:val="28"/>
          <w:szCs w:val="28"/>
          <w:rtl w:val="true"/>
          <w:lang w:bidi="ar-SA"/>
        </w:rPr>
        <w:t xml:space="preserve">من وجوب الإفطار على المسافر مطلقا و موافقة الحكم </w:t>
      </w:r>
      <w:r>
        <w:rPr>
          <w:rStyle w:val="FootnoteAnchor"/>
          <w:rtl w:val="true"/>
        </w:rPr>
        <w:footnoteReference w:id="1641"/>
      </w:r>
      <w:r>
        <w:rPr>
          <w:rFonts w:ascii="Amiri" w:hAnsi="Amiri" w:eastAsia="Amiri" w:cs="Amiri"/>
          <w:color w:val="111111"/>
          <w:sz w:val="28"/>
          <w:sz w:val="28"/>
          <w:szCs w:val="28"/>
          <w:rtl w:val="true"/>
          <w:lang w:bidi="ar-SA"/>
        </w:rPr>
        <w:t xml:space="preserve">الثاني </w:t>
      </w:r>
      <w:r>
        <w:rPr>
          <w:rStyle w:val="FootnoteAnchor"/>
          <w:rtl w:val="true"/>
        </w:rPr>
        <w:footnoteReference w:id="1642"/>
      </w:r>
      <w:r>
        <w:rPr>
          <w:rFonts w:ascii="Amiri" w:hAnsi="Amiri" w:eastAsia="Amiri" w:cs="Amiri"/>
          <w:color w:val="111111"/>
          <w:sz w:val="28"/>
          <w:sz w:val="28"/>
          <w:szCs w:val="28"/>
          <w:rtl w:val="true"/>
          <w:lang w:bidi="ar-SA"/>
        </w:rPr>
        <w:t xml:space="preserve">منهما للإجماع المحكي عن الخلاف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اليد عن كلّ ما خالفها من المطلقات الدالّة على وجوب الإفطار مطلقا كتابا و سنّة، و الناصّة في جواز الإفطار و لو خرج بقليل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أدلّة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السفر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 إن خرج قبل أن تغيب الشمس بقليل</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الروايات الدالّة على اشتراط العزم على السفر من الليل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الشيخ في بعض كتبه </w:t>
      </w:r>
      <w:r>
        <w:rPr>
          <w:rStyle w:val="FootnoteAnchor"/>
          <w:rtl w:val="true"/>
        </w:rPr>
        <w:footnoteReference w:id="1646"/>
      </w:r>
      <w:r>
        <w:rPr>
          <w:rFonts w:ascii="Amiri" w:hAnsi="Amiri" w:eastAsia="Amiri" w:cs="Amiri"/>
          <w:color w:val="111111"/>
          <w:sz w:val="28"/>
          <w:sz w:val="28"/>
          <w:szCs w:val="28"/>
          <w:rtl w:val="true"/>
          <w:lang w:bidi="ar-SA"/>
        </w:rPr>
        <w:t xml:space="preserve">و المحقّق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عليّ بن يقطين،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أ يفطر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 إن لم يحدّث نفسه من الليلة ثمّ بدا له في السفر من يومه، أتمّ صومه</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بعد طلوع الفجر و لم تنو السفر من الليل فأتمّ الصوم، و اعتدّ به من رمضان</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السفر في شهر رمضان فنويت الخروج من الليل، فإن خرجت قبل الفجر أو بعده فأنت مفطر، و عليك قضاء ذلك اليوم</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 خرج من منزله يريد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أو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عليه أن ينوي من الليل سفرا و الإفطار، فإن هو أصبح و لم ينو السفر قصّر و لم يفطر</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موافقتها لمذهب كثير من العامّة، كالأوزاعي، و أبي ثور و الزهري و النخعي و مكحول كما عن المنتهى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الشيخ في المبسوط</w:t>
      </w:r>
      <w:r>
        <w:rPr>
          <w:rFonts w:eastAsia="Amiri" w:cs="Amiri" w:ascii="Amiri" w:hAnsi="Amiri"/>
          <w:color w:val="111111"/>
          <w:sz w:val="28"/>
          <w:szCs w:val="28"/>
          <w:rtl w:val="true"/>
          <w:lang w:bidi="ar-SA"/>
        </w:rPr>
        <w:t xml:space="preserve">- </w:t>
      </w:r>
      <w:r>
        <w:rPr>
          <w:rStyle w:val="FootnoteAnchor"/>
          <w:rtl w:val="true"/>
        </w:rPr>
        <w:footnoteReference w:id="1653"/>
      </w:r>
      <w:r>
        <w:rPr>
          <w:rFonts w:ascii="Amiri" w:hAnsi="Amiri" w:eastAsia="Amiri" w:cs="Amiri"/>
          <w:color w:val="111111"/>
          <w:sz w:val="28"/>
          <w:sz w:val="28"/>
          <w:szCs w:val="28"/>
          <w:rtl w:val="true"/>
          <w:lang w:bidi="ar-SA"/>
        </w:rPr>
        <w:t xml:space="preserve">فلم نقف له على مستند، و قد استدلّ له بعض مشايخ مشايخنا </w:t>
      </w:r>
      <w:r>
        <w:rPr>
          <w:rStyle w:val="FootnoteAnchor"/>
          <w:rtl w:val="true"/>
        </w:rPr>
        <w:footnoteReference w:id="1654"/>
      </w:r>
      <w:r>
        <w:rPr>
          <w:rFonts w:ascii="Amiri" w:hAnsi="Amiri" w:eastAsia="Amiri" w:cs="Amiri"/>
          <w:color w:val="111111"/>
          <w:sz w:val="28"/>
          <w:sz w:val="28"/>
          <w:szCs w:val="28"/>
          <w:rtl w:val="true"/>
          <w:lang w:bidi="ar-SA"/>
        </w:rPr>
        <w:t>بأنّ فيه جمعا بين الأخبار الدالّة على اشتراط الإفطار بالخروج قبل الزوال، و بين الدالّة على اشتراطه بالعزم على السفر، بتخصيص ما دلّ على الإفطار قبل الزوال بما إذا عزم على السفر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التعارض بينهما تعارض العموم و الخصوص من وجه، فيقيّد عموم كلّ منهما بخصوص الآخر، فإنّ الظاهر يحمل على النصّ، و مثل هذا الجمع لا يحتاج إلى شاهد، و هو أولى من الجمع بينهما بالاكتفاء بأحد الأمرين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الوسائل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يحتاج إلى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تبعه على الاستدلال به للشيخ بعض مشايخنا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عجيب، لأنّ العامّين من وجه إذا كانا متعارضين فالجمع بينهما بتقييد عموم كلّ منهما بخصوص الآخر من المحالات العقلية، لأنّه جمع بين النقيضين، 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تكرم الفساق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فمعنى تخصيص </w:t>
      </w:r>
      <w:r>
        <w:rPr>
          <w:rStyle w:val="FootnoteAnchor"/>
          <w:rtl w:val="true"/>
        </w:rPr>
        <w:footnoteReference w:id="1656"/>
      </w:r>
      <w:r>
        <w:rPr>
          <w:rFonts w:ascii="Amiri" w:hAnsi="Amiri" w:eastAsia="Amiri" w:cs="Amiri"/>
          <w:color w:val="111111"/>
          <w:sz w:val="28"/>
          <w:sz w:val="28"/>
          <w:szCs w:val="28"/>
          <w:rtl w:val="true"/>
          <w:lang w:bidi="ar-SA"/>
        </w:rPr>
        <w:t>عموم كلّ منهما بخصوص الآخر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العلماء إلّا الفسّاق منهم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و لا تكرم الفسّاق إلّا العلماء منهم</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و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إكرام العلماء الفاسقين و حرمته، و هو المحال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يكونا </w:t>
      </w:r>
      <w:r>
        <w:rPr>
          <w:rStyle w:val="FootnoteAnchor"/>
          <w:rtl w:val="true"/>
        </w:rPr>
        <w:footnoteReference w:id="1660"/>
      </w:r>
      <w:r>
        <w:rPr>
          <w:rFonts w:ascii="Amiri" w:hAnsi="Amiri" w:eastAsia="Amiri" w:cs="Amiri"/>
          <w:color w:val="111111"/>
          <w:sz w:val="28"/>
          <w:sz w:val="28"/>
          <w:szCs w:val="28"/>
          <w:rtl w:val="true"/>
          <w:lang w:bidi="ar-SA"/>
        </w:rPr>
        <w:t xml:space="preserve">متعارضين فهما </w:t>
      </w:r>
      <w:r>
        <w:rPr>
          <w:rStyle w:val="FootnoteAnchor"/>
          <w:rtl w:val="true"/>
        </w:rPr>
        <w:footnoteReference w:id="1661"/>
      </w:r>
      <w:r>
        <w:rPr>
          <w:rFonts w:ascii="Amiri" w:hAnsi="Amiri" w:eastAsia="Amiri" w:cs="Amiri"/>
          <w:color w:val="111111"/>
          <w:sz w:val="28"/>
          <w:sz w:val="28"/>
          <w:szCs w:val="28"/>
          <w:rtl w:val="true"/>
          <w:lang w:bidi="ar-SA"/>
        </w:rPr>
        <w:t>يجتمعان، فلا يحتاج إلى تقييد عموم واحد منهما بخصوص الآخر، لأنّ التقييد و التخصيص فرع التعارض و التنافي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لوحظت الأدلّة الدالّة على وجوب الإفطار إذا خرج قبل الزوال مع الأدلّة الدالّة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مع العزم من الليل، و كذلك لوحظ الأدلّة الدالّة على وجوب</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إتمام الصوم إذا خرج بعد الزوال مع الأدلّة الدالّة على وجوب الإتمام مع عدم العزم، فلا يحتاج شي‌ء منهما إلى تقييد، بل يبقى</w:t>
      </w:r>
    </w:p>
    <w:p>
      <w:pPr>
        <w:pStyle w:val="BookText"/>
        <w:rPr/>
      </w:pPr>
      <w:r>
        <w:rPr>
          <w:rFonts w:ascii="Amiri" w:hAnsi="Amiri" w:eastAsia="Amiri" w:cs="Amiri"/>
          <w:color w:val="111111"/>
          <w:sz w:val="28"/>
          <w:sz w:val="28"/>
          <w:szCs w:val="28"/>
          <w:rtl w:val="true"/>
          <w:lang w:bidi="ar-SA"/>
        </w:rPr>
        <w:t>كلّ على عمومه، لعدم التنافي بين الحكمين و لا تعارض بينهما، و ليس إلّا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أكرم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لوحظ الأدلّة الاولى مع الأدلّة الرابعة، و كذا لوحظت الثانية مع الثالثة، فيقع التعارض، لكن تخصيص عموم كلّ بخصوص الآخر و حمل ظاهر كلّ على نصّ الآخر من المحالات، لأنّ معنى تخصيص عموم </w:t>
      </w:r>
      <w:r>
        <w:rPr>
          <w:rStyle w:val="FootnoteAnchor"/>
          <w:rtl w:val="true"/>
        </w:rPr>
        <w:footnoteReference w:id="1663"/>
      </w:r>
      <w:r>
        <w:rPr>
          <w:rFonts w:ascii="Amiri" w:hAnsi="Amiri" w:eastAsia="Amiri" w:cs="Amiri"/>
          <w:color w:val="111111"/>
          <w:sz w:val="28"/>
          <w:sz w:val="28"/>
          <w:szCs w:val="28"/>
          <w:rtl w:val="true"/>
          <w:lang w:bidi="ar-SA"/>
        </w:rPr>
        <w:t>الأدلّة الأولى بخصوص الرابعة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خرج قبل الزوال يجب عليه الإفطار إلّا </w:t>
      </w:r>
      <w:r>
        <w:rPr>
          <w:rStyle w:val="FootnoteAnchor"/>
          <w:rtl w:val="true"/>
        </w:rPr>
        <w:footnoteReference w:id="1664"/>
      </w:r>
      <w:r>
        <w:rPr>
          <w:rFonts w:ascii="Amiri" w:hAnsi="Amiri" w:eastAsia="Amiri" w:cs="Amiri"/>
          <w:color w:val="111111"/>
          <w:sz w:val="28"/>
          <w:sz w:val="28"/>
          <w:szCs w:val="28"/>
          <w:rtl w:val="true"/>
          <w:lang w:bidi="ar-SA"/>
        </w:rPr>
        <w:t>إذا لم يعزم على الخروج من الليل، فإنّه يجب عليه الإتمام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العكس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يعزم على الخروج من الليل أتمّ صومه و لم يفطر إلّا إذا خرج قبل الزوال فإنّه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المعنيين متناقضان، و قس على ذلك حال الأدلّة الثانية، مع الثالثة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 تعارض العامّين من وجه </w:t>
      </w:r>
      <w:r>
        <w:rPr>
          <w:rStyle w:val="FootnoteAnchor"/>
          <w:rtl w:val="true"/>
        </w:rPr>
        <w:footnoteReference w:id="1666"/>
      </w:r>
      <w:r>
        <w:rPr>
          <w:rFonts w:ascii="IRNazanin" w:hAnsi="IRNazanin" w:eastAsia="IRNazanin"/>
          <w:color w:val="111111"/>
          <w:sz w:val="28"/>
          <w:sz w:val="28"/>
          <w:szCs w:val="28"/>
          <w:rtl w:val="true"/>
          <w:lang w:bidi="fa-IR"/>
        </w:rPr>
        <w:t xml:space="preserve">حمل عموم أحدهما و ظهوره على خصوص الآخر و نصوصه </w:t>
      </w:r>
      <w:r>
        <w:rPr>
          <w:rStyle w:val="FootnoteAnchor"/>
          <w:rtl w:val="true"/>
        </w:rPr>
        <w:footnoteReference w:id="1667"/>
      </w:r>
      <w:r>
        <w:rPr>
          <w:rFonts w:ascii="IRNazanin" w:hAnsi="IRNazanin" w:eastAsia="IRNazanin"/>
          <w:color w:val="111111"/>
          <w:sz w:val="28"/>
          <w:sz w:val="28"/>
          <w:szCs w:val="28"/>
          <w:rtl w:val="true"/>
          <w:lang w:bidi="fa-IR"/>
        </w:rPr>
        <w:t xml:space="preserve">و إبقاء الآخر </w:t>
      </w:r>
      <w:r>
        <w:rPr>
          <w:rStyle w:val="FootnoteAnchor"/>
          <w:rtl w:val="true"/>
        </w:rPr>
        <w:footnoteReference w:id="1668"/>
      </w:r>
      <w:r>
        <w:rPr>
          <w:rFonts w:ascii="IRNazanin" w:hAnsi="IRNazanin" w:eastAsia="IRNazanin"/>
          <w:color w:val="111111"/>
          <w:sz w:val="28"/>
          <w:sz w:val="28"/>
          <w:szCs w:val="28"/>
          <w:rtl w:val="true"/>
          <w:lang w:bidi="fa-IR"/>
        </w:rPr>
        <w:t>و ظهوره على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التقييد في أحد المطلقين، و لذا لا بدّ من وجود المرجّح، لئلّا يلزم الترجيح من غير مرجّح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تعارضين أحدهما بين الأدلّة الاولى و الرابعة، و الآخر بين الثانية و الثالثة، فوجوه الجمع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الأولى بالرابعة و تخصيص الثانية بالثالثة، مع إبقاء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الثالثة على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ما قاله الشيخ في المبسوط </w:t>
      </w:r>
      <w:r>
        <w:rPr>
          <w:rStyle w:val="FootnoteAnchor"/>
          <w:rtl w:val="true"/>
        </w:rPr>
        <w:footnoteReference w:id="1669"/>
      </w:r>
      <w:r>
        <w:rPr>
          <w:rFonts w:ascii="Amiri" w:hAnsi="Amiri" w:eastAsia="Amiri" w:cs="Amiri"/>
          <w:color w:val="111111"/>
          <w:sz w:val="28"/>
          <w:sz w:val="28"/>
          <w:szCs w:val="28"/>
          <w:rtl w:val="true"/>
          <w:lang w:bidi="ar-SA"/>
        </w:rPr>
        <w:t>من اشتراط اجتماع الأمرين في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أعني تخصيص الرابعة بالأولى، و الثالثة بالثانية مع إبقاء عموم</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الاولى و الثانية على حالهما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 ما حكي عن </w:t>
      </w:r>
      <w:r>
        <w:rPr>
          <w:rStyle w:val="FootnoteAnchor"/>
          <w:rtl w:val="true"/>
        </w:rPr>
        <w:footnoteReference w:id="1672"/>
      </w:r>
      <w:r>
        <w:rPr>
          <w:rFonts w:ascii="Amiri" w:hAnsi="Amiri" w:eastAsia="Amiri" w:cs="Amiri"/>
          <w:color w:val="111111"/>
          <w:sz w:val="28"/>
          <w:sz w:val="28"/>
          <w:szCs w:val="28"/>
          <w:rtl w:val="true"/>
          <w:lang w:bidi="ar-SA"/>
        </w:rPr>
        <w:t xml:space="preserve">الوسائل من اشتراط أحد الأمرين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الثاني و الثاني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ما اخترناه من المذهب المشهور، و هو إناطة الإفطار بالخروج قبل الزوال و إن لم يعزم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القول الثاني المحكيّ عن الشيخ في غير المبسوط </w:t>
      </w:r>
      <w:r>
        <w:rPr>
          <w:rStyle w:val="FootnoteAnchor"/>
          <w:rtl w:val="true"/>
        </w:rPr>
        <w:footnoteReference w:id="1674"/>
      </w:r>
      <w:r>
        <w:rPr>
          <w:rFonts w:ascii="Amiri" w:hAnsi="Amiri" w:eastAsia="Amiri" w:cs="Amiri"/>
          <w:color w:val="111111"/>
          <w:sz w:val="28"/>
          <w:sz w:val="28"/>
          <w:szCs w:val="28"/>
          <w:rtl w:val="true"/>
          <w:lang w:bidi="ar-SA"/>
        </w:rPr>
        <w:t xml:space="preserve">و المحقّق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إناطة الإفطار بالعزم على السفر ليلا و إن خرج بعد الزوال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w:t>
      </w:r>
      <w:r>
        <w:rPr>
          <w:rStyle w:val="FootnoteAnchor"/>
          <w:rtl w:val="true"/>
        </w:rPr>
        <w:footnoteReference w:id="1676"/>
      </w:r>
      <w:r>
        <w:rPr>
          <w:rFonts w:ascii="Amiri" w:hAnsi="Amiri" w:eastAsia="Amiri" w:cs="Amiri"/>
          <w:color w:val="111111"/>
          <w:sz w:val="28"/>
          <w:sz w:val="28"/>
          <w:szCs w:val="28"/>
          <w:rtl w:val="true"/>
          <w:lang w:bidi="ar-SA"/>
        </w:rPr>
        <w:t>أحد هذه الوجوه على الباقي يحتاج إلى مرجّح، و قد عرفت أنّ المرجّح مع الوجه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الشيخ المحكي في </w:t>
      </w:r>
      <w:r>
        <w:rPr>
          <w:rStyle w:val="FootnoteAnchor"/>
          <w:rtl w:val="true"/>
        </w:rPr>
        <w:footnoteReference w:id="1677"/>
      </w:r>
      <w:r>
        <w:rPr>
          <w:rFonts w:ascii="IRNazanin" w:hAnsi="IRNazanin" w:eastAsia="IRNazanin"/>
          <w:color w:val="111111"/>
          <w:sz w:val="28"/>
          <w:sz w:val="28"/>
          <w:szCs w:val="28"/>
          <w:rtl w:val="true"/>
          <w:lang w:bidi="fa-IR"/>
        </w:rPr>
        <w:t xml:space="preserve">المبسوط </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لأحد وجوه </w:t>
      </w:r>
      <w:r>
        <w:rPr>
          <w:rStyle w:val="FootnoteAnchor"/>
          <w:rtl w:val="true"/>
        </w:rPr>
        <w:footnoteReference w:id="1679"/>
      </w:r>
      <w:r>
        <w:rPr>
          <w:rFonts w:ascii="Amiri" w:hAnsi="Amiri" w:eastAsia="Amiri" w:cs="Amiri"/>
          <w:color w:val="111111"/>
          <w:sz w:val="28"/>
          <w:sz w:val="28"/>
          <w:szCs w:val="28"/>
          <w:rtl w:val="true"/>
          <w:lang w:bidi="ar-SA"/>
        </w:rPr>
        <w:t>الجمع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كقول صاحب الوسائل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لواحد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الاحتياج إلى المرجّح و الشاهد، و أنّ ما قاله بعض مشايخ مشايخنا </w:t>
      </w:r>
      <w:r>
        <w:rPr>
          <w:rStyle w:val="FootnoteAnchor"/>
          <w:rtl w:val="true"/>
        </w:rPr>
        <w:footnoteReference w:id="1681"/>
      </w:r>
      <w:r>
        <w:rPr>
          <w:rFonts w:ascii="Amiri" w:hAnsi="Amiri" w:eastAsia="Amiri" w:cs="Amiri"/>
          <w:color w:val="111111"/>
          <w:sz w:val="28"/>
          <w:sz w:val="28"/>
          <w:szCs w:val="28"/>
          <w:rtl w:val="true"/>
          <w:lang w:bidi="ar-SA"/>
        </w:rPr>
        <w:t xml:space="preserve">من أنّ الجمع الموافق لمذهب الشيخ لا يحتاج إلى الشاهد بخلاف الجمع الذي قاله في الوسائل </w:t>
      </w:r>
      <w:r>
        <w:rPr>
          <w:rStyle w:val="FootnoteAnchor"/>
          <w:rtl w:val="true"/>
        </w:rPr>
        <w:footnoteReference w:id="1682"/>
      </w:r>
      <w:r>
        <w:rPr>
          <w:rFonts w:ascii="Amiri" w:hAnsi="Amiri" w:eastAsia="Amiri" w:cs="Amiri"/>
          <w:color w:val="111111"/>
          <w:sz w:val="28"/>
          <w:sz w:val="28"/>
          <w:szCs w:val="28"/>
          <w:rtl w:val="true"/>
          <w:lang w:bidi="ar-SA"/>
        </w:rPr>
        <w:t>لا يخلو عن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جلّ المرجّحات الموجبة لترجيح أخبار إناطة الإفطار </w:t>
      </w:r>
      <w:r>
        <w:rPr>
          <w:rStyle w:val="FootnoteAnchor"/>
          <w:rtl w:val="true"/>
        </w:rPr>
        <w:footnoteReference w:id="1683"/>
      </w:r>
      <w:r>
        <w:rPr>
          <w:rFonts w:ascii="Amiri" w:hAnsi="Amiri" w:eastAsia="Amiri" w:cs="Amiri"/>
          <w:color w:val="111111"/>
          <w:sz w:val="28"/>
          <w:sz w:val="28"/>
          <w:szCs w:val="28"/>
          <w:rtl w:val="true"/>
          <w:lang w:bidi="ar-SA"/>
        </w:rPr>
        <w:t xml:space="preserve">بالخروج قبل الزوال من موافقة </w:t>
      </w:r>
      <w:r>
        <w:rPr>
          <w:rStyle w:val="FootnoteAnchor"/>
          <w:rtl w:val="true"/>
        </w:rPr>
        <w:footnoteReference w:id="1684"/>
      </w:r>
      <w:r>
        <w:rPr>
          <w:rFonts w:ascii="Amiri" w:hAnsi="Amiri" w:eastAsia="Amiri" w:cs="Amiri"/>
          <w:color w:val="111111"/>
          <w:sz w:val="28"/>
          <w:sz w:val="28"/>
          <w:szCs w:val="28"/>
          <w:rtl w:val="true"/>
          <w:lang w:bidi="ar-SA"/>
        </w:rPr>
        <w:t>الكتاب و مخالفة العامّة، مختصّ بأحد الحكمين المستفادين من تلك الأخبار،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إذا خرج قبل الزوال و إن لم يعزم السفر من الليل، بل و عزم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الآخر المستفاد منها،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 الخروج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مرجّح لها بالنسبة إليه، لعدم جريان عمومات الإفطار و عدم معلوميّة مذهب العامّة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يكتفى فيه بالشهرة و نقل الإجماع عن الخلاف </w:t>
      </w:r>
      <w:r>
        <w:rPr>
          <w:rStyle w:val="FootnoteAnchor"/>
          <w:rtl w:val="true"/>
        </w:rPr>
        <w:footnoteReference w:id="1685"/>
      </w:r>
      <w:r>
        <w:rPr>
          <w:rFonts w:ascii="Amiri" w:hAnsi="Amiri" w:eastAsia="Amiri" w:cs="Amiri"/>
          <w:color w:val="111111"/>
          <w:sz w:val="28"/>
          <w:sz w:val="28"/>
          <w:szCs w:val="28"/>
          <w:rtl w:val="true"/>
          <w:lang w:bidi="ar-SA"/>
        </w:rPr>
        <w:t>مضافا إلى ظهور الإجماع المركّب، إذ كلّ من قال بوجوب الإفطار بالخروج قبل الزوال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يعزم السفر ليلا قال بالإتمام بالخروج بعد الزوال و إن عزم السفر ليلا، فتدبّر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bookmarkStart w:id="206" w:name="pg19900_214747"/>
    </w:p>
    <w:p>
      <w:pPr>
        <w:pStyle w:val="Heading3"/>
        <w:numPr>
          <w:ilvl w:val="2"/>
          <w:numId w:val="1"/>
        </w:numPr>
        <w:rPr/>
      </w:pPr>
      <w:bookmarkStart w:id="207" w:name="__RefHeading___Toc2061756_2314609296"/>
      <w:bookmarkStart w:id="208" w:name="_Toc77"/>
      <w:bookmarkEnd w:id="206"/>
      <w:bookmarkEnd w:id="207"/>
      <w:r>
        <w:rPr>
          <w:rtl w:val="true"/>
        </w:rPr>
        <w:t>[</w:t>
      </w:r>
      <w:r>
        <w:rPr>
          <w:rtl w:val="true"/>
        </w:rPr>
        <w:t xml:space="preserve">مسألة </w:t>
      </w:r>
      <w:r>
        <w:rPr/>
        <w:t>13</w:t>
      </w:r>
      <w:r>
        <w:rPr>
          <w:rtl w:val="true"/>
        </w:rPr>
        <w:t xml:space="preserve"> </w:t>
      </w:r>
      <w:r>
        <w:rPr>
          <w:rtl w:val="true"/>
        </w:rPr>
        <w:t>الظاهر عدم صحّة الصوم الواجب في السفر إلّا في المواضع المستثناة</w:t>
      </w:r>
      <w:r>
        <w:rPr>
          <w:rtl w:val="true"/>
        </w:rPr>
        <w:t>]</w:t>
      </w:r>
      <w:bookmarkEnd w:id="2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صحّة الصوم الواجب في السفر إلّا في المواضع المستثناة،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الروايات المستفيضة، بل المتواترة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عن الرجل يسافر في شهر رمضان فيصوم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رواية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مات صائما </w:t>
      </w:r>
      <w:r>
        <w:rPr>
          <w:rStyle w:val="FootnoteAnchor"/>
          <w:rtl w:val="true"/>
        </w:rPr>
        <w:footnoteReference w:id="1688"/>
      </w:r>
      <w:r>
        <w:rPr>
          <w:rFonts w:ascii="Amiri" w:hAnsi="Amiri" w:eastAsia="Amiri" w:cs="Amiri"/>
          <w:color w:val="111111"/>
          <w:sz w:val="28"/>
          <w:sz w:val="28"/>
          <w:szCs w:val="28"/>
          <w:rtl w:val="true"/>
          <w:lang w:bidi="ar-SA"/>
        </w:rPr>
        <w:t>في السفر، ما صلّيت عليه</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في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في السفر قد صام أناس على عهد رسول اللّٰه صلّى اللّٰه عليه و آله و سلم فسمّاهم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فلا صيام في</w:t>
      </w:r>
    </w:p>
    <w:p>
      <w:pPr>
        <w:pStyle w:val="BookText"/>
        <w:rPr/>
      </w:pPr>
      <w:r>
        <w:rPr>
          <w:rFonts w:ascii="Amiri" w:hAnsi="Amiri" w:eastAsia="Amiri" w:cs="Amiri"/>
          <w:color w:val="111111"/>
          <w:sz w:val="28"/>
          <w:sz w:val="28"/>
          <w:szCs w:val="28"/>
          <w:rtl w:val="true"/>
          <w:lang w:bidi="ar-SA"/>
        </w:rPr>
        <w:t xml:space="preserve">السفر إلّا الثلاثة </w:t>
      </w:r>
      <w:r>
        <w:rPr>
          <w:rStyle w:val="FootnoteAnchor"/>
          <w:rtl w:val="true"/>
        </w:rPr>
        <w:footnoteReference w:id="1690"/>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اللّٰه تعالى</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أصوم شهرا أو أكثر من ذلك أو أقل، فعرض له أمر لا بدّ له </w:t>
      </w:r>
      <w:r>
        <w:rPr>
          <w:rStyle w:val="FootnoteAnchor"/>
          <w:rtl w:val="true"/>
        </w:rPr>
        <w:footnoteReference w:id="1693"/>
      </w:r>
      <w:r>
        <w:rPr>
          <w:rFonts w:ascii="Amiri" w:hAnsi="Amiri" w:eastAsia="Amiri" w:cs="Amiri"/>
          <w:color w:val="111111"/>
          <w:sz w:val="28"/>
          <w:sz w:val="28"/>
          <w:szCs w:val="28"/>
          <w:rtl w:val="true"/>
          <w:lang w:bidi="ar-SA"/>
        </w:rPr>
        <w:t>أن يسافر، أ يصوم و هو مسافر؟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فليفطر، فإنّه لا يحلّ له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كان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في السفر معصية</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الصيام بمكّة و المدينة </w:t>
      </w:r>
      <w:r>
        <w:rPr>
          <w:rStyle w:val="FootnoteAnchor"/>
          <w:rtl w:val="true"/>
        </w:rPr>
        <w:footnoteReference w:id="16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لكنه تطوّع كما يتطوّع </w:t>
      </w:r>
      <w:r>
        <w:rPr>
          <w:rStyle w:val="FootnoteAnchor"/>
          <w:rtl w:val="true"/>
        </w:rPr>
        <w:footnoteReference w:id="1696"/>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اليوم و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 أفطر</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الّذين إذا سافروا قصّروا و أفطروا</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الصوم المندوب غير الثلاثة أيّام عند قبر النبيّ صلّى اللّٰه عليه و آله و سلم فالأكثر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w:t>
      </w:r>
      <w:r>
        <w:rPr>
          <w:rStyle w:val="FootnoteAnchor"/>
          <w:rtl w:val="true"/>
        </w:rPr>
        <w:footnoteReference w:id="1700"/>
      </w:r>
      <w:r>
        <w:rPr>
          <w:rFonts w:ascii="Amiri" w:hAnsi="Amiri" w:eastAsia="Amiri" w:cs="Amiri"/>
          <w:color w:val="111111"/>
          <w:sz w:val="28"/>
          <w:sz w:val="28"/>
          <w:szCs w:val="28"/>
          <w:rtl w:val="true"/>
          <w:lang w:bidi="ar-SA"/>
        </w:rPr>
        <w:t>الصحّة، للإطلاقات المذكورة، بل لنصّ</w:t>
      </w:r>
    </w:p>
    <w:p>
      <w:pPr>
        <w:pStyle w:val="BookText"/>
        <w:rPr/>
      </w:pPr>
      <w:r>
        <w:rPr>
          <w:rFonts w:ascii="Amiri" w:hAnsi="Amiri" w:eastAsia="Amiri" w:cs="Amiri"/>
          <w:color w:val="111111"/>
          <w:sz w:val="28"/>
          <w:sz w:val="28"/>
          <w:szCs w:val="28"/>
          <w:rtl w:val="true"/>
          <w:lang w:bidi="ar-SA"/>
        </w:rPr>
        <w:t>روايتي عمّار و البزنطي عليها بقوله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المورد خصوص التطوّع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يراد بالفريضة في </w:t>
      </w:r>
      <w:r>
        <w:rPr>
          <w:rStyle w:val="FootnoteAnchor"/>
          <w:rtl w:val="true"/>
        </w:rPr>
        <w:footnoteReference w:id="1701"/>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صوم رمضان، فيشمل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Style w:val="FootnoteAnchor"/>
          <w:rtl w:val="true"/>
        </w:rPr>
        <w:footnoteReference w:id="1702"/>
      </w:r>
      <w:r>
        <w:rPr>
          <w:rFonts w:ascii="Amiri" w:hAnsi="Amiri" w:eastAsia="Amiri" w:cs="Amiri"/>
          <w:color w:val="111111"/>
          <w:sz w:val="28"/>
          <w:sz w:val="28"/>
          <w:szCs w:val="28"/>
          <w:rtl w:val="true"/>
          <w:lang w:bidi="ar-SA"/>
        </w:rPr>
        <w:t>فيكون كسائر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جماعة من المتأخّرين </w:t>
      </w:r>
      <w:r>
        <w:rPr>
          <w:rStyle w:val="FootnoteAnchor"/>
          <w:rtl w:val="true"/>
        </w:rPr>
        <w:footnoteReference w:id="1703"/>
      </w:r>
      <w:r>
        <w:rPr>
          <w:rFonts w:ascii="Amiri" w:hAnsi="Amiri" w:eastAsia="Amiri" w:cs="Amiri"/>
          <w:color w:val="111111"/>
          <w:sz w:val="28"/>
          <w:sz w:val="28"/>
          <w:szCs w:val="28"/>
          <w:rtl w:val="true"/>
          <w:lang w:bidi="ar-SA"/>
        </w:rPr>
        <w:t>فذهبوا إلى الصحّة إمّا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عدم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آخرين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لروايتي إسماعيل بن سهل و الحسن بن بسّام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عليه السلام من المدينة في أيّام بقين من شعبان، و كان يصوم فدخل </w:t>
      </w:r>
      <w:r>
        <w:rPr>
          <w:rStyle w:val="FootnoteAnchor"/>
          <w:rtl w:val="true"/>
        </w:rPr>
        <w:footnoteReference w:id="1705"/>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 شعبان </w:t>
      </w:r>
      <w:r>
        <w:rPr>
          <w:rStyle w:val="FootnoteAnchor"/>
          <w:rtl w:val="true"/>
        </w:rPr>
        <w:footnoteReference w:id="1706"/>
      </w:r>
      <w:r>
        <w:rPr>
          <w:rFonts w:ascii="Amiri" w:hAnsi="Amiri" w:eastAsia="Amiri" w:cs="Amiri"/>
          <w:color w:val="111111"/>
          <w:sz w:val="28"/>
          <w:sz w:val="28"/>
          <w:szCs w:val="28"/>
          <w:rtl w:val="true"/>
          <w:lang w:bidi="ar-SA"/>
        </w:rPr>
        <w:t>و تفطر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إليّ إن شئت صمت و إن شئت لا، و شهر رمضان عزم من اللّٰه عليّ الإفطار</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فيما بين مكّة و المدينة في شعبان و هو صائم، ثم رأينا هلال رمضان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 لنا أن نفعل ما شئنا، و هذا فرض و ليس علينا أن نفعل إلّا ما أمرنا</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يصوم عرفة في اليوم الحارّ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البزنطي المتقدّمة </w:t>
      </w:r>
      <w:r>
        <w:rPr>
          <w:rStyle w:val="FootnoteAnchor"/>
          <w:rtl w:val="true"/>
        </w:rPr>
        <w:footnoteReference w:id="1710"/>
      </w:r>
      <w:r>
        <w:rPr>
          <w:rFonts w:ascii="Amiri" w:hAnsi="Amiri" w:eastAsia="Amiri" w:cs="Amiri"/>
          <w:color w:val="111111"/>
          <w:sz w:val="28"/>
          <w:sz w:val="28"/>
          <w:szCs w:val="28"/>
          <w:rtl w:val="true"/>
          <w:lang w:bidi="ar-SA"/>
        </w:rPr>
        <w:t xml:space="preserve">حيث استفصل المعصوم عليه السلام في </w:t>
      </w:r>
      <w:r>
        <w:rPr>
          <w:rStyle w:val="FootnoteAnchor"/>
          <w:rtl w:val="true"/>
        </w:rPr>
        <w:footnoteReference w:id="1711"/>
      </w:r>
      <w:r>
        <w:rPr>
          <w:rFonts w:ascii="IRNazanin" w:hAnsi="IRNazanin" w:eastAsia="IRNazanin"/>
          <w:color w:val="111111"/>
          <w:sz w:val="28"/>
          <w:sz w:val="28"/>
          <w:szCs w:val="28"/>
          <w:rtl w:val="true"/>
          <w:lang w:bidi="fa-IR"/>
        </w:rPr>
        <w:t xml:space="preserve">مورد السؤال، فلو لا الفرق </w:t>
      </w:r>
      <w:r>
        <w:rPr>
          <w:rStyle w:val="FootnoteAnchor"/>
          <w:rtl w:val="true"/>
        </w:rPr>
        <w:footnoteReference w:id="1712"/>
      </w:r>
      <w:r>
        <w:rPr>
          <w:rFonts w:ascii="Amiri" w:hAnsi="Amiri" w:eastAsia="Amiri" w:cs="Amiri"/>
          <w:color w:val="111111"/>
          <w:sz w:val="28"/>
          <w:sz w:val="28"/>
          <w:szCs w:val="28"/>
          <w:rtl w:val="true"/>
          <w:lang w:bidi="ar-SA"/>
        </w:rPr>
        <w:t>بين النافلة و الفريضة لم تكن فائدة في الاستفصال، فلا بدّ من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ليحصل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محلّ إشكال، إلّا أنّ القول الأوّل لا يخلو عن قوّة، لكثرة الأخبار الدالّة عليه، و عدم صحّة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و عدم الجابر لها جبرا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معارضتها بروايتي عمّار و البزنطي </w:t>
      </w:r>
      <w:r>
        <w:rPr>
          <w:rStyle w:val="FootnoteAnchor"/>
          <w:rtl w:val="true"/>
        </w:rPr>
        <w:footnoteReference w:id="1714"/>
      </w:r>
      <w:r>
        <w:rPr>
          <w:rFonts w:ascii="Amiri" w:hAnsi="Amiri" w:eastAsia="Amiri" w:cs="Amiri"/>
          <w:color w:val="111111"/>
          <w:sz w:val="28"/>
          <w:sz w:val="28"/>
          <w:szCs w:val="28"/>
          <w:rtl w:val="true"/>
          <w:lang w:bidi="ar-SA"/>
        </w:rPr>
        <w:t xml:space="preserve">بناء على شمول الفريضة في الأولى لمطلق الواجب، فيكون </w:t>
      </w:r>
      <w:r>
        <w:rPr>
          <w:rStyle w:val="FootnoteAnchor"/>
          <w:rtl w:val="true"/>
        </w:rPr>
        <w:footnoteReference w:id="1715"/>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المندوب، و احتمال كون الاستفصال في الثانية عن كون السؤال عن الفريضة أو النافلة لغرض آخر غير اختصاص التحريم بالفريضة، فإنّ القدر المسلّم الثابت بالعقل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ترك الاستفصال على العموم، لا دلالة الاستفصال على الخصوص</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يفهم منه في بعض الموارد أنّه </w:t>
      </w:r>
      <w:r>
        <w:rPr>
          <w:rStyle w:val="FootnoteAnchor"/>
          <w:rtl w:val="true"/>
        </w:rPr>
        <w:footnoteReference w:id="1716"/>
      </w:r>
      <w:r>
        <w:rPr>
          <w:rFonts w:ascii="Amiri" w:hAnsi="Amiri" w:eastAsia="Amiri" w:cs="Amiri"/>
          <w:color w:val="111111"/>
          <w:sz w:val="28"/>
          <w:sz w:val="28"/>
          <w:szCs w:val="28"/>
          <w:rtl w:val="true"/>
          <w:lang w:bidi="ar-SA"/>
        </w:rPr>
        <w:t>لو كان الاستفصال لأجل اختصاص الحرمة بالفريضة لم تكن فائدة في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التطوّع </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إقامة العشرة بقوله </w:t>
      </w:r>
      <w:r>
        <w:rPr>
          <w:rStyle w:val="FootnoteAnchor"/>
          <w:rtl w:val="true"/>
        </w:rPr>
        <w:footnoteReference w:id="17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اليوم 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النافلة و الفريضة في اختصاص الحكم فيهما بصورة عدم إقامة العشرة، فكان الواجب أوّلا الاستفصال عن الإقامة و العدم، ثمّ عن كون المسئول عنه فريضة أو تطوّعا فيكشف ذلك عن أنّ الاستفصال الأوّل ليس لغرض تخصيص الحكم، و إلّا لقدّمه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تعارض أخبار الجواز بالروايتين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ترجيحهما من حيث السند و الموافقة لشهرة القدماء، و مع التنزّل فالتساقط و الرجوع إلى العمومات الناهية عن الصوم بقول مطلق في السفر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استثناء الثلاثة أيّام عند قبر النبي صلّى اللّٰه عليه و آله و سلم فهو مقتضى رواية عليّ بن حكيم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المفيد إلحاق المشاهد المشرّفة به </w:t>
      </w:r>
      <w:r>
        <w:rPr>
          <w:rStyle w:val="FootnoteAnchor"/>
          <w:rtl w:val="true"/>
        </w:rPr>
        <w:footnoteReference w:id="1721"/>
      </w:r>
      <w:r>
        <w:rPr>
          <w:rFonts w:ascii="IRNazanin" w:hAnsi="IRNazanin" w:eastAsia="IRNazanin"/>
          <w:color w:val="111111"/>
          <w:sz w:val="28"/>
          <w:sz w:val="28"/>
          <w:szCs w:val="28"/>
          <w:rtl w:val="true"/>
          <w:lang w:bidi="fa-IR"/>
        </w:rPr>
        <w:t>و لم نعثر له على مستند</w:t>
      </w:r>
      <w:r>
        <w:rPr>
          <w:rFonts w:eastAsia="IRNazanin" w:cs="IRNazanin"/>
          <w:color w:val="111111"/>
          <w:sz w:val="28"/>
          <w:szCs w:val="28"/>
          <w:rtl w:val="true"/>
          <w:lang w:bidi="fa-IR"/>
        </w:rPr>
        <w:t>.</w:t>
      </w:r>
      <w:bookmarkStart w:id="209" w:name="pg19900_214752"/>
    </w:p>
    <w:p>
      <w:pPr>
        <w:pStyle w:val="Heading3"/>
        <w:numPr>
          <w:ilvl w:val="2"/>
          <w:numId w:val="1"/>
        </w:numPr>
        <w:rPr/>
      </w:pPr>
      <w:bookmarkStart w:id="210" w:name="__RefHeading___Toc2061758_2314609296"/>
      <w:bookmarkStart w:id="211" w:name="_Toc78"/>
      <w:bookmarkEnd w:id="209"/>
      <w:bookmarkEnd w:id="210"/>
      <w:r>
        <w:rPr>
          <w:rtl w:val="true"/>
        </w:rPr>
        <w:t>[</w:t>
      </w:r>
      <w:r>
        <w:rPr>
          <w:rtl w:val="true"/>
        </w:rPr>
        <w:t xml:space="preserve">مسألة </w:t>
      </w:r>
      <w:r>
        <w:rPr/>
        <w:t>14</w:t>
      </w:r>
      <w:r>
        <w:rPr>
          <w:rtl w:val="true"/>
        </w:rPr>
        <w:t xml:space="preserve"> </w:t>
      </w:r>
      <w:r>
        <w:rPr>
          <w:rtl w:val="true"/>
        </w:rPr>
        <w:t>يسقط الصوم عن المريض الذي يتضرّر به</w:t>
      </w:r>
      <w:r>
        <w:rPr>
          <w:rtl w:val="true"/>
        </w:rPr>
        <w:t>]</w:t>
      </w:r>
      <w:bookmarkEnd w:id="2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الصوم عن المريض الذي يتضرّر به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عمومات نفي الحرج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الآية و الأخبار، قال اللّٰه سبحانه فَمَنْ كٰانَ مِنْكُمْ مَرِيضاً أَوْ عَلىٰ سَفَرٍ فَعِدَّةٌ مِنْ أَيّٰامٍ أُخَرَ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أضرّ به الصوم فالإفطار له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صدر تلك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إذا خاف على عينه من الرمد أفطر</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التضرّر بزيادة المرض أو بطؤه أو عسر علاجه لإطلاق الأدلّة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يلحق به حدوث المرض للصحيح؟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للعمومات</w:t>
      </w:r>
    </w:p>
    <w:p>
      <w:pPr>
        <w:pStyle w:val="BookText"/>
        <w:rPr/>
      </w:pPr>
      <w:r>
        <w:rPr>
          <w:rFonts w:ascii="Amiri" w:hAnsi="Amiri" w:eastAsia="Amiri" w:cs="Amiri"/>
          <w:color w:val="111111"/>
          <w:sz w:val="28"/>
          <w:sz w:val="28"/>
          <w:szCs w:val="28"/>
          <w:rtl w:val="true"/>
          <w:lang w:bidi="ar-SA"/>
        </w:rPr>
        <w:t xml:space="preserve">و صدر الرواية </w:t>
      </w:r>
      <w:r>
        <w:rPr>
          <w:rStyle w:val="FootnoteAnchor"/>
          <w:rtl w:val="true"/>
        </w:rPr>
        <w:footnoteReference w:id="1724"/>
      </w:r>
      <w:r>
        <w:rPr>
          <w:rFonts w:ascii="Amiri" w:hAnsi="Amiri" w:eastAsia="Amiri" w:cs="Amiri"/>
          <w:color w:val="111111"/>
          <w:sz w:val="28"/>
          <w:sz w:val="28"/>
          <w:szCs w:val="28"/>
          <w:rtl w:val="true"/>
          <w:lang w:bidi="ar-SA"/>
        </w:rPr>
        <w:t>بضميمة عدم القول بالفصل بين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أضرّ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في ثبوت الحكم مع العلم بالضرر، و كذا مع الظنّ به للإجماع و لزوم الحرج لو لم يعتبر، لأنّ الإقدام على ما يظنّ معه الضرر حرج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لانسداد باب العلم به، فلو وجب الصوم مع الظنّ لوقع المكلّفون كثيرا في الضرر، و لصدق المضرّ </w:t>
      </w:r>
      <w:r>
        <w:rPr>
          <w:rStyle w:val="FootnoteAnchor"/>
          <w:rtl w:val="true"/>
        </w:rPr>
        <w:footnoteReference w:id="1726"/>
      </w:r>
      <w:r>
        <w:rPr>
          <w:rFonts w:ascii="Amiri" w:hAnsi="Amiri" w:eastAsia="Amiri" w:cs="Amiri"/>
          <w:color w:val="111111"/>
          <w:sz w:val="28"/>
          <w:sz w:val="28"/>
          <w:szCs w:val="28"/>
          <w:rtl w:val="true"/>
          <w:lang w:bidi="ar-SA"/>
        </w:rPr>
        <w:t xml:space="preserve">عليه عرفا، فيقال لما يظنّ </w:t>
      </w:r>
      <w:r>
        <w:rPr>
          <w:rStyle w:val="FootnoteAnchor"/>
          <w:rtl w:val="true"/>
        </w:rPr>
        <w:footnoteReference w:id="1727"/>
      </w:r>
      <w:r>
        <w:rPr>
          <w:rFonts w:ascii="Amiri" w:hAnsi="Amiri" w:eastAsia="Amiri" w:cs="Amiri"/>
          <w:color w:val="111111"/>
          <w:sz w:val="28"/>
          <w:sz w:val="28"/>
          <w:szCs w:val="28"/>
          <w:rtl w:val="true"/>
          <w:lang w:bidi="ar-SA"/>
        </w:rPr>
        <w:t>أنّ الصوم يضرّ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مضرّ به</w:t>
      </w:r>
      <w:r>
        <w:rPr>
          <w:rFonts w:eastAsia="IRNazanin" w:cs="IRNazanin"/>
          <w:color w:val="111111"/>
          <w:sz w:val="28"/>
          <w:szCs w:val="28"/>
          <w:rtl w:val="true"/>
          <w:lang w:bidi="fa-IR"/>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 فيدخل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أضرّ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وجدناهم يكتفون في الحكم بثبوت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طريق للعلم إليها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صدق خوف الضرر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تعدّى بعضهم إلى الاحتمال المساوي، لجعل المناط في الرواية خوف الرمد و هو يحصل مع احتماله احتمالا مساويا، و تمّ المطلب </w:t>
      </w:r>
      <w:r>
        <w:rPr>
          <w:rStyle w:val="FootnoteAnchor"/>
          <w:rtl w:val="true"/>
        </w:rPr>
        <w:footnoteReference w:id="1729"/>
      </w:r>
      <w:r>
        <w:rPr>
          <w:rFonts w:ascii="Amiri" w:hAnsi="Amiri" w:eastAsia="Amiri" w:cs="Amiri"/>
          <w:color w:val="111111"/>
          <w:sz w:val="28"/>
          <w:sz w:val="28"/>
          <w:szCs w:val="28"/>
          <w:rtl w:val="true"/>
          <w:lang w:bidi="ar-SA"/>
        </w:rPr>
        <w:t>في غيره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w:t>
      </w:r>
      <w:r>
        <w:rPr>
          <w:rStyle w:val="FootnoteAnchor"/>
          <w:rtl w:val="true"/>
        </w:rPr>
        <w:footnoteReference w:id="1730"/>
      </w:r>
      <w:r>
        <w:rPr>
          <w:rFonts w:ascii="Amiri" w:hAnsi="Amiri" w:eastAsia="Amiri" w:cs="Amiri"/>
          <w:color w:val="111111"/>
          <w:sz w:val="28"/>
          <w:sz w:val="28"/>
          <w:szCs w:val="28"/>
          <w:rtl w:val="true"/>
          <w:lang w:bidi="ar-SA"/>
        </w:rPr>
        <w:t xml:space="preserve">الإجماع على اعتبار الرجحان في الاحتمال، و هو أحوط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w:t>
      </w:r>
      <w:r>
        <w:rPr>
          <w:rStyle w:val="FootnoteAnchor"/>
          <w:rtl w:val="true"/>
        </w:rPr>
        <w:footnoteReference w:id="1732"/>
      </w:r>
      <w:r>
        <w:rPr>
          <w:rFonts w:ascii="Amiri" w:hAnsi="Amiri" w:eastAsia="Amiri" w:cs="Amiri"/>
          <w:color w:val="111111"/>
          <w:sz w:val="28"/>
          <w:sz w:val="28"/>
          <w:szCs w:val="28"/>
          <w:rtl w:val="true"/>
          <w:lang w:bidi="ar-SA"/>
        </w:rPr>
        <w:t xml:space="preserve">برء المريض قبل الزوال و لم يفعل شيئا من المفطرات صام ذلك اليوم و اعتدّ به من رمضان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bookmarkStart w:id="212" w:name="pg19900_214755"/>
    </w:p>
    <w:p>
      <w:pPr>
        <w:pStyle w:val="Heading3"/>
        <w:numPr>
          <w:ilvl w:val="2"/>
          <w:numId w:val="1"/>
        </w:numPr>
        <w:rPr/>
      </w:pPr>
      <w:bookmarkStart w:id="213" w:name="__RefHeading___Toc2061760_2314609296"/>
      <w:bookmarkStart w:id="214" w:name="_Toc79"/>
      <w:bookmarkEnd w:id="212"/>
      <w:bookmarkEnd w:id="213"/>
      <w:r>
        <w:rPr>
          <w:rtl w:val="true"/>
        </w:rPr>
        <w:t>[</w:t>
      </w:r>
      <w:r>
        <w:rPr>
          <w:rtl w:val="true"/>
        </w:rPr>
        <w:t xml:space="preserve">مسألة </w:t>
      </w:r>
      <w:r>
        <w:rPr/>
        <w:t>15</w:t>
      </w:r>
      <w:r>
        <w:rPr>
          <w:rtl w:val="true"/>
        </w:rPr>
        <w:t xml:space="preserve"> </w:t>
      </w:r>
      <w:r>
        <w:rPr>
          <w:rtl w:val="true"/>
        </w:rPr>
        <w:t>الحامل المقرب و المرضعة يجوز لهما الإفطار</w:t>
      </w:r>
      <w:r>
        <w:rPr>
          <w:rtl w:val="true"/>
        </w:rPr>
        <w:t>]</w:t>
      </w:r>
      <w:bookmarkEnd w:id="2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قرب زمان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المرضعة القليلة اللبن إذا خافتا على الولد أو النفس يجوز لهما الإفطار بلا خلاف ظاهر، و عن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عليه إجماع فقهاء الإسلام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عمومات نفي العسر و الحرج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 المرضعة القليلة اللبن لا حرج عليهما أن تفطرا في شهر رمضان، لأنّهما لا تطيقان الصوم، و عليهما أن تتصدّق كلّ واحدة منهما في كلّ يوم تفطران فيه بمدّ من طعام، و عليهما قضاء كلّ يوم أفطرتا فيه تقضيانه بعد</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قوله تعالى وَ عَلَى الَّذِينَ يُطِيقُونَهُ </w:t>
      </w:r>
      <w:r>
        <w:rPr>
          <w:rStyle w:val="FootnoteAnchor"/>
          <w:rtl w:val="true"/>
        </w:rPr>
        <w:footnoteReference w:id="1736"/>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تخاف على ولدها</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يتهيّأ للشيخ أو الشاب أو </w:t>
      </w:r>
      <w:r>
        <w:rPr>
          <w:rStyle w:val="FootnoteAnchor"/>
          <w:rtl w:val="true"/>
        </w:rPr>
        <w:footnoteReference w:id="1738"/>
      </w:r>
      <w:r>
        <w:rPr>
          <w:rFonts w:ascii="Amiri" w:hAnsi="Amiri" w:eastAsia="Amiri" w:cs="Amiri"/>
          <w:color w:val="111111"/>
          <w:sz w:val="28"/>
          <w:sz w:val="28"/>
          <w:szCs w:val="28"/>
          <w:rtl w:val="true"/>
          <w:lang w:bidi="ar-SA"/>
        </w:rPr>
        <w:t xml:space="preserve">المعلول أو الحامل أن يصوم، من العطش أو الجوع أو تخاف المرأة أن يضرّ بولدها، فعليهم جميعا الإفطار و يتصدق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كلّ واحد </w:t>
      </w:r>
      <w:r>
        <w:rPr>
          <w:rStyle w:val="FootnoteAnchor"/>
          <w:rtl w:val="true"/>
        </w:rPr>
        <w:footnoteReference w:id="1740"/>
      </w:r>
      <w:r>
        <w:rPr>
          <w:rFonts w:ascii="Amiri" w:hAnsi="Amiri" w:eastAsia="Amiri" w:cs="Amiri"/>
          <w:color w:val="111111"/>
          <w:sz w:val="28"/>
          <w:sz w:val="28"/>
          <w:szCs w:val="28"/>
          <w:rtl w:val="true"/>
          <w:lang w:bidi="ar-SA"/>
        </w:rPr>
        <w:t xml:space="preserve">كلّ يوم بمدّ من طعام </w:t>
      </w:r>
      <w:r>
        <w:rPr>
          <w:rStyle w:val="FootnoteAnchor"/>
          <w:rtl w:val="true"/>
        </w:rPr>
        <w:footnoteReference w:id="1741"/>
      </w:r>
      <w:r>
        <w:rPr>
          <w:rFonts w:ascii="Amiri" w:hAnsi="Amiri" w:eastAsia="Amiri" w:cs="Amiri"/>
          <w:color w:val="111111"/>
          <w:sz w:val="28"/>
          <w:sz w:val="28"/>
          <w:szCs w:val="28"/>
          <w:rtl w:val="true"/>
          <w:lang w:bidi="ar-SA"/>
        </w:rPr>
        <w:t>و ليس عليه القضاء</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 الرواية الأولى </w:t>
      </w:r>
      <w:r>
        <w:rPr>
          <w:rStyle w:val="FootnoteAnchor"/>
          <w:rtl w:val="true"/>
        </w:rPr>
        <w:footnoteReference w:id="1743"/>
      </w:r>
      <w:r>
        <w:rPr>
          <w:rFonts w:ascii="Amiri" w:hAnsi="Amiri" w:eastAsia="Amiri" w:cs="Amiri"/>
          <w:color w:val="111111"/>
          <w:sz w:val="28"/>
          <w:sz w:val="28"/>
          <w:szCs w:val="28"/>
          <w:rtl w:val="true"/>
          <w:lang w:bidi="ar-SA"/>
        </w:rPr>
        <w:t xml:space="preserve">وجوب التصدّق بالمدّ مطلقا، و إن كان الإفطار للخوف </w:t>
      </w:r>
      <w:r>
        <w:rPr>
          <w:rStyle w:val="FootnoteAnchor"/>
          <w:rtl w:val="true"/>
        </w:rPr>
        <w:footnoteReference w:id="1744"/>
      </w:r>
      <w:r>
        <w:rPr>
          <w:rFonts w:ascii="IRNazanin" w:hAnsi="IRNazanin" w:eastAsia="IRNazanin"/>
          <w:color w:val="111111"/>
          <w:sz w:val="28"/>
          <w:sz w:val="28"/>
          <w:szCs w:val="28"/>
          <w:rtl w:val="true"/>
          <w:lang w:bidi="fa-IR"/>
        </w:rPr>
        <w:t>على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لا يطيقان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به </w:t>
      </w:r>
      <w:r>
        <w:rPr>
          <w:rStyle w:val="FootnoteAnchor"/>
          <w:rtl w:val="true"/>
        </w:rPr>
        <w:footnoteReference w:id="1745"/>
      </w:r>
      <w:r>
        <w:rPr>
          <w:rFonts w:ascii="Amiri" w:hAnsi="Amiri" w:eastAsia="Amiri" w:cs="Amiri"/>
          <w:color w:val="111111"/>
          <w:sz w:val="28"/>
          <w:sz w:val="28"/>
          <w:szCs w:val="28"/>
          <w:rtl w:val="true"/>
          <w:lang w:bidi="ar-SA"/>
        </w:rPr>
        <w:t xml:space="preserve">و على هذا الإطلاق حكي الإجماع عن الخلاف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العلّامة </w:t>
      </w:r>
      <w:r>
        <w:rPr>
          <w:rStyle w:val="FootnoteAnchor"/>
          <w:rtl w:val="true"/>
        </w:rPr>
        <w:footnoteReference w:id="1747"/>
      </w:r>
      <w:r>
        <w:rPr>
          <w:rFonts w:ascii="IRNazanin" w:hAnsi="IRNazanin" w:eastAsia="IRNazanin"/>
          <w:color w:val="111111"/>
          <w:sz w:val="28"/>
          <w:sz w:val="28"/>
          <w:szCs w:val="28"/>
          <w:rtl w:val="true"/>
          <w:lang w:bidi="fa-IR"/>
        </w:rPr>
        <w:t xml:space="preserve">و ولده </w:t>
      </w:r>
      <w:r>
        <w:rPr>
          <w:rStyle w:val="FootnoteAnchor"/>
          <w:rtl w:val="true"/>
        </w:rPr>
        <w:footnoteReference w:id="1748"/>
      </w:r>
      <w:r>
        <w:rPr>
          <w:rFonts w:ascii="Amiri" w:hAnsi="Amiri" w:eastAsia="Amiri" w:cs="Amiri"/>
          <w:color w:val="111111"/>
          <w:sz w:val="28"/>
          <w:sz w:val="28"/>
          <w:szCs w:val="28"/>
          <w:rtl w:val="true"/>
          <w:lang w:bidi="ar-SA"/>
        </w:rPr>
        <w:t xml:space="preserve">و المحقّق </w:t>
      </w:r>
      <w:r>
        <w:rPr>
          <w:rStyle w:val="FootnoteAnchor"/>
          <w:rtl w:val="true"/>
        </w:rPr>
        <w:footnoteReference w:id="1749"/>
      </w:r>
      <w:r>
        <w:rPr>
          <w:rFonts w:ascii="Amiri" w:hAnsi="Amiri" w:eastAsia="Amiri" w:cs="Amiri"/>
          <w:color w:val="111111"/>
          <w:sz w:val="28"/>
          <w:sz w:val="28"/>
          <w:szCs w:val="28"/>
          <w:rtl w:val="true"/>
          <w:lang w:bidi="ar-SA"/>
        </w:rPr>
        <w:t xml:space="preserve">و الشهيد الثانيين </w:t>
      </w:r>
      <w:r>
        <w:rPr>
          <w:rStyle w:val="FootnoteAnchor"/>
          <w:rtl w:val="true"/>
        </w:rPr>
        <w:footnoteReference w:id="1750"/>
      </w:r>
      <w:r>
        <w:rPr>
          <w:rFonts w:ascii="Amiri" w:hAnsi="Amiri" w:eastAsia="Amiri" w:cs="Amiri"/>
          <w:color w:val="111111"/>
          <w:sz w:val="28"/>
          <w:sz w:val="28"/>
          <w:szCs w:val="28"/>
          <w:rtl w:val="true"/>
          <w:lang w:bidi="ar-SA"/>
        </w:rPr>
        <w:t xml:space="preserve">فخصّوه </w:t>
      </w:r>
      <w:r>
        <w:rPr>
          <w:rStyle w:val="FootnoteAnchor"/>
          <w:rtl w:val="true"/>
        </w:rPr>
        <w:footnoteReference w:id="1751"/>
      </w:r>
      <w:r>
        <w:rPr>
          <w:rFonts w:ascii="Amiri" w:hAnsi="Amiri" w:eastAsia="Amiri" w:cs="Amiri"/>
          <w:color w:val="111111"/>
          <w:sz w:val="28"/>
          <w:sz w:val="28"/>
          <w:szCs w:val="28"/>
          <w:rtl w:val="true"/>
          <w:lang w:bidi="ar-SA"/>
        </w:rPr>
        <w:t>بصورة الخوف على الولد، بل 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لخلوّ الخبر المرويّ في مستطرفات السرائر </w:t>
      </w:r>
      <w:r>
        <w:rPr>
          <w:rStyle w:val="FootnoteAnchor"/>
          <w:rtl w:val="true"/>
        </w:rPr>
        <w:footnoteReference w:id="1753"/>
      </w:r>
      <w:r>
        <w:rPr>
          <w:rFonts w:ascii="Amiri" w:hAnsi="Amiri" w:eastAsia="Amiri" w:cs="Amiri"/>
          <w:color w:val="111111"/>
          <w:sz w:val="28"/>
          <w:sz w:val="28"/>
          <w:szCs w:val="28"/>
          <w:rtl w:val="true"/>
          <w:lang w:bidi="ar-SA"/>
        </w:rPr>
        <w:t>الخاصّ بالخوف على النفس عن ذكر الصدقة مع الورود في مقام الحاجة، فيصير ظاهرا في عدم وجوب الصدقة، فيجب تقديمه، لأنّه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انجبار الرواية المتقدّمة بالإجماع المحكيّ معارض بانجبار هذا </w:t>
      </w:r>
      <w:r>
        <w:rPr>
          <w:rStyle w:val="FootnoteAnchor"/>
          <w:rtl w:val="true"/>
        </w:rPr>
        <w:footnoteReference w:id="1754"/>
      </w:r>
      <w:r>
        <w:rPr>
          <w:rFonts w:ascii="Amiri" w:hAnsi="Amiri" w:eastAsia="Amiri" w:cs="Amiri"/>
          <w:color w:val="111111"/>
          <w:sz w:val="28"/>
          <w:sz w:val="28"/>
          <w:szCs w:val="28"/>
          <w:rtl w:val="true"/>
          <w:lang w:bidi="ar-SA"/>
        </w:rPr>
        <w:t>بالشهرة المحكيّة، و هو أخص من الإجماع المحكيّ، و غاية الأمر الرجوع إلى الأصل بعد التعارض 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هو الأوّل، لصحّة الرواية </w:t>
      </w:r>
      <w:r>
        <w:rPr>
          <w:rStyle w:val="FootnoteAnchor"/>
          <w:rtl w:val="true"/>
        </w:rPr>
        <w:footnoteReference w:id="1755"/>
      </w:r>
      <w:r>
        <w:rPr>
          <w:rFonts w:ascii="IRNazanin" w:hAnsi="IRNazanin" w:eastAsia="IRNazanin"/>
          <w:color w:val="111111"/>
          <w:sz w:val="28"/>
          <w:sz w:val="28"/>
          <w:szCs w:val="28"/>
          <w:rtl w:val="true"/>
          <w:lang w:bidi="fa-IR"/>
        </w:rPr>
        <w:t xml:space="preserve">ظاهرا </w:t>
      </w:r>
      <w:r>
        <w:rPr>
          <w:rStyle w:val="FootnoteAnchor"/>
          <w:rtl w:val="true"/>
        </w:rPr>
        <w:footnoteReference w:id="1756"/>
      </w:r>
      <w:r>
        <w:rPr>
          <w:rFonts w:ascii="Amiri" w:hAnsi="Amiri" w:eastAsia="Amiri" w:cs="Amiri"/>
          <w:color w:val="111111"/>
          <w:sz w:val="28"/>
          <w:sz w:val="28"/>
          <w:szCs w:val="28"/>
          <w:rtl w:val="true"/>
          <w:lang w:bidi="ar-SA"/>
        </w:rPr>
        <w:t>و انجبارها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الخلاف</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المؤيّد بعدم نقل المحقّق في المعتبر </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إلّا </w:t>
      </w:r>
      <w:r>
        <w:rPr>
          <w:rStyle w:val="FootnoteAnchor"/>
          <w:rtl w:val="true"/>
        </w:rPr>
        <w:footnoteReference w:id="1759"/>
      </w:r>
      <w:r>
        <w:rPr>
          <w:rFonts w:ascii="Amiri" w:hAnsi="Amiri" w:eastAsia="Amiri" w:cs="Amiri"/>
          <w:color w:val="111111"/>
          <w:sz w:val="28"/>
          <w:sz w:val="28"/>
          <w:szCs w:val="28"/>
          <w:rtl w:val="true"/>
          <w:lang w:bidi="ar-SA"/>
        </w:rPr>
        <w:t>عن الشافعي، و به يوهن دعوى الشهرة، فلا تقوى لجبر الخبر المجهول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اعتضاد الرواية بإطلاق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جعلت على نفسها صوم شهرين، فوضعت ولدها و أدركها الحبل و لم تقو على الصوم؟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فلتتصدّق عن كلّ يوم بمدّ على مسكين</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الأظهر أنّه يجب عليهما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الرواية </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بل حكي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سلّار </w:t>
      </w:r>
      <w:r>
        <w:rPr>
          <w:rStyle w:val="FootnoteAnchor"/>
          <w:rtl w:val="true"/>
        </w:rPr>
        <w:footnoteReference w:id="1762"/>
      </w:r>
      <w:r>
        <w:rPr>
          <w:rFonts w:ascii="IRNazanin" w:hAnsi="IRNazanin" w:eastAsia="IRNazanin"/>
          <w:color w:val="111111"/>
          <w:sz w:val="28"/>
          <w:sz w:val="28"/>
          <w:szCs w:val="28"/>
          <w:rtl w:val="true"/>
          <w:lang w:bidi="fa-IR"/>
        </w:rPr>
        <w:t>و ظاهر</w:t>
      </w:r>
    </w:p>
    <w:p>
      <w:pPr>
        <w:pStyle w:val="BookText"/>
        <w:rPr/>
      </w:pPr>
      <w:r>
        <w:rPr>
          <w:rFonts w:ascii="Amiri" w:hAnsi="Amiri" w:eastAsia="Amiri" w:cs="Amiri"/>
          <w:color w:val="111111"/>
          <w:sz w:val="28"/>
          <w:sz w:val="28"/>
          <w:szCs w:val="28"/>
          <w:rtl w:val="true"/>
          <w:lang w:bidi="ar-SA"/>
        </w:rPr>
        <w:t xml:space="preserve">السيد </w:t>
      </w:r>
      <w:r>
        <w:rPr>
          <w:rStyle w:val="FootnoteAnchor"/>
          <w:rtl w:val="true"/>
        </w:rPr>
        <w:footnoteReference w:id="1763"/>
      </w:r>
      <w:r>
        <w:rPr>
          <w:rFonts w:ascii="Amiri" w:hAnsi="Amiri" w:eastAsia="Amiri" w:cs="Amiri"/>
          <w:color w:val="111111"/>
          <w:sz w:val="28"/>
          <w:sz w:val="28"/>
          <w:szCs w:val="28"/>
          <w:rtl w:val="true"/>
          <w:lang w:bidi="ar-SA"/>
        </w:rPr>
        <w:t>حيث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يظهر مستنده سوى الأصل و الرضوي </w:t>
      </w:r>
      <w:r>
        <w:rPr>
          <w:rStyle w:val="FootnoteAnchor"/>
          <w:rtl w:val="true"/>
        </w:rPr>
        <w:footnoteReference w:id="1764"/>
      </w:r>
      <w:r>
        <w:rPr>
          <w:rFonts w:ascii="Amiri" w:hAnsi="Amiri" w:eastAsia="Amiri" w:cs="Amiri"/>
          <w:color w:val="111111"/>
          <w:sz w:val="28"/>
          <w:sz w:val="28"/>
          <w:szCs w:val="28"/>
          <w:rtl w:val="true"/>
          <w:lang w:bidi="ar-SA"/>
        </w:rPr>
        <w:t xml:space="preserve">و خلوّ الخبر الأخير مع وروده في </w:t>
      </w:r>
      <w:r>
        <w:rPr>
          <w:rStyle w:val="FootnoteAnchor"/>
          <w:rtl w:val="true"/>
        </w:rPr>
        <w:footnoteReference w:id="1765"/>
      </w:r>
      <w:r>
        <w:rPr>
          <w:rFonts w:ascii="Amiri" w:hAnsi="Amiri" w:eastAsia="Amiri" w:cs="Amiri"/>
          <w:color w:val="111111"/>
          <w:sz w:val="28"/>
          <w:sz w:val="28"/>
          <w:szCs w:val="28"/>
          <w:rtl w:val="true"/>
          <w:lang w:bidi="ar-SA"/>
        </w:rPr>
        <w:t>مقام الحاجة، لكن في سنده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يقاوم الرواية الصحيحة المعتضدة بالإجماع المنقول و الشهرة و رواية السرائر حيث ذكر فيها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و منه يظهر الجواب عن الرضوي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عدم الفرق في المرضعة بين الأمّ و غيرها كائنة من كانت</w:t>
      </w:r>
      <w:r>
        <w:rPr>
          <w:rFonts w:eastAsia="Amiri" w:cs="Amiri" w:ascii="Amiri" w:hAnsi="Amiri"/>
          <w:color w:val="111111"/>
          <w:sz w:val="28"/>
          <w:szCs w:val="28"/>
          <w:rtl w:val="true"/>
          <w:lang w:bidi="ar-SA"/>
        </w:rPr>
        <w:t>.</w:t>
      </w:r>
      <w:bookmarkStart w:id="215" w:name="pg19900_214759"/>
    </w:p>
    <w:p>
      <w:pPr>
        <w:pStyle w:val="Heading3"/>
        <w:numPr>
          <w:ilvl w:val="2"/>
          <w:numId w:val="1"/>
        </w:numPr>
        <w:rPr/>
      </w:pPr>
      <w:bookmarkStart w:id="216" w:name="__RefHeading___Toc2061762_2314609296"/>
      <w:bookmarkStart w:id="217" w:name="_Toc80"/>
      <w:bookmarkEnd w:id="215"/>
      <w:bookmarkEnd w:id="216"/>
      <w:r>
        <w:rPr>
          <w:rtl w:val="true"/>
        </w:rPr>
        <w:t>[</w:t>
      </w:r>
      <w:r>
        <w:rPr>
          <w:rtl w:val="true"/>
        </w:rPr>
        <w:t xml:space="preserve">مسألة </w:t>
      </w:r>
      <w:r>
        <w:rPr/>
        <w:t>16</w:t>
      </w:r>
      <w:r>
        <w:rPr>
          <w:rtl w:val="true"/>
        </w:rPr>
        <w:t xml:space="preserve"> </w:t>
      </w:r>
      <w:r>
        <w:rPr>
          <w:rtl w:val="true"/>
        </w:rPr>
        <w:t>في جواز الإفطار للشيخ و الشيخة</w:t>
      </w:r>
      <w:r>
        <w:rPr>
          <w:rtl w:val="true"/>
        </w:rPr>
        <w:t>]</w:t>
      </w:r>
      <w:bookmarkEnd w:id="2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جواز الإفطار للشيخ و الشيخة، سواء عجزا عن الصوم أصلا أو شقّ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الرواية </w:t>
      </w:r>
      <w:r>
        <w:rPr>
          <w:rStyle w:val="FootnoteAnchor"/>
          <w:rtl w:val="true"/>
        </w:rPr>
        <w:footnoteReference w:id="1768"/>
      </w:r>
      <w:r>
        <w:rPr>
          <w:rFonts w:ascii="Amiri" w:hAnsi="Amiri" w:eastAsia="Amiri" w:cs="Amiri"/>
          <w:color w:val="111111"/>
          <w:sz w:val="28"/>
          <w:sz w:val="28"/>
          <w:szCs w:val="28"/>
          <w:rtl w:val="true"/>
          <w:lang w:bidi="ar-SA"/>
        </w:rPr>
        <w:t>الآتية و لا 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التصدّق مع شقّ الصوم، و إنّما الخلاف في موضعين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التصدّق على العاجز عن الصوم </w:t>
      </w:r>
      <w:r>
        <w:rPr>
          <w:rStyle w:val="FootnoteAnchor"/>
          <w:rtl w:val="true"/>
        </w:rPr>
        <w:footnoteReference w:id="1769"/>
      </w:r>
      <w:r>
        <w:rPr>
          <w:rFonts w:ascii="Amiri" w:hAnsi="Amiri" w:eastAsia="Amiri" w:cs="Amiri"/>
          <w:color w:val="111111"/>
          <w:sz w:val="28"/>
          <w:sz w:val="28"/>
          <w:szCs w:val="28"/>
          <w:rtl w:val="true"/>
          <w:lang w:bidi="ar-SA"/>
        </w:rPr>
        <w:t xml:space="preserve">رأسا، فإنّ المحكيّ عن المفيد </w:t>
      </w:r>
      <w:r>
        <w:rPr>
          <w:rStyle w:val="FootnoteAnchor"/>
          <w:rtl w:val="true"/>
        </w:rPr>
        <w:footnoteReference w:id="1770"/>
      </w:r>
      <w:r>
        <w:rPr>
          <w:rFonts w:ascii="IRNazanin" w:hAnsi="IRNazanin" w:eastAsia="IRNazanin"/>
          <w:color w:val="111111"/>
          <w:sz w:val="28"/>
          <w:sz w:val="28"/>
          <w:szCs w:val="28"/>
          <w:rtl w:val="true"/>
          <w:lang w:bidi="fa-IR"/>
        </w:rPr>
        <w:t xml:space="preserve">و المرتضى </w:t>
      </w:r>
      <w:r>
        <w:rPr>
          <w:rStyle w:val="FootnoteAnchor"/>
          <w:rtl w:val="true"/>
        </w:rPr>
        <w:footnoteReference w:id="1771"/>
      </w:r>
      <w:r>
        <w:rPr>
          <w:rFonts w:ascii="Amiri" w:hAnsi="Amiri" w:eastAsia="Amiri" w:cs="Amiri"/>
          <w:color w:val="111111"/>
          <w:sz w:val="28"/>
          <w:sz w:val="28"/>
          <w:szCs w:val="28"/>
          <w:rtl w:val="true"/>
          <w:lang w:bidi="ar-SA"/>
        </w:rPr>
        <w:t xml:space="preserve">و ابن زهرة </w:t>
      </w:r>
      <w:r>
        <w:rPr>
          <w:rStyle w:val="FootnoteAnchor"/>
          <w:rtl w:val="true"/>
        </w:rPr>
        <w:footnoteReference w:id="1772"/>
      </w:r>
      <w:r>
        <w:rPr>
          <w:rFonts w:ascii="Amiri" w:hAnsi="Amiri" w:eastAsia="Amiri" w:cs="Amiri"/>
          <w:color w:val="111111"/>
          <w:sz w:val="28"/>
          <w:sz w:val="28"/>
          <w:szCs w:val="28"/>
          <w:rtl w:val="true"/>
          <w:lang w:bidi="ar-SA"/>
        </w:rPr>
        <w:t xml:space="preserve">و الحلبي </w:t>
      </w:r>
      <w:r>
        <w:rPr>
          <w:rStyle w:val="FootnoteAnchor"/>
          <w:rtl w:val="true"/>
        </w:rPr>
        <w:footnoteReference w:id="1773"/>
      </w:r>
      <w:r>
        <w:rPr>
          <w:rFonts w:ascii="Amiri" w:hAnsi="Amiri" w:eastAsia="Amiri" w:cs="Amiri"/>
          <w:color w:val="111111"/>
          <w:sz w:val="28"/>
          <w:sz w:val="28"/>
          <w:szCs w:val="28"/>
          <w:rtl w:val="true"/>
          <w:lang w:bidi="ar-SA"/>
        </w:rPr>
        <w:t xml:space="preserve">و الديلمي </w:t>
      </w:r>
      <w:r>
        <w:rPr>
          <w:rStyle w:val="FootnoteAnchor"/>
          <w:rtl w:val="true"/>
        </w:rPr>
        <w:footnoteReference w:id="1774"/>
      </w:r>
      <w:r>
        <w:rPr>
          <w:rFonts w:ascii="Amiri" w:hAnsi="Amiri" w:eastAsia="Amiri" w:cs="Amiri"/>
          <w:color w:val="111111"/>
          <w:sz w:val="28"/>
          <w:sz w:val="28"/>
          <w:szCs w:val="28"/>
          <w:rtl w:val="true"/>
          <w:lang w:bidi="ar-SA"/>
        </w:rPr>
        <w:t xml:space="preserve">و الحلّي </w:t>
      </w:r>
      <w:r>
        <w:rPr>
          <w:rStyle w:val="FootnoteAnchor"/>
          <w:rtl w:val="true"/>
        </w:rPr>
        <w:footnoteReference w:id="1775"/>
      </w:r>
      <w:r>
        <w:rPr>
          <w:rFonts w:ascii="Amiri" w:hAnsi="Amiri" w:eastAsia="Amiri" w:cs="Amiri"/>
          <w:color w:val="111111"/>
          <w:sz w:val="28"/>
          <w:sz w:val="28"/>
          <w:szCs w:val="28"/>
          <w:rtl w:val="true"/>
          <w:lang w:bidi="ar-SA"/>
        </w:rPr>
        <w:t>و العلّامة</w:t>
      </w:r>
    </w:p>
    <w:p>
      <w:pPr>
        <w:pStyle w:val="BookText"/>
        <w:rPr/>
      </w:pPr>
      <w:r>
        <w:rPr>
          <w:rFonts w:ascii="Amiri" w:hAnsi="Amiri" w:eastAsia="Amiri" w:cs="Amiri"/>
          <w:color w:val="111111"/>
          <w:sz w:val="28"/>
          <w:sz w:val="28"/>
          <w:szCs w:val="28"/>
          <w:rtl w:val="true"/>
          <w:lang w:bidi="ar-SA"/>
        </w:rPr>
        <w:t xml:space="preserve">في المختلف </w:t>
      </w:r>
      <w:r>
        <w:rPr>
          <w:rStyle w:val="FootnoteAnchor"/>
          <w:rtl w:val="true"/>
        </w:rPr>
        <w:footnoteReference w:id="1776"/>
      </w:r>
      <w:r>
        <w:rPr>
          <w:rFonts w:ascii="Amiri" w:hAnsi="Amiri" w:eastAsia="Amiri" w:cs="Amiri"/>
          <w:color w:val="111111"/>
          <w:sz w:val="28"/>
          <w:sz w:val="28"/>
          <w:szCs w:val="28"/>
          <w:rtl w:val="true"/>
          <w:lang w:bidi="ar-SA"/>
        </w:rPr>
        <w:t xml:space="preserve">و المحقق و الشهيد الثانيين </w:t>
      </w:r>
      <w:r>
        <w:rPr>
          <w:rStyle w:val="FootnoteAnchor"/>
          <w:rtl w:val="true"/>
        </w:rPr>
        <w:footnoteReference w:id="1777"/>
      </w:r>
      <w:r>
        <w:rPr>
          <w:rFonts w:ascii="Amiri" w:hAnsi="Amiri" w:eastAsia="Amiri" w:cs="Amiri"/>
          <w:color w:val="111111"/>
          <w:sz w:val="28"/>
          <w:sz w:val="28"/>
          <w:szCs w:val="28"/>
          <w:rtl w:val="true"/>
          <w:lang w:bidi="ar-SA"/>
        </w:rPr>
        <w:t xml:space="preserve">عدم وجوب التصدّق في هذه الصورة و عن الانتصار دعوى الإجماع عليه </w:t>
      </w:r>
      <w:r>
        <w:rPr>
          <w:rStyle w:val="FootnoteAnchor"/>
          <w:rtl w:val="true"/>
        </w:rPr>
        <w:footnoteReference w:id="1778"/>
      </w:r>
      <w:r>
        <w:rPr>
          <w:rFonts w:ascii="Amiri" w:hAnsi="Amiri" w:eastAsia="Amiri" w:cs="Amiri"/>
          <w:color w:val="111111"/>
          <w:sz w:val="28"/>
          <w:sz w:val="28"/>
          <w:szCs w:val="28"/>
          <w:rtl w:val="true"/>
          <w:lang w:bidi="ar-SA"/>
        </w:rPr>
        <w:t xml:space="preserve">، و عن الغنية نفي الخلاف عنه </w:t>
      </w:r>
      <w:r>
        <w:rPr>
          <w:rStyle w:val="FootnoteAnchor"/>
          <w:rtl w:val="true"/>
        </w:rPr>
        <w:footnoteReference w:id="1779"/>
      </w:r>
      <w:r>
        <w:rPr>
          <w:rFonts w:ascii="Amiri" w:hAnsi="Amiri" w:eastAsia="Amiri" w:cs="Amiri"/>
          <w:color w:val="111111"/>
          <w:sz w:val="28"/>
          <w:sz w:val="28"/>
          <w:szCs w:val="28"/>
          <w:rtl w:val="true"/>
          <w:lang w:bidi="ar-SA"/>
        </w:rPr>
        <w:t xml:space="preserve">و حكي عن الأكثر، للأصل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شيخ لا يستطيع القيام الى الخلاء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 </w:t>
      </w:r>
      <w:r>
        <w:rPr>
          <w:rStyle w:val="FootnoteAnchor"/>
          <w:rtl w:val="true"/>
        </w:rPr>
        <w:footnoteReference w:id="1780"/>
      </w:r>
      <w:r>
        <w:rPr>
          <w:rFonts w:ascii="Amiri" w:hAnsi="Amiri" w:eastAsia="Amiri" w:cs="Amiri"/>
          <w:color w:val="111111"/>
          <w:sz w:val="28"/>
          <w:sz w:val="28"/>
          <w:szCs w:val="28"/>
          <w:rtl w:val="true"/>
          <w:lang w:bidi="ar-SA"/>
        </w:rPr>
        <w:t xml:space="preserve">برأسه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فالصيام </w:t>
      </w:r>
      <w:r>
        <w:rPr>
          <w:rStyle w:val="FootnoteAnchor"/>
          <w:rtl w:val="true"/>
        </w:rPr>
        <w:footnoteReference w:id="17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ذلك الحدّ فقد وضع اللّٰه تعالى عنه، و إن كانت له مقدرة </w:t>
      </w:r>
      <w:r>
        <w:rPr>
          <w:rStyle w:val="FootnoteAnchor"/>
          <w:rtl w:val="true"/>
        </w:rPr>
        <w:footnoteReference w:id="1782"/>
      </w:r>
      <w:r>
        <w:rPr>
          <w:rFonts w:ascii="Amiri" w:hAnsi="Amiri" w:eastAsia="Amiri" w:cs="Amiri"/>
          <w:color w:val="111111"/>
          <w:sz w:val="28"/>
          <w:sz w:val="28"/>
          <w:szCs w:val="28"/>
          <w:rtl w:val="true"/>
          <w:lang w:bidi="ar-SA"/>
        </w:rPr>
        <w:t xml:space="preserve">فصدقة مدّ من طعام </w:t>
      </w:r>
      <w:r>
        <w:rPr>
          <w:rStyle w:val="FootnoteAnchor"/>
          <w:rtl w:val="true"/>
        </w:rPr>
        <w:footnoteReference w:id="1783"/>
      </w:r>
      <w:r>
        <w:rPr>
          <w:rFonts w:ascii="Amiri" w:hAnsi="Amiri" w:eastAsia="Amiri" w:cs="Amiri"/>
          <w:color w:val="111111"/>
          <w:sz w:val="28"/>
          <w:sz w:val="28"/>
          <w:szCs w:val="28"/>
          <w:rtl w:val="true"/>
          <w:lang w:bidi="ar-SA"/>
        </w:rPr>
        <w:t>بدل كلّ يوم أحبّ إليّ، و إن لم يكن له يسار فلا شي‌ء عليه</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 مجبور بالإجماع و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w:t>
      </w:r>
      <w:r>
        <w:rPr>
          <w:rStyle w:val="FootnoteAnchor"/>
          <w:rtl w:val="true"/>
        </w:rPr>
        <w:footnoteReference w:id="1785"/>
      </w:r>
      <w:r>
        <w:rPr>
          <w:rFonts w:ascii="Amiri" w:hAnsi="Amiri" w:eastAsia="Amiri" w:cs="Amiri"/>
          <w:color w:val="111111"/>
          <w:sz w:val="28"/>
          <w:sz w:val="28"/>
          <w:szCs w:val="28"/>
          <w:rtl w:val="true"/>
          <w:lang w:bidi="ar-SA"/>
        </w:rPr>
        <w:t xml:space="preserve">إطلاق روايات كأنّه </w:t>
      </w:r>
      <w:r>
        <w:rPr>
          <w:rStyle w:val="FootnoteAnchor"/>
          <w:rtl w:val="true"/>
        </w:rPr>
        <w:footnoteReference w:id="1786"/>
      </w:r>
      <w:r>
        <w:rPr>
          <w:rFonts w:ascii="Amiri" w:hAnsi="Amiri" w:eastAsia="Amiri" w:cs="Amiri"/>
          <w:color w:val="111111"/>
          <w:sz w:val="28"/>
          <w:sz w:val="28"/>
          <w:szCs w:val="28"/>
          <w:rtl w:val="true"/>
          <w:lang w:bidi="ar-SA"/>
        </w:rPr>
        <w:t xml:space="preserve">دعا جماعة </w:t>
      </w:r>
      <w:r>
        <w:rPr>
          <w:rStyle w:val="FootnoteAnchor"/>
          <w:rtl w:val="true"/>
        </w:rPr>
        <w:footnoteReference w:id="1787"/>
      </w:r>
      <w:r>
        <w:rPr>
          <w:rFonts w:ascii="Amiri" w:hAnsi="Amiri" w:eastAsia="Amiri" w:cs="Amiri"/>
          <w:color w:val="111111"/>
          <w:sz w:val="28"/>
          <w:sz w:val="28"/>
          <w:szCs w:val="28"/>
          <w:rtl w:val="true"/>
          <w:lang w:bidi="ar-SA"/>
        </w:rPr>
        <w:t xml:space="preserve">من الأصحاب كالقديمين </w:t>
      </w:r>
      <w:r>
        <w:rPr>
          <w:rStyle w:val="FootnoteAnchor"/>
          <w:rtl w:val="true"/>
        </w:rPr>
        <w:footnoteReference w:id="1788"/>
      </w:r>
      <w:r>
        <w:rPr>
          <w:rFonts w:ascii="Amiri" w:hAnsi="Amiri" w:eastAsia="Amiri" w:cs="Amiri"/>
          <w:color w:val="111111"/>
          <w:sz w:val="28"/>
          <w:sz w:val="28"/>
          <w:szCs w:val="28"/>
          <w:rtl w:val="true"/>
          <w:lang w:bidi="ar-SA"/>
        </w:rPr>
        <w:t xml:space="preserve">و الصدوقين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 الشيخ </w:t>
      </w:r>
      <w:r>
        <w:rPr>
          <w:rStyle w:val="FootnoteAnchor"/>
          <w:rtl w:val="true"/>
        </w:rPr>
        <w:footnoteReference w:id="1790"/>
      </w:r>
      <w:r>
        <w:rPr>
          <w:rFonts w:ascii="Amiri" w:hAnsi="Amiri" w:eastAsia="Amiri" w:cs="Amiri"/>
          <w:color w:val="111111"/>
          <w:sz w:val="28"/>
          <w:sz w:val="28"/>
          <w:szCs w:val="28"/>
          <w:rtl w:val="true"/>
          <w:lang w:bidi="ar-SA"/>
        </w:rPr>
        <w:t xml:space="preserve">و القاضي </w:t>
      </w:r>
      <w:r>
        <w:rPr>
          <w:rStyle w:val="FootnoteAnchor"/>
          <w:rtl w:val="true"/>
        </w:rPr>
        <w:footnoteReference w:id="1791"/>
      </w:r>
      <w:r>
        <w:rPr>
          <w:rFonts w:ascii="Amiri" w:hAnsi="Amiri" w:eastAsia="Amiri" w:cs="Amiri"/>
          <w:color w:val="111111"/>
          <w:sz w:val="28"/>
          <w:sz w:val="28"/>
          <w:szCs w:val="28"/>
          <w:rtl w:val="true"/>
          <w:lang w:bidi="ar-SA"/>
        </w:rPr>
        <w:t xml:space="preserve">و الفاضلين </w:t>
      </w:r>
      <w:r>
        <w:rPr>
          <w:rStyle w:val="FootnoteAnchor"/>
          <w:rtl w:val="true"/>
        </w:rPr>
        <w:footnoteReference w:id="1792"/>
      </w:r>
      <w:r>
        <w:rPr>
          <w:rFonts w:ascii="IRNazanin" w:hAnsi="IRNazanin" w:eastAsia="IRNazanin"/>
          <w:color w:val="111111"/>
          <w:sz w:val="28"/>
          <w:sz w:val="28"/>
          <w:szCs w:val="28"/>
          <w:rtl w:val="true"/>
          <w:lang w:bidi="fa-IR"/>
        </w:rPr>
        <w:t xml:space="preserve">و ابن فهد </w:t>
      </w:r>
      <w:r>
        <w:rPr>
          <w:rStyle w:val="FootnoteAnchor"/>
          <w:rtl w:val="true"/>
        </w:rPr>
        <w:footnoteReference w:id="1793"/>
      </w:r>
      <w:r>
        <w:rPr>
          <w:rFonts w:ascii="Amiri" w:hAnsi="Amiri" w:eastAsia="Amiri" w:cs="Amiri"/>
          <w:color w:val="111111"/>
          <w:sz w:val="28"/>
          <w:sz w:val="28"/>
          <w:szCs w:val="28"/>
          <w:rtl w:val="true"/>
          <w:lang w:bidi="ar-SA"/>
        </w:rPr>
        <w:t xml:space="preserve">و الشهيد </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بوجوب الصدقة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في كلّ يوم بمدّ و لا قضاء عليهما، و إن لم يقدرا فلا شي‌ء عليهما</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عبد الملك بن عتبة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الشيخ الكبير و العجوز الكبيرة التي تضعف </w:t>
      </w:r>
      <w:r>
        <w:rPr>
          <w:rStyle w:val="FootnoteAnchor"/>
          <w:rtl w:val="true"/>
        </w:rPr>
        <w:footnoteReference w:id="1798"/>
      </w:r>
      <w:r>
        <w:rPr>
          <w:rFonts w:ascii="Amiri" w:hAnsi="Amiri" w:eastAsia="Amiri" w:cs="Amiri"/>
          <w:color w:val="111111"/>
          <w:sz w:val="28"/>
          <w:sz w:val="28"/>
          <w:szCs w:val="28"/>
          <w:rtl w:val="true"/>
          <w:lang w:bidi="ar-SA"/>
        </w:rPr>
        <w:t>عن الصوم في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 عن كلّ يوم بمدّ من الحنطة</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كبير يضعف عن صوم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يجزي عنه طعام مسكين لكلّ يوم</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و نحوها أخبار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صلاحية ذلك الخبر </w:t>
      </w:r>
      <w:r>
        <w:rPr>
          <w:rStyle w:val="FootnoteAnchor"/>
          <w:rtl w:val="true"/>
        </w:rPr>
        <w:footnoteReference w:id="1801"/>
      </w:r>
      <w:r>
        <w:rPr>
          <w:rFonts w:ascii="Amiri" w:hAnsi="Amiri" w:eastAsia="Amiri" w:cs="Amiri"/>
          <w:color w:val="111111"/>
          <w:sz w:val="28"/>
          <w:sz w:val="28"/>
          <w:szCs w:val="28"/>
          <w:rtl w:val="true"/>
          <w:lang w:bidi="ar-SA"/>
        </w:rPr>
        <w:t>لتقييد هذه تأمّل، لعدم صراحته في استحباب التصدّق أوّلا و ضعفه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و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فموهونان بمصير جماعة كثيرة من أجلّاء القدماء و المتأخّرين على </w:t>
      </w:r>
      <w:r>
        <w:rPr>
          <w:rStyle w:val="FootnoteAnchor"/>
          <w:rtl w:val="true"/>
        </w:rPr>
        <w:footnoteReference w:id="1802"/>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معارضة الخبر بالخبر المحكيّ في تفسير قوله تعالى وَ عَلَى الَّذِينَ يُطِيقُونَهُ فِدْيَةٌ </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أنّه الشيخ الكبير الّذي لا يستطيع و المريض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فتبقى العمومات على كثرتها سليمة عن المعارض، فالقول بالوجوب لعلّه أقوى و أحوط، و إن كان للتأمّل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من جهة إمكان دعوى ظهورها في من يشقّ عليه، مع التأمّل في دلالة الجملة الخبريّة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القضاء و إن قدر عليه بعد ذلك، لعدم الدليل لا خصوصا و لا عموما، مضافا إلى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و إن أمكن أن يقال بورودها مورد الغالب و هو عدم تجدّد القدرة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 يسار فلا شي‌ء عليه</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فهو ظاهر في نفي وجوب الصدقة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الحق جواز التمسّك بتلك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الغالب عدم تجدّد</w:t>
      </w:r>
    </w:p>
    <w:p>
      <w:pPr>
        <w:pStyle w:val="BookText"/>
        <w:rPr/>
      </w:pPr>
      <w:r>
        <w:rPr>
          <w:rFonts w:ascii="Amiri" w:hAnsi="Amiri" w:eastAsia="Amiri" w:cs="Amiri"/>
          <w:color w:val="111111"/>
          <w:sz w:val="28"/>
          <w:sz w:val="28"/>
          <w:szCs w:val="28"/>
          <w:rtl w:val="true"/>
          <w:lang w:bidi="ar-SA"/>
        </w:rPr>
        <w:t xml:space="preserve">القدرة لهما </w:t>
      </w:r>
      <w:r>
        <w:rPr>
          <w:rStyle w:val="FootnoteAnchor"/>
          <w:rtl w:val="true"/>
        </w:rPr>
        <w:footnoteReference w:id="1808"/>
      </w:r>
      <w:r>
        <w:rPr>
          <w:rFonts w:ascii="Amiri" w:hAnsi="Amiri" w:eastAsia="Amiri" w:cs="Amiri"/>
          <w:color w:val="111111"/>
          <w:sz w:val="28"/>
          <w:sz w:val="28"/>
          <w:szCs w:val="28"/>
          <w:rtl w:val="true"/>
          <w:lang w:bidi="ar-SA"/>
        </w:rPr>
        <w:t>ممنوعة، بل الغالب أنّهما لا يقدران على الصيام في الصيف و يقدران عليه في الشتاء</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ذو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داء لا يروى صاحبه من الماء، فيجوز له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و حكي عليه الإجماع مستفيضا، مضافا إلى عمومات جواز الإفطار للمريض و نوافي العسر و الحرج، و خصوص رواية ابن مسلم المتقدّمة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كلام في وجوب التصدّق عليه و عدم القضاء إذا لم يقدر عليه، و إنّما الكلام في وجوب القضاء عليه إذا برء، فذهب الأكثر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عليه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العمومات الدالّة على وجوب القضاء على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Style w:val="FootnoteAnchor"/>
          <w:rtl w:val="true"/>
        </w:rPr>
        <w:footnoteReference w:id="1811"/>
      </w:r>
      <w:r>
        <w:rPr>
          <w:rFonts w:ascii="Amiri" w:hAnsi="Amiri" w:eastAsia="Amiri" w:cs="Amiri"/>
          <w:color w:val="111111"/>
          <w:sz w:val="28"/>
          <w:sz w:val="28"/>
          <w:szCs w:val="28"/>
          <w:rtl w:val="true"/>
          <w:lang w:bidi="ar-SA"/>
        </w:rPr>
        <w:t xml:space="preserve">و السنة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يعارض برواية </w:t>
      </w:r>
      <w:r>
        <w:rPr>
          <w:rStyle w:val="FootnoteAnchor"/>
          <w:rtl w:val="true"/>
        </w:rPr>
        <w:footnoteReference w:id="1813"/>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بالعموم من وجه فيرجع إلى الأصل، لكنّه فرع عدم المرجّح لتلك العمومات، و هو موجود، و كذا الكلام في وجوب الصدقة عليه، فإنّ مقتضى رواية ابن مسلم وجوبها عليه مطلقا و لا مخصّص لإطلاقها و لا معارض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الصدقة بما لو استمرّ مرضه إلى رمضان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الرواية عليه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الصدقة أيضا، و لا وجه 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تقييدها بالنسبة إلى نفي القضاء بتلك الصورة إنّما كان لأجل المعارض الأقوى، و لا يوجد مثله بالنسبة</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إلى دلالتها على إثبات الصدقة، و الأقوى وجوبها مطلقا وفاقا للشيخ </w:t>
      </w:r>
      <w:r>
        <w:rPr>
          <w:rStyle w:val="FootnoteAnchor"/>
          <w:rtl w:val="true"/>
        </w:rPr>
        <w:footnoteReference w:id="1816"/>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bookmarkStart w:id="218" w:name="pg19900_214765"/>
    </w:p>
    <w:p>
      <w:pPr>
        <w:pStyle w:val="Heading3"/>
        <w:numPr>
          <w:ilvl w:val="2"/>
          <w:numId w:val="1"/>
        </w:numPr>
        <w:rPr/>
      </w:pPr>
      <w:bookmarkStart w:id="219" w:name="__RefHeading___Toc2061764_2314609296"/>
      <w:bookmarkStart w:id="220" w:name="_Toc81"/>
      <w:bookmarkEnd w:id="218"/>
      <w:bookmarkEnd w:id="219"/>
      <w:r>
        <w:rPr>
          <w:rtl w:val="true"/>
        </w:rPr>
        <w:t>[</w:t>
      </w:r>
      <w:r>
        <w:rPr>
          <w:rtl w:val="true"/>
        </w:rPr>
        <w:t xml:space="preserve">مسألة </w:t>
      </w:r>
      <w:r>
        <w:rPr/>
        <w:t>17</w:t>
      </w:r>
      <w:r>
        <w:rPr>
          <w:rtl w:val="true"/>
        </w:rPr>
        <w:t xml:space="preserve"> </w:t>
      </w:r>
      <w:r>
        <w:rPr>
          <w:rtl w:val="true"/>
        </w:rPr>
        <w:t>من فاته شهر رمضان أو بعضه فمات في ذلك المرض، لم يجب عنه القضاء</w:t>
      </w:r>
      <w:r>
        <w:rPr>
          <w:rtl w:val="true"/>
        </w:rPr>
        <w:t>]</w:t>
      </w:r>
      <w:bookmarkEnd w:id="2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شهر رمضان أو بعضه فمات في ذلك المرض، لم يجب عنه القضاء، للروايات المستفيضة و فيها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المريض في شهر رمضان فلا يصحّ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الحائض </w:t>
      </w:r>
      <w:r>
        <w:rPr>
          <w:rStyle w:val="FootnoteAnchor"/>
          <w:rtl w:val="true"/>
        </w:rPr>
        <w:footnoteReference w:id="1817"/>
      </w:r>
      <w:r>
        <w:rPr>
          <w:rFonts w:ascii="Amiri" w:hAnsi="Amiri" w:eastAsia="Amiri" w:cs="Amiri"/>
          <w:color w:val="111111"/>
          <w:sz w:val="28"/>
          <w:sz w:val="28"/>
          <w:szCs w:val="28"/>
          <w:rtl w:val="true"/>
          <w:lang w:bidi="ar-SA"/>
        </w:rPr>
        <w:t>تموت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القضاء؟ حكي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العلماء، ثم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طاعة فعلت </w:t>
      </w:r>
      <w:r>
        <w:rPr>
          <w:rStyle w:val="FootnoteAnchor"/>
          <w:rtl w:val="true"/>
        </w:rPr>
        <w:footnoteReference w:id="1819"/>
      </w:r>
      <w:r>
        <w:rPr>
          <w:rFonts w:ascii="Amiri" w:hAnsi="Amiri" w:eastAsia="Amiri" w:cs="Amiri"/>
          <w:color w:val="111111"/>
          <w:sz w:val="28"/>
          <w:sz w:val="28"/>
          <w:szCs w:val="28"/>
          <w:rtl w:val="true"/>
          <w:lang w:bidi="ar-SA"/>
        </w:rPr>
        <w:t xml:space="preserve">عن الميّت، فوصل إليه ثوابها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ضعّفه بعض </w:t>
      </w:r>
      <w:r>
        <w:rPr>
          <w:rStyle w:val="FootnoteAnchor"/>
          <w:rtl w:val="true"/>
        </w:rPr>
        <w:footnoteReference w:id="1821"/>
      </w:r>
      <w:r>
        <w:rPr>
          <w:rFonts w:ascii="Amiri" w:hAnsi="Amiri" w:eastAsia="Amiri" w:cs="Amiri"/>
          <w:color w:val="111111"/>
          <w:sz w:val="28"/>
          <w:sz w:val="28"/>
          <w:szCs w:val="28"/>
          <w:rtl w:val="true"/>
          <w:lang w:bidi="ar-SA"/>
        </w:rPr>
        <w:t>بأنّ الكلام ليس في جواز التطوّع بالصوم، و إهداء ثوابه</w:t>
      </w:r>
    </w:p>
    <w:p>
      <w:pPr>
        <w:pStyle w:val="BookText"/>
        <w:rPr/>
      </w:pPr>
      <w:r>
        <w:rPr>
          <w:rFonts w:ascii="Amiri" w:hAnsi="Amiri" w:eastAsia="Amiri" w:cs="Amiri"/>
          <w:color w:val="111111"/>
          <w:sz w:val="28"/>
          <w:sz w:val="28"/>
          <w:szCs w:val="28"/>
          <w:rtl w:val="true"/>
          <w:lang w:bidi="ar-SA"/>
        </w:rPr>
        <w:t xml:space="preserve">اليه، بل في </w:t>
      </w:r>
      <w:r>
        <w:rPr>
          <w:rStyle w:val="FootnoteAnchor"/>
          <w:rtl w:val="true"/>
        </w:rPr>
        <w:footnoteReference w:id="1822"/>
      </w:r>
      <w:r>
        <w:rPr>
          <w:rFonts w:ascii="Amiri" w:hAnsi="Amiri" w:eastAsia="Amiri" w:cs="Amiri"/>
          <w:color w:val="111111"/>
          <w:sz w:val="28"/>
          <w:sz w:val="28"/>
          <w:szCs w:val="28"/>
          <w:rtl w:val="true"/>
          <w:lang w:bidi="ar-SA"/>
        </w:rPr>
        <w:t>قضاء الفائت عنه، و الحكم بشرعيته يحتاج إلى دليل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فإنّه ظاهر في عدم المشروعية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أصرح من ذلك دلالة على عدم المشروعيّة ما رواه الكليني، عن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 فإنّ اللّٰه تعالى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 قد أوصتني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شيئا لم يجعله اللّٰه عليها؟</w:t>
      </w:r>
    </w:p>
    <w:p>
      <w:pPr>
        <w:pStyle w:val="BookText"/>
        <w:rPr/>
      </w:pPr>
      <w:r>
        <w:rPr>
          <w:rFonts w:ascii="Amiri" w:hAnsi="Amiri" w:eastAsia="Amiri" w:cs="Amiri"/>
          <w:color w:val="111111"/>
          <w:sz w:val="28"/>
          <w:sz w:val="28"/>
          <w:szCs w:val="28"/>
          <w:rtl w:val="true"/>
          <w:lang w:bidi="ar-SA"/>
        </w:rPr>
        <w:t>فإن اشتهيت أن تصوم لنفسك فصم</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جيّد</w:t>
      </w:r>
      <w:r>
        <w:rPr>
          <w:rFonts w:eastAsia="Amiri" w:cs="Amiri" w:ascii="Amiri" w:hAnsi="Amiri"/>
          <w:color w:val="111111"/>
          <w:sz w:val="28"/>
          <w:szCs w:val="28"/>
          <w:rtl w:val="true"/>
          <w:lang w:bidi="ar-SA"/>
        </w:rPr>
        <w:t>.</w:t>
      </w:r>
      <w:bookmarkStart w:id="221" w:name="pg19900_214767"/>
    </w:p>
    <w:p>
      <w:pPr>
        <w:pStyle w:val="Heading3"/>
        <w:numPr>
          <w:ilvl w:val="2"/>
          <w:numId w:val="1"/>
        </w:numPr>
        <w:rPr/>
      </w:pPr>
      <w:bookmarkStart w:id="222" w:name="__RefHeading___Toc2061766_2314609296"/>
      <w:bookmarkStart w:id="223" w:name="_Toc82"/>
      <w:bookmarkEnd w:id="221"/>
      <w:bookmarkEnd w:id="222"/>
      <w:r>
        <w:rPr>
          <w:rtl w:val="true"/>
        </w:rPr>
        <w:t>[</w:t>
      </w:r>
      <w:r>
        <w:rPr>
          <w:rtl w:val="true"/>
        </w:rPr>
        <w:t xml:space="preserve">مسألة </w:t>
      </w:r>
      <w:r>
        <w:rPr/>
        <w:t>18</w:t>
      </w:r>
      <w:r>
        <w:rPr>
          <w:rtl w:val="true"/>
        </w:rPr>
        <w:t xml:space="preserve"> </w:t>
      </w:r>
      <w:r>
        <w:rPr>
          <w:rtl w:val="true"/>
        </w:rPr>
        <w:t>إذا استمرّ بالمريض مرضه إلى رمضان القابل، سقط القضاء عنه</w:t>
      </w:r>
      <w:r>
        <w:rPr>
          <w:rtl w:val="true"/>
        </w:rPr>
        <w:t>]</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بالمريض مرضه إلى رمضان القابل، فالأكثر على سقوط القضاء عنه و وجوب التصدّق عمّا فاته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الروايات المستفيضة،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يمرض، فيدركه شهر رمضان و يخرج عنه و هو مريض، فلا يصحّ حتى يدركه شهر رمضان 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 الأوّل و يصوم الثاني، و إن كان صحّ فيما بينهما و لم يصم حتى أدركه شهر رمضان صامهما جميعا و يتصدّق </w:t>
      </w:r>
      <w:r>
        <w:rPr>
          <w:rStyle w:val="FootnoteAnchor"/>
          <w:rtl w:val="true"/>
        </w:rPr>
        <w:footnoteReference w:id="1826"/>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محمّد بن مسلم، عن أبي جعفر و أبي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سألتهما عن رجل مرض فلم يصم حتى أدركه شهر رمضان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برء ثمّ توانى قبل أن يدركه رمضان آخر صام الّذي أدركه و تصدّق </w:t>
      </w:r>
      <w:r>
        <w:rPr>
          <w:rStyle w:val="FootnoteAnchor"/>
          <w:rtl w:val="true"/>
        </w:rPr>
        <w:footnoteReference w:id="1828"/>
      </w:r>
      <w:r>
        <w:rPr>
          <w:rFonts w:ascii="Amiri" w:hAnsi="Amiri" w:eastAsia="Amiri" w:cs="Amiri"/>
          <w:color w:val="111111"/>
          <w:sz w:val="28"/>
          <w:sz w:val="28"/>
          <w:szCs w:val="28"/>
          <w:rtl w:val="true"/>
          <w:lang w:bidi="ar-SA"/>
        </w:rPr>
        <w:t>عن كلّ</w:t>
      </w:r>
    </w:p>
    <w:p>
      <w:pPr>
        <w:pStyle w:val="BookText"/>
        <w:rPr/>
      </w:pPr>
      <w:r>
        <w:rPr>
          <w:rFonts w:ascii="Amiri" w:hAnsi="Amiri" w:eastAsia="Amiri" w:cs="Amiri"/>
          <w:color w:val="111111"/>
          <w:sz w:val="28"/>
          <w:sz w:val="28"/>
          <w:szCs w:val="28"/>
          <w:rtl w:val="true"/>
          <w:lang w:bidi="ar-SA"/>
        </w:rPr>
        <w:t xml:space="preserve">يوم بمدّ من طعام على مسكين، و عليه صيامه و إن كان لم يزل مريضا حتى أدركه رمضان آخر صام الذي أدركه و تصدّق عن الأوّل لكلّ يوم مدّ من طعام على مسكين و ليس </w:t>
      </w:r>
      <w:r>
        <w:rPr>
          <w:rStyle w:val="FootnoteAnchor"/>
          <w:rtl w:val="true"/>
        </w:rPr>
        <w:footnoteReference w:id="1829"/>
      </w:r>
      <w:r>
        <w:rPr>
          <w:rFonts w:ascii="Amiri" w:hAnsi="Amiri" w:eastAsia="Amiri" w:cs="Amiri"/>
          <w:color w:val="111111"/>
          <w:sz w:val="28"/>
          <w:sz w:val="28"/>
          <w:szCs w:val="28"/>
          <w:rtl w:val="true"/>
          <w:lang w:bidi="ar-SA"/>
        </w:rPr>
        <w:t>عليه قضاؤه</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معناهما روايات أخر، كرواية أبي الصباح الكناني </w:t>
      </w:r>
      <w:r>
        <w:rPr>
          <w:rStyle w:val="FootnoteAnchor"/>
          <w:rtl w:val="true"/>
        </w:rPr>
        <w:footnoteReference w:id="1831"/>
      </w:r>
      <w:r>
        <w:rPr>
          <w:rFonts w:ascii="Amiri" w:hAnsi="Amiri" w:eastAsia="Amiri" w:cs="Amiri"/>
          <w:color w:val="111111"/>
          <w:sz w:val="28"/>
          <w:sz w:val="28"/>
          <w:szCs w:val="28"/>
          <w:rtl w:val="true"/>
          <w:lang w:bidi="ar-SA"/>
        </w:rPr>
        <w:t xml:space="preserve">و رواية عليّ بن جعفر، عن أخيه عليهما السلام </w:t>
      </w:r>
      <w:r>
        <w:rPr>
          <w:rStyle w:val="FootnoteAnchor"/>
          <w:rtl w:val="true"/>
        </w:rPr>
        <w:footnoteReference w:id="1832"/>
      </w:r>
      <w:r>
        <w:rPr>
          <w:rFonts w:ascii="Amiri" w:hAnsi="Amiri" w:eastAsia="Amiri" w:cs="Amiri"/>
          <w:color w:val="111111"/>
          <w:sz w:val="28"/>
          <w:sz w:val="28"/>
          <w:szCs w:val="28"/>
          <w:rtl w:val="true"/>
          <w:lang w:bidi="ar-SA"/>
        </w:rPr>
        <w:t xml:space="preserve">و بهذه يقيّد إطلاق الأدلّة الدالّة على وجوب القضاء على المريض من الكتاب </w:t>
      </w:r>
      <w:r>
        <w:rPr>
          <w:rStyle w:val="FootnoteAnchor"/>
          <w:rtl w:val="true"/>
        </w:rPr>
        <w:footnoteReference w:id="1833"/>
      </w:r>
      <w:r>
        <w:rPr>
          <w:rFonts w:ascii="Amiri" w:hAnsi="Amiri" w:eastAsia="Amiri" w:cs="Amiri"/>
          <w:color w:val="111111"/>
          <w:sz w:val="28"/>
          <w:sz w:val="28"/>
          <w:szCs w:val="28"/>
          <w:rtl w:val="true"/>
          <w:lang w:bidi="ar-SA"/>
        </w:rPr>
        <w:t xml:space="preserve">و السنة </w:t>
      </w:r>
      <w:r>
        <w:rPr>
          <w:rStyle w:val="FootnoteAnchor"/>
          <w:rtl w:val="true"/>
        </w:rPr>
        <w:footnoteReference w:id="1834"/>
      </w:r>
      <w:r>
        <w:rPr>
          <w:rFonts w:ascii="Amiri" w:hAnsi="Amiri" w:eastAsia="Amiri" w:cs="Amiri"/>
          <w:color w:val="111111"/>
          <w:sz w:val="28"/>
          <w:sz w:val="28"/>
          <w:szCs w:val="28"/>
          <w:rtl w:val="true"/>
          <w:lang w:bidi="ar-SA"/>
        </w:rPr>
        <w:t>و يطرح ما دلّ على خلافها، لأنّه موافق للعامّة مخالف لعمل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ابن بابويه </w:t>
      </w:r>
      <w:r>
        <w:rPr>
          <w:rStyle w:val="FootnoteAnchor"/>
          <w:rtl w:val="true"/>
        </w:rPr>
        <w:footnoteReference w:id="1835"/>
      </w:r>
      <w:r>
        <w:rPr>
          <w:rFonts w:ascii="Amiri" w:hAnsi="Amiri" w:eastAsia="Amiri" w:cs="Amiri"/>
          <w:color w:val="111111"/>
          <w:sz w:val="28"/>
          <w:sz w:val="28"/>
          <w:szCs w:val="28"/>
          <w:rtl w:val="true"/>
          <w:lang w:bidi="ar-SA"/>
        </w:rPr>
        <w:t>من وجوب القضاء دون التكفير متمسّكا بعموم الآية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و هي مقيدة بما مرّ، و للمحكي </w:t>
      </w:r>
      <w:r>
        <w:rPr>
          <w:rStyle w:val="FootnoteAnchor"/>
          <w:rtl w:val="true"/>
        </w:rPr>
        <w:footnoteReference w:id="1837"/>
      </w:r>
      <w:r>
        <w:rPr>
          <w:rFonts w:ascii="Amiri" w:hAnsi="Amiri" w:eastAsia="Amiri" w:cs="Amiri"/>
          <w:color w:val="111111"/>
          <w:sz w:val="28"/>
          <w:sz w:val="28"/>
          <w:szCs w:val="28"/>
          <w:rtl w:val="true"/>
          <w:lang w:bidi="ar-SA"/>
        </w:rPr>
        <w:t xml:space="preserve">عن ابن الجنيد </w:t>
      </w:r>
      <w:r>
        <w:rPr>
          <w:rStyle w:val="FootnoteAnchor"/>
          <w:rtl w:val="true"/>
        </w:rPr>
        <w:footnoteReference w:id="1838"/>
      </w:r>
      <w:r>
        <w:rPr>
          <w:rFonts w:ascii="Amiri" w:hAnsi="Amiri" w:eastAsia="Amiri" w:cs="Amiri"/>
          <w:color w:val="111111"/>
          <w:sz w:val="28"/>
          <w:sz w:val="28"/>
          <w:szCs w:val="28"/>
          <w:rtl w:val="true"/>
          <w:lang w:bidi="ar-SA"/>
        </w:rPr>
        <w:t xml:space="preserve">فأوجب الأمرين، عملا بالاحتياط و 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أدركه رمضان و عليه رمضان قبل ذلك لم يصمه؟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بدل كلّ يوم من رمضان عليه بمدّ من طعام، و ليصم هذا الذي أدرك فإذا أفطر فليصم رمضان الذي كان عليه، فإنّي كنت مريضا فمرّ عليّ ثلاث رمضانات لم أصح </w:t>
      </w:r>
      <w:r>
        <w:rPr>
          <w:rStyle w:val="FootnoteAnchor"/>
          <w:rtl w:val="true"/>
        </w:rPr>
        <w:footnoteReference w:id="1839"/>
      </w:r>
      <w:r>
        <w:rPr>
          <w:rFonts w:ascii="Amiri" w:hAnsi="Amiri" w:eastAsia="Amiri" w:cs="Amiri"/>
          <w:color w:val="111111"/>
          <w:sz w:val="28"/>
          <w:sz w:val="28"/>
          <w:szCs w:val="28"/>
          <w:rtl w:val="true"/>
          <w:lang w:bidi="ar-SA"/>
        </w:rPr>
        <w:t>فيهنّ ثم أدركت رمضان فتصدّقت بدل كلّ يوم</w:t>
      </w:r>
    </w:p>
    <w:p>
      <w:pPr>
        <w:pStyle w:val="BookText"/>
        <w:rPr/>
      </w:pPr>
      <w:r>
        <w:rPr>
          <w:rFonts w:ascii="Amiri" w:hAnsi="Amiri" w:eastAsia="Amiri" w:cs="Amiri"/>
          <w:color w:val="111111"/>
          <w:sz w:val="28"/>
          <w:sz w:val="28"/>
          <w:szCs w:val="28"/>
          <w:rtl w:val="true"/>
          <w:lang w:bidi="ar-SA"/>
        </w:rPr>
        <w:t>ممّا مضى بمدّ من طعام ثم عافاني اللّٰه تعالى و صمتهنّ</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به الوجوب الاصطلاحيّ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لو أراد به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صريحا رواية عبد اللّٰه 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شيئا من رمضان في عذر ثم أدركه رمضان آخر و هو مريض، فليتصدّق بمدّ لكلّ يوم، و أمّا أنا فإنّي صمت و تصدّقت</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عدم الفرق بين استمرار نفس ذلك المرض أو الانتقال منه إلى مرض آخر كما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للمرض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أفطر الأداء لعذر آخر</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ثمّ استمرّ ذلك العذر أو مرض بعد خروج الشهر و استمرّ إلى القابل، أو أفطر الأداء للمرض ثمّ حصل عذر آخر و استمر، أو انتقل إلى عذر آخر إلى رمضان القابل، فهل يسقط القضاء و يتبدّل </w:t>
      </w:r>
      <w:r>
        <w:rPr>
          <w:rStyle w:val="FootnoteAnchor"/>
          <w:rtl w:val="true"/>
        </w:rPr>
        <w:footnoteReference w:id="1843"/>
      </w:r>
      <w:r>
        <w:rPr>
          <w:rFonts w:ascii="Amiri" w:hAnsi="Amiri" w:eastAsia="Amiri" w:cs="Amiri"/>
          <w:color w:val="111111"/>
          <w:sz w:val="28"/>
          <w:sz w:val="28"/>
          <w:szCs w:val="28"/>
          <w:rtl w:val="true"/>
          <w:lang w:bidi="ar-SA"/>
        </w:rPr>
        <w:t>بالتصدّق أم يتعيّن القضاء؟</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عملا بالدليل الدالّ على وجوب القضاء مطلقا السالم عن المخصّص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يزعم دلالة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إلحاق الصورة الثانية من الصور المذكورة، و ليس كذلك، لأنّ الظاهر من العذر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غاية الأمر حصول الإجمال من جهة اقتران اللفظ بما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يصلح أن يكون قرينة صارفة له </w:t>
      </w:r>
      <w:r>
        <w:rPr>
          <w:rStyle w:val="FootnoteAnchor"/>
          <w:rtl w:val="true"/>
        </w:rPr>
        <w:footnoteReference w:id="1844"/>
      </w:r>
      <w:r>
        <w:rPr>
          <w:rFonts w:ascii="Amiri" w:hAnsi="Amiri" w:eastAsia="Amiri" w:cs="Amiri"/>
          <w:color w:val="111111"/>
          <w:sz w:val="28"/>
          <w:sz w:val="28"/>
          <w:szCs w:val="28"/>
          <w:rtl w:val="true"/>
          <w:lang w:bidi="ar-SA"/>
        </w:rPr>
        <w:t xml:space="preserve">عن معناه الحقيقيّ، فلا يدلّ على المطلوب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bookmarkStart w:id="224" w:name="pg19900_214771"/>
    </w:p>
    <w:p>
      <w:pPr>
        <w:pStyle w:val="Heading3"/>
        <w:numPr>
          <w:ilvl w:val="2"/>
          <w:numId w:val="1"/>
        </w:numPr>
        <w:rPr/>
      </w:pPr>
      <w:bookmarkStart w:id="225" w:name="__RefHeading___Toc2061768_2314609296"/>
      <w:bookmarkStart w:id="226" w:name="_Toc83"/>
      <w:bookmarkEnd w:id="224"/>
      <w:bookmarkEnd w:id="225"/>
      <w:r>
        <w:rPr>
          <w:rtl w:val="true"/>
        </w:rPr>
        <w:t>[</w:t>
      </w:r>
      <w:r>
        <w:rPr>
          <w:rtl w:val="true"/>
        </w:rPr>
        <w:t xml:space="preserve">مسألة </w:t>
      </w:r>
      <w:r>
        <w:rPr/>
        <w:t>19</w:t>
      </w:r>
      <w:r>
        <w:rPr>
          <w:rtl w:val="true"/>
        </w:rPr>
        <w:t xml:space="preserve"> </w:t>
      </w:r>
      <w:r>
        <w:rPr>
          <w:rtl w:val="true"/>
        </w:rPr>
        <w:t>حكم المريض إذا برء بعد خروج رمضان و لم يقض ما فات عنه رمضان القابل</w:t>
      </w:r>
      <w:r>
        <w:rPr>
          <w:rtl w:val="true"/>
        </w:rPr>
        <w:t>]</w:t>
      </w:r>
      <w:bookmarkEnd w:id="2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برء المريض المفطر بعد خروج رمضان، فإن قضى ما فات عنه فلا كلام و لا يجب عليه شي‌ء غيره، و إن لم يقضه حتى أدركه شهر رمضان آخر، فإن كان الترك تهاونا فالأقوى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الشهر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التصدّق، للروايات المتقدّمة </w:t>
      </w:r>
      <w:r>
        <w:rPr>
          <w:rStyle w:val="FootnoteAnchor"/>
          <w:rtl w:val="true"/>
        </w:rPr>
        <w:footnoteReference w:id="1846"/>
      </w:r>
      <w:r>
        <w:rPr>
          <w:rFonts w:ascii="Amiri" w:hAnsi="Amiri" w:eastAsia="Amiri" w:cs="Amiri"/>
          <w:color w:val="111111"/>
          <w:sz w:val="28"/>
          <w:sz w:val="28"/>
          <w:szCs w:val="28"/>
          <w:rtl w:val="true"/>
          <w:lang w:bidi="ar-SA"/>
        </w:rPr>
        <w:t xml:space="preserve">خلافا للمحكيّ </w:t>
      </w:r>
      <w:r>
        <w:rPr>
          <w:rStyle w:val="FootnoteAnchor"/>
          <w:rtl w:val="true"/>
        </w:rPr>
        <w:footnoteReference w:id="1847"/>
      </w:r>
      <w:r>
        <w:rPr>
          <w:rFonts w:ascii="Amiri" w:hAnsi="Amiri" w:eastAsia="Amiri" w:cs="Amiri"/>
          <w:color w:val="111111"/>
          <w:sz w:val="28"/>
          <w:sz w:val="28"/>
          <w:szCs w:val="28"/>
          <w:rtl w:val="true"/>
          <w:lang w:bidi="ar-SA"/>
        </w:rPr>
        <w:t xml:space="preserve">عن الحلّي </w:t>
      </w:r>
      <w:r>
        <w:rPr>
          <w:rStyle w:val="FootnoteAnchor"/>
          <w:rtl w:val="true"/>
        </w:rPr>
        <w:footnoteReference w:id="1848"/>
      </w:r>
      <w:r>
        <w:rPr>
          <w:rFonts w:ascii="Amiri" w:hAnsi="Amiri" w:eastAsia="Amiri" w:cs="Amiri"/>
          <w:color w:val="111111"/>
          <w:sz w:val="28"/>
          <w:sz w:val="28"/>
          <w:szCs w:val="28"/>
          <w:rtl w:val="true"/>
          <w:lang w:bidi="ar-SA"/>
        </w:rPr>
        <w:t>فلم يوجب التصدّق، و لعلّه لكون الدليل على وجوبه من طريق الآحاد، و هو لا يعمل بها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الترك لا للتهاون، بل كان عازما على القضاء و أخّره اعتمادا على سعة الوقت فلمّا ضاق حصل العذر،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الأمرين، لإطلاق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لكثير، بل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التصدّق، لاشتراطه منضمّا إلى القضاء في الأخبار بما إذا ترك توانيا كما في رواية محمّد بن</w:t>
      </w:r>
    </w:p>
    <w:p>
      <w:pPr>
        <w:pStyle w:val="BookText"/>
        <w:rPr/>
      </w:pPr>
      <w:r>
        <w:rPr>
          <w:rFonts w:ascii="Amiri" w:hAnsi="Amiri" w:eastAsia="Amiri" w:cs="Amiri"/>
          <w:color w:val="111111"/>
          <w:sz w:val="28"/>
          <w:sz w:val="28"/>
          <w:szCs w:val="28"/>
          <w:rtl w:val="true"/>
          <w:lang w:bidi="ar-SA"/>
        </w:rPr>
        <w:t xml:space="preserve">مسلم المتقدّمة </w:t>
      </w:r>
      <w:r>
        <w:rPr>
          <w:rStyle w:val="FootnoteAnchor"/>
          <w:rtl w:val="true"/>
        </w:rPr>
        <w:footnoteReference w:id="1849"/>
      </w:r>
      <w:r>
        <w:rPr>
          <w:rFonts w:ascii="Amiri" w:hAnsi="Amiri" w:eastAsia="Amiri" w:cs="Amiri"/>
          <w:color w:val="111111"/>
          <w:sz w:val="28"/>
          <w:sz w:val="28"/>
          <w:szCs w:val="28"/>
          <w:rtl w:val="true"/>
          <w:lang w:bidi="ar-SA"/>
        </w:rPr>
        <w:t xml:space="preserve">أو تهاونا كما في رواية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مرض الرجل من رمضان إلى رمضان ثم صحّ، فإنّما عليه لكلّ يوم أفطر فيه فدية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و الظهار مدّا مدّا، و إن </w:t>
      </w:r>
      <w:r>
        <w:rPr>
          <w:rStyle w:val="FootnoteAnchor"/>
          <w:rtl w:val="true"/>
        </w:rPr>
        <w:footnoteReference w:id="1850"/>
      </w:r>
      <w:r>
        <w:rPr>
          <w:rFonts w:ascii="Amiri" w:hAnsi="Amiri" w:eastAsia="Amiri" w:cs="Amiri"/>
          <w:color w:val="111111"/>
          <w:sz w:val="28"/>
          <w:sz w:val="28"/>
          <w:szCs w:val="28"/>
          <w:rtl w:val="true"/>
          <w:lang w:bidi="ar-SA"/>
        </w:rPr>
        <w:t>صحّ فيما بين رمضانين فإنّما عليه أن يقضي الصيام، فإن تهاون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الصدقة و الصيام جميعا</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فيها وجوب الجمع بالتواني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مطلوبهم، إذ مع العزم على القضاء و التأخير اعتمادا على سعة الوقت يصدق التواني، فيجب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الترك 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بذلك مقابلته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لم يزل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غير </w:t>
      </w:r>
      <w:r>
        <w:rPr>
          <w:rStyle w:val="FootnoteAnchor"/>
          <w:rtl w:val="true"/>
        </w:rPr>
        <w:footnoteReference w:id="1852"/>
      </w:r>
      <w:r>
        <w:rPr>
          <w:rFonts w:ascii="Amiri" w:hAnsi="Amiri" w:eastAsia="Amiri" w:cs="Amiri"/>
          <w:color w:val="111111"/>
          <w:sz w:val="28"/>
          <w:sz w:val="28"/>
          <w:szCs w:val="28"/>
          <w:rtl w:val="true"/>
          <w:lang w:bidi="ar-SA"/>
        </w:rPr>
        <w:t xml:space="preserve">مفرّط فيبعد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لستر الذنب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يجدي شيئا، إذ لعلّ التكفير</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للتضييع، فإنّ في التأخير 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الرواية المحكيّة عن تفسير العيّاشي المعلّلة لوجوب التكفير </w:t>
      </w:r>
      <w:r>
        <w:rPr>
          <w:rStyle w:val="FootnoteAnchor"/>
          <w:rtl w:val="true"/>
        </w:rPr>
        <w:footnoteReference w:id="1854"/>
      </w:r>
      <w:r>
        <w:rPr>
          <w:rFonts w:ascii="Amiri" w:hAnsi="Amiri" w:eastAsia="Amiri" w:cs="Amiri"/>
          <w:color w:val="111111"/>
          <w:sz w:val="28"/>
          <w:sz w:val="28"/>
          <w:szCs w:val="28"/>
          <w:rtl w:val="true"/>
          <w:lang w:bidi="ar-SA"/>
        </w:rPr>
        <w:t>زيادة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ضيّع ذلك الصيام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التضييع صادق على التأخير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التأخير 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الاعتداد بالسلامة عن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أخّر قضاء يوم واحد فات من رمضان إلى يوم آخر شعبان </w:t>
      </w:r>
      <w:r>
        <w:rPr>
          <w:rStyle w:val="FootnoteAnchor"/>
          <w:rtl w:val="true"/>
        </w:rPr>
        <w:footnoteReference w:id="1856"/>
      </w:r>
      <w:r>
        <w:rPr>
          <w:rFonts w:ascii="Amiri" w:hAnsi="Amiri" w:eastAsia="Amiri" w:cs="Amiri"/>
          <w:color w:val="111111"/>
          <w:sz w:val="28"/>
          <w:sz w:val="28"/>
          <w:szCs w:val="28"/>
          <w:rtl w:val="true"/>
          <w:lang w:bidi="ar-SA"/>
        </w:rPr>
        <w:t>من السنة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سعة </w:t>
      </w:r>
      <w:r>
        <w:rPr>
          <w:rStyle w:val="FootnoteAnchor"/>
          <w:rtl w:val="true"/>
        </w:rPr>
        <w:footnoteReference w:id="1857"/>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مرض في ذلك اليوم، يعدّ مضيّعا للصيام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عازما على فعله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 التواني لا يجامع العزم على القضاء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الرواية على اشتراط الجمع بالتواني فرع وجود المفهوم في الرواية </w:t>
      </w:r>
      <w:r>
        <w:rPr>
          <w:rStyle w:val="FootnoteAnchor"/>
          <w:rtl w:val="true"/>
        </w:rPr>
        <w:footnoteReference w:id="1858"/>
      </w:r>
      <w:r>
        <w:rPr>
          <w:rFonts w:ascii="Amiri" w:hAnsi="Amiri" w:eastAsia="Amiri" w:cs="Amiri"/>
          <w:color w:val="111111"/>
          <w:sz w:val="28"/>
          <w:sz w:val="28"/>
          <w:szCs w:val="28"/>
          <w:rtl w:val="true"/>
          <w:lang w:bidi="ar-SA"/>
        </w:rPr>
        <w:t>و هو ممنوع، لأنّ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نطق به في الذيل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لم يزل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مفهوم حتى يدلّ على أنّه إذا برء و لم يتوان فليس عليه الجمع حتى يكون مقيدا للمطلقات </w:t>
      </w:r>
      <w:r>
        <w:rPr>
          <w:rStyle w:val="FootnoteAnchor"/>
          <w:rtl w:val="true"/>
        </w:rPr>
        <w:footnoteReference w:id="1859"/>
      </w:r>
      <w:r>
        <w:rPr>
          <w:rFonts w:ascii="Amiri" w:hAnsi="Amiri" w:eastAsia="Amiri" w:cs="Amiri"/>
          <w:color w:val="111111"/>
          <w:sz w:val="28"/>
          <w:sz w:val="28"/>
          <w:szCs w:val="28"/>
          <w:rtl w:val="true"/>
          <w:lang w:bidi="ar-SA"/>
        </w:rPr>
        <w:t xml:space="preserve">كرواية زرارة المتقدّمة </w:t>
      </w:r>
      <w:r>
        <w:rPr>
          <w:rStyle w:val="FootnoteAnchor"/>
          <w:rtl w:val="true"/>
        </w:rPr>
        <w:footnoteReference w:id="1860"/>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بمثل هذين الجوابين يجاب عن رواية أبي بصير </w:t>
      </w:r>
      <w:r>
        <w:rPr>
          <w:rStyle w:val="FootnoteAnchor"/>
          <w:rtl w:val="true"/>
        </w:rPr>
        <w:footnoteReference w:id="1861"/>
      </w:r>
      <w:r>
        <w:rPr>
          <w:rFonts w:ascii="Amiri" w:hAnsi="Amiri" w:eastAsia="Amiri" w:cs="Amiri"/>
          <w:color w:val="111111"/>
          <w:sz w:val="28"/>
          <w:sz w:val="28"/>
          <w:szCs w:val="28"/>
          <w:rtl w:val="true"/>
          <w:lang w:bidi="ar-SA"/>
        </w:rPr>
        <w:t>لصدق التهاون مع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مفهوم لها، بقرينة 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إذا صحّ بين الرمضانين يجب عليه القضاء، و إن لم يقض وجب عليه الكفّارة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صيام المقبل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أنّ 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من لم يصم مع الصحّة حتّى أدركه القابل،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هذا</w:t>
      </w:r>
    </w:p>
    <w:p>
      <w:pPr>
        <w:pStyle w:val="BookText"/>
        <w:rPr/>
      </w:pPr>
      <w:r>
        <w:rPr>
          <w:rFonts w:ascii="IRNazanin" w:hAnsi="IRNazanin" w:eastAsia="IRNazanin"/>
          <w:color w:val="111111"/>
          <w:sz w:val="28"/>
          <w:sz w:val="28"/>
          <w:szCs w:val="28"/>
          <w:rtl w:val="true"/>
          <w:lang w:bidi="fa-IR"/>
        </w:rPr>
        <w:t>الشخص القضاء فقط بعد خروج المقبل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الغرض منه إنشاء حكم لمن صحّ بعد خروج رمضان 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w:t>
      </w:r>
      <w:r>
        <w:rPr>
          <w:rStyle w:val="FootnoteAnchor"/>
          <w:rtl w:val="true"/>
        </w:rPr>
        <w:footnoteReference w:id="1862"/>
      </w:r>
      <w:r>
        <w:rPr>
          <w:rFonts w:ascii="Amiri" w:hAnsi="Amiri" w:eastAsia="Amiri" w:cs="Amiri"/>
          <w:color w:val="111111"/>
          <w:sz w:val="28"/>
          <w:sz w:val="28"/>
          <w:szCs w:val="28"/>
          <w:rtl w:val="true"/>
          <w:lang w:bidi="ar-SA"/>
        </w:rPr>
        <w:t>يجب عليه أن يقضيه و نفي الكفّارة لفوات الأداء</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الشخص الذي لم يصم ما فاته من رمضان الماضي حتى أدركه </w:t>
      </w:r>
      <w:r>
        <w:rPr>
          <w:rStyle w:val="FootnoteAnchor"/>
          <w:rtl w:val="true"/>
        </w:rPr>
        <w:footnoteReference w:id="1864"/>
      </w:r>
      <w:r>
        <w:rPr>
          <w:rFonts w:ascii="Amiri" w:hAnsi="Amiri" w:eastAsia="Amiri" w:cs="Amiri"/>
          <w:color w:val="111111"/>
          <w:sz w:val="28"/>
          <w:sz w:val="28"/>
          <w:szCs w:val="28"/>
          <w:rtl w:val="true"/>
          <w:lang w:bidi="ar-SA"/>
        </w:rPr>
        <w:t>المقبل، و أنّه إن كان مريضا بين الشهرين فليس عليه إلّا التصدّق، و إن كان صحيحا فليس عليه إلّا القضاء إذا فرغ من المقبل، و إن تهاون فعليه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حينئذ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صحيحا و لم يتهاون في الترك،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من المعنى أقرب من هذا،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Style w:val="FootnoteAnchor"/>
          <w:rtl w:val="true"/>
        </w:rPr>
        <w:footnoteReference w:id="1865"/>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مرض بين رمضان </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المريض إذا استمرّ مرضه فيجب عليه الصدقة، و إن صحّ في الأثناء فيجب </w:t>
      </w:r>
      <w:r>
        <w:rPr>
          <w:rStyle w:val="FootnoteAnchor"/>
          <w:rtl w:val="true"/>
        </w:rPr>
        <w:footnoteReference w:id="1867"/>
      </w:r>
      <w:r>
        <w:rPr>
          <w:rFonts w:ascii="Amiri" w:hAnsi="Amiri" w:eastAsia="Amiri" w:cs="Amiri"/>
          <w:color w:val="111111"/>
          <w:sz w:val="28"/>
          <w:sz w:val="28"/>
          <w:szCs w:val="28"/>
          <w:rtl w:val="true"/>
          <w:lang w:bidi="ar-SA"/>
        </w:rPr>
        <w:t>عليه أن يقضي الفائت قبل مجي‌ء شهر رمضان و لا يقوم التصدّق مقامه، فإن تهاون هذا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يفعل ما ذكر أنّه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القابل، يجب عليه القضاء إذا فرغ من القابل و التصدّق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ليس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يدل على نفي الجمع عمّن ترك من غير تهاون، فيكون مقيّدا للمطلقات الدالّة على وجوب الجمع بمجرّد الترك مع الصحّة فيما بين الشهرين، فافهم</w:t>
      </w:r>
      <w:r>
        <w:rPr>
          <w:rFonts w:eastAsia="Amiri" w:cs="Amiri" w:ascii="Amiri" w:hAnsi="Amiri"/>
          <w:color w:val="111111"/>
          <w:sz w:val="28"/>
          <w:szCs w:val="28"/>
          <w:rtl w:val="true"/>
          <w:lang w:bidi="ar-SA"/>
        </w:rPr>
        <w:t>.</w:t>
      </w:r>
      <w:bookmarkStart w:id="227" w:name="pg19900_214776"/>
    </w:p>
    <w:p>
      <w:pPr>
        <w:pStyle w:val="Heading3"/>
        <w:numPr>
          <w:ilvl w:val="2"/>
          <w:numId w:val="1"/>
        </w:numPr>
        <w:rPr/>
      </w:pPr>
      <w:bookmarkStart w:id="228" w:name="__RefHeading___Toc2061770_2314609296"/>
      <w:bookmarkStart w:id="229" w:name="_Toc84"/>
      <w:bookmarkEnd w:id="227"/>
      <w:bookmarkEnd w:id="228"/>
      <w:r>
        <w:rPr>
          <w:rtl w:val="true"/>
        </w:rPr>
        <w:t>[</w:t>
      </w:r>
      <w:r>
        <w:rPr>
          <w:rtl w:val="true"/>
        </w:rPr>
        <w:t xml:space="preserve">مسألة </w:t>
      </w:r>
      <w:r>
        <w:rPr/>
        <w:t>20</w:t>
      </w:r>
      <w:r>
        <w:rPr>
          <w:rtl w:val="true"/>
        </w:rPr>
        <w:t xml:space="preserve"> </w:t>
      </w:r>
      <w:r>
        <w:rPr>
          <w:rtl w:val="true"/>
        </w:rPr>
        <w:t>لو مات الرجل و عليه شي‌ء من الصيام فالقضاء عنه على أولى الناس به</w:t>
      </w:r>
      <w:r>
        <w:rPr>
          <w:rtl w:val="true"/>
        </w:rPr>
        <w:t>.]</w:t>
      </w:r>
      <w:bookmarkEnd w:id="229"/>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86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الرجل و عليه شي‌ء من الصيام فالمروي في روايات وجوب القضاء عنه على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بن البختري،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عليه صلاة أو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حمّاد، عمّن ذكره،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يموت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 xml:space="preserve">من شهر رمضان، من يقضيه </w:t>
      </w:r>
      <w:r>
        <w:rPr>
          <w:rStyle w:val="FootnoteAnchor"/>
          <w:rtl w:val="true"/>
        </w:rPr>
        <w:footnoteReference w:id="18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1872"/>
      </w:r>
      <w:r>
        <w:rPr>
          <w:rFonts w:ascii="Amiri" w:hAnsi="Amiri" w:eastAsia="Amiri" w:cs="Amiri"/>
          <w:color w:val="111111"/>
          <w:sz w:val="28"/>
          <w:sz w:val="28"/>
          <w:szCs w:val="28"/>
          <w:rtl w:val="true"/>
          <w:lang w:bidi="ar-SA"/>
        </w:rPr>
        <w:t>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كتب الى أبي محمّد الحسن بن علي </w:t>
      </w:r>
      <w:r>
        <w:rPr>
          <w:rStyle w:val="FootnoteAnchor"/>
          <w:rtl w:val="true"/>
        </w:rPr>
        <w:footnoteReference w:id="1874"/>
      </w:r>
      <w:r>
        <w:rPr>
          <w:rFonts w:ascii="Amiri" w:hAnsi="Amiri" w:eastAsia="Amiri" w:cs="Amiri"/>
          <w:color w:val="111111"/>
          <w:sz w:val="28"/>
          <w:sz w:val="28"/>
          <w:szCs w:val="28"/>
          <w:rtl w:val="true"/>
          <w:lang w:bidi="ar-SA"/>
        </w:rPr>
        <w:t xml:space="preserve">عليهما السلام رجل مات و عليه قضاء من شهر رمضان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و له وليّان، هل يجوز لهما أن يقضيا عنه جميعا؛ خمسة أيّام أحد الوليّين و خمسة أيام الآخر؟</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على هذا الحكم الإجماع في الجملة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 هذه عدم الفرق بين ما فات لعذر أو غيره، و به أفتى بعض الأصحاب </w:t>
      </w:r>
      <w:r>
        <w:rPr>
          <w:rStyle w:val="FootnoteAnchor"/>
          <w:rtl w:val="true"/>
        </w:rPr>
        <w:footnoteReference w:id="1878"/>
      </w:r>
      <w:r>
        <w:rPr>
          <w:rFonts w:ascii="Amiri" w:hAnsi="Amiri" w:eastAsia="Amiri" w:cs="Amiri"/>
          <w:color w:val="111111"/>
          <w:sz w:val="28"/>
          <w:sz w:val="28"/>
          <w:szCs w:val="28"/>
          <w:rtl w:val="true"/>
          <w:lang w:bidi="ar-SA"/>
        </w:rPr>
        <w:t>، إلّا أنّ جماعة اقتصروا على ما فاته لعذر، لأنّ الروايات تحمل على الغالب من الترك، و هو إنّما يكون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أصل الغلبة ثمّ في صلاحيتها للقرينيّة على إرادة الغالب من المطلقات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فينبغي القطع باشتراط الحكم بالوجوب على الوليّ بكون الميّت متمكّنا حال الحياة عن فعل الفائت، لأنّ غير ذلك لا يكون عليه حتى يدخل في موارد السؤال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بعضهم عن ذلك ما فات عنه لسفر، فإنّه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يتمكّن من فعله حال الحياة لاستمرار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بروايات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حمزة،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w:t>
      </w:r>
    </w:p>
    <w:p>
      <w:pPr>
        <w:pStyle w:val="BookText"/>
        <w:rPr/>
      </w:pPr>
      <w:r>
        <w:rPr>
          <w:rFonts w:ascii="Amiri" w:hAnsi="Amiri" w:eastAsia="Amiri" w:cs="Amiri"/>
          <w:color w:val="111111"/>
          <w:sz w:val="28"/>
          <w:sz w:val="28"/>
          <w:szCs w:val="28"/>
          <w:rtl w:val="true"/>
          <w:lang w:bidi="ar-SA"/>
        </w:rPr>
        <w:t>هل يقضى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رواية أخرى عن ابن مسلم </w:t>
      </w:r>
      <w:r>
        <w:rPr>
          <w:rStyle w:val="FootnoteAnchor"/>
          <w:rtl w:val="true"/>
        </w:rPr>
        <w:footnoteReference w:id="1880"/>
      </w:r>
      <w:r>
        <w:rPr>
          <w:rFonts w:ascii="Amiri" w:hAnsi="Amiri" w:eastAsia="Amiri" w:cs="Amiri"/>
          <w:color w:val="111111"/>
          <w:sz w:val="28"/>
          <w:sz w:val="28"/>
          <w:szCs w:val="28"/>
          <w:rtl w:val="true"/>
          <w:lang w:bidi="ar-SA"/>
        </w:rPr>
        <w:t xml:space="preserve">، و رواية منصور بن حازم </w:t>
      </w:r>
      <w:r>
        <w:rPr>
          <w:rStyle w:val="FootnoteAnchor"/>
          <w:rtl w:val="true"/>
        </w:rPr>
        <w:footnoteReference w:id="188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w:t>
      </w:r>
      <w:r>
        <w:rPr>
          <w:rStyle w:val="FootnoteAnchor"/>
          <w:rtl w:val="true"/>
        </w:rPr>
        <w:footnoteReference w:id="1882"/>
      </w:r>
      <w:r>
        <w:rPr>
          <w:rFonts w:ascii="Amiri" w:hAnsi="Amiri" w:eastAsia="Amiri" w:cs="Amiri"/>
          <w:color w:val="111111"/>
          <w:sz w:val="28"/>
          <w:sz w:val="28"/>
          <w:szCs w:val="28"/>
          <w:rtl w:val="true"/>
          <w:lang w:bidi="ar-SA"/>
        </w:rPr>
        <w:t>لعمل المشهور،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عامل بها عدا الشيخ في التهذيب </w:t>
      </w:r>
      <w:r>
        <w:rPr>
          <w:rStyle w:val="FootnoteAnchor"/>
          <w:rtl w:val="true"/>
        </w:rPr>
        <w:footnoteReference w:id="1883"/>
      </w:r>
      <w:r>
        <w:rPr>
          <w:rFonts w:ascii="Amiri" w:hAnsi="Amiri" w:eastAsia="Amiri" w:cs="Amiri"/>
          <w:color w:val="111111"/>
          <w:sz w:val="28"/>
          <w:sz w:val="28"/>
          <w:szCs w:val="28"/>
          <w:rtl w:val="true"/>
          <w:lang w:bidi="ar-SA"/>
        </w:rPr>
        <w:t xml:space="preserve">مع أنّ الروايتين الأوليين ليستا صريحتين في الوجوب </w:t>
      </w:r>
      <w:r>
        <w:rPr>
          <w:rStyle w:val="FootnoteAnchor"/>
          <w:rtl w:val="true"/>
        </w:rPr>
        <w:footnoteReference w:id="1884"/>
      </w:r>
      <w:r>
        <w:rPr>
          <w:rFonts w:ascii="Amiri" w:hAnsi="Amiri" w:eastAsia="Amiri" w:cs="Amiri"/>
          <w:color w:val="111111"/>
          <w:sz w:val="28"/>
          <w:sz w:val="28"/>
          <w:szCs w:val="28"/>
          <w:rtl w:val="true"/>
          <w:lang w:bidi="ar-SA"/>
        </w:rPr>
        <w:t>، إذ يحتمل أن يكون عن جواز القضاء عن المرأة إذا ماتت غير متمكّنة عن القضاء فأجاب عليه السلام بعدم الجواز في المرض و الطمث و بالجواز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يقضى عن المرأة وجوبا ما فاتتها </w:t>
      </w:r>
      <w:r>
        <w:rPr>
          <w:rStyle w:val="FootnoteAnchor"/>
          <w:rtl w:val="true"/>
        </w:rPr>
        <w:footnoteReference w:id="1885"/>
      </w:r>
      <w:r>
        <w:rPr>
          <w:rFonts w:ascii="Amiri" w:hAnsi="Amiri" w:eastAsia="Amiri" w:cs="Amiri"/>
          <w:color w:val="111111"/>
          <w:sz w:val="28"/>
          <w:sz w:val="28"/>
          <w:szCs w:val="28"/>
          <w:rtl w:val="true"/>
          <w:lang w:bidi="ar-SA"/>
        </w:rPr>
        <w:t>و تمكّنت عن تداركه؟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اختصاص الأخبار المتقدّمة بالرجل، و من غلبة اشتراكها معه في الأحكام، لكن الاعتماد على هذه الغلبة مشكل، فعدم الوجوب لا يخلو عن قوّة، للأصل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الوجوب بروايتي أبي حمزة و محمّد بن مسلم المتقدّمتين </w:t>
      </w:r>
      <w:r>
        <w:rPr>
          <w:rStyle w:val="FootnoteAnchor"/>
          <w:rtl w:val="true"/>
        </w:rPr>
        <w:footnoteReference w:id="1886"/>
      </w:r>
      <w:r>
        <w:rPr>
          <w:rFonts w:ascii="Amiri" w:hAnsi="Amiri" w:eastAsia="Amiri" w:cs="Amiri"/>
          <w:color w:val="111111"/>
          <w:sz w:val="28"/>
          <w:sz w:val="28"/>
          <w:szCs w:val="28"/>
          <w:rtl w:val="true"/>
          <w:lang w:bidi="ar-SA"/>
        </w:rPr>
        <w:t xml:space="preserve">و ليستا صريحتين فيه بل و لا ظاهرتين، لاحتمال كون السؤال عن جواز القضاء مع عدم تمكن المرأة من القضاء، فلا يفيد الجواب إلّا الجواز إذا كان سبب الفوت هو السفر، مع أنّ فيهما ما عرفت من عدم القائل بمضمونهما </w:t>
      </w:r>
      <w:r>
        <w:rPr>
          <w:rStyle w:val="FootnoteAnchor"/>
          <w:rtl w:val="true"/>
        </w:rPr>
        <w:footnoteReference w:id="1887"/>
      </w:r>
      <w:r>
        <w:rPr>
          <w:rFonts w:ascii="Amiri" w:hAnsi="Amiri" w:eastAsia="Amiri" w:cs="Amiri"/>
          <w:color w:val="111111"/>
          <w:sz w:val="28"/>
          <w:sz w:val="28"/>
          <w:szCs w:val="28"/>
          <w:rtl w:val="true"/>
          <w:lang w:bidi="ar-SA"/>
        </w:rPr>
        <w:t xml:space="preserve">عدا الشيخ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bookmarkStart w:id="230" w:name="pg19900_214779"/>
    </w:p>
    <w:p>
      <w:pPr>
        <w:pStyle w:val="Heading3"/>
        <w:numPr>
          <w:ilvl w:val="2"/>
          <w:numId w:val="1"/>
        </w:numPr>
        <w:rPr/>
      </w:pPr>
      <w:bookmarkStart w:id="231" w:name="__RefHeading___Toc2061772_2314609296"/>
      <w:bookmarkStart w:id="232" w:name="_Toc85"/>
      <w:bookmarkEnd w:id="230"/>
      <w:bookmarkEnd w:id="231"/>
      <w:r>
        <w:rPr>
          <w:rtl w:val="true"/>
        </w:rPr>
        <w:t>[</w:t>
      </w:r>
      <w:r>
        <w:rPr>
          <w:rtl w:val="true"/>
        </w:rPr>
        <w:t xml:space="preserve">مسألة </w:t>
      </w:r>
      <w:r>
        <w:rPr/>
        <w:t>21</w:t>
      </w:r>
      <w:r>
        <w:rPr>
          <w:rtl w:val="true"/>
        </w:rPr>
        <w:t xml:space="preserve"> </w:t>
      </w:r>
      <w:r>
        <w:rPr>
          <w:rtl w:val="true"/>
        </w:rPr>
        <w:t>جواز الإفطار في القضاء إلى زوال الشمس</w:t>
      </w:r>
      <w:r>
        <w:rPr>
          <w:rtl w:val="true"/>
        </w:rPr>
        <w:t>]</w:t>
      </w:r>
      <w:bookmarkEnd w:id="232"/>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8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شهر رمضان بالخيار إلى زوال الشمس على الأشهر الأقوى </w:t>
      </w:r>
      <w:r>
        <w:rPr>
          <w:rStyle w:val="FootnoteAnchor"/>
          <w:rtl w:val="true"/>
        </w:rPr>
        <w:footnoteReference w:id="1890"/>
      </w:r>
      <w:r>
        <w:rPr>
          <w:rFonts w:ascii="Amiri" w:hAnsi="Amiri" w:eastAsia="Amiri" w:cs="Amiri"/>
          <w:color w:val="111111"/>
          <w:sz w:val="28"/>
          <w:sz w:val="28"/>
          <w:szCs w:val="28"/>
          <w:rtl w:val="true"/>
          <w:lang w:bidi="ar-SA"/>
        </w:rPr>
        <w:t>، للروايات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النافلة لك أن تفطر ما بينك و بين الليل، و صوم الفريضة لك أن تفطر إلى زوال الشمس، فإن زالت فليس لك أن تفطر</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الحكم لكلّ صوم واجب</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إسحاق بن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يقضي شهر رمضان هو بالخيار في الإفطار ما بينه و بين </w:t>
      </w:r>
      <w:r>
        <w:rPr>
          <w:rStyle w:val="FootnoteAnchor"/>
          <w:rtl w:val="true"/>
        </w:rPr>
        <w:footnoteReference w:id="1893"/>
      </w:r>
      <w:r>
        <w:rPr>
          <w:rFonts w:ascii="Amiri" w:hAnsi="Amiri" w:eastAsia="Amiri" w:cs="Amiri"/>
          <w:color w:val="111111"/>
          <w:sz w:val="28"/>
          <w:sz w:val="28"/>
          <w:szCs w:val="28"/>
          <w:rtl w:val="true"/>
          <w:lang w:bidi="ar-SA"/>
        </w:rPr>
        <w:t>أن تزول الشمس، و في التطوّع ما بينه و بين أن تغيب الشمس</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بقضاء شهر رمضان</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 يقيّد عموم النهي عن إبطال العمل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إطلاق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يقضي من رمضان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مثل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أصاب في رمضان، لأنّ ذلك اليوم عند اللّٰه من أيام رمضان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بتقييدها بما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الجواز في الأخبار 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بتقييدها بما إذا تضيّق الوقت بعد تخصيص الجواز في تلك الأخبار بصورة السعة بالإجماع، فتصير أخصّ من الرواية و إن كانت قبل هذا التخصيص مساوية لها في العموم لصورتي الضيق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الأخير يجاب عن رواية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يقضي رمضان، أ له أن يفطر بعد ما يصبح قبل الزوال إذا بدا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نوى ذلك من الليل و كان من قضاء رمضان فلا يفطر و ليتمّ صومه</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للعماني </w:t>
      </w:r>
      <w:r>
        <w:rPr>
          <w:rStyle w:val="FootnoteAnchor"/>
          <w:rtl w:val="true"/>
        </w:rPr>
        <w:footnoteReference w:id="1900"/>
      </w:r>
      <w:r>
        <w:rPr>
          <w:rFonts w:ascii="Amiri" w:hAnsi="Amiri" w:eastAsia="Amiri" w:cs="Amiri"/>
          <w:color w:val="111111"/>
          <w:sz w:val="28"/>
          <w:sz w:val="28"/>
          <w:szCs w:val="28"/>
          <w:rtl w:val="true"/>
          <w:lang w:bidi="ar-SA"/>
        </w:rPr>
        <w:t xml:space="preserve">و الحلبي </w:t>
      </w:r>
      <w:r>
        <w:rPr>
          <w:rStyle w:val="FootnoteAnchor"/>
          <w:rtl w:val="true"/>
        </w:rPr>
        <w:footnoteReference w:id="1901"/>
      </w:r>
      <w:r>
        <w:rPr>
          <w:rFonts w:ascii="Amiri" w:hAnsi="Amiri" w:eastAsia="Amiri" w:cs="Amiri"/>
          <w:color w:val="111111"/>
          <w:sz w:val="28"/>
          <w:sz w:val="28"/>
          <w:szCs w:val="28"/>
          <w:rtl w:val="true"/>
          <w:lang w:bidi="ar-SA"/>
        </w:rPr>
        <w:t>فحرّما الإفطار مطلقا، و لعلّه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مقتضى إطلاق </w:t>
      </w:r>
      <w:r>
        <w:rPr>
          <w:rStyle w:val="FootnoteAnchor"/>
          <w:rtl w:val="true"/>
        </w:rPr>
        <w:footnoteReference w:id="1902"/>
      </w:r>
      <w:r>
        <w:rPr>
          <w:rFonts w:ascii="Amiri" w:hAnsi="Amiri" w:eastAsia="Amiri" w:cs="Amiri"/>
          <w:color w:val="111111"/>
          <w:sz w:val="28"/>
          <w:sz w:val="28"/>
          <w:szCs w:val="28"/>
          <w:rtl w:val="true"/>
          <w:lang w:bidi="ar-SA"/>
        </w:rPr>
        <w:t xml:space="preserve">رواية عبد اللّٰه بن سنان </w:t>
      </w:r>
      <w:r>
        <w:rPr>
          <w:rStyle w:val="FootnoteAnchor"/>
          <w:rtl w:val="true"/>
        </w:rPr>
        <w:footnoteReference w:id="1903"/>
      </w:r>
      <w:r>
        <w:rPr>
          <w:rFonts w:ascii="Amiri" w:hAnsi="Amiri" w:eastAsia="Amiri" w:cs="Amiri"/>
          <w:color w:val="111111"/>
          <w:sz w:val="28"/>
          <w:sz w:val="28"/>
          <w:szCs w:val="28"/>
          <w:rtl w:val="true"/>
          <w:lang w:bidi="ar-SA"/>
        </w:rPr>
        <w:t>طرد الحكم في مطلق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المطلق و الكفّارة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انصراف صوم الفريضة إلى قضاء رمضان، و لعلّه لذا اقتصر بعضهم على قضاء رمضان و جوّز الإفطار في غيره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بعضهم</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أو حرّمه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آخرين</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تمسّكا بعموم حرمة إبطال العمل السالم عن المخصّص، إمّا لعدم انصراف الأخبار إلى غير قضاء رمضان، أو لضعف المخصّص و عدم الجابر له في غير قضاء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كون ذلك الانصراف بحيث يرفع اليد عن الإطلاق لأجله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فطرد </w:t>
      </w:r>
      <w:r>
        <w:rPr>
          <w:rStyle w:val="FootnoteAnchor"/>
          <w:rtl w:val="true"/>
        </w:rPr>
        <w:footnoteReference w:id="1906"/>
      </w:r>
      <w:r>
        <w:rPr>
          <w:rFonts w:ascii="Amiri" w:hAnsi="Amiri" w:eastAsia="Amiri" w:cs="Amiri"/>
          <w:color w:val="111111"/>
          <w:sz w:val="28"/>
          <w:sz w:val="28"/>
          <w:szCs w:val="28"/>
          <w:rtl w:val="true"/>
          <w:lang w:bidi="ar-SA"/>
        </w:rPr>
        <w:t>الحكم في غير قضاء رمضان لا يخلو عن قوّة مع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أحوط منه ما عليه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أيضا عن الحلبي </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908"/>
      </w:r>
      <w:r>
        <w:rPr>
          <w:rFonts w:ascii="Amiri" w:hAnsi="Amiri" w:eastAsia="Amiri" w:cs="Amiri"/>
          <w:color w:val="111111"/>
          <w:sz w:val="28"/>
          <w:sz w:val="28"/>
          <w:szCs w:val="28"/>
          <w:rtl w:val="true"/>
          <w:lang w:bidi="ar-SA"/>
        </w:rPr>
        <w:t xml:space="preserve">وجوب المضيّ </w:t>
      </w:r>
      <w:r>
        <w:rPr>
          <w:rStyle w:val="FootnoteAnchor"/>
          <w:rtl w:val="true"/>
        </w:rPr>
        <w:footnoteReference w:id="1909"/>
      </w:r>
      <w:r>
        <w:rPr>
          <w:rFonts w:ascii="Amiri" w:hAnsi="Amiri" w:eastAsia="Amiri" w:cs="Amiri"/>
          <w:color w:val="111111"/>
          <w:sz w:val="28"/>
          <w:sz w:val="28"/>
          <w:szCs w:val="28"/>
          <w:rtl w:val="true"/>
          <w:lang w:bidi="ar-SA"/>
        </w:rPr>
        <w:t xml:space="preserve">في كلّ صوم واجب شرع فيه، لعموم النهي عن إبطال العمل، و في دلالة الآية </w:t>
      </w:r>
      <w:r>
        <w:rPr>
          <w:rStyle w:val="FootnoteAnchor"/>
          <w:rtl w:val="true"/>
        </w:rPr>
        <w:footnoteReference w:id="1910"/>
      </w:r>
      <w:r>
        <w:rPr>
          <w:rFonts w:ascii="Amiri" w:hAnsi="Amiri" w:eastAsia="Amiri" w:cs="Amiri"/>
          <w:color w:val="111111"/>
          <w:sz w:val="28"/>
          <w:sz w:val="28"/>
          <w:szCs w:val="28"/>
          <w:rtl w:val="true"/>
          <w:lang w:bidi="ar-SA"/>
        </w:rPr>
        <w:t>عليها 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فرق بين قضاء رمضان و غيره و هو عدم وجوب الكفّارة في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أنّها مثل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الصدوقين </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القاضي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صيام ثلاثة أيّام، أو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الحلبي </w:t>
      </w:r>
      <w:r>
        <w:rPr>
          <w:rStyle w:val="FootnoteAnchor"/>
          <w:rtl w:val="true"/>
        </w:rPr>
        <w:footnoteReference w:id="1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عشرة مساكين</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و مع العجز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هو الأظهر، لرواية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ضعفها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أتى أهله بعد الزوال فعليه أن يتصدّق على عشرة مساكين لكلّ مسكين مدّ فإن لم يقدر عليه صام يوما مكان يوم، و صام ثلاثة أيّام كفّارة لما صنع</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اخرى بتقريب لا يخلو عن تكلّف </w:t>
      </w:r>
      <w:r>
        <w:rPr>
          <w:rStyle w:val="FootnoteAnchor"/>
          <w:rtl w:val="true"/>
        </w:rPr>
        <w:footnoteReference w:id="1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تكافئها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الساباطي عن أبي عبد اللّٰه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نوى الصوم ثمّ أفطر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 ليس عليه شي‌ء إلّا قضاء ذلك اليوم الّذي أراد أن يقضيه</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مستند القول الأوّل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فتحمل على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حملهما </w:t>
      </w:r>
      <w:r>
        <w:rPr>
          <w:rStyle w:val="FootnoteAnchor"/>
          <w:rtl w:val="true"/>
        </w:rPr>
        <w:footnoteReference w:id="1919"/>
      </w:r>
      <w:r>
        <w:rPr>
          <w:rFonts w:ascii="Amiri" w:hAnsi="Amiri" w:eastAsia="Amiri" w:cs="Amiri"/>
          <w:color w:val="111111"/>
          <w:sz w:val="28"/>
          <w:sz w:val="28"/>
          <w:szCs w:val="28"/>
          <w:rtl w:val="true"/>
          <w:lang w:bidi="ar-SA"/>
        </w:rPr>
        <w:t xml:space="preserve">الشيخ على من أفطر تهاونا </w:t>
      </w:r>
      <w:r>
        <w:rPr>
          <w:rStyle w:val="FootnoteAnchor"/>
          <w:rtl w:val="true"/>
        </w:rPr>
        <w:footnoteReference w:id="1920"/>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القولان الآخران، فلم نقف لهما على مستند</w:t>
      </w:r>
      <w:r>
        <w:rPr>
          <w:rFonts w:eastAsia="IRNazanin" w:cs="IRNazanin"/>
          <w:color w:val="111111"/>
          <w:sz w:val="28"/>
          <w:szCs w:val="28"/>
          <w:rtl w:val="true"/>
          <w:lang w:bidi="fa-IR"/>
        </w:rPr>
        <w:t>.</w:t>
      </w:r>
      <w:bookmarkStart w:id="233" w:name="pg19900_214784"/>
    </w:p>
    <w:p>
      <w:pPr>
        <w:pStyle w:val="Heading3"/>
        <w:numPr>
          <w:ilvl w:val="2"/>
          <w:numId w:val="1"/>
        </w:numPr>
        <w:rPr/>
      </w:pPr>
      <w:bookmarkStart w:id="234" w:name="__RefHeading___Toc2061774_2314609296"/>
      <w:bookmarkStart w:id="235" w:name="_Toc86"/>
      <w:bookmarkEnd w:id="233"/>
      <w:bookmarkEnd w:id="234"/>
      <w:r>
        <w:rPr>
          <w:rtl w:val="true"/>
        </w:rPr>
        <w:t>[</w:t>
      </w:r>
      <w:r>
        <w:rPr>
          <w:rtl w:val="true"/>
        </w:rPr>
        <w:t xml:space="preserve">مسألة </w:t>
      </w:r>
      <w:r>
        <w:rPr/>
        <w:t>22</w:t>
      </w:r>
      <w:r>
        <w:rPr>
          <w:rtl w:val="true"/>
        </w:rPr>
        <w:t xml:space="preserve"> </w:t>
      </w:r>
      <w:r>
        <w:rPr>
          <w:rtl w:val="true"/>
        </w:rPr>
        <w:t>في شرعيّة صوم الصبيّ المميز</w:t>
      </w:r>
      <w:r>
        <w:rPr>
          <w:rtl w:val="true"/>
        </w:rPr>
        <w:t>]</w:t>
      </w:r>
      <w:bookmarkEnd w:id="235"/>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9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شرعيّة صوم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استناده إلى أمر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تمرينيّته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w:t>
      </w:r>
      <w:r>
        <w:rPr>
          <w:rStyle w:val="FootnoteAnchor"/>
          <w:rtl w:val="true"/>
        </w:rPr>
        <w:footnoteReference w:id="1922"/>
      </w:r>
      <w:r>
        <w:rPr>
          <w:rFonts w:ascii="Amiri" w:hAnsi="Amiri" w:eastAsia="Amiri" w:cs="Amiri"/>
          <w:color w:val="111111"/>
          <w:sz w:val="28"/>
          <w:sz w:val="28"/>
          <w:szCs w:val="28"/>
          <w:rtl w:val="true"/>
          <w:lang w:bidi="ar-SA"/>
        </w:rPr>
        <w:t>، لإطلاق الأمر، و لأنّ الأمر بالأمر أمر، بمعنى أنّ الظاهر من حال الآمر كونه مريدا لذلك الفعل ممّن أمر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شرعيّا </w:t>
      </w:r>
      <w:r>
        <w:rPr>
          <w:rStyle w:val="FootnoteAnchor"/>
          <w:rtl w:val="true"/>
        </w:rPr>
        <w:footnoteReference w:id="1923"/>
      </w:r>
      <w:r>
        <w:rPr>
          <w:rFonts w:ascii="Amiri" w:hAnsi="Amiri" w:eastAsia="Amiri" w:cs="Amiri"/>
          <w:color w:val="111111"/>
          <w:sz w:val="28"/>
          <w:sz w:val="28"/>
          <w:szCs w:val="28"/>
          <w:rtl w:val="true"/>
          <w:lang w:bidi="ar-SA"/>
        </w:rPr>
        <w:t xml:space="preserve">، لعدم صلاحيته لتعلّق الأمر به و توجّهه إليه، لحديث رفع القلم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رواية الزهري، الدالّة على كون صومه صوم تأديب مقابل الصوم </w:t>
      </w:r>
      <w:r>
        <w:rPr>
          <w:rStyle w:val="FootnoteAnchor"/>
          <w:rtl w:val="true"/>
        </w:rPr>
        <w:footnoteReference w:id="1925"/>
      </w:r>
      <w:r>
        <w:rPr>
          <w:rFonts w:ascii="IRNazanin" w:hAnsi="IRNazanin" w:eastAsia="IRNazanin"/>
          <w:color w:val="111111"/>
          <w:sz w:val="28"/>
          <w:sz w:val="28"/>
          <w:szCs w:val="28"/>
          <w:rtl w:val="true"/>
          <w:lang w:bidi="fa-IR"/>
        </w:rPr>
        <w:t xml:space="preserve">المندوب و الواجب و المحرّم </w:t>
      </w:r>
      <w:r>
        <w:rPr>
          <w:rStyle w:val="FootnoteAnchor"/>
          <w:rtl w:val="true"/>
        </w:rPr>
        <w:footnoteReference w:id="1926"/>
      </w:r>
      <w:r>
        <w:rPr>
          <w:rFonts w:ascii="Amiri" w:hAnsi="Amiri" w:eastAsia="Amiri" w:cs="Amiri"/>
          <w:color w:val="111111"/>
          <w:sz w:val="28"/>
          <w:sz w:val="28"/>
          <w:szCs w:val="28"/>
          <w:rtl w:val="true"/>
          <w:lang w:bidi="ar-SA"/>
        </w:rPr>
        <w:t>كإمساك الحائض بقيّة النهار إذا طهرت،</w:t>
      </w:r>
    </w:p>
    <w:p>
      <w:pPr>
        <w:pStyle w:val="BookText"/>
        <w:rPr/>
      </w:pPr>
      <w:r>
        <w:rPr>
          <w:rFonts w:ascii="Amiri" w:hAnsi="Amiri" w:eastAsia="Amiri" w:cs="Amiri"/>
          <w:color w:val="111111"/>
          <w:sz w:val="28"/>
          <w:sz w:val="28"/>
          <w:szCs w:val="28"/>
          <w:rtl w:val="true"/>
          <w:lang w:bidi="ar-SA"/>
        </w:rPr>
        <w:t>و المسافر إذا قدم، و المريض إذا برء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شرعيّة عبادته بمعنى استحبابه الشرعيّ، لشمول </w:t>
      </w:r>
      <w:r>
        <w:rPr>
          <w:rStyle w:val="FootnoteAnchor"/>
          <w:rtl w:val="true"/>
        </w:rPr>
        <w:footnoteReference w:id="1927"/>
      </w:r>
      <w:r>
        <w:rPr>
          <w:rFonts w:ascii="Amiri" w:hAnsi="Amiri" w:eastAsia="Amiri" w:cs="Amiri"/>
          <w:color w:val="111111"/>
          <w:sz w:val="28"/>
          <w:sz w:val="28"/>
          <w:szCs w:val="28"/>
          <w:rtl w:val="true"/>
          <w:lang w:bidi="ar-SA"/>
        </w:rPr>
        <w:t>الأوامر المتعلّقة بالمستحبات له، و لا يضرّ عدم العموم في بعض الأوامر،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رفع القلم فلا يصلح مخصّصا، لاحتمال إرادة رفع التكليف أو رفع المؤاخذة، و لا تصير المطلقات و العمومات بذلك </w:t>
      </w:r>
      <w:r>
        <w:rPr>
          <w:rStyle w:val="FootnoteAnchor"/>
          <w:rtl w:val="true"/>
        </w:rPr>
        <w:footnoteReference w:id="1928"/>
      </w:r>
      <w:r>
        <w:rPr>
          <w:rFonts w:ascii="Amiri" w:hAnsi="Amiri" w:eastAsia="Amiri" w:cs="Amiri"/>
          <w:color w:val="111111"/>
          <w:sz w:val="28"/>
          <w:sz w:val="28"/>
          <w:szCs w:val="28"/>
          <w:rtl w:val="true"/>
          <w:lang w:bidi="ar-SA"/>
        </w:rPr>
        <w:t>من قبيل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بالمجمل، لوجوب الأخذ بما تيقّن إخراجه، و الرجوع في غيره إلى أصالة العموم فيما كان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قلنا بالإجمال فإنّما هو في العام الواحد الّذي ورد دليل على تخصيص بعض أفراده المردّد </w:t>
      </w:r>
      <w:r>
        <w:rPr>
          <w:rStyle w:val="FootnoteAnchor"/>
          <w:rtl w:val="true"/>
        </w:rPr>
        <w:footnoteReference w:id="1929"/>
      </w:r>
      <w:r>
        <w:rPr>
          <w:rFonts w:ascii="Amiri" w:hAnsi="Amiri" w:eastAsia="Amiri" w:cs="Amiri"/>
          <w:color w:val="111111"/>
          <w:sz w:val="28"/>
          <w:sz w:val="28"/>
          <w:szCs w:val="28"/>
          <w:rtl w:val="true"/>
          <w:lang w:bidi="ar-SA"/>
        </w:rPr>
        <w:t>بين الأقلّ و الأكثر، لا في العمومات المتعدّدة الّتي ورد دليل على تخصيص بعضها المتردّد بين الكلّ و البعض كما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حديث رفع القلم </w:t>
      </w:r>
      <w:r>
        <w:rPr>
          <w:rStyle w:val="FootnoteAnchor"/>
          <w:rtl w:val="true"/>
        </w:rPr>
        <w:footnoteReference w:id="1930"/>
      </w:r>
      <w:r>
        <w:rPr>
          <w:rFonts w:ascii="Amiri" w:hAnsi="Amiri" w:eastAsia="Amiri" w:cs="Amiri"/>
          <w:color w:val="111111"/>
          <w:sz w:val="28"/>
          <w:sz w:val="28"/>
          <w:szCs w:val="28"/>
          <w:rtl w:val="true"/>
          <w:lang w:bidi="ar-SA"/>
        </w:rPr>
        <w:t>مخصّص للعمومات الدالّة على وجوب الأفعال أو تحريمها قطعا، و الشكّ في تطرّق التخصيص بسببه في غيرها، فيبقى على عمومه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ذلك بأنّ الأمر بالأمر أمر، فإذا وجدت القرينة على نفي الوجوب </w:t>
      </w:r>
      <w:r>
        <w:rPr>
          <w:rStyle w:val="FootnoteAnchor"/>
          <w:rtl w:val="true"/>
        </w:rPr>
        <w:footnoteReference w:id="1931"/>
      </w:r>
      <w:r>
        <w:rPr>
          <w:rFonts w:ascii="IRNazanin" w:hAnsi="IRNazanin" w:eastAsia="IRNazanin"/>
          <w:color w:val="111111"/>
          <w:sz w:val="28"/>
          <w:sz w:val="28"/>
          <w:szCs w:val="28"/>
          <w:rtl w:val="true"/>
          <w:lang w:bidi="fa-IR"/>
        </w:rPr>
        <w:t>حمل على الاستحباب، و بلزوم الظلم على اللّٰه تعالى لو خلّى عمله عن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بالأمر </w:t>
      </w:r>
      <w:r>
        <w:rPr>
          <w:rStyle w:val="FootnoteAnchor"/>
          <w:rtl w:val="true"/>
        </w:rPr>
        <w:footnoteReference w:id="1932"/>
      </w:r>
      <w:r>
        <w:rPr>
          <w:rFonts w:ascii="Amiri" w:hAnsi="Amiri" w:eastAsia="Amiri" w:cs="Amiri"/>
          <w:color w:val="111111"/>
          <w:sz w:val="28"/>
          <w:sz w:val="28"/>
          <w:szCs w:val="28"/>
          <w:rtl w:val="true"/>
          <w:lang w:bidi="ar-SA"/>
        </w:rPr>
        <w:t>إنّما يدلّ على أنّ الآمر مريد لوقوع الفعل عن المأمور الثالث لا على طلبه منه و خطابه به الذي هو معنى الاستحباب، و لذا لو أمر أحد صاحب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الكلب بأخذ الصيد،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الصيد مستحب للكلب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الثواب عبارة عمّا يترتّب على الإطاعة فهو فرعها، و هي فرع تحقّق الأمر، و 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من الثواب المصلحة المترتّبة على نفس الفعل مع قطع النظر عن تعلّق </w:t>
      </w:r>
      <w:r>
        <w:rPr>
          <w:rStyle w:val="FootnoteAnchor"/>
          <w:rtl w:val="true"/>
        </w:rPr>
        <w:footnoteReference w:id="1935"/>
      </w:r>
      <w:r>
        <w:rPr>
          <w:rFonts w:ascii="Amiri" w:hAnsi="Amiri" w:eastAsia="Amiri" w:cs="Amiri"/>
          <w:color w:val="111111"/>
          <w:sz w:val="28"/>
          <w:sz w:val="28"/>
          <w:szCs w:val="28"/>
          <w:rtl w:val="true"/>
          <w:lang w:bidi="ar-SA"/>
        </w:rPr>
        <w:t>الأمر به فلا نضايق من ترتّبه على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فعله الصبي، فضلا عن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قوّة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لعلّها مختصّة بالفعل الصادر عن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ما ينفع الصغير دون الكبير و يضرّه، و منها ما هو بالعكس، و منها ما يختص بالإنسان نفعا أو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احتمال اختصاص المصلحة بصورة وقوع الفعل في مقام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حتّى </w:t>
      </w:r>
      <w:r>
        <w:rPr>
          <w:rStyle w:val="FootnoteAnchor"/>
          <w:rtl w:val="true"/>
        </w:rPr>
        <w:footnoteReference w:id="1936"/>
      </w:r>
      <w:r>
        <w:rPr>
          <w:rFonts w:ascii="IRNazanin" w:hAnsi="IRNazanin" w:eastAsia="IRNazanin"/>
          <w:color w:val="111111"/>
          <w:sz w:val="28"/>
          <w:sz w:val="28"/>
          <w:szCs w:val="28"/>
          <w:rtl w:val="true"/>
          <w:lang w:bidi="fa-IR"/>
        </w:rPr>
        <w:t xml:space="preserve">لا تخلط </w:t>
      </w:r>
      <w:r>
        <w:rPr>
          <w:rStyle w:val="FootnoteAnchor"/>
          <w:rtl w:val="true"/>
        </w:rPr>
        <w:footnoteReference w:id="1937"/>
      </w:r>
      <w:r>
        <w:rPr>
          <w:rFonts w:ascii="Amiri" w:hAnsi="Amiri" w:eastAsia="Amiri" w:cs="Amiri"/>
          <w:color w:val="111111"/>
          <w:sz w:val="28"/>
          <w:sz w:val="28"/>
          <w:szCs w:val="28"/>
          <w:rtl w:val="true"/>
          <w:lang w:bidi="ar-SA"/>
        </w:rPr>
        <w:t>بين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المستحبّات، و يلحق بها المكروهات على الظاهر، للاشتراك في الدليل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الواجبات و المحرّمات فالحقّ أنّ فعلها كما لا تجب و لا تحرم على</w:t>
      </w:r>
    </w:p>
    <w:p>
      <w:pPr>
        <w:pStyle w:val="BookText"/>
        <w:rPr/>
      </w:pPr>
      <w:r>
        <w:rPr>
          <w:rFonts w:ascii="Amiri" w:hAnsi="Amiri" w:eastAsia="Amiri" w:cs="Amiri"/>
          <w:color w:val="111111"/>
          <w:sz w:val="28"/>
          <w:sz w:val="28"/>
          <w:szCs w:val="28"/>
          <w:rtl w:val="true"/>
          <w:lang w:bidi="ar-SA"/>
        </w:rPr>
        <w:t xml:space="preserve">الصبيّ كذلك لا تستحب و لا تكره، لعدم الدليل، فإنّ ما دلّ على الوجوب و التحريم مختصّ بالبالغين إجماعا، و لحديث رفع القلم </w:t>
      </w:r>
      <w:r>
        <w:rPr>
          <w:rStyle w:val="FootnoteAnchor"/>
          <w:rtl w:val="true"/>
        </w:rPr>
        <w:footnoteReference w:id="1938"/>
      </w:r>
      <w:r>
        <w:rPr>
          <w:rFonts w:ascii="Amiri" w:hAnsi="Amiri" w:eastAsia="Amiri" w:cs="Amiri"/>
          <w:color w:val="111111"/>
          <w:sz w:val="28"/>
          <w:sz w:val="28"/>
          <w:szCs w:val="28"/>
          <w:rtl w:val="true"/>
          <w:lang w:bidi="ar-SA"/>
        </w:rPr>
        <w:t xml:space="preserve">فيخرج الصبيّ عن عمومه، فثبوت استحباب ذلك الفعل بالنسبة إليه يحتاج </w:t>
      </w:r>
      <w:r>
        <w:rPr>
          <w:rStyle w:val="FootnoteAnchor"/>
          <w:rtl w:val="true"/>
        </w:rPr>
        <w:footnoteReference w:id="1939"/>
      </w:r>
      <w:r>
        <w:rPr>
          <w:rFonts w:ascii="Amiri" w:hAnsi="Amiri" w:eastAsia="Amiri" w:cs="Amiri"/>
          <w:color w:val="111111"/>
          <w:sz w:val="28"/>
          <w:sz w:val="28"/>
          <w:szCs w:val="28"/>
          <w:rtl w:val="true"/>
          <w:lang w:bidi="ar-SA"/>
        </w:rPr>
        <w:t>إلى دليل آخر، فإتيان الصبيّ بالواجب لا يتّصف بالاستحباب كما لا يتصف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فيما أمر الولي </w:t>
      </w:r>
      <w:r>
        <w:rPr>
          <w:rStyle w:val="FootnoteAnchor"/>
          <w:rtl w:val="true"/>
        </w:rPr>
        <w:footnoteReference w:id="1940"/>
      </w:r>
      <w:r>
        <w:rPr>
          <w:rFonts w:ascii="IRNazanin" w:hAnsi="IRNazanin" w:eastAsia="IRNazanin"/>
          <w:color w:val="111111"/>
          <w:sz w:val="28"/>
          <w:sz w:val="28"/>
          <w:szCs w:val="28"/>
          <w:rtl w:val="true"/>
          <w:lang w:bidi="fa-IR"/>
        </w:rPr>
        <w:t>بأمره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المراد بالاستحباب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مجرّد إرادة وقوع الفعل في الخارج من الشخص و إن لم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بالأمر ليس طلب للمأمور عن الثالث و خطابا له به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يفهم منه عرفا إرادته لإيقاعه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المستحبّ من الصبيّ، مستحب أيضا، و أمّا الصوم الواجب كصوم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w:t>
      </w:r>
      <w:r>
        <w:rPr>
          <w:rStyle w:val="FootnoteAnchor"/>
          <w:rtl w:val="true"/>
        </w:rPr>
        <w:footnoteReference w:id="1942"/>
      </w:r>
      <w:r>
        <w:rPr>
          <w:rFonts w:ascii="Amiri" w:hAnsi="Amiri" w:eastAsia="Amiri" w:cs="Amiri"/>
          <w:color w:val="111111"/>
          <w:sz w:val="28"/>
          <w:sz w:val="28"/>
          <w:szCs w:val="28"/>
          <w:rtl w:val="true"/>
          <w:lang w:bidi="ar-SA"/>
        </w:rPr>
        <w:t>للأمر، فلا أمر إلّا الأمر بالأمر، و قد عرفت أنّه ليس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عمومات محبوبيّة الصوم كقوله تعالى </w:t>
      </w:r>
      <w:r>
        <w:rPr>
          <w:rStyle w:val="FootnoteAnchor"/>
          <w:rtl w:val="true"/>
        </w:rPr>
        <w:footnoteReference w:id="1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أجزي عليه</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 xml:space="preserve">و نحوه، يستفاد منه الطلب و مطلق الرجحان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كونه محبوبا عند الشارع و مجزيّا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Style w:val="FootnoteAnchor"/>
          <w:rtl w:val="true"/>
        </w:rPr>
        <w:footnoteReference w:id="1946"/>
      </w:r>
      <w:r>
        <w:rPr>
          <w:rFonts w:ascii="Amiri" w:hAnsi="Amiri" w:eastAsia="Amiri" w:cs="Amiri"/>
          <w:color w:val="111111"/>
          <w:sz w:val="28"/>
          <w:sz w:val="28"/>
          <w:szCs w:val="28"/>
          <w:rtl w:val="true"/>
          <w:lang w:bidi="ar-SA"/>
        </w:rPr>
        <w:t>هو الشرعيّة،</w:t>
      </w:r>
    </w:p>
    <w:p>
      <w:pPr>
        <w:pStyle w:val="BookText"/>
        <w:rPr/>
      </w:pPr>
      <w:r>
        <w:rPr>
          <w:rFonts w:ascii="Amiri" w:hAnsi="Amiri" w:eastAsia="Amiri" w:cs="Amiri"/>
          <w:color w:val="111111"/>
          <w:sz w:val="28"/>
          <w:sz w:val="28"/>
          <w:szCs w:val="28"/>
          <w:rtl w:val="true"/>
          <w:lang w:bidi="ar-SA"/>
        </w:rPr>
        <w:t>للعمومات المذكورة و إن لم يستفد منها الطلب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على عدم الشرعيّة </w:t>
      </w:r>
      <w:r>
        <w:rPr>
          <w:rStyle w:val="FootnoteAnchor"/>
          <w:rtl w:val="true"/>
        </w:rPr>
        <w:footnoteReference w:id="1947"/>
      </w:r>
      <w:r>
        <w:rPr>
          <w:rFonts w:ascii="Amiri" w:hAnsi="Amiri" w:eastAsia="Amiri" w:cs="Amiri"/>
          <w:color w:val="111111"/>
          <w:sz w:val="28"/>
          <w:sz w:val="28"/>
          <w:szCs w:val="28"/>
          <w:rtl w:val="true"/>
          <w:lang w:bidi="ar-SA"/>
        </w:rPr>
        <w:t xml:space="preserve">برواية الزهري </w:t>
      </w:r>
      <w:r>
        <w:rPr>
          <w:rStyle w:val="FootnoteAnchor"/>
          <w:rtl w:val="true"/>
        </w:rPr>
        <w:footnoteReference w:id="1948"/>
      </w:r>
      <w:r>
        <w:rPr>
          <w:rFonts w:ascii="Amiri" w:hAnsi="Amiri" w:eastAsia="Amiri" w:cs="Amiri"/>
          <w:color w:val="111111"/>
          <w:sz w:val="28"/>
          <w:sz w:val="28"/>
          <w:szCs w:val="28"/>
          <w:rtl w:val="true"/>
          <w:lang w:bidi="ar-SA"/>
        </w:rPr>
        <w:t xml:space="preserve">فهو فاسد، لأنّ كون صومه للتأديب </w:t>
      </w:r>
      <w:r>
        <w:rPr>
          <w:rStyle w:val="FootnoteAnchor"/>
          <w:rtl w:val="true"/>
        </w:rPr>
        <w:footnoteReference w:id="1949"/>
      </w:r>
      <w:r>
        <w:rPr>
          <w:rFonts w:ascii="Amiri" w:hAnsi="Amiri" w:eastAsia="Amiri" w:cs="Amiri"/>
          <w:color w:val="111111"/>
          <w:sz w:val="28"/>
          <w:sz w:val="28"/>
          <w:szCs w:val="28"/>
          <w:rtl w:val="true"/>
          <w:lang w:bidi="ar-SA"/>
        </w:rPr>
        <w:t xml:space="preserve">لا ينافي ترتّب الأجر على الإمساك، بل </w:t>
      </w:r>
      <w:r>
        <w:rPr>
          <w:rStyle w:val="FootnoteAnchor"/>
          <w:rtl w:val="true"/>
        </w:rPr>
        <w:footnoteReference w:id="1950"/>
      </w:r>
      <w:r>
        <w:rPr>
          <w:rFonts w:ascii="Amiri" w:hAnsi="Amiri" w:eastAsia="Amiri" w:cs="Amiri"/>
          <w:color w:val="111111"/>
          <w:sz w:val="28"/>
          <w:sz w:val="28"/>
          <w:szCs w:val="28"/>
          <w:rtl w:val="true"/>
          <w:lang w:bidi="ar-SA"/>
        </w:rPr>
        <w:t>و إن لم يسمّ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نظرائه من المسافر و الحائض و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مقابلا للمندوب، لأنّه ليس مطلوبا في نفسه بل لأجل التعوّد أو التشبّه بالصائمين</w:t>
      </w:r>
      <w:r>
        <w:rPr>
          <w:rFonts w:eastAsia="Amiri" w:cs="Amiri" w:ascii="Amiri" w:hAnsi="Amiri"/>
          <w:color w:val="111111"/>
          <w:sz w:val="28"/>
          <w:szCs w:val="28"/>
          <w:rtl w:val="true"/>
          <w:lang w:bidi="ar-SA"/>
        </w:rPr>
        <w:t>.</w:t>
      </w:r>
      <w:bookmarkStart w:id="236" w:name="pg19900_214789"/>
    </w:p>
    <w:p>
      <w:pPr>
        <w:pStyle w:val="Heading3"/>
        <w:numPr>
          <w:ilvl w:val="2"/>
          <w:numId w:val="1"/>
        </w:numPr>
        <w:rPr/>
      </w:pPr>
      <w:bookmarkStart w:id="237" w:name="__RefHeading___Toc2061776_2314609296"/>
      <w:bookmarkStart w:id="238" w:name="_Toc87"/>
      <w:bookmarkEnd w:id="236"/>
      <w:bookmarkEnd w:id="237"/>
      <w:r>
        <w:rPr>
          <w:rtl w:val="true"/>
        </w:rPr>
        <w:t>[</w:t>
      </w:r>
      <w:r>
        <w:rPr>
          <w:rtl w:val="true"/>
        </w:rPr>
        <w:t xml:space="preserve">مسألة </w:t>
      </w:r>
      <w:r>
        <w:rPr/>
        <w:t>23</w:t>
      </w:r>
      <w:r>
        <w:rPr>
          <w:rtl w:val="true"/>
        </w:rPr>
        <w:t xml:space="preserve"> </w:t>
      </w:r>
      <w:r>
        <w:rPr>
          <w:rtl w:val="true"/>
        </w:rPr>
        <w:t>صحّة صوم النائم إذا سبقت منه النيّة و إن استمرّ نومه في مجموع النهار</w:t>
      </w:r>
      <w:r>
        <w:rPr>
          <w:rtl w:val="true"/>
        </w:rPr>
        <w:t>]</w:t>
      </w:r>
      <w:bookmarkEnd w:id="2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غير واحد الاتّفاق على صحّة صوم النائم إذا سبقت منه النيّة و إن استمرّ نومه في مجموع النهار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عليه </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الدالّة على رجحان النوم للصائم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المغمى عليه فقد ذهب الأكثر إلى عدم صحّة صومه و إن عرض الإغماء لحظة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عليه </w:t>
      </w:r>
      <w:r>
        <w:rPr>
          <w:rStyle w:val="FootnoteAnchor"/>
          <w:rtl w:val="true"/>
        </w:rPr>
        <w:footnoteReference w:id="1954"/>
      </w:r>
      <w:r>
        <w:rPr>
          <w:rFonts w:ascii="Amiri" w:hAnsi="Amiri" w:eastAsia="Amiri" w:cs="Amiri"/>
          <w:color w:val="111111"/>
          <w:sz w:val="28"/>
          <w:sz w:val="28"/>
          <w:szCs w:val="28"/>
          <w:rtl w:val="true"/>
          <w:lang w:bidi="ar-SA"/>
        </w:rPr>
        <w:t>تارة بأنّ التكليف فرع العقل، و هو مفقود في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تارة بسقوط القضاء عنه للأخبار </w:t>
      </w:r>
      <w:r>
        <w:rPr>
          <w:rStyle w:val="FootnoteAnchor"/>
          <w:rtl w:val="true"/>
        </w:rPr>
        <w:footnoteReference w:id="1955"/>
      </w:r>
      <w:r>
        <w:rPr>
          <w:rFonts w:ascii="Amiri" w:hAnsi="Amiri" w:eastAsia="Amiri" w:cs="Amiri"/>
          <w:color w:val="111111"/>
          <w:sz w:val="28"/>
          <w:sz w:val="28"/>
          <w:szCs w:val="28"/>
          <w:rtl w:val="true"/>
          <w:lang w:bidi="ar-SA"/>
        </w:rPr>
        <w:t>الدالّة عليه، فيسقط الأداء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برواية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فليس على صاحبه فيه شي‌ء</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التكليف بالعقل مسلّم </w:t>
      </w:r>
      <w:r>
        <w:rPr>
          <w:rStyle w:val="FootnoteAnchor"/>
          <w:rtl w:val="true"/>
        </w:rPr>
        <w:footnoteReference w:id="1957"/>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كلّف الشارع بفعل له استمرار و امتداد فلا دليل على اشتراط اتصاف المكلّف بأهليّة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بخصوص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آنات هذا الفعل المستمرّ الممتدّ، لا من العقل و لا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إذا لا ريب في أنّه إذا أمر المولى عبده بالكون في المسجد طول النهار، أو بالإمساك عن الغذاء الفلاني في مدّة أو غير ذلك، و اشتغل المكلّف بالامتثال، فعرض له في الأثناء حالة لا يحسن فيها تكليفه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بخصوص هذا الذي كلّف به، من نسيان أو إغماء أو نوم أو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ارتفعت، فإنّه يعدّ ممتثلا مطيعا في عرف العقلاء، و لم يدلّ </w:t>
      </w:r>
      <w:r>
        <w:rPr>
          <w:rStyle w:val="FootnoteAnchor"/>
          <w:rtl w:val="true"/>
        </w:rPr>
        <w:footnoteReference w:id="1958"/>
      </w:r>
      <w:r>
        <w:rPr>
          <w:rFonts w:ascii="Amiri" w:hAnsi="Amiri" w:eastAsia="Amiri" w:cs="Amiri"/>
          <w:color w:val="111111"/>
          <w:sz w:val="28"/>
          <w:sz w:val="28"/>
          <w:szCs w:val="28"/>
          <w:rtl w:val="true"/>
          <w:lang w:bidi="ar-SA"/>
        </w:rPr>
        <w:t>دليل على أنّه يعتبر في الصوم الّذي هو أحد التكاليف أمر زائد على الإمساك عن المفطرات مع صدق الإطاعة و الامتثال على هذا الإمساك و كون الممسك مطيعا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عدم الاعتناء بحصول السهو و الغفلة و النوم في أثناء النهار، مع كون كلّ منها من موانع التكليف، لأنّه مشروط بالشعور كما أنّه مشروط بالعقل، بل لا اعتناء بفعل المفطر في هذه الحالات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قدح عروض أحد هذه في الصوم و لو اتّفق لحظة، و أنّ الشخص إذا غفل لحظة من لحظات النهار عن كونه مكلّفا بالإمساك</w:t>
      </w:r>
    </w:p>
    <w:p>
      <w:pPr>
        <w:pStyle w:val="BookText"/>
        <w:rPr/>
      </w:pPr>
      <w:r>
        <w:rPr>
          <w:rFonts w:ascii="Amiri" w:hAnsi="Amiri" w:eastAsia="Amiri" w:cs="Amiri"/>
          <w:color w:val="111111"/>
          <w:sz w:val="28"/>
          <w:sz w:val="28"/>
          <w:szCs w:val="28"/>
          <w:rtl w:val="true"/>
          <w:lang w:bidi="ar-SA"/>
        </w:rPr>
        <w:t xml:space="preserve">عن الأمور المخصوصة </w:t>
      </w:r>
      <w:r>
        <w:rPr>
          <w:rStyle w:val="FootnoteAnchor"/>
          <w:rtl w:val="true"/>
        </w:rPr>
        <w:footnoteReference w:id="1959"/>
      </w:r>
      <w:r>
        <w:rPr>
          <w:rFonts w:ascii="Amiri" w:hAnsi="Amiri" w:eastAsia="Amiri" w:cs="Amiri"/>
          <w:color w:val="111111"/>
          <w:sz w:val="28"/>
          <w:sz w:val="28"/>
          <w:szCs w:val="28"/>
          <w:rtl w:val="true"/>
          <w:lang w:bidi="ar-SA"/>
        </w:rPr>
        <w:t>و عن نفس تلك الأمور فالأصل يقتضي أن يكون صومه غير صحيح إلّا أنّ الإجماع انعقد على الصحّة، لا يخفى تعسّفها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السرّ ما ذكرنا من عدم قدح عروض أمثالها في صدق الإطاعة و الامتثال الّذي لا دليل على اشتراط أزيد منه في جميع التكاليف، و منها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الإجماع المدّعى، إن كان على عدم قدح عروض أحد هذه في التكليف </w:t>
      </w:r>
      <w:r>
        <w:rPr>
          <w:rStyle w:val="FootnoteAnchor"/>
          <w:rtl w:val="true"/>
        </w:rPr>
        <w:footnoteReference w:id="1960"/>
      </w:r>
      <w:r>
        <w:rPr>
          <w:rFonts w:ascii="Amiri" w:hAnsi="Amiri" w:eastAsia="Amiri" w:cs="Amiri"/>
          <w:color w:val="111111"/>
          <w:sz w:val="28"/>
          <w:sz w:val="28"/>
          <w:szCs w:val="28"/>
          <w:rtl w:val="true"/>
          <w:lang w:bidi="ar-SA"/>
        </w:rPr>
        <w:t>بالإمساك المذكور في كلّ جزء جزء من أجزاء النهار حتّى في الجزء الّذي عرض العارض، فهو فاسد، إذ العقل حاكم بقبح التكليف بالإمساك في هذا الجزء لأنّه غافل، و لهذا لا يعاقب لو لم يمسك فيه و الدليل العقلي غير قابل للتخصيص و لا يرتفع مقتضاه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سلّم انّه ليس مكلّفا في جميع الأجزاء حتّى هذا الجزء، إلّا أنّ الإجماع انعقد على كفاية الإمساك، مع أهليّة التكليف به في بعض أجزاء النهار، بل على كفاية مجرّد سبق النيّة، و إن لم يلتفت </w:t>
      </w:r>
      <w:r>
        <w:rPr>
          <w:rStyle w:val="FootnoteAnchor"/>
          <w:rtl w:val="true"/>
        </w:rPr>
        <w:footnoteReference w:id="1961"/>
      </w:r>
      <w:r>
        <w:rPr>
          <w:rFonts w:ascii="Amiri" w:hAnsi="Amiri" w:eastAsia="Amiri" w:cs="Amiri"/>
          <w:color w:val="111111"/>
          <w:sz w:val="28"/>
          <w:sz w:val="28"/>
          <w:szCs w:val="28"/>
          <w:rtl w:val="true"/>
          <w:lang w:bidi="ar-SA"/>
        </w:rPr>
        <w:t xml:space="preserve">إلى الصوم في شي‌ء من أجزاء النهار، فهذا يستلزم </w:t>
      </w:r>
      <w:r>
        <w:rPr>
          <w:rStyle w:val="FootnoteAnchor"/>
          <w:rtl w:val="true"/>
        </w:rPr>
        <w:footnoteReference w:id="1962"/>
      </w:r>
      <w:r>
        <w:rPr>
          <w:rFonts w:ascii="Amiri" w:hAnsi="Amiri" w:eastAsia="Amiri" w:cs="Amiri"/>
          <w:color w:val="111111"/>
          <w:sz w:val="28"/>
          <w:sz w:val="28"/>
          <w:szCs w:val="28"/>
          <w:rtl w:val="true"/>
          <w:lang w:bidi="ar-SA"/>
        </w:rPr>
        <w:t>أن لا يمتثل أحد لأمر اللّٰه سبحانه بالصوم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الإمساك في مجموع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الأنبياء و 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قلّما يتّفق لأحد الالتفات في كلّ جزء جزء الى التكليف </w:t>
      </w:r>
      <w:r>
        <w:rPr>
          <w:rStyle w:val="FootnoteAnchor"/>
          <w:rtl w:val="true"/>
        </w:rPr>
        <w:footnoteReference w:id="1963"/>
      </w:r>
      <w:r>
        <w:rPr>
          <w:rFonts w:ascii="Amiri" w:hAnsi="Amiri" w:eastAsia="Amiri" w:cs="Amiri"/>
          <w:color w:val="111111"/>
          <w:sz w:val="28"/>
          <w:sz w:val="28"/>
          <w:szCs w:val="28"/>
          <w:rtl w:val="true"/>
          <w:lang w:bidi="ar-SA"/>
        </w:rPr>
        <w:t>و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بشاعة التزامه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فانكشف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هذا المقام أزيد من كون المكلّف حال التلبس بالمكلّف به بحيث لو التفت إلى التكليف يكون قاصدا لإتيانه</w:t>
      </w:r>
    </w:p>
    <w:p>
      <w:pPr>
        <w:pStyle w:val="BookText"/>
        <w:rPr/>
      </w:pPr>
      <w:r>
        <w:rPr>
          <w:rFonts w:ascii="Amiri" w:hAnsi="Amiri" w:eastAsia="Amiri" w:cs="Amiri"/>
          <w:color w:val="111111"/>
          <w:sz w:val="28"/>
          <w:sz w:val="28"/>
          <w:szCs w:val="28"/>
          <w:rtl w:val="true"/>
          <w:lang w:bidi="ar-SA"/>
        </w:rPr>
        <w:t xml:space="preserve">مطيعا، بل اعتبار هذا القدر </w:t>
      </w:r>
      <w:r>
        <w:rPr>
          <w:rStyle w:val="FootnoteAnchor"/>
          <w:rtl w:val="true"/>
        </w:rPr>
        <w:footnoteReference w:id="1964"/>
      </w:r>
      <w:r>
        <w:rPr>
          <w:rFonts w:ascii="Amiri" w:hAnsi="Amiri" w:eastAsia="Amiri" w:cs="Amiri"/>
          <w:color w:val="111111"/>
          <w:sz w:val="28"/>
          <w:sz w:val="28"/>
          <w:szCs w:val="28"/>
          <w:rtl w:val="true"/>
          <w:lang w:bidi="ar-SA"/>
        </w:rPr>
        <w:t>محلّ كلام، لحكم كثير منهم بعدم قدح نيّة الإفطار إذا لم يفطر و جدّد النّية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ممّا ذكرنا يظهر الجواب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بالأمر المركّب يستدعي كون كلّ جزء منه مقدورا، فما لم يقدر على بعض أجزائه لم يحسن التكليف بهذا المركب، لأنّ مقتضى عدم القدرة على هذا البعض عدم كون تركه الموجب لترك المركّب سببا للعقاب، و مقتضى التكليف بالمركّب استحقاق العقاب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عرض الإغماء في الأثناء زال قدرته على الإمساك في هذا الجزء، فلا يحسن تكليفه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الإمساك في مجموع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علم اللّٰه سبحانه بأنّه يغمى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في أثناء النهار، فليس مكلّفا بالصوم في متن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قبح الأمر مع علم الآمر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وجب عليه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المفطرات، إلّا أنّ عروضه كاشف عن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الجواب </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يبقى معه شكّ و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1967"/>
      </w:r>
      <w:r>
        <w:rPr>
          <w:rFonts w:ascii="Amiri" w:hAnsi="Amiri" w:eastAsia="Amiri" w:cs="Amiri"/>
          <w:color w:val="111111"/>
          <w:sz w:val="28"/>
          <w:sz w:val="28"/>
          <w:szCs w:val="28"/>
          <w:rtl w:val="true"/>
          <w:lang w:bidi="ar-SA"/>
        </w:rPr>
        <w:t>خطاب عامّ،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عليكم أيّها البالغون العاقلون الملتفتون إلى توجّه الخطاب أن تمسكوا عن الأمور المخصوصة طول اليوم، فإذا عرضنا هذا التكليف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الحاكم بوجوب إطاعة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حاكما بأنّه يجب عليكم أن لا ترتكبوا عمدا شيئا ممّا وجب إمساكه عليكم فإذا فعلتم ذلك فقد أطعتم اللّٰه و امتثلتم</w:t>
      </w:r>
    </w:p>
    <w:p>
      <w:pPr>
        <w:pStyle w:val="BookText"/>
        <w:rPr/>
      </w:pPr>
      <w:r>
        <w:rPr>
          <w:rFonts w:ascii="Amiri" w:hAnsi="Amiri" w:eastAsia="Amiri" w:cs="Amiri"/>
          <w:color w:val="111111"/>
          <w:sz w:val="28"/>
          <w:sz w:val="28"/>
          <w:szCs w:val="28"/>
          <w:rtl w:val="true"/>
          <w:lang w:bidi="ar-SA"/>
        </w:rPr>
        <w:t>أوامره، و لا يقدح في ذلك ارتكاب شي‌ء منها في حال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مجرّد عروض الحالة مع عدم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الشرع فليس فيه ما يدلّ على أنّه يقدح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للمكلّف في حال تلبسه به حالة يمتنع فيها تكليفه بشي‌ء مطلقا، أو بذلك الشي‌ء، حتّى يجعل ذلك أصلا و قاعدة و يحكم بلزوم مراعاتها إلّا فيما دلّ الدليل على الخلاف، مثل صورة عروض النوم و السهو في الأثناء، بل وقوع المفطر فيهما فيحكم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الدليل، فتأمّل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استلزام سقوط القضاء لعدم وجوب الأداء، إذ ليس الملازمة بيّنة و لا جليّة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الرواية سقوط التكليف عن المعذور من قبل اللّٰه سبحانه، و نحن نقول بموجبه و أنّ المغمى عليه في حال الإغماء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عروض مثل هذه الحالة في أثناء تلبّس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بالمكلّف</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به، لا يوجب رفع التكليف بالمركّب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هذه الرواية </w:t>
      </w:r>
      <w:r>
        <w:rPr>
          <w:rStyle w:val="FootnoteAnchor"/>
          <w:rtl w:val="true"/>
        </w:rPr>
        <w:footnoteReference w:id="1970"/>
      </w:r>
      <w:r>
        <w:rPr>
          <w:rFonts w:ascii="Amiri" w:hAnsi="Amiri" w:eastAsia="Amiri" w:cs="Amiri"/>
          <w:color w:val="111111"/>
          <w:sz w:val="28"/>
          <w:sz w:val="28"/>
          <w:szCs w:val="28"/>
          <w:rtl w:val="true"/>
          <w:lang w:bidi="ar-SA"/>
        </w:rPr>
        <w:t>ليس شيئا زائدا على ما يحكم به العقل من سقوط التكليف حال الإغماء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الإغماء ليس إلّا مثل السهو و النوم لا يقدح عروضه في صدق الإطاعة و الامتثال، و لا تدلّ الرواية على أنّه إذا وقع العذر في لحظة فيسقط</w:t>
      </w:r>
    </w:p>
    <w:p>
      <w:pPr>
        <w:pStyle w:val="BookText"/>
        <w:rPr/>
      </w:pPr>
      <w:r>
        <w:rPr>
          <w:rFonts w:ascii="Amiri" w:hAnsi="Amiri" w:eastAsia="Amiri" w:cs="Amiri"/>
          <w:color w:val="111111"/>
          <w:sz w:val="28"/>
          <w:sz w:val="28"/>
          <w:szCs w:val="28"/>
          <w:rtl w:val="true"/>
          <w:lang w:bidi="ar-SA"/>
        </w:rPr>
        <w:t>التكليف طول اليوم، و لا يجب الصوم و الإمساك في مجموع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استيعاب الإغماء لمجموع النهار فلا يصدق عرفا إطاعة أمر الشارع بالصوم، فإذا ثبت اشتراط الصوم بعدم استيعاب الإغماء لمجموع النهار، ثبت اشتراطه بعدم العروض في لحظة منه، بناء على ما ادّعاه العلّامة </w:t>
      </w:r>
      <w:r>
        <w:rPr>
          <w:rStyle w:val="FootnoteAnchor"/>
          <w:rtl w:val="true"/>
        </w:rPr>
        <w:footnoteReference w:id="1971"/>
      </w:r>
      <w:r>
        <w:rPr>
          <w:rFonts w:ascii="Amiri" w:hAnsi="Amiri" w:eastAsia="Amiri" w:cs="Amiri"/>
          <w:color w:val="111111"/>
          <w:sz w:val="28"/>
          <w:sz w:val="28"/>
          <w:szCs w:val="28"/>
          <w:rtl w:val="true"/>
          <w:lang w:bidi="ar-SA"/>
        </w:rPr>
        <w:t>من أنّه كلّ ما أفسد الصوم إذا وجد في جميع النهار، أفسده إذا وجد في بعضه كالحيض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إطاعة أوامر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ما إذا استوعب النوم لمجموع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انعقد الإجماع على صحّة الصوم مع استيعاب النوم إذا سبقت منه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الإجماع على وجوب الصوم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يعاقب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لأنّه قبيح عقلا فلا يحسّنه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أنّه مثاب على نفس الصوم،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أنّه مثاب على مجرّد القصد و النيّة، فنقول بمثله في الإغماء المستوعب إذا سبقت منه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عدم وجوب قضائه،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 النوم و الإغماء، بأنّ العقل مع الأوّل باق بخلاف الثاني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لا يخفى، إذ لا ريب أنّ العقل لا يفرّق بين حالتي النوم و الإغماء في قبح التكليف فيهما، فلا ينفع الفرق من </w:t>
      </w:r>
      <w:r>
        <w:rPr>
          <w:rStyle w:val="FootnoteAnchor"/>
          <w:rtl w:val="true"/>
        </w:rPr>
        <w:footnoteReference w:id="1972"/>
      </w:r>
      <w:r>
        <w:rPr>
          <w:rFonts w:ascii="Amiri" w:hAnsi="Amiri" w:eastAsia="Amiri" w:cs="Amiri"/>
          <w:color w:val="111111"/>
          <w:sz w:val="28"/>
          <w:sz w:val="28"/>
          <w:szCs w:val="28"/>
          <w:rtl w:val="true"/>
          <w:lang w:bidi="ar-SA"/>
        </w:rPr>
        <w:t xml:space="preserve">جهة أخرى لو سلّم وجوده، فعلى هذا فالقول المحكيّ عن المفيد </w:t>
      </w:r>
      <w:r>
        <w:rPr>
          <w:rStyle w:val="FootnoteAnchor"/>
          <w:rtl w:val="true"/>
        </w:rPr>
        <w:footnoteReference w:id="1973"/>
      </w:r>
      <w:r>
        <w:rPr>
          <w:rFonts w:ascii="Amiri" w:hAnsi="Amiri" w:eastAsia="Amiri" w:cs="Amiri"/>
          <w:color w:val="111111"/>
          <w:sz w:val="28"/>
          <w:sz w:val="28"/>
          <w:szCs w:val="28"/>
          <w:rtl w:val="true"/>
          <w:lang w:bidi="ar-SA"/>
        </w:rPr>
        <w:t xml:space="preserve">و الشيخ </w:t>
      </w:r>
      <w:r>
        <w:rPr>
          <w:rStyle w:val="FootnoteAnchor"/>
          <w:rtl w:val="true"/>
        </w:rPr>
        <w:footnoteReference w:id="1974"/>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bookmarkStart w:id="239" w:name="pg19900_214795"/>
    </w:p>
    <w:p>
      <w:pPr>
        <w:pStyle w:val="Heading3"/>
        <w:numPr>
          <w:ilvl w:val="2"/>
          <w:numId w:val="1"/>
        </w:numPr>
        <w:rPr/>
      </w:pPr>
      <w:bookmarkStart w:id="240" w:name="__RefHeading___Toc2061778_2314609296"/>
      <w:bookmarkStart w:id="241" w:name="_Toc88"/>
      <w:bookmarkEnd w:id="239"/>
      <w:bookmarkEnd w:id="240"/>
      <w:r>
        <w:rPr>
          <w:rtl w:val="true"/>
        </w:rPr>
        <w:t>[</w:t>
      </w:r>
      <w:r>
        <w:rPr>
          <w:rtl w:val="true"/>
        </w:rPr>
        <w:t xml:space="preserve">مسألة </w:t>
      </w:r>
      <w:r>
        <w:rPr/>
        <w:t>24</w:t>
      </w:r>
      <w:r>
        <w:rPr>
          <w:rtl w:val="true"/>
        </w:rPr>
        <w:t xml:space="preserve"> </w:t>
      </w:r>
      <w:r>
        <w:rPr>
          <w:rtl w:val="true"/>
        </w:rPr>
        <w:t>في عدم صحة الصوم من الكافر و المخالف</w:t>
      </w:r>
      <w:r>
        <w:rPr>
          <w:rtl w:val="true"/>
        </w:rPr>
        <w:t>.]</w:t>
      </w:r>
      <w:bookmarkEnd w:id="2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الصوم من الكافر بأقسامه، بلا خلاف فيه </w:t>
      </w:r>
      <w:r>
        <w:rPr>
          <w:rStyle w:val="FootnoteAnchor"/>
          <w:rtl w:val="true"/>
        </w:rPr>
        <w:footnoteReference w:id="1975"/>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عدم الصحة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الامتثال و استحقاق العقاب و وجوب قضائه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ترك القضاء كترك الأداء، نعم لو أسلم سقط عنه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لتكليفه بالقضاء، لأنّه لا يصحّ منه حال الكفر و يسقط عنه حال الإسلام، فلا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المروي 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العباد العمل بالفرائض التي افترضها اللّٰه على حدودها، مع معرفة من دعا إليه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صلّى و زكّى و حجّ و اعتمر و فعل ذلك كلّه بغير معرفة من</w:t>
      </w:r>
    </w:p>
    <w:p>
      <w:pPr>
        <w:pStyle w:val="BookText"/>
        <w:rPr/>
      </w:pPr>
      <w:r>
        <w:rPr>
          <w:rFonts w:ascii="Amiri" w:hAnsi="Amiri" w:eastAsia="Amiri" w:cs="Amiri"/>
          <w:color w:val="111111"/>
          <w:sz w:val="28"/>
          <w:sz w:val="28"/>
          <w:szCs w:val="28"/>
          <w:rtl w:val="true"/>
          <w:lang w:bidi="ar-SA"/>
        </w:rPr>
        <w:t>افترض اللّٰه عليه طاعته، فلم يفعل شيئا من ذلك، لم يصلّ و لم يصم و لم يزكّ و لم يحجّ و لم يعتمر و لم يغتسل من الجنابة، و لم يتطهّر و لم يحرّم للّٰه حراما و لم يحلّ له حلالا، و ليس له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ركع و إن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له زكاة و لا حجّ، و إنّما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1976"/>
      </w:r>
      <w:r>
        <w:rPr>
          <w:rFonts w:ascii="Amiri" w:hAnsi="Amiri" w:eastAsia="Amiri" w:cs="Amiri"/>
          <w:color w:val="111111"/>
          <w:sz w:val="28"/>
          <w:sz w:val="28"/>
          <w:szCs w:val="28"/>
          <w:rtl w:val="true"/>
          <w:lang w:bidi="ar-SA"/>
        </w:rPr>
        <w:t xml:space="preserve">بمعرفة رجل منّ </w:t>
      </w:r>
      <w:r>
        <w:rPr>
          <w:rStyle w:val="FootnoteAnchor"/>
          <w:rtl w:val="true"/>
        </w:rPr>
        <w:footnoteReference w:id="1977"/>
      </w:r>
      <w:r>
        <w:rPr>
          <w:rFonts w:ascii="IRNazanin" w:hAnsi="IRNazanin" w:eastAsia="IRNazanin"/>
          <w:color w:val="111111"/>
          <w:sz w:val="28"/>
          <w:sz w:val="28"/>
          <w:szCs w:val="28"/>
          <w:rtl w:val="true"/>
          <w:lang w:bidi="fa-IR"/>
        </w:rPr>
        <w:t>اللّٰه على خلقه بطاعته و أمر بالأخذ عنه، فمن عرفه و أخذ عنه أطاع اللّٰه تعالى</w:t>
      </w:r>
      <w:r>
        <w:rPr>
          <w:rFonts w:eastAsia="IRNazanin" w:cs="IRNazanin"/>
          <w:color w:val="111111"/>
          <w:sz w:val="28"/>
          <w:szCs w:val="28"/>
          <w:rtl w:val="true"/>
          <w:lang w:bidi="fa-IR"/>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آكد منها و أصرح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أخر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أول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أوّل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كتب المرحوم مرتضى الإسلام قدّس اللّٰه روحه في الصوم بطريق المزج على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الحمد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أثبتناه أعلاه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صام يصوم صوما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شرعيا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النية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زاد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كف شرعي عن تعمّد تناول كل مزدرد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الناسي 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مفهوم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لمقتضى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المؤلّف قدس سره في صفحة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الخاتمة 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المتروك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قدس سره ما يتعلّق بالفجر الثاني في كتاب الصلاة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قدس سره ما يتعلق بالحمرة المشرقية عند تحديده لوقت صلاة المغرب في كتاب الصلاة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أخذناه من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ما في الورقة من النقص، فإنّه رحمه اللّٰه لم يذكر عبارة المتن، فإنها في النسخة التي حضرت عندي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و النظر في ماهيته و أقسامه و لواحقه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هو الإمساك مع النية من طلوع الفجر الثاني إلى ذهاب الحمرة المشرقية عن الأكل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هذه العبارة بعينها و لا ما يفيد تمام مفادها و لا بياضا في الصفحة حتى يحتمل انه ترك هذا المتن، و ما أدري بم يتعلّق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الأكل و 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قاعدة المزج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امتزاج الشرح مع المتن، و لا يبعد سقوط ورق من البين، فإن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الأكل و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 اليسرى،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لوجوب النيّة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حواشي الصفحة اليمنى، مع اغتشاش كثير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انتهى 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كتاب الصوم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حكي عما حكى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مثل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الناسخ شطب على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حكي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اعتمد أنه يفطر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لصدق،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أوردها الناسخ في الهامش و كتب بعدها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مكتوبة في المنتسخ، لكنّها مشطوب عليها، و الظاهر انه تعليل لمفطرية أكل البرد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بالاجتناب،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بالاجتناب عن الطبيعة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للمؤلّف، قدس سره حول هذا الموضوع عند شرحه للقواعد في 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الخلاف فيها كما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رسائل الشريف المرتضى قدس سره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حذف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الصيام ليس من الطعام و الشراب وحده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المتقدّمتان آنفا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المسلمين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كلام الشيخ الطوسي قدس سره ليس صريحا في عدم الانزال بل يشمله بإطلاقه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الخلاف و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و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الروايتين، و يمكن الاستدلال عليه مضافا إلى ما يظهر من المعتبر من وجود الرواية المجبور إرسالها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بالشهرة و ظهور عدم الخلاف و حكاية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بحصول الجنابة، فيدخل فيه ما نحن فيه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الغنية الإجماع بحصول الجنابة فيدخل فيه ما نحن فيه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بعموم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بن مسلم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غيرهما من الأبواب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الحديث الأول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و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زرارة،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التيمم أحد الطهورين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هذه العبارة في المصادر المعتبرة، و إنما ذكر هذا القول للعرب شريف يحيى الأمين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الألفاظ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ذكر معناه الشيخ عباس القمي في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و الموجود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جامع الرجل حراما أو أفطر على حرام في شهر رمضان فعليه ثلاث كفارات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النكاح، و هو سهو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الوطء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بوطء الغلام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قدس سره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حاشية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ربما يتراءى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معناه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هذا الموضع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يؤيّد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التهذيب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وردت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و كذا فيما بعده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نص عبارته فيما سيأتي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انظر نص الحديث في 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النساء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خصوص آية الإذن، و الصحيح ما أثبتناه في المتن فإنها ليست آية أخرى، و انما ورد ذلك في آخر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غير مقروء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اذنيية،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أذينة، و ما أثبتناه من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الغاية في الآية الثانية،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الآية في الآية الثانية،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شمول الآية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الأول، و انظر نص الحديث في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أصاب من أهله في شهر رمضان أو أصابته جنابة ثم ينام حتى يصبح متعمّدا؟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ذلك اليوم و عليه قضاؤه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ماء يستسقى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يقضي 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المؤلّف قدس سره في 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الأول، و انظر نصّ الحديث في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نية القضاء،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نية الفصل،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نية الغسل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 ظاهرا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 توقف على رفع الجنابة، فالتيمم يجب في كل موضع يجب فيه الغسل، لا فيما يشترط بعدم الجنابة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الجواهر عن نهاية الإحكام للعلامة الحلي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هذا و قد وردت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مؤداها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الاستحاضة،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السيد الطباطبائي قدس سره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الطباطبائي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النراقي في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فرضه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إلحاق ماس الميت به فلا وجه 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مصابيح الظلام للعلامة بحر العلوم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يشترط أحد منهم صحّة الصوم بغسل المس الا الشيخ علي بن بابويه في رسالته، فإنه أوجب قضاء الصوم و الصلاة على ناسي غسل المس، و لم أجد أحدا نقل عنه ذلك، و لعل في النسخة و هما من النساخ و عبارة الرسالة مطابقة للفقه الرضوي في حكم التعلّق دون الصوم فإنه غير مذكور فيه، و لو صحّ ذلك فلا 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ندرته و شذوذه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ضعيف على فرضه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إيصال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عبارة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زهاء صفحة بالقطع الكبير و سيأتي في 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انتباهين، و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انتباهتين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البيان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متعمد البقاء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وجوبها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كان العزم مع عدم ترك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كتعمد البقاء على الجنابة به و القدرة قاصد في ترك النية ان ترك الغسل، كليهما مما يجب إيقاعهما فالنوم تاركا للغسل، فالنائم مترددا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ما ورد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قاصد في ترك النية، لأن الغسل و النية كلاهما مما يجب إيقاعهما، فالنائم مترددا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ما ورد في المتن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للإفساد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لتسببه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استظهرنا كونه أقرب الى الترتيب الذي أراده المؤلف قدس سره و قد حصل تشويش كثير في هذا الموضع في النسخ التي بأيدينا من جهة ترتيب المقاطع الخمسة المحصورة بين الأقواس، و إليك ترتيبها في النسخ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انظر تمام الحديث في 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فيه على ادعاء عدم الخلاف كما نسب إليه في الجواهر مجردا عن عدم الخلاف،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باختلاف يسير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جوف الليل في رمضان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صفحة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يستيقظ ثم 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لم ترد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الظاهر انه تصحيف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يجنب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ذكرها المؤلّف في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لمطلق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لذكر المحتلم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الهوامش المعنيّة هناك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بمعارضتهما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و 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كلا إطلاقهم النوم الأول على الجنب على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التصريح بذلك، 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المناهج السوية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الإسلام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الانتباه الأول من الاحتلام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المناهج السوية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يقتضيه النصوص من الأصحاب و الاخبار، فإن الحكم إذا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العبارة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المناهج 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المناهج السوية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بالجنابة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لكن في المناهج 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السوية في شرح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نصا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ذكرها في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 المعنيّة هناك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ذكرها في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 المعنيّة هناك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ذكرها في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 المعنيّة هناك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عندنا سقوط الكفارة إلا مع العمد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أيضا ظاهر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تعليل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يشمله ظاهر ما تقدّم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الشيخ الأنصاري قدس سره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 في 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في مواضع عديدة كما تقدم في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مثله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لكن وردت العبارة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مفطر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لكن الظاهر منه خلاف ما نسب إلى المفيد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يجتنب الصائم الرائحة الغليظة و الغبرة التي تصل الى الحلق، فان ذلك 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الصيام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غبار الدقيق و النفض الغليظ حتى يصل الى الحلق، يفطر و يجب منه القضاء و الكفارة متى تعمّد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بيّناها في الكتاب الكبير، و روى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حفص المروزي المشتملة على الاستنشاق و الرائحة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نفس رواية سليمان المتقدمة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لم يلتزم به أحد من ثبوت الكفارة بمجرد المضمضة و الاستنشاق، انظر 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كنس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في انفه و حلقه 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و غيره قدس أسرارهم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سليمان المروزي المتقدمة في صفحة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الأولوية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تنزل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الجوف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أشار إلى ذلك في حاشيته على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تمكنه،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يمكنه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أشار الى ذلك في حاشيته على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الحلي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ذلك فيما تقدم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ذلك الشي‌ء أم لم يقصده كما هو ظاهر إطلاق روايات أخر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لإطلاقات العبث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المنسخ الأصلي الذي كان بخط المرحوم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لإطلاقات العبث، ليرجع الى قصد الإمناء، بناء على ان قصد ما ترتب عليه شي‌ء في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الى الترتب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لذلك الشي‌ء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آخرها و معها فقرة اخرى قد شطب عليها، و هذه العبارة و ان كانت مطلبا صحيحا مربوطة بالمقام الا انه لم يعلم مكانه معيّنا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الميل الى الجماع،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شبق الرجل شبقا، من باب تعب، فهو 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به شهوة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طبعك،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طمعك، و صححناه على 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الكافي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 الحديث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 كثيرة مشتملة على مسائل مهمّة كتعمّد القي‌ء و الحقنة، و لا يختص بالمقام بل فقد المتن في هذه الأوراق كثير، و الظاهر ان كثيرا منها مستند إلى فقد الأوراق لا ترك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در صحافى يك ورق بيش ديده شده بود از اين جهت حك و إصلاح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لا تقرأ، و لعلها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الاستمناء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تعمّد القي‌ء و عن الحقنة، و عن معاودة النوم للجنب بعد انتباهة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سيأتي شرح المؤلّف قدس سره لهذه المسائل في شرحه لكتاب القواعد، انظر 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 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سمع وقع الاقدام الذاهبة الى المسجد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العبارة في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موثقة سماعة المذكورة في صفحة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النسخ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الرياض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فيه، بل عليه الإجماع في صريح الاستبصار و ظاهر المنتهى و غيرهما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المراعاة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انظر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سماعة المذكورة في صفحة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بدأ بالنظر قبل الأكل فعليه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قدمنا من عدم تحقق الصوم لغة و عرفا تحقق الإفطار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مرّ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الحسن كالموثق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 بتحقق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تحقق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انتفاء الأمر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المراعاة، الا أنّ تعليل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من حاشيته نسخة الأصل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عليك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في الصفحة الآتية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أيام رمضان، و ستأتي الإشارة إليه في 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شرح المؤلّف قدس سرّه لنظير هذه المسألة في شرح القواعد في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بهذا اللفظ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الوسائل بلفظ آخر قريب من هذا،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استدلال المؤلّف، قدس سره بهذه الرواية في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سماعة المتقدّمة في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معاوية بن عمار المذكورة في الصفحة السابقة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لظن كذبه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طلوعه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للمؤلّف، قدس سره تحقيق آخر لهذه المسألة عند شرحه لكتاب القواعد في 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مع اختلاف يسير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صفحة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عجز عن المراعاة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 التعليل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لم تتقدم، بل ستأتي في الصفحة الآتية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البينة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التناول مع الشك و عدم الفحص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المتقدمة في الصفحة السابقة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يجوز 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حتى لا تشكّ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للأخبار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تحقيق آخر للمؤلّف حول هذه المسألة عند شرحه للقواعد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ينفي العقاب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الكتاب قوله وَ أَشْهِدُوا ذَوَيْ عَدْلٍ مِنْكُمْ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من السنة ما ورد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كيفية الحكم و غيره من الأبواب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للإفطار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بالظلمة الموهمة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تحقيق للمؤلّف قدس سره لهذه المسألة عند شرحه للقواعد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الاعتناء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الامتدادي التي لا تزول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بيان المؤلّف لهذه المسألة في شرح القواعد 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الفساد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اقتضى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زيد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صائم ظنّ ان الليل قد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الشمس قد غابت و كان في السماء سحاب فأفطر، ثم ان السحاب انجلى فإذا الشمس لم تغب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صومه و لا يقضيه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من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التهذيب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الأول، و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قال لرجل ظنّ ان الشمس قد غابت فأفطر، ثم أبصر الشمس بعد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قضاء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 صاموا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صفحة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يضرّ الصائم ما 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أيضا معناها في 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هذا و لكن ابن إدريس صرح بحرمة الارتماس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أن يستنقع في الماء الى عنقه، و لا يرتمس فيه؛ فإنه 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هذا و لكن ابن إدريس صرح بحرمة الارتماس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أن يستنقع في الماء الى عنقه، و لا يرتمس فيه؛ فإنه 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نقل هذا و سابقه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للأصل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الكذبة تنقض الوضوء و تفطر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علي بن بابويه، فقد نقل ذلك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اما محمد بن علي فراجع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الغنية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مع اختلاف يسير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الروايات الأخرى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على رسوله و على الأئمة عليهم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عنه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الاخبار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إلحاق الكذب على اللّٰه الكذب على الزهراء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الكذب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يوجب الإفطار،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عدم الإفطار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متوجها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المتقدّمة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عرفت ان الأقوى فيه التحريم و القضاء و الكفارة فثبوتها 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في الصفحة السابقة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الأول، و قد تقدم 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في صفحة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بإخراج</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يجتمع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اخبار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له مشطوب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يتخيل، و استظهر الناسخ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و استظهر الناسخ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المؤلّف في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الأردبيلي و صاحب المدارك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ترك الخروج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هنا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بياض بقدر نصف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محل بياض بقدر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نحتمله هو ان المؤلّف، قدس سره ترك زهاء صفحة من كتاب الإرشاد و اكتفى بشرح موضوعين هامين وردا في كلام العلّامة قدس سره عند عدّه ما لا يفسد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العبارات التي ترك المؤلف شرحها فهي كما يلي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و راجع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هو شي‌ء رزقه اللّٰه عز و جل فليتم صومه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إطلاق كثير لعموم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غلب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أعلاه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المفطر ناسيا لا يفسد صومه مع تعيّن الزمان و لا يجب به قضاء و لا كفارة عند علمائنا اجمع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تمام الحديث 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ما يمسك عنه الصائم و غيره من الأبواب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بياض بقدر نصف صفحة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كان قاصرا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حاكمتان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اتى امرأته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الاعتكاف،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أفضل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ثبت، ثبت وجوب القضاء لعدم قائل بالفرق بينهما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القضاء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بالإجبار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ثبوت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ثبت المظنون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الواقع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 الملكية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المعاطاتي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المؤلّف، قدس سره بانتخاب بعض مسائل الإرشاد، و هذه المسألة في كتاب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شرح الإرشاد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في الإرشاد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في رمضان مخيرة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عتق رقبة أو إطعام ستين مسكينا أو صيام شهرين متتابعين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تمامه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توسيط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الإطعام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هذا و وردت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و هو خطأ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رجلا اتى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و 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أهلكت؟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امرأتي في شهر رمضان و انا 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 شهرين متتابعين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على ستين مسكينا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مع اختلاف يسير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بالجميع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الهروي المتقدمة في 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بياض بقدر نصف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أفطر بالمحرم وجب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انه هل يكفي في رمضان نية أنه يصوم غدا متقربا من غير اعتبار نية التعيين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أحدهما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هذه العبارة إلى قوله في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فتلخص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المأمور به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ما يناط به مغايرة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احكامه لأحكام غيره الا كونه صوم هذا الزمان الخاص</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الفرض</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يلتفت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المعتبر، 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السابقة و في كتاب الصلاة 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النذرين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المأمور به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يجوز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عنه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النية، الحديث الأول، و في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بالليل،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لم يبيت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كذا في ما يلي من الموارد التي يستدل فيها المؤلّف قدّس سرّه بهذا الحديث</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بعض مشايخه المعاصرين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لكن البحث في البيان عن ترك ترك النية عمدا طول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الحديث بهذا اللفظ في كتبنا الحديثيّة و روى 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حديثا يتضمن شهادة الأعرابي الواحد و في آخره 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أذّن في الناس فليصوموا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هذا الحديث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كتاب التوحيد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عنه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لمن لا يبيت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بالإفطار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أقل التقادير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للاستدامة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انعقاده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و إجماع المعتبر و المنتهى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الشهادة على رؤية هلال رمضان و انظر 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قطع الأصحاب بأنّ وقت النية فيه يستمر من الليل الى الزوال إذا لم يفعل المنافي نهارا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عبد اللّٰه، عن أبي إبراهيم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 رجل جعل للّٰه عليه صيام شهر فيصبح و هو ينوي الصوم ثم يبدو له فيفطر، و يصبح و هو لا ينوي الصوم فيبدو له فيصوم؟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جائز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بن قيس، و هذه العبارة دالة على وجود السقط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أشرنا إليه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المحقق و العلّامة و لم يعلق عليه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بعد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و يأتي بتمامه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المختلف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للإسكافي قول بامتداد وقتها مطلقا الى ان يبقى جزء من النهار و لا يخلو من قوّة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 السابقة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تعالى،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الأول، و مثله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الآتية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كما في المدارك عن الأكثر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نسبه في المدارك إلى الأكثر، و في المسالك الى المشهور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المسائل الرسيّة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 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الواقعة، و ما ورد في المتن هنا هو الأصح، فقد نقل العلّامة رحمه اللّٰه ذلك أيضا عنه في المختلف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 عبارته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يكفي الشهر كله نية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ما يدل على الإجماع، انظر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الآخر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ان هذا تعليل لعدم جواز الصوم للمسافر في شهر رمضان حتى لو جاز الصوم في السفر مطلقا أو على بعض الوجوه، فتأمل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قد وسّع على عباده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 صحيحة الحلبي و صحيحة صوم من جهل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قوله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قوله في الإيضاح في باب الصوم، و لعله في حاشية الإرشاد المخطوط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تقع نيته، و هذا لا يخلو عن قوّة بالنسبة إلى الجاهل، لعدم وقوع صوم غير رمضان فيه لان قصد التقرب و هو كذلك واقعا، و يؤيد ذلك اتفاقهم على الاجزاء عن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أخر ما أوردناه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تقع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أيضا، و لكنها مشطوب عليها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 و لعل المؤلّف قدّس سرّه نقله بالمعنى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قد وسع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ممنوعة، و الكلمة مشطوب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حقيقية الصوم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أفطره وجب عليه 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العبارة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إمساك</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الى مجرد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التحقق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الغفلة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الشارحتين مكتوب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در حاشيه افتاده بود، لهذا سفيدى گذاشتم تا مقابله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 البياض سطر واحد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عقد به الصوم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نية الإفطار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وجد من خطه الشريف رحمه اللّٰه شرحا على الإرشاد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المؤلّف قدّس سرّه شرحا لمفاد هذه الفقرة عند شرحه لكتاب الإرشاد انظر 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المؤلّف قدّس سرّه بيانا لحكم الارتماس عند شرحه لكتاب الإرشاد في 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المؤلّف قدّس سرّه بيانا لحكم الغلط بعدم طلوع الفجر مع القدرة على المراعاة في شرح الإرشاد، انظر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قواعد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شرح الإرشاد، 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بهذا الموضوع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للظلمة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شرح الإرشاد 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بهذا الموضوع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أطلق فيها الوهم على مطلق الاحتمال، 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نص الخبر في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نعتمد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في 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الغير المجوّز 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الرواية الضعيفة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الرواية الضعيفة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الغنية و الخلاف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صورة جواز التقليد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هي معنى الحديث و انظر الى لفظه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ظهور الخطأ</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الظن بالدخول، و أما الأخبار فهي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 ما بعدها ترتبط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العمل بالرواية مشكل، لا لما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سماعة المتقدّمة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حكاية الإجماع عنهما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عدم إرادة انظر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موافقته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بيان الشيخ لهذه المسألة عند شرح الإرشاد في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انظر الهوامش المعنيّة هناك</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حكاية الإجماع عن الخلاف و الغنية 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مراقدهم و شكر سعيهم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 نظير هذه المسألة، في شرح الإرشاد راجع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صومه و يقضيه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أنظره فأجده قد طلع حين نظرت؟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 يومك ثم تقضيه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تقدم استدلال المؤلّف قدّس سرّه بهذه الرواية عند شرحه للإرشاد، انظر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المؤلّف قدّس سرّه في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يخصص،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فتقيد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الدليل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الاستدلال بهذه الرواية في صفحة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المؤلّف قدّس سرّه تحقيق في ذلك في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للمؤلّف قدّس سرّه تحقيق حول هذه المسألة في شرحه للإرشاد، انظر 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الأول، و قد سبق الاستدلال بهذه الرواية في 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اليوم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سيأتي من المؤلّف ما يدلّ على صحّة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الآتية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الأخرى عن الحلبي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صحيحة محمد بن مسلم و غيرها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لم يفطر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فيه إذا ذرعه القضاء، و إذا استكره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استكثر، كما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الكفارة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هذا و لم يتقدم ذلك فيما بأيدينا من النسخ</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الحلبي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من المؤلّف قدّس سرّه البحث مفصلا في معاودة الجنب النوم عند شرحه للإرشاد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المؤلّف قدّس سرّه حول هذا الموضوع في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الرجل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الشهرة و الإجماع</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قد تقدم الاستدلال به في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يستيقظ ثم 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لم ترد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تحقيق لهذه المسألة في شرح الإرشاد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نية الغسل إذا عزم على ترك الاغتسال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الأوّل، و قد استدل به المؤلّف قدس سره عند شرحه للإرشاد في 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يفطره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دل على اختصاص الإفطار لفعل المفطر عمدا و بقي الحكم من غيره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نقل هذا القول من المؤلّف قدّس سرّه في 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بالمتبرد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نظر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للمفطرات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الترشّح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لو وصل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يفسد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محمد بن مسلم و قد تقدمت 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يفطر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أتخوف، و سيأتي الاستدلال به في 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 الأخبار الأخرى في نفس الباب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مثله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مستدلا عليه بأنه قد أوصل إلى جوفه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رواية محمد بن مسلم المتقدمة 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بتشرب الدماغ الدهن بالمسام حتى يصل الى الجوف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تقدّمت الإشارة إليها في صفحة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المجتمع على اللسان إذا أخرجه معه، و لو تفتت العلك و وصل منه الى الجوف أفطر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يزدرد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ذلك فيما بأيدينا من النسخ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انظر 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مستنده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قرب الاسناد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يثق إلّا أن يسبقه منيّه،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يثق أن يسبقه منيّه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تمام الحديث في 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مطلق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ذررت، و هو أخذك الشي‌ء بأطراف أصابعك تذرّه ذرّ المسحوق على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 عينه بالذّرور يذرها ذرا كحلها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يخش</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عبارة المتن في 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كما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الحسن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التلطّف بالأشياف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الشيخ المتقدمة أعلاه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الصيقل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قريب منه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تلزق ثوبك الى جسدك و هو رطب و أنت صائم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شككنا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الأدلة في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قد مرّ بعضها في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فأقرب مجازاته متعين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حصول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بمعناه، و قد شطب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معاودة النوم للجنب موجب للقضاء، و انظر أيضا ما ذكره المؤلّف قدس سره في شرح عبارة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تعمد البقاء على الجنابة حتى يطلع الفجر و عن النوم عليها من غير نية الغسل حتى يطلع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انصراف أدلتها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الى الأكل المتعارف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أجنب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الوسائل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الوسائل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الوسائل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لانجبارهما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تخصيصهما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تعارضهما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يقضي 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استدلال المؤلّف قدّس سرّه بهذا الحديث في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استمرّ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المتقدّمة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 مع اختلاف في الألفاظ</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يتمكنه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الاستدلال بهذه الرواية في 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رواه الحر العاملي قدّس سرّه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قد مضى مثله باختلاف يسير في 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ذلك فيما بأيدينا من النسخ</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ما بأيدينا من النسخ ما يتعلق بالاعتكاف، و لعل المؤلّف قدس سره عبّر بهذا التعبير لعزمه على شرح كتاب الاعتكاف أيضا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سادسها بها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للكفارة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إطلاق هذا الحكم،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ما دلّ على هذا الحكم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أفطر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 الأول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هذه المرسلة في كتب الحديث، و ذكرها البحراني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طاوعته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 باختلاف يسير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 صحّحناه على ما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فقد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وجوب الكفارة عنها على الزوج لو أكرهها فهو المشهور و الظاهر انّ ابن أبي عقيل لم يوجبه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النسخ من دون شرح و لا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نصف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كلمتين، و لم يعلّق عليه الناسخ كما هو دأبه في نظائره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كان مكلفا بعلمهم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الطوسي قدس سره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فيه وجها واحدا، و لكن العلامة رحمه اللّٰه ذكر الوجهين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منهما يتردد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الشياع</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الى غير مثل المقام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الكلمة مشطوب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الفردين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الفرد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منعنا، هذا و قد تقدّم منع شمول المطلقات لهذا الفرد في 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التهذيب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صححناه على ما في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عشرة مساكين، و صححه الناسخ في الهامش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يمكن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متعمدا يوما واحدا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 الأول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أمرتم بأمر فأتوا منه بما استطعتم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صفحة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يدرك كله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النسخة الأخرى رواها الشيخ قدس سره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كل عشرة مساكين ثلاثة أيام، و 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أياما متتابعة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لا يدل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بألفاظ مختلفة و بتقديم و تأخير، و المعنى في جميعها واحد، و المروي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عمر بامرأة مجنونة قد زنت فأمر برجمها،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انّ القلم يرفع عن ثلاثة عن الصبي حتى يحتلم و عن المجنون حتى يفيق و عن النائم حتى يستيقظ</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يصوموا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اقتضاها السياق، انظر 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بريد بن الفضيل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ممن كانوا مع علي عليه السلام و خالفته بعد تحكيم الحكمين، و هم المارقون، و حاربهم علي عليه السلام بالنهروان، و سمّوا بالحرورية لوقوع الحرب معهم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قرية بظاهر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بارجاء صاحب الكبيرة الى القيامة، و هم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بين الفرق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المطالبون بدم عثمان بن عفّان بعد قتله من أهل الشام و البصرة و من أيّدهم بعد ذلك</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جاحدو القدر 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ينسبون إلى التكذيب بما قدر اللّٰه 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يعيد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عليه قضاء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ينو قبله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 الأول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مروي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الأول عن أيوب بن نوح باختلاف يسير، و اما المروي عن علي بن مهزيار فهو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مهزيار أنّه سأله يعني أبا الحسن الثالث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المسألة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المغمى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 الصوم و لا الصلاة، و كلما غلب اللّٰه عليه فاللّه اولى بالعذر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الفاضلان الى الشيخ كما في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اما الشيخ المفيد فقد ذكره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اما الثالث و هو السيد المرتضى في 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وجب القضاء على المرتد بنوعيه لعموم الأدلّة الدالة على وجوب قضاء ما فات من الصيام المتناولة للمرتد و غيره السليمة من المعارض</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 و لم نقف على ذلك فيما بأيدينا من النسخ</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لروايتي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ما يؤيده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زيادة منا، و لا بدّ أن نشير إلى أنّا وجدنا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كتبها المؤلّف قدّس سرّه كملحق لشرح ما ورد من مسائل الصوم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لاحظنا خلال التحقيق النقاط التالية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أول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وجد من خطه الشريف قدس سره هكذا مكتوبا بطريق الاستقلال،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شرح الإرشاد و من هنا شرح القواعد و مسائل متفرقة مستقلّة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بالخيار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تحقّقه بالشروع في أربعة عشر وجه قوي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التعبير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مضمون رواية وردت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متى أصلّي ركعتي الفجر؟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جعفر عليه السلام أمرني أن أصليهما قبل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إن الشيعة أتوا أبي مسترشدين فأفتاهم بمرّ الحق، و أتوا بي شكاكا فافتيهم بالتقية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بمعناه أيضا ما ورد في باب القنوت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الأول من أبواب القنوت،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انه يحصل بعشر سنين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 الأول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لكن الروايتين تدلان على صحة طلاقه إذا بلغ عشر سنين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كما يظهر من مراجعة الكتب المذكورة، إلّا أنّ في الروضة نسبه إلى المشهور، و نقل الإجماع عن ابن إدريس</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الروايات ما تقدم من رواية عمار، و لا قائل به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بلوغ تسع سنين، و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عشرة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ابتدأ الشي‌ء أو دخله فقد طعن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 الأول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قدّس سرّه لم يقوّه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دعوى الإجماع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به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المنيّ من أحد فرجيه لم يحكم ببلوغه؛ فراجع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قدّس سرّه في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قدّس سرّه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الشهيد في باب القضاء فيمن يقبل قوله بغير يمين، و لم يتعرض فيه للبيّنة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الشيخ في مظانّه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بياض بقدر سطر واحد و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بياض بمقدار كلمة، ثم يبدأ بالمسألة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المسألة الرابعة الآتية في 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الصبيّ نوى الصوم من أوّله وجب عليه الإمساك</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 الفجر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 عن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الانعقاد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كصريح بدل و صريح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عنه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سبق التكليف عليه و بعد تسليم صدق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صححناه،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فيشمله،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فتشمله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تحقق في زمان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 اللاحق</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أسطر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العبارة بهذا اللفظ في كتب الحديث، نعم وردت روايات بمعناها، 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الاخبار و الآثار عن الأئمة عليهم السلام انه لا يجوز أن يتطوع الرجل بالصيام و عليه شي‌ء من الفرض، و ممن روى ذلك الحلبي و أبو الصباح الكناني عن أبي عبد اللّٰه عليه السلام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غالب أدلّة الندب على وجه بيان الثواب، و لا يفيد المطلوبية فافهم و تأمّل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للوجوب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قوله في 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طلب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عليه دين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نصّ الحديث في 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ابن سنان المتقدّمة آنفا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القضاء، الحديث الأول مع اختلاف يسير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سطرين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حفص بن البختري المتقدمة في 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النية للصوم،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ينو قضاء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أسطر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العلماء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لا خلاف بين الأصحاب رضوان اللّٰه عليهم في أن وجوب القضاء على الولي في غير ما فات بالسفر مشروط بتمكّن المكلف من القضاء و تفريطه حتى استقر في ذمته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يدل على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 بدل ذلك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استقراره عليه لرواية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الألفاظ و سيأتي الاستدلال به في 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عليه 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توالى عليه رمضانان، الحديث الأوّل مع اختلافات يسيرة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العلل و العيون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مع اختلاف يسير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سعيد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وجوبها أيضا و القضاء أيضا، و شطب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أيضا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الصحيحة ستذكر في 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حفص بن البختري، و هي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حول هذا الموضوع في 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فيه أقواه ذلك وفاقا لظاهر المعظم، و انظر أيضا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في 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غياث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خلاصته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قبس من كتاب غياث سلطان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للحلواني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 في القبس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انظر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 من كتاب غياث سلطان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أشير إلى بعضها في صفحة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السؤال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سطرين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في جواز الإفطار في القضاء قبل الزوال في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أيام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 صححناه على ما في الوسائل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يتمكنه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الاستدلال بهذه المصحّحة في 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أشير إليه في 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كل عشرة مساكين ثلاثة أيام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نقله عن والد الصدوق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كتاب الصلاة، و الآية من سورة محمد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تُبْطِلُوا أَعْمٰالَكُمْ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العبارة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جايش معلوم نيست از كجا است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بحث آخر عن شرعية صوم الصبي المميز في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رواية انه يجب عليه الصوم إذا أطاقه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صفحة و نصف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الكلمة بياض، و كتب الناسخ في الهامش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في الإرشاد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المستحاضة إذا فعلت الأغسال إن وجبت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العبارة 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 المؤلف في أول نسخة الكتاب المخطوطة،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جمهور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الجمهور، و لم نقف الا على قسم الحج من الكتاب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قدس سره ضمن مجموعتين برقم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الاحكام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تفعل ذلك كان حدثها باقيا و لم يجز ان تستبيح شيئا مما يشترط فيه الطهارة، و لو صامت و الحال هذه 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أصحابنا ان عليها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ظاهر في التوقف، كما ترى لا صريح فيه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لفعل الصوم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يغتسل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لصلاتها جهلا بوجوبه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آتية بالصوم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حكم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بكراهتها و صححناه على المصدر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احمد بن علي مختار جرفادقاني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فهرس مخطوطات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أخلّت بالأغسال لم يصح صومها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لجعلهم الإخلال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تقديم غسله عليه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 جعل الصوم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هنا 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على وجوب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المدارك أنّه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في 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قطعوا بعدم توقف صوم اليوم على غسل الليلة المستقبلة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إلى المتأخرين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يعمله،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يعمله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الحديث الأوّل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الطباطبائي في مصابيحه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فيه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كون البلاد المتقاربة متحدة في الحكم فلظهور الاتفاق عليه من أصحابنا إذ لم نجد لأحد منهم خلافا هنا لا عينا و لا أثرا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بالبلد المقارب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المتباعدة كما هو عن موضع</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الظاهر انه مذهب المعظم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حكم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من سهو القلم، انظر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رؤيته فيه رؤية لذلك الآخر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البلدين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الاختلافات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 مع بعض الاختلافات</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أخيرين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آخر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إهلاله،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إهلال على الآخرين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مقام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بياض بقدر نصف صفحة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المسألة السابقة،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مطالب كثيرة شرحا لكتاب القواعد زهاء عشرة صفحات من القطع الكبير و قد ورد في أوله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آخره في الهامش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شرح القواعد، و من هنا مسائل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بدء بذكر هذه المسألة و ما تليها من المسائل وفق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خرج بعده أتم الصوم مطلقا، أو بالعزم على السفر من الليل فان بدا له في النهار لم يفطر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العبارات تكرار لما سبق كما ترى</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النهار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 الأول و الثاني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 الأول و الثاني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الأدلة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حجية بعضها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مخالفة حكم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مخالفة الحكم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صححناه على المصدر،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أفطر، 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مشايخنا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بتخصيص، بدل فمعنى تخصيص</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يكونا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وجهين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إبقاء عموم الآخر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و حكاه عنه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مشايخنا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بعض مشايخنا من الجمع</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في 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الإفطار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 في السفر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فَمَنْ لَمْ يَجِدْ فَصِيٰامُ ثَلٰاثَةِ أَيّٰامٍ فِي الْحَجِّ وَ سَبْعَةٍ إِذٰا رَجَعْتُمْ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 الأول، و باختلاف يسير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 له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في سفر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نتطوع</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سافروا أفطروا و قصروا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للواجب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و انظر المصدر أدناه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تصوم في شعبان،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شعبان و يفطر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المصدر أدناه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الفرق</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كالتطوع</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البزنطي، انظر 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لكن المتقدمة في 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محمد بن حكيم و لا ربط لها بالمقام، نعم تدل عليه رواية معاوية بن عمار المروية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 الأول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المرض الذي يفطر صاحبه، الحديث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الحر العاملي صدر هذا الحديث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 الأول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و المراد بالرواية هي رواية حريز المشار إليها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حريز</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نظن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 العمل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محل بياض بقدر كلمة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إذا 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محل بياض بقدر نصف صفحة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أبواب من يصح منه الصوم الحديث الأول و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اختلافات يسيرة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تصدق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يصدق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تصدق و الزيادة من المصدر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عنه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 محمد بن مسلم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للتخوف</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البحراني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فخصاه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محمد بن مسلم المتقدمة في 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فالصائم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من الطعام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فيخص</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إطلاق روايات دعا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حكاه عنهما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اختيار ابن أبي عقيل و ابن الجنيد و ابن بابويه في رسالته و ولده أبو جعفر 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في الصفحة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 الأول مع اختلاف يسير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تتضعّف</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حنطة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 من حنطة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الخبر المذكور في 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مضى نص الحديث في 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الشارحتين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وجوب الأداء</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الحائض</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تقدّم آنفا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الاستدلال به في 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تصدّق</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يتصدق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ظاهرا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 مع اختلاف يسير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المحكي</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الشهيد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أصم،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أنا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يتبدل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بعدهما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صح، و صححناه على المصدر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من شعبان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و تقدم مفاده في 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محمد بن مسلم المتقدمة في 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المطلقات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صفحة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نفهم المقصود من العبارة و لذا جعلناها بين المعقوفتين، و احتمال الخلط و التصحيف فيها غير بعيد،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يقضيه و بقي الكفارة لفوت الأداء</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يقابل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حسب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مرض الرجل من رمضان الى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ما على الميت من الصوم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يقضي عنه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فيكون الاستفهام إنكاريا و هو انسب بما يجيبه الامام عليه السلام به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قد سبقت الإشارة إليها في هامش 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الى الأخير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المستند و نسبه الى ظاهر فتوى الأكثر، و منهم صاحب الجواهر انظر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قد تقدم وصفها بالموثقة في هامش 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الوجوب</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فاتته، هذا و قد تقدم البحث حول هذه المسألة في هامش 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 قد تقدم الاستدلال بهما في هامش 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 المؤلف البحث حول هذا الموضوع في المسألة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الأشهر الأظهر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ذلك اليوم عدّ من أيام رمضان،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من أيام رمضان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يتم صومه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فطروّ الحكم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هي قوله تعالى وَ لٰا تُبْطِلُوا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نقله العلامة عن والد الصدوق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راجع تقريب الشيخ لهذه الرواية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صوم الصبي من الشرعية و التمرينيّية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عنوان هذه المسألة بعبارة أخرى و ان كانت ناقصة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من المؤلّف قدس سره البحث في هذه المسألة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للصوم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انظر تمام الرواية في هامش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كشمول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من الكلب فتأمل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 تحقق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يختلط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تختلط</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موافقته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 و ورد الحديث في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لي و انا أجزي به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الصوم المندوب،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الوجهان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فيلحق</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المشروعية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إليها في صفحة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صوم التأديب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المكلف مسلم بالعقل،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يدل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المنصوصة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التكاليف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يلتفت</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يستلزم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الجواب</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مبينة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سنان المتقدمة في صفحة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على خلقه طاعته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تتمّة راجع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وجد من مسائل الصوم من مؤلفاته تغمده اللّٰه بغفرانه و أسكنه بحبوحة جنانه و زاد عليه بإكرامه و إحسانه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49467</Words>
  <Characters>199922</Characters>
  <CharactersWithSpaces>247680</CharactersWithSpaces>
  <Paragraphs>1710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2026-08-26T01:22:17Z</dcterms:created>
  <dc:creator>ghaemiyeh.com</dc:creator>
  <dc:description/>
  <dc:language>en-US</dc:language>
  <cp:lastModifiedBy/>
  <dcterms:modified xsi:type="dcterms:W3CDTF">2026-08-26T04:53:00Z</dcterms:modified>
  <cp:revision>1</cp:revision>
  <dc:subject/>
  <dc:title>الصوم</dc:title>
</cp:coreProperties>
</file>

<file path=docProps/custom.xml><?xml version="1.0" encoding="utf-8"?>
<Properties xmlns="http://schemas.openxmlformats.org/officeDocument/2006/custom-properties" xmlns:vt="http://schemas.openxmlformats.org/officeDocument/2006/docPropsVTypes"/>
</file>