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عقائدنا من الکتاب والسنة والعقل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37335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4037337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037339_1280447820">
            <w:r>
              <w:rPr>
                <w:webHidden/>
                <w:rStyle w:val="IndexLink"/>
                <w:rtl w:val="true"/>
              </w:rPr>
              <w:t xml:space="preserve">الإهداء </w:t>
            </w:r>
            <w:r>
              <w:rPr>
                <w:rStyle w:val="IndexLink"/>
                <w:rtl w:val="true"/>
              </w:rPr>
              <w:t>:</w:t>
              <w:tab/>
            </w:r>
            <w:r>
              <w:rPr>
                <w:rStyle w:val="IndexLink"/>
              </w:rPr>
              <w:t>8</w:t>
            </w:r>
          </w:hyperlink>
        </w:p>
        <w:p>
          <w:pPr>
            <w:pStyle w:val="Contents2"/>
            <w:tabs>
              <w:tab w:val="clear" w:pos="8743"/>
              <w:tab w:val="right" w:pos="9026" w:leader="dot"/>
            </w:tabs>
            <w:rPr/>
          </w:pPr>
          <w:hyperlink w:anchor="__RefHeading___Toc14037341_1280447820">
            <w:r>
              <w:rPr>
                <w:webHidden/>
                <w:rStyle w:val="IndexLink"/>
                <w:rtl w:val="true"/>
              </w:rPr>
              <w:t>المدخل</w:t>
            </w:r>
            <w:r>
              <w:rPr>
                <w:rStyle w:val="IndexLink"/>
                <w:rtl w:val="true"/>
              </w:rPr>
              <w:tab/>
            </w:r>
            <w:r>
              <w:rPr>
                <w:rStyle w:val="IndexLink"/>
              </w:rPr>
              <w:t>10</w:t>
            </w:r>
          </w:hyperlink>
        </w:p>
        <w:p>
          <w:pPr>
            <w:pStyle w:val="Contents2"/>
            <w:tabs>
              <w:tab w:val="clear" w:pos="8743"/>
              <w:tab w:val="right" w:pos="9026" w:leader="dot"/>
            </w:tabs>
            <w:rPr/>
          </w:pPr>
          <w:hyperlink w:anchor="__RefHeading___Toc14037343_1280447820">
            <w:r>
              <w:rPr>
                <w:webHidden/>
                <w:rStyle w:val="IndexLink"/>
                <w:rtl w:val="true"/>
              </w:rPr>
              <w:t>الآيات</w:t>
            </w:r>
            <w:r>
              <w:rPr>
                <w:rStyle w:val="IndexLink"/>
                <w:rtl w:val="true"/>
              </w:rPr>
              <w:tab/>
            </w:r>
            <w:r>
              <w:rPr>
                <w:rStyle w:val="IndexLink"/>
              </w:rPr>
              <w:t>18</w:t>
            </w:r>
          </w:hyperlink>
        </w:p>
        <w:p>
          <w:pPr>
            <w:pStyle w:val="Contents2"/>
            <w:tabs>
              <w:tab w:val="clear" w:pos="8743"/>
              <w:tab w:val="right" w:pos="9026" w:leader="dot"/>
            </w:tabs>
            <w:rPr/>
          </w:pPr>
          <w:hyperlink w:anchor="__RefHeading___Toc14037345_1280447820">
            <w:r>
              <w:rPr>
                <w:webHidden/>
                <w:rStyle w:val="IndexLink"/>
                <w:rtl w:val="true"/>
              </w:rPr>
              <w:t>الروايات</w:t>
            </w:r>
            <w:r>
              <w:rPr>
                <w:rStyle w:val="IndexLink"/>
                <w:rtl w:val="true"/>
              </w:rPr>
              <w:tab/>
            </w:r>
            <w:r>
              <w:rPr>
                <w:rStyle w:val="IndexLink"/>
              </w:rPr>
              <w:t>23</w:t>
            </w:r>
          </w:hyperlink>
        </w:p>
        <w:p>
          <w:pPr>
            <w:pStyle w:val="Contents2"/>
            <w:tabs>
              <w:tab w:val="clear" w:pos="8743"/>
              <w:tab w:val="right" w:pos="9026" w:leader="dot"/>
            </w:tabs>
            <w:rPr/>
          </w:pPr>
          <w:hyperlink w:anchor="__RefHeading___Toc14037347_1280447820">
            <w:r>
              <w:rPr>
                <w:webHidden/>
                <w:rStyle w:val="IndexLink"/>
                <w:rtl w:val="true"/>
              </w:rPr>
              <w:t xml:space="preserve">الصلاة </w:t>
            </w:r>
            <w:r>
              <w:rPr>
                <w:rStyle w:val="IndexLink"/>
                <w:rtl w:val="true"/>
              </w:rPr>
              <w:t>:</w:t>
              <w:tab/>
            </w:r>
            <w:r>
              <w:rPr>
                <w:rStyle w:val="IndexLink"/>
              </w:rPr>
              <w:t>33</w:t>
            </w:r>
          </w:hyperlink>
        </w:p>
        <w:p>
          <w:pPr>
            <w:pStyle w:val="Contents2"/>
            <w:tabs>
              <w:tab w:val="clear" w:pos="8743"/>
              <w:tab w:val="right" w:pos="9026" w:leader="dot"/>
            </w:tabs>
            <w:rPr/>
          </w:pPr>
          <w:hyperlink w:anchor="__RefHeading___Toc14037349_1280447820">
            <w:r>
              <w:rPr>
                <w:webHidden/>
                <w:rStyle w:val="IndexLink"/>
                <w:rtl w:val="true"/>
              </w:rPr>
              <w:t xml:space="preserve">الصوم </w:t>
            </w:r>
            <w:r>
              <w:rPr>
                <w:rStyle w:val="IndexLink"/>
                <w:rtl w:val="true"/>
              </w:rPr>
              <w:t>:</w:t>
              <w:tab/>
            </w:r>
            <w:r>
              <w:rPr>
                <w:rStyle w:val="IndexLink"/>
              </w:rPr>
              <w:t>35</w:t>
            </w:r>
          </w:hyperlink>
        </w:p>
        <w:p>
          <w:pPr>
            <w:pStyle w:val="Contents2"/>
            <w:tabs>
              <w:tab w:val="clear" w:pos="8743"/>
              <w:tab w:val="right" w:pos="9026" w:leader="dot"/>
            </w:tabs>
            <w:rPr/>
          </w:pPr>
          <w:hyperlink w:anchor="__RefHeading___Toc14037351_1280447820">
            <w:r>
              <w:rPr>
                <w:webHidden/>
                <w:rStyle w:val="IndexLink"/>
                <w:rtl w:val="true"/>
              </w:rPr>
              <w:t xml:space="preserve">الزكاة </w:t>
            </w:r>
            <w:r>
              <w:rPr>
                <w:rStyle w:val="IndexLink"/>
                <w:rtl w:val="true"/>
              </w:rPr>
              <w:t>:</w:t>
              <w:tab/>
            </w:r>
            <w:r>
              <w:rPr>
                <w:rStyle w:val="IndexLink"/>
              </w:rPr>
              <w:t>35</w:t>
            </w:r>
          </w:hyperlink>
        </w:p>
        <w:p>
          <w:pPr>
            <w:pStyle w:val="Contents2"/>
            <w:tabs>
              <w:tab w:val="clear" w:pos="8743"/>
              <w:tab w:val="right" w:pos="9026" w:leader="dot"/>
            </w:tabs>
            <w:rPr/>
          </w:pPr>
          <w:hyperlink w:anchor="__RefHeading___Toc14037353_1280447820">
            <w:r>
              <w:rPr>
                <w:webHidden/>
                <w:rStyle w:val="IndexLink"/>
                <w:rtl w:val="true"/>
              </w:rPr>
              <w:t xml:space="preserve">الخمس </w:t>
            </w:r>
            <w:r>
              <w:rPr>
                <w:rStyle w:val="IndexLink"/>
                <w:rtl w:val="true"/>
              </w:rPr>
              <w:t>:</w:t>
              <w:tab/>
            </w:r>
            <w:r>
              <w:rPr>
                <w:rStyle w:val="IndexLink"/>
              </w:rPr>
              <w:t>36</w:t>
            </w:r>
          </w:hyperlink>
        </w:p>
        <w:p>
          <w:pPr>
            <w:pStyle w:val="Contents2"/>
            <w:tabs>
              <w:tab w:val="clear" w:pos="8743"/>
              <w:tab w:val="right" w:pos="9026" w:leader="dot"/>
            </w:tabs>
            <w:rPr/>
          </w:pPr>
          <w:hyperlink w:anchor="__RefHeading___Toc14037355_1280447820">
            <w:r>
              <w:rPr>
                <w:webHidden/>
                <w:rStyle w:val="IndexLink"/>
                <w:rtl w:val="true"/>
              </w:rPr>
              <w:t xml:space="preserve">الحج </w:t>
            </w:r>
            <w:r>
              <w:rPr>
                <w:rStyle w:val="IndexLink"/>
                <w:rtl w:val="true"/>
              </w:rPr>
              <w:t>:</w:t>
              <w:tab/>
            </w:r>
            <w:r>
              <w:rPr>
                <w:rStyle w:val="IndexLink"/>
              </w:rPr>
              <w:t>36</w:t>
            </w:r>
          </w:hyperlink>
        </w:p>
        <w:p>
          <w:pPr>
            <w:pStyle w:val="Contents2"/>
            <w:tabs>
              <w:tab w:val="clear" w:pos="8743"/>
              <w:tab w:val="right" w:pos="9026" w:leader="dot"/>
            </w:tabs>
            <w:rPr/>
          </w:pPr>
          <w:hyperlink w:anchor="__RefHeading___Toc14037357_1280447820">
            <w:r>
              <w:rPr>
                <w:webHidden/>
                <w:rStyle w:val="IndexLink"/>
                <w:rtl w:val="true"/>
              </w:rPr>
              <w:t xml:space="preserve">الجهاد </w:t>
            </w:r>
            <w:r>
              <w:rPr>
                <w:rStyle w:val="IndexLink"/>
                <w:rtl w:val="true"/>
              </w:rPr>
              <w:t>:</w:t>
              <w:tab/>
            </w:r>
            <w:r>
              <w:rPr>
                <w:rStyle w:val="IndexLink"/>
              </w:rPr>
              <w:t>37</w:t>
            </w:r>
          </w:hyperlink>
        </w:p>
        <w:p>
          <w:pPr>
            <w:pStyle w:val="Contents2"/>
            <w:tabs>
              <w:tab w:val="clear" w:pos="8743"/>
              <w:tab w:val="right" w:pos="9026" w:leader="dot"/>
            </w:tabs>
            <w:rPr/>
          </w:pPr>
          <w:hyperlink w:anchor="__RefHeading___Toc14037359_1280447820">
            <w:r>
              <w:rPr>
                <w:webHidden/>
                <w:rStyle w:val="IndexLink"/>
                <w:rtl w:val="true"/>
              </w:rPr>
              <w:t xml:space="preserve">الأمر بالمعروف والنهي عن المنكر </w:t>
            </w:r>
            <w:r>
              <w:rPr>
                <w:rStyle w:val="IndexLink"/>
                <w:rtl w:val="true"/>
              </w:rPr>
              <w:t>:</w:t>
              <w:tab/>
            </w:r>
            <w:r>
              <w:rPr>
                <w:rStyle w:val="IndexLink"/>
              </w:rPr>
              <w:t>38</w:t>
            </w:r>
          </w:hyperlink>
        </w:p>
        <w:p>
          <w:pPr>
            <w:pStyle w:val="Contents2"/>
            <w:tabs>
              <w:tab w:val="clear" w:pos="8743"/>
              <w:tab w:val="right" w:pos="9026" w:leader="dot"/>
            </w:tabs>
            <w:rPr/>
          </w:pPr>
          <w:hyperlink w:anchor="__RefHeading___Toc14037361_1280447820">
            <w:r>
              <w:rPr>
                <w:webHidden/>
                <w:rStyle w:val="IndexLink"/>
                <w:rtl w:val="true"/>
              </w:rPr>
              <w:t xml:space="preserve">والتولّي والتبرّي </w:t>
            </w:r>
            <w:r>
              <w:rPr>
                <w:rStyle w:val="IndexLink"/>
                <w:rtl w:val="true"/>
              </w:rPr>
              <w:t>:</w:t>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30_212653"/>
      <w:bookmarkStart w:id="1" w:name="pg19230_212653"/>
      <w:bookmarkEnd w:id="1"/>
    </w:p>
    <w:p>
      <w:pPr>
        <w:pStyle w:val="Heading2"/>
        <w:numPr>
          <w:ilvl w:val="1"/>
          <w:numId w:val="1"/>
        </w:numPr>
        <w:rPr/>
      </w:pPr>
      <w:bookmarkStart w:id="2" w:name="pg19230_212653"/>
      <w:bookmarkStart w:id="3" w:name="__RefHeading___Toc14037335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عقائدنا</w:t>
      </w:r>
    </w:p>
    <w:p>
      <w:pPr>
        <w:pStyle w:val="BookText"/>
        <w:rPr/>
      </w:pPr>
      <w:r>
        <w:rPr>
          <w:rFonts w:ascii="Amiri" w:hAnsi="Amiri" w:eastAsia="Amiri" w:cs="Amiri"/>
          <w:color w:val="111111"/>
          <w:sz w:val="28"/>
          <w:sz w:val="28"/>
          <w:szCs w:val="28"/>
          <w:rtl w:val="true"/>
          <w:lang w:bidi="ar-SA"/>
        </w:rPr>
        <w:t>من الكتاب والسنّة والعقل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الشيخ محمود الأرگاني البهبهاني الحائري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3733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عقائدنا من الكتاب والسنة والعقل</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محمود الأرگانيّ البهبهانيّ الحائريّ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كافّة الحقوق محفوظة للناشر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زقاق مير أبو طالبي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البناية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7738936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0251</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30_212657"/>
      <w:bookmarkStart w:id="8" w:name="pg19230_212657"/>
      <w:bookmarkEnd w:id="8"/>
    </w:p>
    <w:p>
      <w:pPr>
        <w:pStyle w:val="Heading2"/>
        <w:numPr>
          <w:ilvl w:val="1"/>
          <w:numId w:val="1"/>
        </w:numPr>
        <w:rPr/>
      </w:pPr>
      <w:bookmarkStart w:id="9" w:name="pg19230_212657"/>
      <w:bookmarkStart w:id="10" w:name="__RefHeading___Toc14037339_1280447820"/>
      <w:bookmarkStart w:id="11" w:name="_Toc3"/>
      <w:bookmarkEnd w:id="9"/>
      <w:bookmarkEnd w:id="10"/>
      <w:r>
        <w:rPr>
          <w:rtl w:val="true"/>
        </w:rPr>
        <w:t xml:space="preserve">الإهداء </w:t>
      </w:r>
      <w:r>
        <w:rPr>
          <w:rtl w:val="true"/>
        </w:rPr>
        <w:t>:</w:t>
      </w:r>
      <w:bookmarkEnd w:id="11"/>
    </w:p>
    <w:p>
      <w:pPr>
        <w:pStyle w:val="BookText"/>
        <w:rPr/>
      </w:pPr>
      <w:r>
        <w:rPr>
          <w:rFonts w:ascii="IRNazanin" w:hAnsi="IRNazanin" w:eastAsia="IRNazanin"/>
          <w:color w:val="111111"/>
          <w:sz w:val="28"/>
          <w:sz w:val="28"/>
          <w:szCs w:val="28"/>
          <w:rtl w:val="true"/>
          <w:lang w:bidi="fa-IR"/>
        </w:rPr>
        <w:t xml:space="preserve">إلى المعصومين وإلى من تمّ الكتاب بجواره الإمام عليّ بن موسى الرضا عليهم السلام ، وإلى أرواح علماء الطائفة الإماميّة الحقّة وعلماء أُسرتي ، بالأخصّ والدي الحجّة الشيخ الميرزا أحمد الأرگاني البهبهاني ، وجدّي الأعلى المرجع الديني آية اللّه الشيخ غلام علي البهبهاني ، وأولاده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 والشيخ علي ، والشيخ مهدي ، والشيخ تقي المولودين في كربلاء المقدّسة قدّس اللّه أسرارهم الزكيّة ، أُهدي ثواب هذا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p>
    <w:p>
      <w:pPr>
        <w:pStyle w:val="BookText"/>
        <w:rPr/>
      </w:pPr>
      <w:r>
        <w:rPr>
          <w:rFonts w:ascii="IRNazanin" w:hAnsi="IRNazanin" w:eastAsia="IRNazanin"/>
          <w:color w:val="111111"/>
          <w:sz w:val="28"/>
          <w:sz w:val="28"/>
          <w:szCs w:val="28"/>
          <w:rtl w:val="true"/>
          <w:lang w:bidi="fa-IR"/>
        </w:rPr>
        <w:t>الشيخ محمود الأرگاني البهبهاني الحائري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230_212659"/>
      <w:bookmarkStart w:id="13" w:name="pg19230_212659"/>
      <w:bookmarkEnd w:id="13"/>
    </w:p>
    <w:p>
      <w:pPr>
        <w:pStyle w:val="Heading2"/>
        <w:numPr>
          <w:ilvl w:val="1"/>
          <w:numId w:val="1"/>
        </w:numPr>
        <w:rPr/>
      </w:pPr>
      <w:bookmarkStart w:id="14" w:name="pg19230_212659"/>
      <w:bookmarkStart w:id="15" w:name="__RefHeading___Toc14037341_1280447820"/>
      <w:bookmarkStart w:id="16" w:name="_Toc4"/>
      <w:bookmarkEnd w:id="14"/>
      <w:bookmarkEnd w:id="15"/>
      <w:r>
        <w:rPr>
          <w:rtl w:val="true"/>
        </w:rPr>
        <w:t>المدخل</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خير خلقه وأفضل بريّته وخاتم رسله ، حبيب قلوبنا وشفيع ذنوبنا ، الذي سُمّي في السماء بأحمد ، وفي الأرض بأبي القاسم محمّد ، وعلى ابن عمّه وصهره ووصيّه والخليفة بلا فصل من بعده ، أميرالمؤمنين الإمام عليّ بن أبي طالب والأئمّة المعصومين من ولده عليهم السلام ، لاسيّما بقيّة اللّه الأعظم الحجّة بن الحسن العسكري عجّل اللّه تعالى فرجه الشريف ، بهم أتولّى ومن أعدائهم أتبرّأ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جعلنا من المتمسّكين بولاية أميرالمؤمنين الإمام عليّ بن أبي طالب والأئمّة المعصومين من ولده ، وله الحمدُ والمنّة على إكمال الدّين وإتمام النّعمة ، واللّعن الدائم على أعدائهم أعداء اللّه من الآن إلى يوم لقاء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الأديان هو خير العلوم البشريّة ، لأنّ به نجاتها في الدنيا والآخرة ، ولذلك بعث اللّه الأنبياء ، ولم يُخل الأرض من حجّة ، فما من قرية إلاّ خلا فيها نذير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حبا اللّه الإنسان بكلّ أنواع النعم ، ووسَّلَ له جميع الوسائل ، ووفّر له كلّ مستلزمات الحياة الكريمة ، ولم يَمُنَّ اللّه على عباده بِنِعَمِهِ الوفيرة من الصحّة والأمان </w:t>
      </w:r>
    </w:p>
    <w:p>
      <w:pPr>
        <w:pStyle w:val="BookText"/>
        <w:rPr/>
      </w:pPr>
      <w:r>
        <w:rPr>
          <w:rFonts w:ascii="Amiri" w:hAnsi="Amiri" w:eastAsia="Amiri" w:cs="Amiri"/>
          <w:color w:val="111111"/>
          <w:sz w:val="28"/>
          <w:sz w:val="28"/>
          <w:szCs w:val="28"/>
          <w:rtl w:val="true"/>
          <w:lang w:bidi="ar-SA"/>
        </w:rPr>
        <w:t xml:space="preserve">والعافية ووو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مَنَّ عليهم ببعث الأنبياء وإرسال الرسل ، فقال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مَنَّ اللّهُ عَلَى الْمُؤْمِنِينَ إِذْ بَعَثَ فِيهِمْ رَسُولاً مِنْ أَنْفُسِهِمْ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وببعثة نبيّنا الخاتم محمّد صلّى اللّه عليه وآله ختمت الرسل ، وبدينه ختمت الأديان ، وبأوصيائه ختم الأوصياء عليهم السلام ، فكان دين الإسلام هو الدين الكامل ، الذي يلبّي جميع حاجات البشر الماديّة والمعنويّة ، الدنيويّة والأُخرويّة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افترقت أُمَّةُ رسول اللّه صلّى اللّه عليه وآله من بعده فرقاً متعدّدة ، كانت الفرقة الناجية منها هي الإماميّة الاثنا عشريّة ، التي اتّبعت أهل بيته الطيّبين الطاهرين عليهم السلام ، الذين قال اللّه تعالى في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والذين قال فيهم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أمان لأهل الأرض كما أنّ النجوم أمان لأهل السماء</w:t>
      </w:r>
      <w:r>
        <w:rPr>
          <w:rStyle w:val="FootnoteAnchor"/>
          <w:rtl w:val="true"/>
        </w:rPr>
        <w:footnoteReference w:id="6"/>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 ، كانت الولاية هي رأسها وأصلها ، بحيث لا يقبل عملُ عاملٍ إلاّ بها</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وفي المذهب الحقّ هناك أُصول للدين وفروع له ، فأمّا الأُصول فهي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 العدل ، النبوّة ، الإمامة ، المعاد ، وهذه الأُصول هي التي لا يجوز فيها التقليد ، ولابدّ من الدليل العقلي للإيمان بها ، كُلٌّ حسب قدرته وطاقته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بحثناها في هذا الكتاب بشيء من التفصيل ، إلاّ العدل ، فإنّا أجّلنا البحث فيه لمجال آخر مستقلّ وذلك لدقّة مسائله وتفرّعها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الفروع ، فهي عشرة ، يجب الإيمان بها من خلال الكتاب والسنّة وروايات المعصومين عليهم السلام ، وهي التي كتبت فيها المطوّلات على مدى الأعصار والأزمان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الصوم ، الزكاة ، الخمس ، الحج ، الجهاد ، الأمر بالمعروف ، النهي عن المنكر ، التولّي لأولياء اللّه ، والتبرّي من أعداء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بحثه في هذا الكتاب هو أُصول الدين كما قدّمنا ، لكنّ هناك مسائل كثيرة رأينا أهميّة ذكرها في هذا المدخل ليقف عليها من أراد الاطّلاع على أُمّهات مسائل مذهب الشيعة الإماميّة الاثني عشريّة ، والتي تمثّل بمجملها عقائد الشيعة وآراءَها ، ذكرناها لكي لا يتعصّب متعصِّب أو يتحامل متحامل على هذا المذهب الحقّ ، فإنّ المتحاملين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جاهلون أو أصحاب أغراض ومطامع دنيويّة كُلّها تجافي العقل والدليل ، وتصبّ في مصبّ الحقد الدفين والفكر الدخيل ، لذلك رأينا إيضاح آرائنا وعقائدنا ، ليتبصّر الجاهل من جهله ، ويكفّ الطامع عن تحامله إن وفّقه اللّه لسبيل الحقّ والرشاد ، فنقول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عقيدة الشيعة الإماميّة هي التوحيد بشهادة أن لا إله إلاّ اللّه وحده لا شريك له ، وأنّه إله واحدٌ أحدٌ فردٌ صمدٌ ، لم يلد ولم يولد ولم يكن له كفواً أحدٌ ، وأنّه </w:t>
      </w:r>
    </w:p>
    <w:p>
      <w:pPr>
        <w:pStyle w:val="BookText"/>
        <w:rPr/>
      </w:pPr>
      <w:r>
        <w:rPr>
          <w:rFonts w:ascii="Amiri" w:hAnsi="Amiri" w:eastAsia="Amiri" w:cs="Amiri"/>
          <w:color w:val="111111"/>
          <w:sz w:val="28"/>
          <w:sz w:val="28"/>
          <w:szCs w:val="28"/>
          <w:rtl w:val="true"/>
          <w:lang w:bidi="ar-SA"/>
        </w:rPr>
        <w:t xml:space="preserve">سميع بصير قدير قائم باقٍ ، وأنّه عالم لا يجهل وقادرٌ لا يعجز ، وغنيّ لا يحتاج ، وأنّه عدلٌ لا يجور ، وأنّه خالق كلّ شيء وليس كمثله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أفعال العباد مخلوقة للّه خلق تقدير لا خلق 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جعل العبد مخيّراً لا مسيّراً ، إذ لا جبر ولا تفويض ولكن أمرٌ بين الأمرين ، وأنّ اللّه لا يأخذ البريء بالسقيم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مَن شَبَّه اللّه بخلقه فقد كفر ، وأنّه لا يُرى ولكن يُدرك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وأنّه ليس بجسم ، وليس في جهة ، ولا يتّحد بغيره ، ولا يحلّ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تعالى متكلّم بمعنى أنّه يُوجِدُ حروفاً وأصواتاً مسموعة قائمة بالأجسام الجماديّة ، كما كلّم موسى من الشجرة فأوجد فيها الحروف والأصوات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سبحانه وتعالى ذو صفاتٍ هي عينُ ذاته ، وأنّه قديم باقٍ لذاته ، وأنّ البقاء ليس شيئاً زائداً على الذات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وعقيدتنا في العدل أنّه سبحانه وتعالى عادل ، لا يفعل القبيح ، وإنّما أفعاله عزّوجلّ لغرض وحكمة ، وإنّا نثبت الحسن والقبح العقليّين ، وأنّه تعالى يريد الطاعات ويكره المعاصي ، وأنّه تعالى لا يعاقب العبد على فعله سبحانه ، ولا يكلّف ما لا يطاق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ولا يأخذ اللّه البريء بالسقيم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وأنّ القول بالجبر باطل محالٌ مخالف للضرورة ، </w:t>
      </w:r>
    </w:p>
    <w:p>
      <w:pPr>
        <w:pStyle w:val="BookText"/>
        <w:rPr/>
      </w:pPr>
      <w:r>
        <w:rPr>
          <w:rFonts w:ascii="Amiri" w:hAnsi="Amiri" w:eastAsia="Amiri" w:cs="Amiri"/>
          <w:color w:val="111111"/>
          <w:sz w:val="28"/>
          <w:sz w:val="28"/>
          <w:szCs w:val="28"/>
          <w:rtl w:val="true"/>
          <w:lang w:bidi="ar-SA"/>
        </w:rPr>
        <w:t xml:space="preserve">ومخالف للعقل والنقل ، ويستلزم الظلم من الباري تعالى عن ذلك علوّاً كبيراً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كَتَبَ رَبُّكُمْ عَلَى نَفْسِهِ الرَّحْمَةَ </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ويجب الرضا بقضاء اللّه وقدره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شبهة المجبّرة في القول بأنّ الكسب مصحّح للعقاب باطلة ، وأنّ الإنسان مريد لأفعاله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التفويض باطل ، ويستلزم سلب القدرة عن الباري تعالى ، والحقّ هو الأمر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ونشهد أنّ محمّداً صلّى اللّه عليه وآله عبده ورسوله وأمينه وصفيّه وصفوته من خلقه وسيّد المرسلين وخاتم النبيّين وأفضل العالمين ، لا نبيّ بعده ، وأنّ جميع ما جاء به محمّد بن عبداللّه صلّى اللّه عليه وآله هو 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وَآمَنُوا بِمَا نُزِّلَ عَلَى مُحَمَّدٍ وَهُوَ الْحَقُّ مِن رَبِّهِمْ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والتصديق به وبجميع من مضى قبله من رسل اللّه وأنبيائه وحججه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 رُسُلِهِ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وأنّ النبوّة أصل عظيم في الدين ، وبها يقع الفرق بين المسلم والكافر ، وأنّ من شهد الشهادتين هو مسلم معصوم الدم والعرض والمال إلاّ بحقٍّ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عقيدتنا أنّه معصوم عن الصغائر والكبائر ، منزّه عن الذنوب والمعاصي ، قبل النبوّة وبعدها ، على سبيل العمد والنسيان ، لا يهمّ بذلك ولا يفعله ، بل هو منزّه عن كلّ رذيلة ومنقصة ، وأنّه منزّه عن دناءة الآباء وعهر الأُمّهات ، بريئاً من </w:t>
      </w:r>
    </w:p>
    <w:p>
      <w:pPr>
        <w:pStyle w:val="BookText"/>
        <w:rPr/>
      </w:pPr>
      <w:r>
        <w:rPr>
          <w:rFonts w:ascii="Amiri" w:hAnsi="Amiri" w:eastAsia="Amiri" w:cs="Amiri"/>
          <w:color w:val="111111"/>
          <w:sz w:val="28"/>
          <w:sz w:val="28"/>
          <w:szCs w:val="28"/>
          <w:rtl w:val="true"/>
          <w:lang w:bidi="ar-SA"/>
        </w:rPr>
        <w:t xml:space="preserve">الرذائل والأفعال الدالّة على الخسّة ، بل إنّ جميع آبائه وأُمّهاته مؤمنون موحّدون حتّى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نقل بعصمة النبيّ صلّى اللّه عليه وآله للزم كثير من المحالات ، ولجاز الطعن بالشرائع ،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ونؤمن بوجوب التصديق بكتاب اللّه الذي نزل على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وهو الكتاب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وأنّه المهيمن على الكتب كلّها ، وأنّه حقّ من فاتحته إلى خاتمه ، نؤمن بمحكمه ومتشابهه ، وخاصّه وعامّه ، ووعده ووعيده ، وناسخه ومنسوخه ، وقصصه وأخباره ، وأنّه معجز لا يقدر أحد من المخلوقين أن يأتي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بِسُورَةٍ مِثْلِهِ </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فِي رَيْبٍ مِمَّا نَزَّلْنَا عَلَى عَبْدِنَا فَأْتُوا بِسُورَةٍ مِن مِثْلِهِ </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بِعَشْرِ سُوَرٍ مِثْلِهِ </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ونؤمن بأنّ أهل البيت عليهم السلام هم القرآن الناطق والراسخون في العلم ، وأنّ الدليل بعد النبي والحجّة على المؤمنين والقائم بأمر المسلمين ، هو أخو </w:t>
      </w:r>
    </w:p>
    <w:p>
      <w:pPr>
        <w:pStyle w:val="BookText"/>
        <w:rPr/>
      </w:pPr>
      <w:r>
        <w:rPr>
          <w:rFonts w:ascii="Amiri" w:hAnsi="Amiri" w:eastAsia="Amiri" w:cs="Amiri"/>
          <w:color w:val="111111"/>
          <w:sz w:val="28"/>
          <w:sz w:val="28"/>
          <w:szCs w:val="28"/>
          <w:rtl w:val="true"/>
          <w:lang w:bidi="ar-SA"/>
        </w:rPr>
        <w:t xml:space="preserve">النبي وخليفته ووصيّه ووليّه والذي كان منه بمنزلة هارون من موسى ، الإمام عليّ بن أبي طالب ، أميرالمؤمنين ، وإمام المتّقين ، وقائد الغرّ المحجّلين ، وأفضل الوصيّين ، ووارث علم النبيّين والمرسلين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 الحسن والحسين سيّدا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عليّ بن الحسين زين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محمّد بن عليّ باقر علم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جعفر بن محمّد الصادق وارث علم الوصيّين والنبيّين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موسى بن جعفر الكاظم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عليّ بن موسى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محمّد بن عليّ الجواد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عليّ بن محمّد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الحسن بن عليّ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الحجّة القائم المنتظر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وأنّهم منصوص عليهم ، فإنّ الإمامة بالنصّ لا بالاختيار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نشهد لهم بالعصمة على حدّ ما ذكرنا في عصمة النبيّ صلّى اللّه عليه وآله ، ونشهد لهم بالوصيّة والإمامة ، وقد نصّ عليهم النبيّ صلّى اللّه عليه وآله تصريحاً وتلويحاً ، تارة بأسمائهم وأعدادهم وترتيبهم ، وتارة بنصّ السابق منهم على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ونؤمن بأنّ الأرض لا تخلو من حجّة للّه على خلقه في كلّ عصر وأوان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الحجّة لساخت الأرض بأهلها</w:t>
      </w:r>
      <w:r>
        <w:rPr>
          <w:rStyle w:val="FootnoteAnchor"/>
          <w:rtl w:val="true"/>
        </w:rPr>
        <w:footnoteReference w:id="24"/>
      </w:r>
      <w:r>
        <w:rPr>
          <w:rFonts w:ascii="Amiri" w:hAnsi="Amiri" w:eastAsia="Amiri" w:cs="Amiri"/>
          <w:color w:val="111111"/>
          <w:sz w:val="28"/>
          <w:sz w:val="28"/>
          <w:szCs w:val="28"/>
          <w:rtl w:val="true"/>
          <w:lang w:bidi="ar-SA"/>
        </w:rPr>
        <w:t xml:space="preserve">وأنّ هؤلاء الاثني عشر هم العروة الوثقى وأئمّة الهدى والحجّة على أهل الدنيا إلى أن يرث اللّه تعالى الأرض ومن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أُولو الأمر الذين أمر اللّه بطاعتهم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طاعتهم طاعة اللّه ، ومعصيتهم معصية اللّه ، ووليّهم وليّ اللّه ، وعدوّهم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نتولّى آخرهم بما تولّينا به أوّلهم ، وأنّ كلّ من خالفهم ضالّ مضلّ مبطل تارك للحقّ والهدى ، ومن مات ولم يعرفهم مات ميتة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يكون الإسلام غير الإيمان ، فكلّ مؤمن مسلم ، وليس كلّ مسلم مؤمناً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وَلكِن قُولُوا أَسْلَمْنَا وَلَمَّا يَدْخُلِ</w:t>
      </w:r>
    </w:p>
    <w:p>
      <w:pPr>
        <w:pStyle w:val="BookText"/>
        <w:rPr/>
      </w:pPr>
      <w:r>
        <w:rPr>
          <w:rFonts w:ascii="Amiri" w:hAnsi="Amiri" w:eastAsia="Amiri" w:cs="Amiri"/>
          <w:color w:val="111111"/>
          <w:sz w:val="28"/>
          <w:sz w:val="28"/>
          <w:szCs w:val="28"/>
          <w:rtl w:val="true"/>
          <w:lang w:bidi="ar-SA"/>
        </w:rPr>
        <w:t xml:space="preserve">الإِيمَانُ فِي قُلُوبِكُمْ </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فمن آمن باللّه ورسوله والأئمّة الاثني عشر فهو مؤمن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اللّه ورسوله على إمامة الأئمّة الاثني عشر ، وعليٌّ عليه السلام أوّلهم وأبوهم ، وهو المدلول عليه بالآيات والروايات من اللّه ورسوله ، وقد أقرّ العامّة بهذه الآيات لكنّهم تمحّلوا وصرفوها عن وجهتها ودلالاتها ، مع أنّها ظاهرة في إمامته وولايته </w:t>
      </w:r>
      <w:r>
        <w:rPr>
          <w:rFonts w:eastAsia="Amiri" w:cs="Amiri" w:ascii="Amiri" w:hAnsi="Amiri"/>
          <w:color w:val="111111"/>
          <w:sz w:val="28"/>
          <w:szCs w:val="28"/>
          <w:rtl w:val="true"/>
          <w:lang w:bidi="ar-SA"/>
        </w:rPr>
        <w:t xml:space="preserve">: </w:t>
      </w:r>
      <w:bookmarkStart w:id="17" w:name="pg19230_212667"/>
    </w:p>
    <w:p>
      <w:pPr>
        <w:pStyle w:val="Heading2"/>
        <w:numPr>
          <w:ilvl w:val="1"/>
          <w:numId w:val="1"/>
        </w:numPr>
        <w:rPr/>
      </w:pPr>
      <w:bookmarkStart w:id="18" w:name="__RefHeading___Toc14037343_1280447820"/>
      <w:bookmarkStart w:id="19" w:name="_Toc5"/>
      <w:bookmarkEnd w:id="17"/>
      <w:bookmarkEnd w:id="18"/>
      <w:r>
        <w:rPr>
          <w:rtl w:val="true"/>
        </w:rPr>
        <w:t>الآيات</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حيث نزلت في أميرالمؤمنين عليه السلام وتصدّقه بخاتمه في حال الصلاة</w:t>
      </w:r>
      <w:r>
        <w:rPr>
          <w:rStyle w:val="FootnoteAnchor"/>
          <w:rtl w:val="true"/>
        </w:rPr>
        <w:footnoteReference w:id="28"/>
      </w:r>
      <w:r>
        <w:rPr>
          <w:rFonts w:ascii="Amiri" w:hAnsi="Amiri" w:eastAsia="Amiri" w:cs="Amiri"/>
          <w:color w:val="111111"/>
          <w:sz w:val="28"/>
          <w:sz w:val="28"/>
          <w:szCs w:val="28"/>
          <w:rtl w:val="true"/>
          <w:lang w:bidi="ar-SA"/>
        </w:rPr>
        <w:t xml:space="preserve">والوليّ هو الأولى والمتصرّف ، وقد أثبت اللّه الولاية لنفسه ثمّ أردفها بولاية الرسول والوصي ، وهذا يدلّ على عموم ولايته عليه السلام كعموم ولاية النبي صلّى اللّه عليه وآله والباري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وقد اعترف أبناء العامّة بنزولها في يوم الغدير ، وأنّ النبي لمّا نزلت هذه الآية بلّغ ولاية أميرالمؤمنين ، ودلالتها على إمامته وولايته أظهر من الشمس في رابعة النهار ، وذلك في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وعادِ من عاداه ، وانصر من نصره ، واخذل من خذله</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حيث أجمع المفسّرون وروى الراوون نزولها في عليّ وفاطمة والحسن </w:t>
      </w:r>
    </w:p>
    <w:p>
      <w:pPr>
        <w:pStyle w:val="BookText"/>
        <w:rPr/>
      </w:pPr>
      <w:r>
        <w:rPr>
          <w:rFonts w:ascii="Amiri" w:hAnsi="Amiri" w:eastAsia="Amiri" w:cs="Amiri"/>
          <w:color w:val="111111"/>
          <w:sz w:val="28"/>
          <w:sz w:val="28"/>
          <w:szCs w:val="28"/>
          <w:rtl w:val="true"/>
          <w:lang w:bidi="ar-SA"/>
        </w:rPr>
        <w:t xml:space="preserve">والحسين عليهم السلام ، وفي هذه الآية من التأكيد على طهارة الإمام عليّ عليه السلام وعصمته من كلّ رجس ودنس ما لا يخفى ، وقد قال ابن حجر الهيتمي في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المفسّرين على أنّها نزلت في عليّ وفاطمة والحسن والحسين عليهم السلام</w:t>
      </w:r>
      <w:r>
        <w:rPr>
          <w:rStyle w:val="FootnoteAnchor"/>
          <w:rtl w:val="true"/>
        </w:rPr>
        <w:footnoteReference w:id="32"/>
      </w:r>
      <w:r>
        <w:rPr>
          <w:rFonts w:ascii="Amiri" w:hAnsi="Amiri" w:eastAsia="Amiri" w:cs="Amiri"/>
          <w:color w:val="111111"/>
          <w:sz w:val="28"/>
          <w:sz w:val="28"/>
          <w:szCs w:val="28"/>
          <w:rtl w:val="true"/>
          <w:lang w:bidi="ar-SA"/>
        </w:rPr>
        <w:t xml:space="preserve">وعليٌّ عليه السلام المطهّر من الرجس ، قال بأنّه هو الأولى والخليفة والوصي والإمام ، فيجب الإذعان لذلك كلّه بمقتضى مفاد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حيث نصّ النبيّ صلّى اللّه عليه وآله بأنّ قرباه المأمور بمودّتهم هم عليّ وفاطمة وابناهما</w:t>
      </w:r>
      <w:r>
        <w:rPr>
          <w:rStyle w:val="FootnoteAnchor"/>
          <w:rtl w:val="true"/>
        </w:rPr>
        <w:footnoteReference w:id="34"/>
      </w:r>
      <w:r>
        <w:rPr>
          <w:rFonts w:ascii="Amiri" w:hAnsi="Amiri" w:eastAsia="Amiri" w:cs="Amiri"/>
          <w:color w:val="111111"/>
          <w:sz w:val="28"/>
          <w:sz w:val="28"/>
          <w:szCs w:val="28"/>
          <w:rtl w:val="true"/>
          <w:lang w:bidi="ar-SA"/>
        </w:rPr>
        <w:t xml:space="preserve">والمودّة هنا ليست مودّة النسب بل مودّة القرب الإلهي ، فنكون مأمورين بوجوب طاعتهم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ولا خلاف في أنّ المباهل بهم هم عليّ وفاطمة والحسنان عليهم السلام</w:t>
      </w:r>
      <w:r>
        <w:rPr>
          <w:rStyle w:val="FootnoteAnchor"/>
          <w:rtl w:val="true"/>
        </w:rPr>
        <w:footnoteReference w:id="36"/>
      </w:r>
      <w:r>
        <w:rPr>
          <w:rFonts w:ascii="Amiri" w:hAnsi="Amiri" w:eastAsia="Amiri" w:cs="Amiri"/>
          <w:color w:val="111111"/>
          <w:sz w:val="28"/>
          <w:sz w:val="28"/>
          <w:szCs w:val="28"/>
          <w:rtl w:val="true"/>
          <w:lang w:bidi="ar-SA"/>
        </w:rPr>
        <w:t xml:space="preserve">وبنصّ القرآن هنا يكون أميرالمؤمنين عليّ عليه السلام هو نفس النبيّ صلّى اللّه عليه وآله ، وهذه النفسيّة تدلّ على أنّ أميرالمؤمنين هو الخليفة والإمام بلا فصل والأولى بالتصرّف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مَّسْؤُولُونَ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حيث روى الجمهور عن النبيّ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مسؤولون عن ولاية عليّ بن أبي طالب عليهما السلام</w:t>
      </w:r>
      <w:r>
        <w:rPr>
          <w:rStyle w:val="FootnoteAnchor"/>
          <w:rtl w:val="true"/>
        </w:rPr>
        <w:footnoteReference w:id="38"/>
      </w:r>
      <w:r>
        <w:rPr>
          <w:rFonts w:ascii="Amiri" w:hAnsi="Amiri" w:eastAsia="Amiri" w:cs="Amiri"/>
          <w:color w:val="111111"/>
          <w:sz w:val="28"/>
          <w:sz w:val="28"/>
          <w:szCs w:val="28"/>
          <w:rtl w:val="true"/>
          <w:lang w:bidi="ar-SA"/>
        </w:rPr>
        <w:t xml:space="preserve">ولا شكّ أنّها دالّة على إمامة عليّ عليه السلام ، لأنّها المسؤول الناس عنها بعد الوحدانيّة والرسالة ، ولا يجوز أحدٌ الصراط حتّى يُسأل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 مَنْ أَرْسَلْنَا مِن قَبْلِكَ مِن رُسُلِنَا </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حيث روى العامّة أنّ النبي لمّا أُسري به جمع اللّه بينه وبين الأنبياء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يا محمّد على ما بُعثتم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على شهادة أن لا إله إلاّ اللّه ، وعلى الإقرار بنبوّتك ، والولاية لعليّ بن أبي طالب عليهما السلام</w:t>
      </w:r>
      <w:r>
        <w:rPr>
          <w:rStyle w:val="FootnoteAnchor"/>
          <w:rtl w:val="true"/>
        </w:rPr>
        <w:footnoteReference w:id="4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أَيَّدَكَ بِنَصْرِهِ وَبِالْمُؤْمِنِينَ </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فقد روى أبو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العرش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 محمّد عبدي ورسولي ، أيّدته بعليّ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أَيَّدَكَ بِنَصْرِهِ 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بعليّ عليه السلام</w:t>
      </w:r>
      <w:r>
        <w:rPr>
          <w:rStyle w:val="FootnoteAnchor"/>
          <w:rtl w:val="true"/>
        </w:rPr>
        <w:footnoteReference w:id="42"/>
      </w:r>
      <w:r>
        <w:rPr>
          <w:rFonts w:ascii="Amiri" w:hAnsi="Amiri" w:eastAsia="Amiri" w:cs="Amiri"/>
          <w:color w:val="111111"/>
          <w:sz w:val="28"/>
          <w:sz w:val="28"/>
          <w:szCs w:val="28"/>
          <w:rtl w:val="true"/>
          <w:lang w:bidi="ar-SA"/>
        </w:rPr>
        <w:t xml:space="preserve">وهذا يدلّ على أنّه أولى من الجميع وإمام الجميع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w:t>
      </w:r>
    </w:p>
    <w:p>
      <w:pPr>
        <w:pStyle w:val="BookText"/>
        <w:rPr/>
      </w:pPr>
      <w:r>
        <w:rPr>
          <w:rFonts w:ascii="Amiri" w:hAnsi="Amiri" w:eastAsia="Amiri" w:cs="Amiri"/>
          <w:color w:val="111111"/>
          <w:sz w:val="28"/>
          <w:sz w:val="28"/>
          <w:szCs w:val="28"/>
          <w:rtl w:val="true"/>
          <w:lang w:bidi="ar-SA"/>
        </w:rPr>
        <w:t xml:space="preserve">لَكُمُ الإِسْلاَمَ دِيناً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حيث روى العامّة عن أبي سعيد الخدري أنّ النبيّ صلّى اللّه عليه وآله دعا الناس إلى عليّ عليه السلام في يوم غدير خم ، وأمر بما تحت الشجرة من الشوك فَقُمَّ ، فدعا عليّاً عليه السلام فأخذ بضبعيه ، فرفعهما حتّى نظر الناس إلى بياض إبطي رسول اللّه صلّى اللّه عليه وآله وعليّ عليه السلام ، ثمّ لم يتفرّقوا حتّى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ورضا الربّ برسالتي والولاية لعليّ بن أبي طالب من بعدي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وعادِ من عاداه ، وانصر من نصره واخذل من خذله</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وروى الحسكاني في شواهد التنزيل عن أبي ذر الغفاري حديثاً 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يابن أبي طالب ، أصبحت مولاي ومولى كلّ مؤمن ومؤمنة ، فلمّا سمع ذلك معاوية بن أبي سفيان اتّكأ على المغيرة بن شعبة وقام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نقرّ لعليّ بولاية ولا نصدّق محمّداً في مقالة ، فأنزل اللّه تعالى على 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هدّداً من اللّه تعالى وانتهاراً</w:t>
      </w:r>
      <w:r>
        <w:rPr>
          <w:rStyle w:val="FootnoteAnchor"/>
          <w:rtl w:val="true"/>
        </w:rPr>
        <w:footnoteReference w:id="4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 محمّد وعليّ وفاطمة والحسن والحسين ، هم أهل الذكر والعلم والعقل والبيان وهم أهل بيت النبوّة ومعدن الرسالة ومختلف الملائكة ، واللّه ما سمّي المؤمن مؤمناً إلاّ كرامةً لأميرالمؤمنين عليه السلام</w:t>
      </w:r>
      <w:r>
        <w:rPr>
          <w:rStyle w:val="FootnoteAnchor"/>
          <w:rtl w:val="true"/>
        </w:rPr>
        <w:footnoteReference w:id="4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حيث روى السدّي عن رسول اللّه صلّى اللّه عليه وآله أنّ ولاية عليّ يتساءلون عنها في قبورهم ، فلا يبقى ميّت في شرق ولا غرب ولا برّ ولا بحر إلاّ ومنكر ونكير يسألانه عن ولاية أميرالمؤمنين بعد الموت ، يقولون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 وما دينك ؟ ومن نبيّك ؟ ومن إمامك</w:t>
      </w:r>
      <w:r>
        <w:rPr>
          <w:rStyle w:val="FootnoteAnchor"/>
          <w:rtl w:val="true"/>
        </w:rPr>
        <w:footnoteReference w:id="5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أخرج الثعلبي في تفسيره عن الإمام جعفر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وآله إذ جاء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سمعتك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حبل اللّه الذي نعتصم به ؟ فضرب النبي صلّى اللّه عليه وآله يده في يد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بهذا هو حبل اللّه المتين</w:t>
      </w:r>
      <w:r>
        <w:rPr>
          <w:rStyle w:val="FootnoteAnchor"/>
          <w:rtl w:val="true"/>
        </w:rPr>
        <w:footnoteReference w:id="53"/>
      </w:r>
      <w:bookmarkStart w:id="20" w:name="pg19230_212672"/>
    </w:p>
    <w:p>
      <w:pPr>
        <w:pStyle w:val="BookText"/>
        <w:rPr/>
      </w:pPr>
      <w:bookmarkEnd w:id="20"/>
      <w:r>
        <w:rPr>
          <w:rFonts w:ascii="Amiri" w:hAnsi="Amiri" w:eastAsia="Amiri" w:cs="Amiri"/>
          <w:color w:val="111111"/>
          <w:sz w:val="28"/>
          <w:sz w:val="28"/>
          <w:szCs w:val="28"/>
          <w:rtl w:val="true"/>
          <w:lang w:bidi="ar-SA"/>
        </w:rPr>
        <w:t xml:space="preserve">والآيات في أميرالمؤمنين عليه السلام وأولاده المعصومين عليهم السلام كثيرة دالّة على إمامتهم وولايتهم وخلافتهم من اللّه ، واستقصاؤها موكول إلى المطوّلات ، لكنّا اخترنا اثنتي عشرة آية منها بعدد الأئمّة عليهم السلام ، ومن أراد المزيد فليطلب ذلك في مظانّه ، هذا ناهيك عمّا روته الشيعة بكلّ فرقها ، اثني عشريّة وزيديّة وإسماعيليّة ، وما روته سائر المذاهب الأُخرى ، فإنّ إمامتهم عليهم السلام من الضروريّات لو لم يكن العناد واللّداد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يَهْدِي إِلَى الْحَقِّ قُلِ اللَّهُ يَهْدِي لِلْحَقِّ أَفَمَن يَهْدِي إِلَى الْحَقِّ أَحَقُّ أَن يُتَّبَعَ أَمْ مَن لاَ يَهِدِّي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54"/>
      </w:r>
    </w:p>
    <w:p>
      <w:pPr>
        <w:pStyle w:val="Heading2"/>
        <w:numPr>
          <w:ilvl w:val="1"/>
          <w:numId w:val="1"/>
        </w:numPr>
        <w:rPr/>
      </w:pPr>
      <w:bookmarkStart w:id="21" w:name="__RefHeading___Toc14037345_1280447820"/>
      <w:bookmarkStart w:id="22" w:name="_Toc6"/>
      <w:bookmarkEnd w:id="21"/>
      <w:r>
        <w:rPr>
          <w:rtl w:val="true"/>
        </w:rPr>
        <w:t>الروايات</w:t>
      </w:r>
      <w:bookmarkEnd w:id="22"/>
    </w:p>
    <w:p>
      <w:pPr>
        <w:pStyle w:val="BookText"/>
        <w:rPr/>
      </w:pPr>
      <w:r>
        <w:rPr>
          <w:rFonts w:ascii="Amiri" w:hAnsi="Amiri" w:eastAsia="Amiri" w:cs="Amiri"/>
          <w:color w:val="111111"/>
          <w:sz w:val="28"/>
          <w:sz w:val="28"/>
          <w:szCs w:val="28"/>
          <w:rtl w:val="true"/>
          <w:lang w:bidi="ar-SA"/>
        </w:rPr>
        <w:t xml:space="preserve">وأمّا ما ورد من السنّة النبويّة في ذلك من كتب العامّة ، فهو كثير كثير لا يمكن استقصاؤه في هذا المدخل ، وإنّما نذكر منه ما يتّسع له المقام ، ويكفي لمن رام الحقّ ، فقد وضح الصبح لذي عينين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فضائل الصحابة بسنده عن سلمان ، عن رسول اللّه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بن أبي طالب نوراً بين يدي اللّه قبل أن يخلق آدم بأربعة عشر ألف عام ، فلمّا خلق اللّه آدم قسّم ذلك النور جزءين ، فجزء أنا وجزءٌ عليّ</w:t>
      </w:r>
      <w:r>
        <w:rPr>
          <w:rStyle w:val="FootnoteAnchor"/>
          <w:rtl w:val="true"/>
        </w:rPr>
        <w:footnoteReference w:id="55"/>
      </w:r>
      <w:r>
        <w:rPr>
          <w:rFonts w:ascii="Amiri" w:hAnsi="Amiri" w:eastAsia="Amiri" w:cs="Amiri"/>
          <w:color w:val="111111"/>
          <w:sz w:val="28"/>
          <w:sz w:val="28"/>
          <w:szCs w:val="28"/>
          <w:rtl w:val="true"/>
          <w:lang w:bidi="ar-SA"/>
        </w:rPr>
        <w:t xml:space="preserve">وهذا الحديث يدلّ على أنّ عليّاً هو نفس رسول اللّه صلّى اللّه عليه وآله في سابق علم اللّه ، فيكون الأفضل ، فيكون هو الخليفة بلا فصل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مع النبيّ صلّى اللّه عليه وآله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ثلاثين أو أربعين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وشربوا ثلاثاً ، ثمّ قال لهم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عنّي ديني ومواعيدي ويكون خليفتي ويكون معي في الجنّة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Style w:val="FootnoteAnchor"/>
          <w:rtl w:val="true"/>
        </w:rPr>
        <w:footnoteReference w:id="57"/>
      </w:r>
      <w:r>
        <w:rPr>
          <w:rFonts w:ascii="Amiri" w:hAnsi="Amiri" w:eastAsia="Amiri" w:cs="Amiri"/>
          <w:color w:val="111111"/>
          <w:sz w:val="28"/>
          <w:sz w:val="28"/>
          <w:szCs w:val="28"/>
          <w:rtl w:val="true"/>
          <w:lang w:bidi="ar-SA"/>
        </w:rPr>
        <w:t xml:space="preserve">وهذا يدلّ على أنّ عليّاً عليه السلام هو الخليفه بلا فصل بنصّ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سلمان الفارسي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وصيّك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من كان وصيّ أخي موسى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وصيّي ووارثي ، يقضي ديني وينجز موعدي عليّ بن أبي طالب</w:t>
      </w:r>
      <w:r>
        <w:rPr>
          <w:rStyle w:val="FootnoteAnchor"/>
          <w:rtl w:val="true"/>
        </w:rPr>
        <w:footnoteReference w:id="58"/>
      </w:r>
      <w:r>
        <w:rPr>
          <w:rFonts w:ascii="Amiri" w:hAnsi="Amiri" w:eastAsia="Amiri" w:cs="Amiri"/>
          <w:color w:val="111111"/>
          <w:sz w:val="28"/>
          <w:sz w:val="28"/>
          <w:szCs w:val="28"/>
          <w:rtl w:val="true"/>
          <w:lang w:bidi="ar-SA"/>
        </w:rPr>
        <w:t xml:space="preserve">وهذا نصّ من النبي صلّى اللّه عليه وآله في أنّ عليّاً عليه السلام وصيّه بنصّ من اللّه كما أنّ يوشع بن نون وصيّ لموسى على نبيّنا وآله وعليه السلام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المغازلي ، بسنده عن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ووارث وإنّ وصيّي ووارثي عليّ بن أبي طالب</w:t>
      </w:r>
      <w:r>
        <w:rPr>
          <w:rStyle w:val="FootnoteAnchor"/>
          <w:rtl w:val="true"/>
        </w:rPr>
        <w:footnoteReference w:id="59"/>
      </w:r>
      <w:r>
        <w:rPr>
          <w:rFonts w:ascii="Amiri" w:hAnsi="Amiri" w:eastAsia="Amiri" w:cs="Amiri"/>
          <w:color w:val="111111"/>
          <w:sz w:val="28"/>
          <w:sz w:val="28"/>
          <w:szCs w:val="28"/>
          <w:rtl w:val="true"/>
          <w:lang w:bidi="ar-SA"/>
        </w:rPr>
        <w:t xml:space="preserve">وهذا أيضاً يدلّ على أنّ جميع الوصايات إنّما هي من اللّه وليست بالانتخاب والشورى ، كما يدلّ على أنّ وصاية عليّ عليه السلام ليست بدعاً من الوصايات ، فهي من اللّه عزّ وجلّ ورسوله صلّى اللّه عليه وآله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واتفق الفريقان على أنّ النبيّ صلّى اللّه عليه وآله لمّا أراد مباهلة نصارى نجران ، خرج بعليّ وفاطمة والحسن والحسين ، فقال أسقف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 إنّي لأرى وجوهاً لو سألوا اللّه أن يزيل جبلاً من مكانه لأزاله ، فلا تباهلوا فتهلكوا ، فكاع النصارى ورضوا بالمصالحة والجزية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العذاب كان قد نزل على أهل نجران ، ولو لاعنوا لمُسخوا قردة وخنازير ولاضطرم عليهم الوادي ناراً ، ولاستأصل اللّه نجران وأهله</w:t>
      </w:r>
      <w:r>
        <w:rPr>
          <w:rStyle w:val="FootnoteAnchor"/>
          <w:rtl w:val="true"/>
        </w:rPr>
        <w:footnoteReference w:id="60"/>
      </w:r>
      <w:r>
        <w:rPr>
          <w:rFonts w:ascii="Amiri" w:hAnsi="Amiri" w:eastAsia="Amiri" w:cs="Amiri"/>
          <w:color w:val="111111"/>
          <w:sz w:val="28"/>
          <w:sz w:val="28"/>
          <w:szCs w:val="28"/>
          <w:rtl w:val="true"/>
          <w:lang w:bidi="ar-SA"/>
        </w:rPr>
        <w:t xml:space="preserve">وهذا يدلّ على أنّهم أشرف الخلق بعد رسول اللّه صلّى اللّه عليه وآله ، فيكون سيّد العترة عليّ هو الخليفة الأوّل والأحقّ بنصّ اللّه عزّ وجلّ ورسوله صلّى اللّه عليه وآله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وتظافرت الرواية وتظاهرت على أنّ النبيّ صلّى اللّه عليه وآله لمّا خرج إلى تبوك استخلف عليّاً عليه السلام على المدينة ،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خلّفه إلاّ استصغاراً لأمره ، فلمّا سمع ذلك أميرالمؤمنين عليه السلام جاء إلى رسول اللّه صلّى اللّه عليه وآله وشكى له ذلك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Style w:val="FootnoteAnchor"/>
          <w:rtl w:val="true"/>
        </w:rPr>
        <w:footnoteReference w:id="61"/>
      </w:r>
      <w:r>
        <w:rPr>
          <w:rFonts w:ascii="Amiri" w:hAnsi="Amiri" w:eastAsia="Amiri" w:cs="Amiri"/>
          <w:color w:val="111111"/>
          <w:sz w:val="28"/>
          <w:sz w:val="28"/>
          <w:szCs w:val="28"/>
          <w:rtl w:val="true"/>
          <w:lang w:bidi="ar-SA"/>
        </w:rPr>
        <w:t xml:space="preserve">فساواه النبي بنفسه من جميع الجهات إلاّ النبوّة ، وذلك لمكان خاتميّة خاتم الرسل ، فيكون أميرالمؤمنين مساوياً لرسول اللّه صلّى اللّه عليه وآله في غير النبوّة ، فيكون أفضل من الجميع وأولى من الجميع بالمسلمين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الجمهور أنّه لمّا كانت حرب الخندق ، ودعا عمروُ بن عبد ودٍّ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منهم 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البراز ، نكصوا إلاّ أميرالمؤمنين عليه السلام ، فلمّا برز عليه السلام إلى عمرو بن عبد ودّ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إلى الشرك كلِّه</w:t>
      </w:r>
      <w:r>
        <w:rPr>
          <w:rStyle w:val="FootnoteAnchor"/>
          <w:rtl w:val="true"/>
        </w:rPr>
        <w:footnoteReference w:id="62"/>
      </w:r>
      <w:r>
        <w:rPr>
          <w:rFonts w:ascii="Amiri" w:hAnsi="Amiri" w:eastAsia="Amiri" w:cs="Amiri"/>
          <w:color w:val="111111"/>
          <w:sz w:val="28"/>
          <w:sz w:val="28"/>
          <w:szCs w:val="28"/>
          <w:rtl w:val="true"/>
          <w:lang w:bidi="ar-SA"/>
        </w:rPr>
        <w:t xml:space="preserve">وهذا يدلّ على أنّ أميرالمؤمنين عليه السلام هو الأكمل والأفضل والأولى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رسول اللّه صلّى اللّه عليه وآله قال في عليّ عليه السلام بعد قتله عمرو بن عبد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عليّ يوم الخندق تعدل عبادة الثقلين</w:t>
      </w:r>
      <w:r>
        <w:rPr>
          <w:rStyle w:val="FootnoteAnchor"/>
          <w:rtl w:val="true"/>
        </w:rPr>
        <w:footnoteReference w:id="63"/>
      </w:r>
      <w:r>
        <w:rPr>
          <w:rFonts w:ascii="Amiri" w:hAnsi="Amiri" w:eastAsia="Amiri" w:cs="Amiri"/>
          <w:color w:val="111111"/>
          <w:sz w:val="28"/>
          <w:sz w:val="28"/>
          <w:szCs w:val="28"/>
          <w:rtl w:val="true"/>
          <w:lang w:bidi="ar-SA"/>
        </w:rPr>
        <w:t xml:space="preserve">وفي هذا الكلام ما لا يخفى من الدلالة على تعيُّن أميرالمؤمنين للخلافة والإمامة والولاية ، لأنّ عملاً واحداً من أعماله عَدَل عبادة الجنّ والإنس ، فكيف بباقي كمالاته وأعماله عليه السلام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العامّة ومنهم أحمد بن حنبل في مسنده من عدّة طرق أنّ النبيّ صلّى اللّه عليه وآله آخى بين الناس وترك عليّاً حتّى بقي آخرهم لا يرى له أخاً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آخيت بين أصحابك وتركتني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تركتك لنفسي ، أنت أخي وأنا أخوك ، فإن ذكرك أحدٌ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وأخو رسوله ، لا يدّعيها بعدي إلاّ كذّاب ، والذي بعثني بالحقّ ما أخّرتك إلاّ لنفسي ، وأنت منّي بمنزلة هارون من موسى إلاّ أنّه لا نبيّ بعدي ، وأنت أخي ووارثي</w:t>
      </w:r>
      <w:r>
        <w:rPr>
          <w:rStyle w:val="FootnoteAnchor"/>
          <w:rtl w:val="true"/>
        </w:rPr>
        <w:footnoteReference w:id="64"/>
      </w:r>
      <w:r>
        <w:rPr>
          <w:rFonts w:ascii="Amiri" w:hAnsi="Amiri" w:eastAsia="Amiri" w:cs="Amiri"/>
          <w:color w:val="111111"/>
          <w:sz w:val="28"/>
          <w:sz w:val="28"/>
          <w:szCs w:val="28"/>
          <w:rtl w:val="true"/>
          <w:lang w:bidi="ar-SA"/>
        </w:rPr>
        <w:t xml:space="preserve">وحديث </w:t>
      </w:r>
    </w:p>
    <w:p>
      <w:pPr>
        <w:pStyle w:val="BookText"/>
        <w:rPr/>
      </w:pPr>
      <w:r>
        <w:rPr>
          <w:rFonts w:ascii="Amiri" w:hAnsi="Amiri" w:eastAsia="Amiri" w:cs="Amiri"/>
          <w:color w:val="111111"/>
          <w:sz w:val="28"/>
          <w:sz w:val="28"/>
          <w:szCs w:val="28"/>
          <w:rtl w:val="true"/>
          <w:lang w:bidi="ar-SA"/>
        </w:rPr>
        <w:t xml:space="preserve">المنزلة من أوضح الأحاديث دلالة على ولاية عليّ عليه السلام وإمامته وخلافته ، فهو يعطي لعليّ مرتبة النبوّة لولا مانعيّة الخاتميّة ، ومن المعلوم أنّ النبيّ كان يؤاخي كلّ واحد مع نظيره في المنزلة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كبار العامّة بأسانيد متعدّدة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النبيّ طائر قد طبخ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الناس إليك يأكل معي ، فجاء عليّ فأكل معه</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ورواه الترمذي</w:t>
      </w:r>
      <w:r>
        <w:rPr>
          <w:rStyle w:val="FootnoteAnchor"/>
          <w:rtl w:val="true"/>
        </w:rPr>
        <w:footnoteReference w:id="66"/>
      </w:r>
      <w:r>
        <w:rPr>
          <w:rFonts w:ascii="Amiri" w:hAnsi="Amiri" w:eastAsia="Amiri" w:cs="Amiri"/>
          <w:color w:val="111111"/>
          <w:sz w:val="28"/>
          <w:sz w:val="28"/>
          <w:szCs w:val="28"/>
          <w:rtl w:val="true"/>
          <w:lang w:bidi="ar-SA"/>
        </w:rPr>
        <w:t xml:space="preserve">ورواه النسائي في الخصائص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كان عنده طائر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الطير ، فجاء أبوبكر فردّه ، ثمّ جاء عمر فردّه ، ثمّ جاء عليّ عليه السلام فأذن له</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ومعلوم أنّ أحبّ الناس إلى اللّه لا يكون إلاّ أفضلهم وأكملهم وأعملهم بطاعة اللّه ، فيكون هو الأحقّ بالإمامة والولاية ، خصوصاً وأنّ النبيّ ردّ أبابكر وعمر عن أكل ذلك الطائر ، وعن الأحبّيّة المذكورة ، فيكون عليّ أولى منهما ومن غيرهما بالإمامة والخلافة بلا فصل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روته العامّة وصحّحته حديث ردّ الشمس مرّتين لأميرالمؤمنين ، المرّة الأُولى في زمان النبيّ صلّى اللّه عليه وآله حيث روى جابر وأبو سعيد الخدري أنّ رسول اللّه صلّى اللّه عليه وآله نزل عليه جبرائيل يوماً يناجيه من عند اللّه ، فلمّا </w:t>
      </w:r>
    </w:p>
    <w:p>
      <w:pPr>
        <w:pStyle w:val="BookText"/>
        <w:rPr/>
      </w:pPr>
      <w:r>
        <w:rPr>
          <w:rFonts w:ascii="Amiri" w:hAnsi="Amiri" w:eastAsia="Amiri" w:cs="Amiri"/>
          <w:color w:val="111111"/>
          <w:sz w:val="28"/>
          <w:sz w:val="28"/>
          <w:szCs w:val="28"/>
          <w:rtl w:val="true"/>
          <w:lang w:bidi="ar-SA"/>
        </w:rPr>
        <w:t xml:space="preserve">تغشّاه الوحي توسّد فخذ أميرالمؤمنين عليه السلام فلم يرفع رأسه حتّى غابت الشمس ، فصلّى عليٌّ العصر بالإيماء ، فلمّا استيقظ النبيّ صلّى اللّه عليه وآله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يردّ عليك الشمس لتصلّي العصر قائماً ، فدعا فردّت الشمس فصلّى العصر قائماً</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وهذه الفضيلة تدلّ على أنّه عليه السلام له الولاية التكوينيّة ، كما أنّها تدلّ على عظم منزلة أميرالمؤمنين عليه السلام ، وأنّه أفضل الأصحاب ، إذ لا تخرق النواميس الطبيعيّة إلاّ للأنبياء والأوصياء عليهم السلام ، فهي كمعجزة شقّ القمر للنبي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العامّة حديث خاصف النعل ، وهو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تأويل القرآن كما قاتلت على تنزيله ، 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 خاصف النعل ، وكان عليٌّ عليه السلام يخصف نَعل رسول اللّه صلّى اللّه عليه وآله في الحجرة وعنده فاطمة عليها السلام</w:t>
      </w:r>
      <w:r>
        <w:rPr>
          <w:rStyle w:val="FootnoteAnchor"/>
          <w:rtl w:val="true"/>
        </w:rPr>
        <w:footnoteReference w:id="6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وتشبيه النبي صلّى اللّه عليه وآله قتال عليّ على التأويل بقتاله صلّى اللّه عليه وآله على التنزيل يفيد تنزيله بمنزلة نفسه ، وأنّه مع الحقّ والحقّ معه يدور معه حيثما دار ، وهو يدلّ من باب الأولى على أنّه الخليفة بلا فصل والإمام المعصوم ، وأنّه لا يقاس به أحدٌ من الصحابة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وحسبنا حديث الثقلين المتواتر ، حيث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 بعدي أبداً ، كتاب اللّه حبل ممدود من السماء إلى الأرض ، وعترتي أهل بيتي ، ألا وإنّهما لن يفترقا حتّى يردا عليَّ الحوض</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قال ابن حجر الهيتمي في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لحديث التمسّك بالثقلين طرقاً كثيرة وردت عن نيّف وعشرين صحابيّاً ، ومرّ له طرق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تلك الطرق أنّه قال ذلك بحجّة الوداع بعرفة ، وفي أُخرى أنّه قاله بالمدينة في مرضه وقد امتلأت الحجرة بأصحابه ، وفي أُخرى أنّه قال ذلك بغدير خم ، وفي أُخرى أنّه قاله لمّا قام خطيباً بعد انصرافه من الطائف ، ولا تنافي ؛ إذ لا مانع من أنّه صلّى اللّه عليه وآله كرّر عليهم ذلك في تلك المواطن وغيرها اهتماماً بشأن الكتاب العزيز والعترة الطاهرة</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وهذا غيض من فيض ما روته العامّة ممّا يدلّ على إمامة عليّ والأحد عشر من أولاده المعصومين عليهم السلام ، وما تركنا ذكره أكثر من ذلك بأضعاف مضاعفة ، بل في حديث الخلفاء الاثني عشر ما فيه كفاية للتدليل على صحّة مذهب الإماميّة الاثني عشريّة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 البخاري ، عن رسول اللّه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اثنا عشر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 ويكون عليهم اثنا عشر خليفة كلّهم من قريش</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وفي مسند أحمد بسنده عن مسروق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عبداللّه بن مسعود وهو يقرئنا القرآن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عبدالرحمان ، هل سألتم رسول اللّه كم يملك هذه الأُمّة من خليفة ؟ فقال عبداللّه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سألني عنها أحدٌ منذ قدمت العراق قبلك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سألنا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بني إسرائيل</w:t>
      </w:r>
      <w:r>
        <w:rPr>
          <w:rStyle w:val="FootnoteAnchor"/>
          <w:rtl w:val="true"/>
        </w:rPr>
        <w:footnoteReference w:id="74"/>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وحديث الثقلين يدلّ على إمامة الأئمّة مع حديث الاثني عشر ، بل كلاهما يدلاّن على وجود الإمام الحجّة المنتظر عجّل اللّه فرجه الشريف ، إذ عدم افتراق القرآن عن العترة حتّى الورود على الحوض ، يقتضي وجود إمام حيّ لا يفترق عن القرآن إلى يوم القيامة ، وليس ذلك إلاّ الإمام المهديّ الذي تقول به الإماميّة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حديث الاثني عشر خليفة ، إذ ليس هناك من طوائف المسلمين من يقول بهذا العدد إلاّ الإماميّة الاثنا عشريّة ، وهذا الحديث يدلّ على إمامتهم بنصّ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تمحّل العامّة تمحّلات تضحك الثكلى ، وحاولوا </w:t>
      </w:r>
    </w:p>
    <w:p>
      <w:pPr>
        <w:pStyle w:val="BookText"/>
        <w:rPr/>
      </w:pPr>
      <w:r>
        <w:rPr>
          <w:rFonts w:ascii="Amiri" w:hAnsi="Amiri" w:eastAsia="Amiri" w:cs="Amiri"/>
          <w:color w:val="111111"/>
          <w:sz w:val="28"/>
          <w:sz w:val="28"/>
          <w:szCs w:val="28"/>
          <w:rtl w:val="true"/>
          <w:lang w:bidi="ar-SA"/>
        </w:rPr>
        <w:t xml:space="preserve">عطف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حديث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خلفاء جورهم فلم يستقم لهم ذلك بوجه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أدلّة الإمامة كثيرة ، صحيحة ، عند الفريقين ، من الكتاب والسنّة والعقل ، لولا أنّ التعصّب والهوى يجرّان أصحابهما إلى إنكار الحقّ والعمى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 عليّاً عليه السلام له معاجز وفضائل قبل ولادته ، وحال ولادته في الكعبة الغرّاء ، وبعد ولادته ، وكان أعلم الناس ، وأخبرهم بالمغيبات ، وأشجعهم ، وأزهدهم ، وأكرمهم ، وأقربهم إلى اللّه عزّ وجلّ ورسوله صلّى اللّه عليه وآله ، وأوّل من صدّق وصلّى ، وأشدّهم جهاداً ، وأقضاهم ، وأشرفهم أُمّاً وأباً وأعماماً وأخوالاً وزوجاً وذرّيّة ، وهو صاحب الحوض واللواء والصراط والإذن لدخول الجنّة ، وأوّل من ينفضّ التراب عن رأسه بعد رسول اللّه صلّى اللّه عليه وآله ، وأوّل من يدخل الجنّة ، وأوّل الناس تصديقاً بالنبيّ صلّى اللّه عليه وآله وآخرهم عهداً به ، وحسبك أنّه لو كانت الأشجار أقلاماً والبحار مداداً والرياض أقلاماً ، والإنس كتّاباً والجنّ حسّاباً لما قدروا على استقصاء فضائل عليّ عليه السلام الذي لا يعرف كنه ذاته إلاّ اللّه والرسول ، ولا يعرف كنه ذات الرسول إلاّ اللّه وعلي ، ولا يعرف كنه ذات اللّه إلاّ الرسول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استعمل عاملاً من المسلمين وهو يعلم أنّ فيهم من هو أولى بذلك وأعلم بكتاب اللّه وسنّة نبيّه فقد خان اللّه ورسوله وجميع المسلمين</w:t>
      </w:r>
      <w:r>
        <w:rPr>
          <w:rStyle w:val="FootnoteAnchor"/>
          <w:rtl w:val="true"/>
        </w:rPr>
        <w:footnoteReference w:id="7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زين العابدين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يوم القيامة ولا ينظر إليهم ولا يزكّيهم ولهم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جحد إماماً من اللّه ، أو ادّعى إماماً </w:t>
      </w:r>
    </w:p>
    <w:p>
      <w:pPr>
        <w:pStyle w:val="BookText"/>
        <w:rPr/>
      </w:pPr>
      <w:r>
        <w:rPr>
          <w:rFonts w:ascii="Amiri" w:hAnsi="Amiri" w:eastAsia="Amiri" w:cs="Amiri"/>
          <w:color w:val="111111"/>
          <w:sz w:val="28"/>
          <w:sz w:val="28"/>
          <w:szCs w:val="28"/>
          <w:rtl w:val="true"/>
          <w:lang w:bidi="ar-SA"/>
        </w:rPr>
        <w:t>من غير اللّه ، أو زعم أنّ لهما في الإسلام نصيباً</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وعقيدتنا في المعاد أنّه معاد جسماني ، وأنّ جاحد المعاد كافر ، وهو الأصل الخامس من أُصول الدين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والقرآن مملوء من ذكر المعاد والتصريح به ، والسنّة النبويّة صرّحت بوقوعه ، والعقل يدلّ على إمكان وقوعه بلا امتناع ، بل الأديان كلّها متّفقة على إمكانه ووقوعه وإن اختُلِفَ في تفاصيل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وعقيدتنا هي استحقاق الثواب على الطاعة ، والعقاب على المعصية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تُجْزَى كُلُّ نَفْسٍ بِمَا كَسَبَتْ </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تُجْزَوْنَ مَا كُنتُمْ تَعْمَلُونَ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وعقيدتنا هي أنّ اللّه تعالى لا يُدخل النار مؤمناً وقد وعده الجنّة ، ولا يُخرج من النار كافراً وقد أوعده الخلود في النار ، وأنّ مذنبي المؤمنين لا يخلدون في النار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وعقيدتنا هي وجود الشفاعة يوم القيامة لأصحاب الكبائر من المذنبين ، وأنّها </w:t>
      </w:r>
      <w:bookmarkStart w:id="23" w:name="pg19230_212682"/>
    </w:p>
    <w:p>
      <w:pPr>
        <w:pStyle w:val="BookText"/>
        <w:rPr/>
      </w:pPr>
      <w:bookmarkEnd w:id="23"/>
      <w:r>
        <w:rPr>
          <w:rFonts w:ascii="Amiri" w:hAnsi="Amiri" w:eastAsia="Amiri" w:cs="Amiri"/>
          <w:color w:val="111111"/>
          <w:sz w:val="28"/>
          <w:sz w:val="28"/>
          <w:szCs w:val="28"/>
          <w:rtl w:val="true"/>
          <w:lang w:bidi="ar-SA"/>
        </w:rPr>
        <w:t xml:space="preserve">جائزة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بعذاب القبر ، وسؤال منكر ونكير ، والبعث بعد الموت ، والميزان والصراط ، والحوض ، والميزان واللوح ، والقلم والعرش والكرسي ، وبخلق الجنّة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ونؤمن بمعراج النبي إلى السماء السابعة ، ومنها إلى سدرة المنتهى ، ومنها إلى حجب النور ، وبمناجاة اللّه عزّ وجلّ إيّاه ، وأنّه عرج به بجسمه وروحه على الصحّة والحقيقة لا على الرؤيا والمنام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لم يكن لأنّ اللّه عزّ وجلّ في مكان هناك لأنّه متعال عن المكان ، ولكنّه عزّ وجلّ عرج به صلّى اللّه عليه وآله تشريفاً له وتعظيماً لمنزلته ، وليريه ملكوت السماوات كما أراه ملكوت الأرض ، ويشاهد ما فيها من عظمة اللّه عزّ وجلّ ، وليخبر أُمّته بما شاهد في العلوّ من الآيات والعلامات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w:t>
      </w:r>
      <w:r>
        <w:rPr>
          <w:rStyle w:val="FootnoteAnchor"/>
          <w:rtl w:val="true"/>
        </w:rPr>
        <w:footnoteReference w:id="84"/>
      </w:r>
    </w:p>
    <w:p>
      <w:pPr>
        <w:pStyle w:val="Heading2"/>
        <w:numPr>
          <w:ilvl w:val="1"/>
          <w:numId w:val="1"/>
        </w:numPr>
        <w:rPr/>
      </w:pPr>
      <w:bookmarkStart w:id="24" w:name="__RefHeading___Toc14037347_1280447820"/>
      <w:bookmarkStart w:id="25" w:name="_Toc7"/>
      <w:bookmarkEnd w:id="24"/>
      <w:r>
        <w:rPr>
          <w:rtl w:val="true"/>
        </w:rPr>
        <w:t xml:space="preserve">الصلاة </w:t>
      </w:r>
      <w:r>
        <w:rPr>
          <w:rtl w:val="true"/>
        </w:rPr>
        <w:t>:</w:t>
      </w:r>
      <w:bookmarkEnd w:id="25"/>
    </w:p>
    <w:p>
      <w:pPr>
        <w:pStyle w:val="BookText"/>
        <w:rPr/>
      </w:pPr>
      <w:r>
        <w:rPr>
          <w:rFonts w:ascii="Amiri" w:hAnsi="Amiri" w:eastAsia="Amiri" w:cs="Amiri"/>
          <w:color w:val="111111"/>
          <w:sz w:val="28"/>
          <w:sz w:val="28"/>
          <w:szCs w:val="28"/>
          <w:rtl w:val="true"/>
          <w:lang w:bidi="ar-SA"/>
        </w:rPr>
        <w:t xml:space="preserve">ومن عقيدتنا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بأنّ الصلاة عمود الدين ، وأنّها أوّل ما يحاسب عليه العبد يوم القيامة من الأعمال ، وأوّل ما يُسأل عنه العبد بعد المعرفة ، فإن قبلت قُبِلَ ما سواها ، وإن ردّت رُدَّ ما سواها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المفروضات من الصلوات في اليوم والليلة خمس صلوات ، وهي سبع عشرة ركعة ، الظهر أربع ركعات ، والعصر أربع ركعات ، والمغرب ثلاث ركعات ، والعشاء الآخرة أربع ركعات ، والغداة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النافلة فهي مثلا الفريضة أربع </w:t>
      </w:r>
    </w:p>
    <w:p>
      <w:pPr>
        <w:pStyle w:val="BookText"/>
        <w:rPr/>
      </w:pPr>
      <w:r>
        <w:rPr>
          <w:rFonts w:ascii="Amiri" w:hAnsi="Amiri" w:eastAsia="Amiri" w:cs="Amiri"/>
          <w:color w:val="111111"/>
          <w:sz w:val="28"/>
          <w:sz w:val="28"/>
          <w:szCs w:val="28"/>
          <w:rtl w:val="true"/>
          <w:lang w:bidi="ar-SA"/>
        </w:rPr>
        <w:t xml:space="preserve">وثلاثون ركعة ، ثمان ركعات قبل الظهر ، وثمان بعدها قبل العصر ، وأربع ركعات بعد المغرب ، وركعتان من جلوس بعد العشاء الآخرة ، تحسبان بركعة ، وهي وتر لمن لم يلحق الوتر آخر الليل ، وصلاة الليل ثماني ركعات ، كلّ ركعتين بتسليمة ، والشفع ركعتان بتسليمة ، والوتر ركعة واحدة ، ونافلة الغداة ركعتان ، فجملة الفرائض والنوافل في اليوم والليلة إحدى وخمسون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السفر ركعتان ، إلاّ المغرب ، فإنّ رسول اللّه صلّى اللّه عليه وآله تركها على حالها في السفر والحضر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والقنوت في كلّ صلاة فريضة نافلة في الركعة الثانية قبل الركوع وبعد القراءة ، وإن أحبّ المصلّي أن يذكر الأئمّة عليهم السلام في قنوته ويصلّي عليهم فليفعل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وتكبيرة الافتتاح واحدة ، وسبع أفضل ، ويجب الجهر ببسم اللّه الرحمن الرحيم في الصلاة عند افتتاح الفاتحة وعند افتتاح السورة بعدها ، وهي آية من القرآن ، وهي أقرب إلى اسم اللّه الأعظم من سواد العين إلى بياضها ، ويستحبّ رفع اليدين في كلّ تكبيرة في الصلاة ، وهو زين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والقراءة في الأوليين من الفريضة الحمد وسورة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للمصلّي أن يسبّح بتسبيح فاطمة الزهراء عليها السلام في دبر كلّ صلاة فريضة ، وهي أربع وثلاثون تكبيرة ، وثلاث وثلاثون تسبيحة ، وثلاث وثلاثون تحميدة ، فإنّه من فعل ذلك بعد الفريضة قبل أن يثني رجليه غفر اللّه له ، ثمّ يصلّي على النبيّ والأئمّة عليهم السلام ، ويدعو لنفسه بما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التكفير في الصلاة ، ولا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فاتحة الكتاب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السجود إلاّ على الأرض أو على ما أنبتت الأرض إلاّ ما أُكل أو لُبس </w:t>
      </w:r>
      <w:r>
        <w:rPr>
          <w:rFonts w:eastAsia="Amiri" w:cs="Amiri" w:ascii="Amiri" w:hAnsi="Amiri"/>
          <w:color w:val="111111"/>
          <w:sz w:val="28"/>
          <w:szCs w:val="28"/>
          <w:rtl w:val="true"/>
          <w:lang w:bidi="ar-SA"/>
        </w:rPr>
        <w:t xml:space="preserve">. </w:t>
      </w:r>
      <w:bookmarkStart w:id="26" w:name="pg19230_212684"/>
    </w:p>
    <w:p>
      <w:pPr>
        <w:pStyle w:val="BookText"/>
        <w:rPr/>
      </w:pPr>
      <w:bookmarkEnd w:id="26"/>
      <w:r>
        <w:rPr>
          <w:rFonts w:ascii="Amiri" w:hAnsi="Amiri" w:eastAsia="Amiri" w:cs="Amiri"/>
          <w:color w:val="111111"/>
          <w:sz w:val="28"/>
          <w:sz w:val="28"/>
          <w:szCs w:val="28"/>
          <w:rtl w:val="true"/>
          <w:lang w:bidi="ar-SA"/>
        </w:rPr>
        <w:t xml:space="preserve">ولا يجوز أن يصلّي التطوّع في جماعة ، لأنّ ذلك بدعة وكلّ بدعة ضلالة ، وكلّ ضلالة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المسح على العمامة ، ولا على القلنسوة ، ولا يجوز المسح على الخفّين والجوربين ، وروت عائشة عن النبي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حسرة يوم القيامة من رأى وضوءه على جلد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أمسح على ظهر عير بالفلاة أحبّ إليّ من أن أمسح على 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تجوز عندنا الصلاة خلف الفاجر ، ولا يقتدى إلاّ بأهل الولاية ، بخلاف العامّة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خلف كلّ برٍّ وفاجر</w:t>
      </w:r>
      <w:r>
        <w:rPr>
          <w:rStyle w:val="FootnoteAnchor"/>
          <w:rtl w:val="true"/>
        </w:rPr>
        <w:footnoteReference w:id="85"/>
      </w:r>
    </w:p>
    <w:p>
      <w:pPr>
        <w:pStyle w:val="Heading2"/>
        <w:numPr>
          <w:ilvl w:val="1"/>
          <w:numId w:val="1"/>
        </w:numPr>
        <w:rPr/>
      </w:pPr>
      <w:bookmarkStart w:id="27" w:name="__RefHeading___Toc14037349_1280447820"/>
      <w:bookmarkStart w:id="28" w:name="_Toc8"/>
      <w:bookmarkEnd w:id="27"/>
      <w:r>
        <w:rPr>
          <w:rtl w:val="true"/>
        </w:rPr>
        <w:t xml:space="preserve">الصوم </w:t>
      </w:r>
      <w:r>
        <w:rPr>
          <w:rtl w:val="true"/>
        </w:rPr>
        <w:t>:</w:t>
      </w:r>
      <w:bookmarkEnd w:id="28"/>
    </w:p>
    <w:p>
      <w:pPr>
        <w:pStyle w:val="BookText"/>
        <w:rPr/>
      </w:pPr>
      <w:r>
        <w:rPr>
          <w:rFonts w:ascii="Amiri" w:hAnsi="Amiri" w:eastAsia="Amiri" w:cs="Amiri"/>
          <w:color w:val="111111"/>
          <w:sz w:val="28"/>
          <w:sz w:val="28"/>
          <w:szCs w:val="28"/>
          <w:rtl w:val="true"/>
          <w:lang w:bidi="ar-SA"/>
        </w:rPr>
        <w:t xml:space="preserve">وعقيدتنا أنّ صيام شهر رمضان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وأنّ صيامه لرؤية هلال شهر رمضان ، وإفطاره لرؤية هلال شوّال ، لقول المعصوم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ولا يجوز الصيام في السفر </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4037351_1280447820"/>
      <w:bookmarkStart w:id="30" w:name="_Toc9"/>
      <w:bookmarkEnd w:id="29"/>
      <w:r>
        <w:rPr>
          <w:rtl w:val="true"/>
        </w:rPr>
        <w:t xml:space="preserve">الزكاة </w:t>
      </w:r>
      <w:r>
        <w:rPr>
          <w:rtl w:val="true"/>
        </w:rPr>
        <w:t>:</w:t>
      </w:r>
      <w:bookmarkEnd w:id="3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واجبة بنصّ الكتاب والسنّة في الأنعام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 وفي </w:t>
      </w:r>
      <w:bookmarkStart w:id="31" w:name="pg19230_212685"/>
    </w:p>
    <w:p>
      <w:pPr>
        <w:pStyle w:val="BookText"/>
        <w:rPr/>
      </w:pPr>
      <w:bookmarkEnd w:id="31"/>
      <w:r>
        <w:rPr>
          <w:rFonts w:ascii="Amiri" w:hAnsi="Amiri" w:eastAsia="Amiri" w:cs="Amiri"/>
          <w:color w:val="111111"/>
          <w:sz w:val="28"/>
          <w:sz w:val="28"/>
          <w:szCs w:val="28"/>
          <w:rtl w:val="true"/>
          <w:lang w:bidi="ar-SA"/>
        </w:rPr>
        <w:t xml:space="preserve">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 وفي الغلاّت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 وفق النُّصُب المذكورة والمفصّلة في الكتب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وتصرف إلى الفقراء والمساكين والعاملين عليها والمؤلّفة قلوبهم وفي الرقاب والغارمين وفي سبيل اللّه وابن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دفعها إلاّ إلى أهل الولاية ، فلا تعطى للكافر ولا لمعتقد غير الحق </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4037353_1280447820"/>
      <w:bookmarkStart w:id="33" w:name="_Toc10"/>
      <w:bookmarkEnd w:id="32"/>
      <w:r>
        <w:rPr>
          <w:rtl w:val="true"/>
        </w:rPr>
        <w:t xml:space="preserve">الخمس </w:t>
      </w:r>
      <w:r>
        <w:rPr>
          <w:rtl w:val="true"/>
        </w:rPr>
        <w:t>:</w:t>
      </w:r>
      <w:bookmarkEnd w:id="33"/>
    </w:p>
    <w:p>
      <w:pPr>
        <w:pStyle w:val="BookText"/>
        <w:rPr/>
      </w:pPr>
      <w:r>
        <w:rPr>
          <w:rFonts w:ascii="Amiri" w:hAnsi="Amiri" w:eastAsia="Amiri" w:cs="Amiri"/>
          <w:color w:val="111111"/>
          <w:sz w:val="28"/>
          <w:sz w:val="28"/>
          <w:szCs w:val="28"/>
          <w:rtl w:val="true"/>
          <w:lang w:bidi="ar-SA"/>
        </w:rPr>
        <w:t xml:space="preserve">وهو واجب في كلّ ما يغنمه المسلم ، من غنائم دار الحرب ، والمعادن ، والكنوز ، وما يخرج من البحر بالغوص ، والمال الحلال المختلط بالحرام ، وما يفضل عن مؤونة السنة له ولعياله من أرباح التجارات والصناعات والزراعات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ويقسم إلى ستّة أقسام ، طبقاً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فيكون ستّة سهام ، ثلاثة للنبي وهي سهم اللّه ورسوله وذي القربى ، ومن بعد النبي هي للإمام المعصوم الذي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للأيتام والمساكين وأبناء السبيل ، ويشترط في الثلاثة الأخيرة أن يكون المُعطى من السادة ؛ وهم كلّ من ينتسب من جهة الأب إلى عبدالمطّلب عليه السلام </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4037355_1280447820"/>
      <w:bookmarkStart w:id="35" w:name="_Toc11"/>
      <w:bookmarkEnd w:id="34"/>
      <w:r>
        <w:rPr>
          <w:rtl w:val="true"/>
        </w:rPr>
        <w:t xml:space="preserve">الحج </w:t>
      </w:r>
      <w:r>
        <w:rPr>
          <w:rtl w:val="true"/>
        </w:rPr>
        <w:t>:</w:t>
      </w:r>
      <w:bookmarkEnd w:id="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 البيت فريضة على المكلّف المستطيع في العمرة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w:t>
      </w:r>
      <w:bookmarkStart w:id="36" w:name="pg19230_212686"/>
    </w:p>
    <w:p>
      <w:pPr>
        <w:pStyle w:val="BookText"/>
        <w:rPr/>
      </w:pPr>
      <w:bookmarkEnd w:id="36"/>
      <w:r>
        <w:rPr>
          <w:rFonts w:ascii="Amiri" w:hAnsi="Amiri" w:eastAsia="Amiri" w:cs="Amiri"/>
          <w:color w:val="111111"/>
          <w:sz w:val="28"/>
          <w:sz w:val="28"/>
          <w:szCs w:val="28"/>
          <w:rtl w:val="true"/>
          <w:lang w:bidi="ar-SA"/>
        </w:rPr>
        <w:t xml:space="preserve">النَّاسِ حِجُّ الْبَيْتِ مَنِ اسْتَطَاعَ إِلَيْهِ سَبِيلاً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وشرائط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وكمال العقل ، والحريّة ، والزاد والراحلة ، وتوفّر المؤونة الكافية ، وإمكان المسير من الصحّة وتخلية السرب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والحاج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 ومفرد ، ومتمتّع بالعمرة إلى الحج ، ولا يجوز لأهل مكّة وحاضريها التمتّع بالعمرة إلى الحج كما يفعله العامّة ، وليس لهم إلاّ القِران والإفراد ؛ لقول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w:t>
      </w:r>
      <w:r>
        <w:rPr>
          <w:rStyle w:val="FootnoteAnchor"/>
          <w:rtl w:val="true"/>
        </w:rPr>
        <w:footnoteReference w:id="91"/>
      </w:r>
    </w:p>
    <w:p>
      <w:pPr>
        <w:pStyle w:val="Heading2"/>
        <w:numPr>
          <w:ilvl w:val="1"/>
          <w:numId w:val="1"/>
        </w:numPr>
        <w:rPr/>
      </w:pPr>
      <w:bookmarkStart w:id="37" w:name="__RefHeading___Toc14037357_1280447820"/>
      <w:bookmarkStart w:id="38" w:name="_Toc12"/>
      <w:bookmarkEnd w:id="37"/>
      <w:r>
        <w:rPr>
          <w:rtl w:val="true"/>
        </w:rPr>
        <w:t xml:space="preserve">الجهاد </w:t>
      </w:r>
      <w:r>
        <w:rPr>
          <w:rtl w:val="true"/>
        </w:rPr>
        <w:t>:</w:t>
      </w:r>
      <w:bookmarkEnd w:id="38"/>
    </w:p>
    <w:p>
      <w:pPr>
        <w:pStyle w:val="BookText"/>
        <w:rPr/>
      </w:pPr>
      <w:r>
        <w:rPr>
          <w:rFonts w:ascii="Amiri" w:hAnsi="Amiri" w:eastAsia="Amiri" w:cs="Amiri"/>
          <w:color w:val="111111"/>
          <w:sz w:val="28"/>
          <w:sz w:val="28"/>
          <w:szCs w:val="28"/>
          <w:rtl w:val="true"/>
          <w:lang w:bidi="ar-SA"/>
        </w:rPr>
        <w:t xml:space="preserve">والجهاد الابتدائي واجب مع الإمام المعصوم أو من نصّبه الإمام المعصوم للجهاد ، وفي زمن الغيبة يجب الجهاد الدفاعي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فرض على كلّ مكلّفٍ ، حُرٍّ ، ذكرٍ ، غيرِ هِمٍّ ، فلا يجب على الصبي والمجنون ، ولا على المرأة ، ولا على الشيخ الهِمّ ، ولا على المملوك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يجب جهادهم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البغاة على الإمام ، وأهل الذمّة إذا أخلّوا بشرائطها ، ومن عدا هؤلاء من أصناف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قتالهم بإلقاء السمّ ، إلاّ إذا انحصر الأمر به فإنّه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قتل المجانين ولا الصبيان ولا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التمثيل بهم ولا الغدر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قطع الأشجار ، ورمي النار ، وتسليط المياه إلاّ مع الضرورة </w:t>
      </w:r>
      <w:r>
        <w:rPr>
          <w:rFonts w:eastAsia="Amiri" w:cs="Amiri" w:ascii="Amiri" w:hAnsi="Amiri"/>
          <w:color w:val="111111"/>
          <w:sz w:val="28"/>
          <w:szCs w:val="28"/>
          <w:rtl w:val="true"/>
          <w:lang w:bidi="ar-SA"/>
        </w:rPr>
        <w:t xml:space="preserve">. </w:t>
      </w:r>
      <w:bookmarkStart w:id="39" w:name="pg19230_212687"/>
    </w:p>
    <w:p>
      <w:pPr>
        <w:pStyle w:val="Heading2"/>
        <w:numPr>
          <w:ilvl w:val="1"/>
          <w:numId w:val="1"/>
        </w:numPr>
        <w:rPr/>
      </w:pPr>
      <w:bookmarkStart w:id="40" w:name="__RefHeading___Toc14037359_1280447820"/>
      <w:bookmarkStart w:id="41" w:name="_Toc13"/>
      <w:bookmarkEnd w:id="39"/>
      <w:bookmarkEnd w:id="40"/>
      <w:r>
        <w:rPr>
          <w:rtl w:val="true"/>
        </w:rPr>
        <w:t xml:space="preserve">الأمر بالمعروف والنهي عن المنكر </w:t>
      </w:r>
      <w:r>
        <w:rPr>
          <w:rtl w:val="true"/>
        </w:rPr>
        <w:t>:</w:t>
      </w:r>
      <w:bookmarkEnd w:id="41"/>
    </w:p>
    <w:p>
      <w:pPr>
        <w:pStyle w:val="BookText"/>
        <w:rPr/>
      </w:pPr>
      <w:r>
        <w:rPr>
          <w:rFonts w:ascii="Amiri" w:hAnsi="Amiri" w:eastAsia="Amiri" w:cs="Amiri"/>
          <w:color w:val="111111"/>
          <w:sz w:val="28"/>
          <w:sz w:val="28"/>
          <w:szCs w:val="28"/>
          <w:rtl w:val="true"/>
          <w:lang w:bidi="ar-SA"/>
        </w:rPr>
        <w:t xml:space="preserve">المعروف هو كلّ فعل حَسَنٍ ، اختصّ بوصفٍ زائد على حسنه ؛ أي حثّ عليه الشارع ، إذا عرف فاعله كونه معروفاً أو 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فعل قبيح ، عرف فاعلُهُ قبحه أو 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واجبانِ إجماعاً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وهما واجبان على الكفاية ، يسقطان بقيام البعض بهما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w:t>
      </w:r>
      <w:r>
        <w:rPr>
          <w:rStyle w:val="FootnoteAnchor"/>
          <w:rtl w:val="true"/>
        </w:rPr>
        <w:footnoteReference w:id="94"/>
      </w:r>
    </w:p>
    <w:p>
      <w:pPr>
        <w:pStyle w:val="Heading2"/>
        <w:numPr>
          <w:ilvl w:val="1"/>
          <w:numId w:val="1"/>
        </w:numPr>
        <w:rPr/>
      </w:pPr>
      <w:bookmarkStart w:id="42" w:name="__RefHeading___Toc14037361_1280447820"/>
      <w:bookmarkStart w:id="43" w:name="_Toc14"/>
      <w:bookmarkEnd w:id="42"/>
      <w:r>
        <w:rPr>
          <w:rtl w:val="true"/>
        </w:rPr>
        <w:t xml:space="preserve">والتولّي والتبرّي </w:t>
      </w:r>
      <w:r>
        <w:rPr>
          <w:rtl w:val="true"/>
        </w:rPr>
        <w:t>:</w:t>
      </w:r>
      <w:bookmarkEnd w:id="43"/>
    </w:p>
    <w:p>
      <w:pPr>
        <w:pStyle w:val="BookText"/>
        <w:rPr/>
      </w:pPr>
      <w:r>
        <w:rPr>
          <w:rFonts w:ascii="Amiri" w:hAnsi="Amiri" w:eastAsia="Amiri" w:cs="Amiri"/>
          <w:color w:val="111111"/>
          <w:sz w:val="28"/>
          <w:sz w:val="28"/>
          <w:szCs w:val="28"/>
          <w:rtl w:val="true"/>
          <w:lang w:bidi="ar-SA"/>
        </w:rPr>
        <w:t xml:space="preserve">وهما فرعان من فروع الدين تبتني عليهما أُصول الدين بالمعنى العام ، وإنّما عُدّا في الفروع باعتبار أنّ دليلهما النقل من الكتاب والسنّة ، لا العقل والاستدلال ، وإلاّ فهما من أعظم أُصول المذهب بل الإسلام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وعقيدتنا هي البراءة من الذين ظلموا آل محمّد صلّى اللّه عليه وآله وهمّوا بإخراجهم وسنّوا ظلمهم وغيّروا سنّة نبيّهم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والبراءة من الناكثين والقاسطين والمارقين ، الذين هتكوا حجاب رسول اللّه صلّى اللّه عليه وآله ونكثوا بيعة إمامهم وأخرجوا المرأة وحاربوا أميرالمؤمنين عليه السلام وقتلوا الشيعة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والبراءة ممّن نفى الأخيار وشرّدهم وآوى الطرداء اللعناء وجعل الأموال دولة بين الأغنياء ، واستعمل السفهاء مثل معاوية وعمرو بن العاص لعينَي رسول اللّه صلّى اللّه عليه وآله ، والبراءة من أشياعهم ، ومن الذين حاربوا أميرالمؤمنين وقتلوا الأنصار والمهاجرين وأهل الفضل والصلاح من السابقين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والبراءة من أهل الاستئثار ومن أبي موسى الأشعري وأهل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كَفَرُوا بَآيَاتِ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وبولاية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كفروا بأن لقوا اللّه بغير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فَحَبِطَتْ أَعْمَالُهُمْ فَلاَ نُقِيمُ لَهُمْ يَوْمَ الْقِيَامَةِ وَزْناً </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هم كلاب أهل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والبراءة من الأنصاب والأزلام أئمّة الضلال وقادة الجور كلّهم ، أوّلهم وآخرهم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 أشباه عاقري الناقة أشقياء الأوّلين والآخرين وممّن يتولاّهم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وعقيدتنا هي الولاية لأميرالمؤمنين عليه السلام وأولاده الأحد عشر المعصومين ، وحبّ الذين مضوا على منهاج نبيّهم ولم يغيّروا ولم يبدّلوا ، مثل سلمان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الفارسي وأبي ذر الغفاري والمقداد بن الأسود وعمّار بن ياسر وحذيفة بن اليمان وأبي الهيثم بن التيّهان وسهل بن حنيف وعبادة بن الصامت وأبي أيّوب الأنصاري وخزيمة بن ثابت ذي الشهادتين وأمثالهم ، والحبّ لأتباعهم وأشياعهم والمهتدين </w:t>
      </w:r>
    </w:p>
    <w:p>
      <w:pPr>
        <w:pStyle w:val="BookText"/>
        <w:rPr/>
      </w:pPr>
      <w:r>
        <w:rPr>
          <w:rFonts w:ascii="Amiri" w:hAnsi="Amiri" w:eastAsia="Amiri" w:cs="Amiri"/>
          <w:color w:val="111111"/>
          <w:sz w:val="28"/>
          <w:sz w:val="28"/>
          <w:szCs w:val="28"/>
          <w:rtl w:val="true"/>
          <w:lang w:bidi="ar-SA"/>
        </w:rPr>
        <w:t xml:space="preserve">بهداهم والسالكين منهاجهم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للّه والبغض للّه ، والحبّ في اللّه والبغض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ألست إمام الناس كلّهم أجمعين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إلى الناس أجمعين ، ولكن سيكون من بعدي أئمّة على الناس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يقومون في الناس فيُكَذَّبون ويظلمهم أئمّة الكفر والضلال وأشياعهم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والاهم واتّبعهم وصدّقهم فهو منّي ومعي وسيلقاني ، ألا ومن ظلمهم وكذّبهم فليس منّي ولا معي وأنا منه بريء</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قال اللّه تعالى في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وفي صحيح البخاري بسنده عن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بضعة منّي يريبني ما رابها ويؤذيني ما آذاها</w:t>
      </w:r>
      <w:r>
        <w:rPr>
          <w:rStyle w:val="FootnoteAnchor"/>
          <w:rtl w:val="true"/>
        </w:rPr>
        <w:footnoteReference w:id="10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الثعلبي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من ظلم أهل بيتي وآذاني في عترتي</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وحين جاء الشيخان ليعتذرا من فاطمة عليها السلام ، لم تقبل عذرهما ، وقالت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آذيتماني</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فلابدّ من التبرّي ممّن ظلم أميرالمؤمنين عليّاً عليه السلام ، وفاطمة الزهراء عليها السلام ، ومن خانوا الإمام الحسن عليه السلام وانتهبوا خباءه وطعنوه ، وممّن تآمر فدسّ له السمّ بواسطة جعدة بنت الأشعث ، وممّن اجتمعوا على قتل الإمام السبط أبي عبداللّه الحسين عليه السلام ، ومن أعانهم ، ورضي بفعلهم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العجائب قول سعدالدين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وقع بين الصحابة من المحاربات والمشاجرات على الوجه المسطور في كتب التواريخ ، والمذكور على ألسنة الثقات ، يدلّ بظاهره على أنّ بعضهم قد حاد عن طريق الحق ، وبلغ حدّ الظلم والفسق ، وكان الباعث له الحقد والعناد ، والحسد واللداد ، وطلب الملك والرئاسة ، والميل إلى الشهوات ؛ إذ ليس كلّ صحابي معصوماً ، ولا كلّ من لقي النبي بالخير موسوماً ، إلاّ أنّ العلماء لحسن ظنّهم بأصحاب رسول اللّه ذكروا لها محامل وتأويلات بها تليق ، وذهبوا إلى أنّهم محفوظون عمّا يوجب التضليل والتفسيق ، صوناً لعقائد المسلمين عن الزيغ والضلالة في حقّ كبار الصحابة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جرى بعدهم من الظلم على أهل بيت النبي صلّى اللّه عليه وآله فمن الظهور بحيث لا مجال للإخفاء ، ومن الشناعة بحيث لا اشتباه على الآراء ، إذ تكاد تشهد به الجماد والعجماء ، ويبكي له من في الأرض والسماء ، وتنهدّ منه الجبال ، وتنشقّ الصخور ، ويبقى سوء عمله على كرّ الشهور ومرّ الدهور ، فلعنة اللّه على من باشر أو رضي أو سعى ، ولعذاب الآخرة أشدّ وأبقى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علماء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يجوّز اللعن على يزيد ، مع علمهم بأنّه يستحقّ ما يربو على ذلك ويزيد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تحامياً عن أن يرتقى إلى الأعلى فالأعلى ، كما هو شعار الروافض على ما يُروى في أدعيتهم ويجري في أنديتهم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يخفى عليه الجواز والاستحقاق</w:t>
      </w:r>
      <w:r>
        <w:rPr>
          <w:rStyle w:val="FootnoteAnchor"/>
          <w:rtl w:val="true"/>
        </w:rPr>
        <w:footnoteReference w:id="103"/>
      </w:r>
      <w:r>
        <w:rPr>
          <w:rFonts w:ascii="Amiri" w:hAnsi="Amiri" w:eastAsia="Amiri" w:cs="Amiri"/>
          <w:color w:val="111111"/>
          <w:sz w:val="28"/>
          <w:sz w:val="28"/>
          <w:szCs w:val="28"/>
          <w:rtl w:val="true"/>
          <w:lang w:bidi="ar-SA"/>
        </w:rPr>
        <w:t xml:space="preserve">هذا كلامه وما عشت أراك الدهر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شرح العقائد النسفيّة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رضا يزيد بقتل الحسين وإهانته أهل بيت رسول اللّه ممّا تواتر معناه ، وإن كان تفاصيله آحاداً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نتوقّف في شأنه بل في كفره لعنة اللّه عليه وعلى أنصاره وعلى أعوانه</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وعلى هذا فلابدّ للمرء المسلم أن يحزن لحزن النبي على أهل بيته ، ويقيم المآتم عليهم في كلّ مناسبة من مناسبات الحزن ، ولا تحصل البراءة من أعداء اللّه إلاّ بذلك ، وبإحياء أمرهم عليهم السلام ، وإقامة التعازي في مصائبهم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المحبّ الطبري في ذخائر العقبى عن ابن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النبي صلّى اللّه عليه وآله باكياً قطّ أشدّ من بكائه على حمزة بن عبدالمطّلب لمّا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ووضعه في القبر ثمّ وقف صلّى اللّه عليه وآله على جنازته وانتحب حتّى نشغ من البكاء</w:t>
      </w:r>
      <w:r>
        <w:rPr>
          <w:rStyle w:val="FootnoteAnchor"/>
          <w:rtl w:val="true"/>
        </w:rPr>
        <w:footnoteReference w:id="10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عبدالبر في الاستيعاب وغيره أنّ النبيّ صلّى اللّه عليه وآله لمّا رأى حمزة قتيلاً بكى ، فلمّا رأى ما مُثِّل به شهق</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وروى الواقدي أنّ النبيّ صلّى اللّه عليه وآله كان يومئذٍ إذا بكت صفيّة يبكي وإذا نشجت ينشج ، وجعلت فاطمة تبكي ، فلمّا بكت بكى رسول اللّه صلّى اللّه عليه وآله</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ولمّا رجع رسول اللّه صلّى اللّه عليه وآله من أُحد جعلت نساء الأنصار يبكين على من قتل من أزواجهنّ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حمزةَ لا بواكيَ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نام فانتبه وهُنّ يبكين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اليوم إذاً يبكين ويندبنَ حمزة</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وروى ابن قدامة في المغني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 السلام أخذت قبضة من تراب قبر النبي صلّى اللّه عليه وآله فوضعتها على عينها ،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عُدنَ لياليا</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وروى ابن سعد في الطبقات الكبرى أنّ صفيّة بنت عبدالمطّلب ندبت النبي صلّى اللّه عليه وآله ورثته ، فكان فيما ندبته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بدمعة تسكابِ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المطهّر الأوّاب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واندبي المصطفى فعمّي وخصّي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بدموع غزيرة الأسرابِ </w:t>
      </w:r>
    </w:p>
    <w:p>
      <w:pPr>
        <w:pStyle w:val="BookText"/>
        <w:rPr/>
      </w:pPr>
      <w:r>
        <w:rPr>
          <w:rFonts w:ascii="Amiri" w:hAnsi="Amiri" w:eastAsia="Amiri" w:cs="Amiri"/>
          <w:color w:val="111111"/>
          <w:sz w:val="28"/>
          <w:sz w:val="28"/>
          <w:szCs w:val="28"/>
          <w:rtl w:val="true"/>
          <w:lang w:bidi="ar-SA"/>
        </w:rPr>
        <w:t xml:space="preserve">عين من تندبين بعد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اللّه‌ُ ربُّنا بالكتاب</w:t>
      </w:r>
    </w:p>
    <w:p>
      <w:pPr>
        <w:pStyle w:val="BookText"/>
        <w:rPr/>
      </w:pPr>
      <w:r>
        <w:rPr>
          <w:rFonts w:ascii="Amiri" w:hAnsi="Amiri" w:eastAsia="Amiri" w:cs="Amiri"/>
          <w:color w:val="111111"/>
          <w:sz w:val="28"/>
          <w:sz w:val="28"/>
          <w:szCs w:val="28"/>
          <w:rtl w:val="true"/>
          <w:lang w:bidi="ar-SA"/>
        </w:rPr>
        <w:t xml:space="preserve">فاتح خاتم رحيم 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القيل طيّب الأثوابِ</w:t>
      </w:r>
    </w:p>
    <w:p>
      <w:pPr>
        <w:pStyle w:val="BookText"/>
        <w:rPr/>
      </w:pPr>
      <w:r>
        <w:rPr>
          <w:rFonts w:ascii="Amiri" w:hAnsi="Amiri" w:eastAsia="Amiri" w:cs="Amiri"/>
          <w:color w:val="111111"/>
          <w:sz w:val="28"/>
          <w:sz w:val="28"/>
          <w:szCs w:val="28"/>
          <w:rtl w:val="true"/>
          <w:lang w:bidi="ar-SA"/>
        </w:rPr>
        <w:t xml:space="preserve">مشفق ناصح شفيق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إلهنا الوهّاب</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هذا وقد رثى عليّ وفاطمة عليهما السلام وكثير من الصحابة والصحابيّات رسول اللّه صلّى اللّه عليه وآله بشتّى المراثي ، وندبوه بشتّى الندب</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وهناك روايات كثيرة أُخرى في البكاء والرثاء طفحت بها كتب العامّة الروائيّة والتاريخيّة وكتب السِّيَر والتراجم ، لكنّنا أعرضنا عنها هنا خشية الإطالة ، فإنّ لذكر ذلك بالتفصيل مجالاً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لا نرى من يمنع البكاء على مصائب أهل البيت عليهم السلام وخصوصاً الإمام الحسين عليه السلام إلاّ متحاملاً ظالماً راضياً بما فعله الأوّلون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بكت على الحسين السماوات والأرض ، وما رفع حجر إلاّ وجد تحته دم عبيط ، وانطمست النجوم ، واضطربت الكواكب ، وناحت عليه الجنّ ، واحمرّت الآفاق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العلاء المعرّي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الأُفق من دماء الشهيدي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عليٍّ ونجله شاهدان</w:t>
      </w:r>
    </w:p>
    <w:p>
      <w:pPr>
        <w:pStyle w:val="BookText"/>
        <w:rPr/>
      </w:pPr>
      <w:r>
        <w:rPr>
          <w:rFonts w:ascii="Amiri" w:hAnsi="Amiri" w:eastAsia="Amiri" w:cs="Amiri"/>
          <w:color w:val="111111"/>
          <w:sz w:val="28"/>
          <w:sz w:val="28"/>
          <w:szCs w:val="28"/>
          <w:rtl w:val="true"/>
          <w:lang w:bidi="ar-SA"/>
        </w:rPr>
        <w:t>فهما في أواخر الليل فج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ران وفي أولياته شفقانِ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والمعاجز الكونيّة والتكوينيّة التي حصلت عند شهادة الإمام الحسين عليه السلام وخوارق النواميس تدلّ على عظم وفداحة هذه الفاجعة العظمى والمصيبة </w:t>
      </w:r>
    </w:p>
    <w:p>
      <w:pPr>
        <w:pStyle w:val="BookText"/>
        <w:rPr/>
      </w:pPr>
      <w:r>
        <w:rPr>
          <w:rFonts w:ascii="Amiri" w:hAnsi="Amiri" w:eastAsia="Amiri" w:cs="Amiri"/>
          <w:color w:val="111111"/>
          <w:sz w:val="28"/>
          <w:sz w:val="28"/>
          <w:szCs w:val="28"/>
          <w:rtl w:val="true"/>
          <w:lang w:bidi="ar-SA"/>
        </w:rPr>
        <w:t xml:space="preserve">الكبرى ، وهذه كلّها مسطورة مذكورة في كتب الحديث والتواريخ والتراجم من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روايات الإخبارات النبويّة بالشهادة الحسينيّة من طرق العامّة فقدقاربت العشرين صحابيّاً ، أكثرها صحاح وحسان ، فقد روى ذلك عن النبي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الفضل بنت الحارث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المسور بن مخرمة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مالك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أبوالطفيل عامر بن واثلة الكناني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أمامة الباهلي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عمرو بن العاص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مولى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الحارث الكاهلي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أسد استشهد مع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سلمة ، روى ذلك عنها ثمانية من التابعين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أبي بكر ، روى ذلك عنها خمسة من التابعين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وعائشة أو أُمّ سلمة على الترديد من الراوي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العبّاس ، روى ذلك عنه ثلاثة من التابعين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أميرالمؤمنين عليّ بن أبي طالب عليه السلام ، روى ذلك عنه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 الصحابة والتابعين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رؤيا عبداللّه بن العبّاس في يوم عاشوراء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رؤيا أُمّ سلمة في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إخبار أهل الكتاب باستشهاده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في رواية كعب الأحبار ، ورأس الجالوت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العامّة بأسانيدهم الصحاح عن عمّار بن أبي عمّار ، عن عبداللّه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وآله فيما يرى النائم بنصف النهار وهو قائم</w:t>
      </w:r>
    </w:p>
    <w:p>
      <w:pPr>
        <w:pStyle w:val="BookText"/>
        <w:rPr/>
      </w:pPr>
      <w:r>
        <w:rPr>
          <w:rFonts w:ascii="Amiri" w:hAnsi="Amiri" w:eastAsia="Amiri" w:cs="Amiri"/>
          <w:color w:val="111111"/>
          <w:sz w:val="28"/>
          <w:sz w:val="28"/>
          <w:szCs w:val="28"/>
          <w:rtl w:val="true"/>
          <w:lang w:bidi="ar-SA"/>
        </w:rPr>
        <w:t xml:space="preserve">أشعث أغبر ، بيده قارورة فيها دم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 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دم الحسين عليه السلام وأصحابه لم أزل ألتقطه منذ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فأحصينا ذلك اليوم فوجوده قُتِل عليه السلام في ذلك اليوم</w:t>
      </w:r>
      <w:r>
        <w:rPr>
          <w:rStyle w:val="FootnoteAnchor"/>
          <w:rtl w:val="true"/>
        </w:rPr>
        <w:footnoteReference w:id="11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عساكر بسند حسن عن عليّ بن زيد بن جدعان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استيقظ ابن عبّاس من نومه فاسترجع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واللّه‌ِ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يابن عبّاس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ومعه زجاجة من 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ما صنعت أُمّتي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ابني الحسين ، وهذا دمه ودم أصحابه أرفعها إلى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ذلك اليوم الذي قال فيه وتلك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لبثوا إلاّ أربعة وعشرين يوماً حتّى جاءهم الخبر بالمدينة أنّه قتل ذلك اليوم وتلك الساعة</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وروى الترمذي بسند حَسَن ، عن سلمى البكريّة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وهي تبكي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 ولحيته التراب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آنفاً</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فهذا رسول اللّه صلّى اللّه عليه وآله يبكي الحسين عليه السلام في كربلاء ، ورأسه أشعث أغبر ، وبيده قارورة من دم ، وهو يشكو من ظلم أُمّته لسبطه الشهيد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من طرق الخاصّة بكاء جميع الأنبياء من لدن آدم حتّى نبيّنا محمّد صلّى اللّه عليه وآله على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منع ذلك فعليه لعنة</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رسول اللّه يحيا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اليوم عليه للعزا</w:t>
      </w:r>
    </w:p>
    <w:p>
      <w:pPr>
        <w:pStyle w:val="BookText"/>
        <w:rPr/>
      </w:pPr>
      <w:r>
        <w:rPr>
          <w:rFonts w:ascii="Amiri" w:hAnsi="Amiri" w:eastAsia="Amiri" w:cs="Amiri"/>
          <w:color w:val="111111"/>
          <w:sz w:val="28"/>
          <w:sz w:val="28"/>
          <w:szCs w:val="28"/>
          <w:rtl w:val="true"/>
          <w:lang w:bidi="ar-SA"/>
        </w:rPr>
        <w:t xml:space="preserve">وقال الشيخ كاظم الأزري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المحاجر لا تبكي عليك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أبكيت واللّه حتّى محجر الحجر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عقيدتنا استحباب بناء ضرائح النبيّ صلّى اللّه عليه وآله والأئمّة عليهم السلام وقبورهم ، وتجديدها ، والتوسّل إلى اللّه عندها ، فهي من مساجد اللّه ، ومن محالّ العبادة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نقل الكثير من العامّة تبرّك المسلمين بل والعلماء بآثار الصالحين</w:t>
      </w:r>
      <w:r>
        <w:rPr>
          <w:rStyle w:val="FootnoteAnchor"/>
          <w:rtl w:val="true"/>
        </w:rPr>
        <w:footnoteReference w:id="115"/>
      </w:r>
      <w:r>
        <w:rPr>
          <w:rFonts w:ascii="Amiri" w:hAnsi="Amiri" w:eastAsia="Amiri" w:cs="Amiri"/>
          <w:color w:val="111111"/>
          <w:sz w:val="28"/>
          <w:sz w:val="28"/>
          <w:szCs w:val="28"/>
          <w:rtl w:val="true"/>
          <w:lang w:bidi="ar-SA"/>
        </w:rPr>
        <w:t xml:space="preserve">ولم يعاند في ذلك إلاّ الوهّابيّون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الحنبلي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الدفن في المقبرة التي يكثر فيها الصالحون والشهداء لتناله بركتهم ، وكذلك في البقاع الشريفة</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وقال الغزالي في 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يسافر لأجل العبادة ، إمّا لحجٍّ أو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جملته زيارة قبور الأنبياء وزيارة قبور الصحابة والتابعين وسائر العلماء والأولياء وكلّ من يتبرّك بمشاهدته في حياته يتبرّك بزيارته بعد وفاته ، ويجوز شدّ الرحال لهذا الغرض</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وقال السمهودي في كتابه وفاء الوفاء عن قبر صهيب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جرّبوا تراب قبر صهيب للحمّى</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وقد روى العامّة في تراب المدينة المنوّرة عن النبي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غبار المدينة يبرئ الجذام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غبارها شفاء من كلّ داء</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وقال الحاكم في المستدرك وابن الجوزيّ في صفة الصفوة عن قبر أبي أيّوب الأنصاري ، يتعاهدون قبره ويزورونه ويستسقون به إذا قحطوا</w:t>
      </w:r>
      <w:r>
        <w:rPr>
          <w:rStyle w:val="FootnoteAnchor"/>
          <w:rtl w:val="true"/>
        </w:rPr>
        <w:footnoteReference w:id="12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بدع ولا غرابة في أن يكون الإمام الحسين عليه السلام ، الشفاء في تربته ، </w:t>
      </w:r>
    </w:p>
    <w:p>
      <w:pPr>
        <w:pStyle w:val="BookText"/>
        <w:rPr/>
      </w:pPr>
      <w:r>
        <w:rPr>
          <w:rFonts w:ascii="Amiri" w:hAnsi="Amiri" w:eastAsia="Amiri" w:cs="Amiri"/>
          <w:color w:val="111111"/>
          <w:sz w:val="28"/>
          <w:sz w:val="28"/>
          <w:szCs w:val="28"/>
          <w:rtl w:val="true"/>
          <w:lang w:bidi="ar-SA"/>
        </w:rPr>
        <w:t>واستجابة الدعاء تحت قبّته ، والأئمّة من ذرّيّته</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وروى 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عوّض الحسين عليه السلام من قتله بأربع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الشفاء في تربته ، وإجابة الدعاء تحت قبّته ، والأئمّة من ذرّيّته ، وأن لا يَعُدَّ أيّام زائريه من أعمارهم</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وقد اعترف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عاميّ متعصّب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لقبر عليّ بن موسى الرضا عليهما السلام من أثر في استجابة الدعاء وحلّ المشكلات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عليّ بن موسى الرضا بطوس من شربة سقاه إيّاها المأمون فمات من 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بسناباذ خارج النوقان مشهور 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زرته مراراً كثيرة ، وما حلّت بي شدّة في وقت مقامي بطوس فزرت قبر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جدّه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 اللّه إزالتها عنّي إلاّ استجيبت لي وزالت عنّي تلك الشدّة ، وهذا شيء جرّبته مراراً فوجدته كذلك</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هذه نبذ وجُمل مهمّة من عقائدنا ، ذكرناها ليقف من يريد الحقيقة عليها بأقرب الطرق وأسهلها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شرائط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والإخلاص ، والتوكّل ، والرضا ، والتسليم ، والورع ، والاجتهاد ، والزهد ، والعبادة ، والصدق ، والوفاء ، وأداء الأمانة إلى البرّ والفاجر ، والبرّ بالوالدين ، واستعمال المروءة ، والصبر ، والشجاعة ، واجتناب المحارم ، وقطع الطمع عمّا في أيدي الناس ، ومواساة الإخوان ، والمكافأة على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الصنائع ، وشكر المنعم ، والثناء على المحسن ، والقناعة ، وصلة الرحم ، وبرّ الآباء والأُمّهات ، وحسن المجاورة ، والإنصاف ، والإيثار ، ومصاحبة الأخيار ، ومجانبة الأشرار ، ومعاشرة الناس بالجميل ، والتسليم على جميع الناس مع الاعتقاد بأنّ سلام اللّه لا ينال الظالمين ، وإكرام المسلم ذي الشيبة ، وتوقير الكبير ، ورحمة الصغير ، وإكرام كريم كلِّ قومٍ ، والتواضع ، والتخشّع ، وكثرة ذكر اللّه عزّ وجلّ ، وتلاوة القرآن ، والدعاء ، والإغضاء ، والاحتمال ، والمجاملة ، والتقيّة ، وحسن الصحابة ، وكظم الغيظ ، والتعطّف على الفقراء والمساكين ، ومشاركتهم في المعيشة ، وتقوى اللّه في السرّ والعلانية ، والإحسان إلى النساء وما ملكت الأيمان ، وحفظ اللسان إلاّ من خير ، وحسن الظنّ باللّه عزّ وجلّ ، والندم على الذنب ، واستعمال السخاء والجود ، والاعتراف بالتقصير ، واستعمال جميع مكارم الأفعال والأخلاق للدين والدنيا ، واجتناب مذامّها في الجملة والتفصيل ، واجتناب الغضب ، والسخط ، والحميّة ، والعصبيّة ، والكِبَر ، والتجبّر ، واحتقار الناس ، والفخر ، والعجب ، والبذاء ، والفحش ، والبغي ، وقطيعة الرحم ، والحسد ، والحرص ، والشَّرَه ، والطمع ، والخُرْق ، والجهل ، والسَّفَه ، والكذب ، والخيانة ، والفسق والفجور ، واليمين الكاذبة ، وكتمان الشهادة ، والشهادة بالزور ، والغِيبة ، والبُهتان ، والسِّعاية ، والسَّباب ، واللِّعان ، والطِّعان ، والمكر ، والخديعة ، والغدر ، والنَّكث ، والقتل بغير حقّ ، والظلم ، والقساوة ، والجفاء ، والنّفاق ، والرّياء ، والزنا ، واللّواط ، والرِّبا ، والفرار من الزَّحف ، والتعرّب بعد الهجرة</w:t>
      </w:r>
      <w:r>
        <w:rPr>
          <w:rStyle w:val="FootnoteAnchor"/>
          <w:rtl w:val="true"/>
        </w:rPr>
        <w:footnoteReference w:id="124"/>
      </w:r>
      <w:r>
        <w:rPr>
          <w:rFonts w:ascii="Amiri" w:hAnsi="Amiri" w:eastAsia="Amiri" w:cs="Amiri"/>
          <w:color w:val="111111"/>
          <w:sz w:val="28"/>
          <w:sz w:val="28"/>
          <w:szCs w:val="28"/>
          <w:rtl w:val="true"/>
          <w:lang w:bidi="ar-SA"/>
        </w:rPr>
        <w:t xml:space="preserve">وعقوق الوالدين ، </w:t>
      </w:r>
    </w:p>
    <w:p>
      <w:pPr>
        <w:pStyle w:val="BookText"/>
        <w:rPr/>
      </w:pPr>
      <w:r>
        <w:rPr>
          <w:rFonts w:ascii="Amiri" w:hAnsi="Amiri" w:eastAsia="Amiri" w:cs="Amiri"/>
          <w:color w:val="111111"/>
          <w:sz w:val="28"/>
          <w:sz w:val="28"/>
          <w:szCs w:val="28"/>
          <w:rtl w:val="true"/>
          <w:lang w:bidi="ar-SA"/>
        </w:rPr>
        <w:t xml:space="preserve">والاحتيال على الناس ، وأكل مال اليتيم ظلماً ، وقذف المحصنة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أُمّهات مسائل الأُصول والفروع وأخلاقيّات الدين ومذهب الإماميّة كتبناها كمدخل لدراستنا هذه لأُصول الدين وأُصول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التوضيح والبسط ، راجين من اللّه سبحانه وتعالى القبول ، وأن يرضى عنها اللّه عزّ وجلّ ورسول اللّه صلّى اللّه عليه وآله والأئمّة المعصومين عليهم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عقائدنا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الكتاب والسنّة والعقل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الغدير من المتواترات ، ونصّ النبيّ صلّى اللّه عليه وآله أيضاً قسمه الأوّل متواتر ، وقسمه الثاني صحيح عند العامّة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علي من تاريخ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المشتعل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محمّد بن مؤمن الشيرازي من كتابه الذي استخرجه من التفاسير الاثني عشر ،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محمّد بن مؤمن الشيرازي ، بإسناده إلى السّدّي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تبوك ،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فضائل أحمد ، وثقات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في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 المتواترات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فيه طرقه وألفاظه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قوله تعالى في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أَخَذَ اللَّهُ مِيثَاقَ بَنِي إِسْرَائِيلَ وَبَعَثْنَا مِنْهُمُ اثْنَيْ عَشَرَ نَقِيباً </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14815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الإمتاع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الإمتاع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والإتحاف للشبراوي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وسيرة ابن سيّد الناس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أميرالمؤمنين ، والطبقات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وانظر مصادره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رواية عن جدّه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العامّة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وانظر مصادره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رواية عن جدّه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العامّة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وانظر مصادره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رواية عن جدّه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العامّة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مشروعيّة التبرّك وفلسفة التوسّل ودليل شرعيّته ، للشيخ محمّد صنقور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كتب العامّة فقط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آداب السفر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هذا الزمان أن يترك المرء ديار الإسلام والمسلمين والأماكن والبلدان المقدّسة ، ويذهب إلى ديار الكفر واليهود والنصارى ، الذين ليس لهم دين ولا رادع ولا وازع ، ولا مانع ، ويعملون كلّ‌المنكرات ، ويهينون كلّ المقدّسات ، والتعرّب بعد الهجرة من الكبائر باتفاق العلماء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10496</Words>
  <Characters>40072</Characters>
  <CharactersWithSpaces>50287</CharactersWithSpaces>
  <Paragraphs>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2026-08-25T18:02:30Z</dcterms:created>
  <dc:creator>ghaemiyeh.com</dc:creator>
  <dc:description/>
  <dc:language>en-US</dc:language>
  <cp:lastModifiedBy/>
  <dcterms:modified xsi:type="dcterms:W3CDTF">2026-08-25T21:32:32Z</dcterms:modified>
  <cp:revision>1</cp:revision>
  <dc:subject/>
  <dc:title>عقائدنا من الکتاب والسنة والعقل</dc:title>
</cp:coreProperties>
</file>

<file path=docProps/custom.xml><?xml version="1.0" encoding="utf-8"?>
<Properties xmlns="http://schemas.openxmlformats.org/officeDocument/2006/custom-properties" xmlns:vt="http://schemas.openxmlformats.org/officeDocument/2006/docPropsVTypes"/>
</file>