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16.jpeg" ContentType="image/jpeg"/>
  <Override PartName="/word/media/image15.jpeg" ContentType="image/jpeg"/>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12.jpeg" ContentType="image/jpeg"/>
  <Override PartName="/word/media/image10.jpeg" ContentType="image/jpeg"/>
  <Override PartName="/word/media/image8.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کتاب الکناش فی فنی النحو و الصرف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16520_996550957">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716522_996550957">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716524_996550957">
            <w:r>
              <w:rPr>
                <w:webHidden/>
                <w:rStyle w:val="IndexLink"/>
                <w:rtl w:val="true"/>
              </w:rPr>
              <w:t>[</w:t>
            </w:r>
            <w:r>
              <w:rPr>
                <w:rStyle w:val="IndexLink"/>
                <w:rtl w:val="true"/>
              </w:rPr>
              <w:t>مقدمة المحقق</w:t>
            </w:r>
            <w:r>
              <w:rPr>
                <w:rStyle w:val="IndexLink"/>
                <w:rtl w:val="true"/>
              </w:rPr>
              <w:t>]</w:t>
              <w:tab/>
            </w:r>
            <w:r>
              <w:rPr>
                <w:rStyle w:val="IndexLink"/>
              </w:rPr>
              <w:t>14</w:t>
            </w:r>
          </w:hyperlink>
        </w:p>
        <w:p>
          <w:pPr>
            <w:pStyle w:val="Contents2"/>
            <w:tabs>
              <w:tab w:val="clear" w:pos="8743"/>
              <w:tab w:val="right" w:pos="9026" w:leader="dot"/>
            </w:tabs>
            <w:rPr/>
          </w:pPr>
          <w:hyperlink w:anchor="__RefHeading___Toc716526_996550957">
            <w:r>
              <w:rPr>
                <w:webHidden/>
                <w:rStyle w:val="IndexLink"/>
                <w:rtl w:val="true"/>
              </w:rPr>
              <w:t xml:space="preserve">الباب الأول </w:t>
            </w:r>
            <w:r>
              <w:rPr>
                <w:rStyle w:val="IndexLink"/>
                <w:rtl w:val="true"/>
              </w:rPr>
              <w:t xml:space="preserve">: </w:t>
            </w:r>
            <w:r>
              <w:rPr>
                <w:rStyle w:val="IndexLink"/>
                <w:rtl w:val="true"/>
              </w:rPr>
              <w:t>الدراسة</w:t>
            </w:r>
            <w:r>
              <w:rPr>
                <w:rStyle w:val="IndexLink"/>
                <w:rtl w:val="true"/>
              </w:rPr>
              <w:tab/>
            </w:r>
            <w:r>
              <w:rPr>
                <w:rStyle w:val="IndexLink"/>
              </w:rPr>
              <w:t>18</w:t>
            </w:r>
          </w:hyperlink>
        </w:p>
        <w:p>
          <w:pPr>
            <w:pStyle w:val="Contents3"/>
            <w:tabs>
              <w:tab w:val="clear" w:pos="8459"/>
              <w:tab w:val="right" w:pos="9026" w:leader="dot"/>
            </w:tabs>
            <w:rPr/>
          </w:pPr>
          <w:hyperlink w:anchor="__RefHeading___Toc716528_996550957">
            <w:r>
              <w:rPr>
                <w:webHidden/>
                <w:rStyle w:val="IndexLink"/>
                <w:rtl w:val="true"/>
              </w:rPr>
              <w:t>اشارة</w:t>
            </w:r>
            <w:r>
              <w:rPr>
                <w:rStyle w:val="IndexLink"/>
                <w:rtl w:val="true"/>
              </w:rPr>
              <w:tab/>
            </w:r>
            <w:r>
              <w:rPr>
                <w:rStyle w:val="IndexLink"/>
              </w:rPr>
              <w:t>18</w:t>
            </w:r>
          </w:hyperlink>
        </w:p>
        <w:p>
          <w:pPr>
            <w:pStyle w:val="Contents3"/>
            <w:tabs>
              <w:tab w:val="clear" w:pos="8459"/>
              <w:tab w:val="right" w:pos="9026" w:leader="dot"/>
            </w:tabs>
            <w:rPr/>
          </w:pPr>
          <w:hyperlink w:anchor="__RefHeading___Toc716530_996550957">
            <w:r>
              <w:rPr>
                <w:webHidden/>
                <w:rStyle w:val="IndexLink"/>
                <w:rtl w:val="true"/>
              </w:rPr>
              <w:t>القسم الأول</w:t>
            </w:r>
            <w:r>
              <w:rPr>
                <w:rStyle w:val="IndexLink"/>
                <w:rtl w:val="true"/>
              </w:rPr>
              <w:tab/>
            </w:r>
            <w:r>
              <w:rPr>
                <w:rStyle w:val="IndexLink"/>
              </w:rPr>
              <w:t>19</w:t>
            </w:r>
          </w:hyperlink>
        </w:p>
        <w:p>
          <w:pPr>
            <w:pStyle w:val="Contents4"/>
            <w:tabs>
              <w:tab w:val="clear" w:pos="8176"/>
              <w:tab w:val="right" w:pos="9026" w:leader="dot"/>
            </w:tabs>
            <w:rPr/>
          </w:pPr>
          <w:hyperlink w:anchor="__RefHeading___Toc716532_996550957">
            <w:r>
              <w:rPr>
                <w:webHidden/>
                <w:rStyle w:val="IndexLink"/>
                <w:rtl w:val="true"/>
              </w:rPr>
              <w:t>اشارة</w:t>
            </w:r>
            <w:r>
              <w:rPr>
                <w:rStyle w:val="IndexLink"/>
                <w:rtl w:val="true"/>
              </w:rPr>
              <w:tab/>
            </w:r>
            <w:r>
              <w:rPr>
                <w:rStyle w:val="IndexLink"/>
              </w:rPr>
              <w:t>19</w:t>
            </w:r>
          </w:hyperlink>
        </w:p>
        <w:p>
          <w:pPr>
            <w:pStyle w:val="Contents4"/>
            <w:tabs>
              <w:tab w:val="clear" w:pos="8176"/>
              <w:tab w:val="right" w:pos="9026" w:leader="dot"/>
            </w:tabs>
            <w:rPr/>
          </w:pPr>
          <w:hyperlink w:anchor="__RefHeading___Toc716534_996550957">
            <w:r>
              <w:rPr>
                <w:webHidden/>
                <w:rStyle w:val="IndexLink"/>
                <w:rtl w:val="true"/>
              </w:rPr>
              <w:t xml:space="preserve">الفصل الأول </w:t>
            </w:r>
            <w:r>
              <w:rPr>
                <w:rStyle w:val="IndexLink"/>
                <w:rtl w:val="true"/>
              </w:rPr>
              <w:t xml:space="preserve">: </w:t>
            </w:r>
            <w:r>
              <w:rPr>
                <w:rStyle w:val="IndexLink"/>
                <w:rtl w:val="true"/>
              </w:rPr>
              <w:t>اسمه وأسرته وإمارته على مدينة حماة</w:t>
            </w:r>
            <w:r>
              <w:rPr>
                <w:rStyle w:val="IndexLink"/>
                <w:rtl w:val="true"/>
              </w:rPr>
              <w:tab/>
            </w:r>
            <w:r>
              <w:rPr>
                <w:rStyle w:val="IndexLink"/>
              </w:rPr>
              <w:t>20</w:t>
            </w:r>
          </w:hyperlink>
        </w:p>
        <w:p>
          <w:pPr>
            <w:pStyle w:val="Contents4"/>
            <w:tabs>
              <w:tab w:val="clear" w:pos="8176"/>
              <w:tab w:val="right" w:pos="9026" w:leader="dot"/>
            </w:tabs>
            <w:rPr/>
          </w:pPr>
          <w:hyperlink w:anchor="__RefHeading___Toc716536_996550957">
            <w:r>
              <w:rPr>
                <w:webHidden/>
                <w:rStyle w:val="IndexLink"/>
                <w:rtl w:val="true"/>
              </w:rPr>
              <w:t xml:space="preserve">الفصل الثاني </w:t>
            </w:r>
            <w:r>
              <w:rPr>
                <w:rStyle w:val="IndexLink"/>
                <w:rtl w:val="true"/>
              </w:rPr>
              <w:t xml:space="preserve">: </w:t>
            </w:r>
            <w:r>
              <w:rPr>
                <w:rStyle w:val="IndexLink"/>
                <w:rtl w:val="true"/>
              </w:rPr>
              <w:t>حياته العلمية وتكوينه الثقافي</w:t>
            </w:r>
            <w:r>
              <w:rPr>
                <w:rStyle w:val="IndexLink"/>
                <w:rtl w:val="true"/>
              </w:rPr>
              <w:tab/>
            </w:r>
            <w:r>
              <w:rPr>
                <w:rStyle w:val="IndexLink"/>
              </w:rPr>
              <w:t>24</w:t>
            </w:r>
          </w:hyperlink>
        </w:p>
        <w:p>
          <w:pPr>
            <w:pStyle w:val="Contents4"/>
            <w:tabs>
              <w:tab w:val="clear" w:pos="8176"/>
              <w:tab w:val="right" w:pos="9026" w:leader="dot"/>
            </w:tabs>
            <w:rPr/>
          </w:pPr>
          <w:hyperlink w:anchor="__RefHeading___Toc716538_996550957">
            <w:r>
              <w:rPr>
                <w:webHidden/>
                <w:rStyle w:val="IndexLink"/>
                <w:rtl w:val="true"/>
              </w:rPr>
              <w:t xml:space="preserve">الفصل الثالث </w:t>
            </w:r>
            <w:r>
              <w:rPr>
                <w:rStyle w:val="IndexLink"/>
                <w:rtl w:val="true"/>
              </w:rPr>
              <w:t xml:space="preserve">: </w:t>
            </w:r>
            <w:r>
              <w:rPr>
                <w:rStyle w:val="IndexLink"/>
                <w:rtl w:val="true"/>
              </w:rPr>
              <w:t>مصنفاته وشعره</w:t>
            </w:r>
            <w:r>
              <w:rPr>
                <w:rStyle w:val="IndexLink"/>
                <w:rtl w:val="true"/>
              </w:rPr>
              <w:tab/>
            </w:r>
            <w:r>
              <w:rPr>
                <w:rStyle w:val="IndexLink"/>
              </w:rPr>
              <w:t>30</w:t>
            </w:r>
          </w:hyperlink>
        </w:p>
        <w:p>
          <w:pPr>
            <w:pStyle w:val="Contents4"/>
            <w:tabs>
              <w:tab w:val="clear" w:pos="8176"/>
              <w:tab w:val="right" w:pos="9026" w:leader="dot"/>
            </w:tabs>
            <w:rPr/>
          </w:pPr>
          <w:hyperlink w:anchor="__RefHeading___Toc716540_996550957">
            <w:r>
              <w:rPr>
                <w:webHidden/>
                <w:rStyle w:val="IndexLink"/>
                <w:rtl w:val="true"/>
              </w:rPr>
              <w:t xml:space="preserve">الفصل الرابع </w:t>
            </w:r>
            <w:r>
              <w:rPr>
                <w:rStyle w:val="IndexLink"/>
                <w:rtl w:val="true"/>
              </w:rPr>
              <w:t xml:space="preserve">: </w:t>
            </w:r>
            <w:r>
              <w:rPr>
                <w:rStyle w:val="IndexLink"/>
                <w:rtl w:val="true"/>
              </w:rPr>
              <w:t xml:space="preserve">منهج أبي الفداء في كتاب </w:t>
            </w:r>
            <w:r>
              <w:rPr>
                <w:rStyle w:val="IndexLink"/>
                <w:rtl w:val="true"/>
              </w:rPr>
              <w:t>«</w:t>
            </w:r>
            <w:r>
              <w:rPr>
                <w:rStyle w:val="IndexLink"/>
                <w:rtl w:val="true"/>
              </w:rPr>
              <w:t>الكناش</w:t>
            </w:r>
            <w:r>
              <w:rPr>
                <w:rStyle w:val="IndexLink"/>
                <w:rtl w:val="true"/>
              </w:rPr>
              <w:t>»</w:t>
              <w:tab/>
            </w:r>
            <w:r>
              <w:rPr>
                <w:rStyle w:val="IndexLink"/>
              </w:rPr>
              <w:t>36</w:t>
            </w:r>
          </w:hyperlink>
        </w:p>
        <w:p>
          <w:pPr>
            <w:pStyle w:val="Contents4"/>
            <w:tabs>
              <w:tab w:val="clear" w:pos="8176"/>
              <w:tab w:val="right" w:pos="9026" w:leader="dot"/>
            </w:tabs>
            <w:rPr/>
          </w:pPr>
          <w:hyperlink w:anchor="__RefHeading___Toc716542_996550957">
            <w:r>
              <w:rPr>
                <w:webHidden/>
                <w:rStyle w:val="IndexLink"/>
                <w:rtl w:val="true"/>
              </w:rPr>
              <w:t xml:space="preserve">الفصل الخامس </w:t>
            </w:r>
            <w:r>
              <w:rPr>
                <w:rStyle w:val="IndexLink"/>
                <w:rtl w:val="true"/>
              </w:rPr>
              <w:t xml:space="preserve">: </w:t>
            </w:r>
            <w:r>
              <w:rPr>
                <w:rStyle w:val="IndexLink"/>
                <w:rtl w:val="true"/>
              </w:rPr>
              <w:t>شواهده ومصادره</w:t>
            </w:r>
            <w:r>
              <w:rPr>
                <w:rStyle w:val="IndexLink"/>
                <w:rtl w:val="true"/>
              </w:rPr>
              <w:tab/>
            </w:r>
            <w:r>
              <w:rPr>
                <w:rStyle w:val="IndexLink"/>
              </w:rPr>
              <w:t>42</w:t>
            </w:r>
          </w:hyperlink>
        </w:p>
        <w:p>
          <w:pPr>
            <w:pStyle w:val="Contents4"/>
            <w:tabs>
              <w:tab w:val="clear" w:pos="8176"/>
              <w:tab w:val="right" w:pos="9026" w:leader="dot"/>
            </w:tabs>
            <w:rPr/>
          </w:pPr>
          <w:hyperlink w:anchor="__RefHeading___Toc716544_996550957">
            <w:r>
              <w:rPr>
                <w:webHidden/>
                <w:rStyle w:val="IndexLink"/>
                <w:rtl w:val="true"/>
              </w:rPr>
              <w:t xml:space="preserve">الفصل السادس </w:t>
            </w:r>
            <w:r>
              <w:rPr>
                <w:rStyle w:val="IndexLink"/>
                <w:rtl w:val="true"/>
              </w:rPr>
              <w:t xml:space="preserve">: </w:t>
            </w:r>
            <w:r>
              <w:rPr>
                <w:rStyle w:val="IndexLink"/>
                <w:rtl w:val="true"/>
              </w:rPr>
              <w:t>مذهب أبي الفداء النحوي وموقفه من النحاة</w:t>
            </w:r>
            <w:r>
              <w:rPr>
                <w:rStyle w:val="IndexLink"/>
                <w:rtl w:val="true"/>
              </w:rPr>
              <w:tab/>
            </w:r>
            <w:r>
              <w:rPr>
                <w:rStyle w:val="IndexLink"/>
              </w:rPr>
              <w:t>48</w:t>
            </w:r>
          </w:hyperlink>
        </w:p>
        <w:p>
          <w:pPr>
            <w:pStyle w:val="Contents3"/>
            <w:tabs>
              <w:tab w:val="clear" w:pos="8459"/>
              <w:tab w:val="right" w:pos="9026" w:leader="dot"/>
            </w:tabs>
            <w:rPr/>
          </w:pPr>
          <w:hyperlink w:anchor="__RefHeading___Toc716546_996550957">
            <w:r>
              <w:rPr>
                <w:webHidden/>
                <w:rStyle w:val="IndexLink"/>
                <w:rtl w:val="true"/>
              </w:rPr>
              <w:t>القسم الثاني</w:t>
            </w:r>
            <w:r>
              <w:rPr>
                <w:rStyle w:val="IndexLink"/>
                <w:rtl w:val="true"/>
              </w:rPr>
              <w:tab/>
            </w:r>
            <w:r>
              <w:rPr>
                <w:rStyle w:val="IndexLink"/>
              </w:rPr>
              <w:t>66</w:t>
            </w:r>
          </w:hyperlink>
        </w:p>
        <w:p>
          <w:pPr>
            <w:pStyle w:val="Contents4"/>
            <w:tabs>
              <w:tab w:val="clear" w:pos="8176"/>
              <w:tab w:val="right" w:pos="9026" w:leader="dot"/>
            </w:tabs>
            <w:rPr/>
          </w:pPr>
          <w:hyperlink w:anchor="__RefHeading___Toc716548_996550957">
            <w:r>
              <w:rPr>
                <w:webHidden/>
                <w:rStyle w:val="IndexLink"/>
                <w:rtl w:val="true"/>
              </w:rPr>
              <w:t>اشارة</w:t>
            </w:r>
            <w:r>
              <w:rPr>
                <w:rStyle w:val="IndexLink"/>
                <w:rtl w:val="true"/>
              </w:rPr>
              <w:tab/>
            </w:r>
            <w:r>
              <w:rPr>
                <w:rStyle w:val="IndexLink"/>
              </w:rPr>
              <w:t>66</w:t>
            </w:r>
          </w:hyperlink>
        </w:p>
        <w:p>
          <w:pPr>
            <w:pStyle w:val="Contents4"/>
            <w:tabs>
              <w:tab w:val="clear" w:pos="8176"/>
              <w:tab w:val="right" w:pos="9026" w:leader="dot"/>
            </w:tabs>
            <w:rPr/>
          </w:pPr>
          <w:hyperlink w:anchor="__RefHeading___Toc716550_996550957">
            <w:r>
              <w:rPr>
                <w:webHidden/>
                <w:rStyle w:val="IndexLink"/>
                <w:rtl w:val="true"/>
              </w:rPr>
              <w:t xml:space="preserve">الفصل الأول </w:t>
            </w:r>
            <w:r>
              <w:rPr>
                <w:rStyle w:val="IndexLink"/>
                <w:rtl w:val="true"/>
              </w:rPr>
              <w:t xml:space="preserve">: </w:t>
            </w:r>
            <w:r>
              <w:rPr>
                <w:rStyle w:val="IndexLink"/>
                <w:rtl w:val="true"/>
              </w:rPr>
              <w:t xml:space="preserve">التعريف بعنوان الكتاب </w:t>
            </w:r>
            <w:r>
              <w:rPr>
                <w:rStyle w:val="IndexLink"/>
                <w:rtl w:val="true"/>
              </w:rPr>
              <w:t>«</w:t>
            </w:r>
            <w:r>
              <w:rPr>
                <w:rStyle w:val="IndexLink"/>
                <w:rtl w:val="true"/>
              </w:rPr>
              <w:t>الكنّاش</w:t>
            </w:r>
            <w:r>
              <w:rPr>
                <w:rStyle w:val="IndexLink"/>
                <w:rtl w:val="true"/>
              </w:rPr>
              <w:t>»</w:t>
              <w:tab/>
            </w:r>
            <w:r>
              <w:rPr>
                <w:rStyle w:val="IndexLink"/>
              </w:rPr>
              <w:t>68</w:t>
            </w:r>
          </w:hyperlink>
        </w:p>
        <w:p>
          <w:pPr>
            <w:pStyle w:val="Contents4"/>
            <w:tabs>
              <w:tab w:val="clear" w:pos="8176"/>
              <w:tab w:val="right" w:pos="9026" w:leader="dot"/>
            </w:tabs>
            <w:rPr/>
          </w:pPr>
          <w:hyperlink w:anchor="__RefHeading___Toc716552_996550957">
            <w:r>
              <w:rPr>
                <w:webHidden/>
                <w:rStyle w:val="IndexLink"/>
                <w:rtl w:val="true"/>
              </w:rPr>
              <w:t xml:space="preserve">الفصل الثاني </w:t>
            </w:r>
            <w:r>
              <w:rPr>
                <w:rStyle w:val="IndexLink"/>
                <w:rtl w:val="true"/>
              </w:rPr>
              <w:t xml:space="preserve">: </w:t>
            </w:r>
            <w:r>
              <w:rPr>
                <w:rStyle w:val="IndexLink"/>
                <w:rtl w:val="true"/>
              </w:rPr>
              <w:t>توثيق نسبة الكتاب إلى أبي الفداء</w:t>
            </w:r>
            <w:r>
              <w:rPr>
                <w:rStyle w:val="IndexLink"/>
                <w:rtl w:val="true"/>
              </w:rPr>
              <w:tab/>
            </w:r>
            <w:r>
              <w:rPr>
                <w:rStyle w:val="IndexLink"/>
              </w:rPr>
              <w:t>77</w:t>
            </w:r>
          </w:hyperlink>
        </w:p>
        <w:p>
          <w:pPr>
            <w:pStyle w:val="Contents4"/>
            <w:tabs>
              <w:tab w:val="clear" w:pos="8176"/>
              <w:tab w:val="right" w:pos="9026" w:leader="dot"/>
            </w:tabs>
            <w:rPr/>
          </w:pPr>
          <w:hyperlink w:anchor="__RefHeading___Toc716554_996550957">
            <w:r>
              <w:rPr>
                <w:webHidden/>
                <w:rStyle w:val="IndexLink"/>
                <w:rtl w:val="true"/>
              </w:rPr>
              <w:t xml:space="preserve">الفصل الثالث </w:t>
            </w:r>
            <w:r>
              <w:rPr>
                <w:rStyle w:val="IndexLink"/>
                <w:rtl w:val="true"/>
              </w:rPr>
              <w:t xml:space="preserve">: </w:t>
            </w:r>
            <w:r>
              <w:rPr>
                <w:rStyle w:val="IndexLink"/>
                <w:rtl w:val="true"/>
              </w:rPr>
              <w:t>وصف النسخة</w:t>
            </w:r>
            <w:r>
              <w:rPr>
                <w:rStyle w:val="IndexLink"/>
                <w:rtl w:val="true"/>
              </w:rPr>
              <w:tab/>
            </w:r>
            <w:r>
              <w:rPr>
                <w:rStyle w:val="IndexLink"/>
              </w:rPr>
              <w:t>79</w:t>
            </w:r>
          </w:hyperlink>
        </w:p>
        <w:p>
          <w:pPr>
            <w:pStyle w:val="Contents4"/>
            <w:tabs>
              <w:tab w:val="clear" w:pos="8176"/>
              <w:tab w:val="right" w:pos="9026" w:leader="dot"/>
            </w:tabs>
            <w:rPr/>
          </w:pPr>
          <w:hyperlink w:anchor="__RefHeading___Toc716556_996550957">
            <w:r>
              <w:rPr>
                <w:webHidden/>
                <w:rStyle w:val="IndexLink"/>
                <w:rtl w:val="true"/>
              </w:rPr>
              <w:t xml:space="preserve">الفصل الرابع </w:t>
            </w:r>
            <w:r>
              <w:rPr>
                <w:rStyle w:val="IndexLink"/>
                <w:rtl w:val="true"/>
              </w:rPr>
              <w:t xml:space="preserve">: </w:t>
            </w:r>
            <w:r>
              <w:rPr>
                <w:rStyle w:val="IndexLink"/>
                <w:rtl w:val="true"/>
              </w:rPr>
              <w:t>منهج التحقيق</w:t>
            </w:r>
            <w:r>
              <w:rPr>
                <w:rStyle w:val="IndexLink"/>
                <w:rtl w:val="true"/>
              </w:rPr>
              <w:tab/>
            </w:r>
            <w:r>
              <w:rPr>
                <w:rStyle w:val="IndexLink"/>
              </w:rPr>
              <w:t>81</w:t>
            </w:r>
          </w:hyperlink>
        </w:p>
        <w:p>
          <w:pPr>
            <w:pStyle w:val="Contents4"/>
            <w:tabs>
              <w:tab w:val="clear" w:pos="8176"/>
              <w:tab w:val="right" w:pos="9026" w:leader="dot"/>
            </w:tabs>
            <w:rPr/>
          </w:pPr>
          <w:hyperlink w:anchor="__RefHeading___Toc716558_996550957">
            <w:r>
              <w:rPr>
                <w:webHidden/>
                <w:rStyle w:val="IndexLink"/>
                <w:rtl w:val="true"/>
              </w:rPr>
              <w:t xml:space="preserve">الفصل الخامس </w:t>
            </w:r>
            <w:r>
              <w:rPr>
                <w:rStyle w:val="IndexLink"/>
                <w:rtl w:val="true"/>
              </w:rPr>
              <w:t xml:space="preserve">: </w:t>
            </w:r>
            <w:r>
              <w:rPr>
                <w:rStyle w:val="IndexLink"/>
                <w:rtl w:val="true"/>
              </w:rPr>
              <w:t>طبعة قطر والنخبة المتميّزة من السّرّاق</w:t>
            </w:r>
            <w:r>
              <w:rPr>
                <w:rStyle w:val="IndexLink"/>
                <w:rtl w:val="true"/>
              </w:rPr>
              <w:tab/>
            </w:r>
            <w:r>
              <w:rPr>
                <w:rStyle w:val="IndexLink"/>
              </w:rPr>
              <w:t>84</w:t>
            </w:r>
          </w:hyperlink>
        </w:p>
        <w:p>
          <w:pPr>
            <w:pStyle w:val="Contents5"/>
            <w:tabs>
              <w:tab w:val="clear" w:pos="7892"/>
              <w:tab w:val="right" w:pos="9026" w:leader="dot"/>
            </w:tabs>
            <w:rPr/>
          </w:pPr>
          <w:hyperlink w:anchor="__RefHeading___Toc716560_996550957">
            <w:r>
              <w:rPr>
                <w:webHidden/>
                <w:rStyle w:val="IndexLink"/>
                <w:rtl w:val="true"/>
              </w:rPr>
              <w:t>اشارة</w:t>
            </w:r>
            <w:r>
              <w:rPr>
                <w:rStyle w:val="IndexLink"/>
                <w:rtl w:val="true"/>
              </w:rPr>
              <w:tab/>
            </w:r>
            <w:r>
              <w:rPr>
                <w:rStyle w:val="IndexLink"/>
              </w:rPr>
              <w:t>84</w:t>
            </w:r>
          </w:hyperlink>
        </w:p>
        <w:p>
          <w:pPr>
            <w:pStyle w:val="Contents5"/>
            <w:tabs>
              <w:tab w:val="clear" w:pos="7892"/>
              <w:tab w:val="right" w:pos="9026" w:leader="dot"/>
            </w:tabs>
            <w:rPr/>
          </w:pPr>
          <w:hyperlink w:anchor="__RefHeading___Toc716562_996550957">
            <w:r>
              <w:rPr>
                <w:webHidden/>
                <w:rStyle w:val="IndexLink"/>
                <w:rtl w:val="true"/>
              </w:rPr>
              <w:t>الدليل الأول</w:t>
            </w:r>
            <w:r>
              <w:rPr>
                <w:rStyle w:val="IndexLink"/>
                <w:rtl w:val="true"/>
              </w:rPr>
              <w:tab/>
            </w:r>
            <w:r>
              <w:rPr>
                <w:rStyle w:val="IndexLink"/>
              </w:rPr>
              <w:t>85</w:t>
            </w:r>
          </w:hyperlink>
        </w:p>
        <w:p>
          <w:pPr>
            <w:pStyle w:val="Contents5"/>
            <w:tabs>
              <w:tab w:val="clear" w:pos="7892"/>
              <w:tab w:val="right" w:pos="9026" w:leader="dot"/>
            </w:tabs>
            <w:rPr/>
          </w:pPr>
          <w:hyperlink w:anchor="__RefHeading___Toc716564_996550957">
            <w:r>
              <w:rPr>
                <w:webHidden/>
                <w:rStyle w:val="IndexLink"/>
                <w:rtl w:val="true"/>
              </w:rPr>
              <w:t>الدليل الثاني</w:t>
            </w:r>
            <w:r>
              <w:rPr>
                <w:rStyle w:val="IndexLink"/>
                <w:rtl w:val="true"/>
              </w:rPr>
              <w:tab/>
            </w:r>
            <w:r>
              <w:rPr>
                <w:rStyle w:val="IndexLink"/>
              </w:rPr>
              <w:t>86</w:t>
            </w:r>
          </w:hyperlink>
        </w:p>
        <w:p>
          <w:pPr>
            <w:pStyle w:val="Contents5"/>
            <w:tabs>
              <w:tab w:val="clear" w:pos="7892"/>
              <w:tab w:val="right" w:pos="9026" w:leader="dot"/>
            </w:tabs>
            <w:rPr/>
          </w:pPr>
          <w:hyperlink w:anchor="__RefHeading___Toc716566_996550957">
            <w:r>
              <w:rPr>
                <w:webHidden/>
                <w:rStyle w:val="IndexLink"/>
                <w:rtl w:val="true"/>
              </w:rPr>
              <w:t>الدليل الثالث</w:t>
            </w:r>
            <w:r>
              <w:rPr>
                <w:rStyle w:val="IndexLink"/>
                <w:rtl w:val="true"/>
              </w:rPr>
              <w:tab/>
            </w:r>
            <w:r>
              <w:rPr>
                <w:rStyle w:val="IndexLink"/>
              </w:rPr>
              <w:t>87</w:t>
            </w:r>
          </w:hyperlink>
        </w:p>
        <w:p>
          <w:pPr>
            <w:pStyle w:val="Contents5"/>
            <w:tabs>
              <w:tab w:val="clear" w:pos="7892"/>
              <w:tab w:val="right" w:pos="9026" w:leader="dot"/>
            </w:tabs>
            <w:rPr/>
          </w:pPr>
          <w:hyperlink w:anchor="__RefHeading___Toc716568_996550957">
            <w:r>
              <w:rPr>
                <w:webHidden/>
                <w:rStyle w:val="IndexLink"/>
                <w:rtl w:val="true"/>
              </w:rPr>
              <w:t>الدليل الرابع</w:t>
            </w:r>
            <w:r>
              <w:rPr>
                <w:rStyle w:val="IndexLink"/>
                <w:rtl w:val="true"/>
              </w:rPr>
              <w:tab/>
            </w:r>
            <w:r>
              <w:rPr>
                <w:rStyle w:val="IndexLink"/>
              </w:rPr>
              <w:t>88</w:t>
            </w:r>
          </w:hyperlink>
        </w:p>
        <w:p>
          <w:pPr>
            <w:pStyle w:val="Contents5"/>
            <w:tabs>
              <w:tab w:val="clear" w:pos="7892"/>
              <w:tab w:val="right" w:pos="9026" w:leader="dot"/>
            </w:tabs>
            <w:rPr/>
          </w:pPr>
          <w:hyperlink w:anchor="__RefHeading___Toc716570_996550957">
            <w:r>
              <w:rPr>
                <w:webHidden/>
                <w:rStyle w:val="IndexLink"/>
                <w:rtl w:val="true"/>
              </w:rPr>
              <w:t>الدليل الخامس</w:t>
            </w:r>
            <w:r>
              <w:rPr>
                <w:rStyle w:val="IndexLink"/>
                <w:rtl w:val="true"/>
              </w:rPr>
              <w:tab/>
            </w:r>
            <w:r>
              <w:rPr>
                <w:rStyle w:val="IndexLink"/>
              </w:rPr>
              <w:t>90</w:t>
            </w:r>
          </w:hyperlink>
        </w:p>
        <w:p>
          <w:pPr>
            <w:pStyle w:val="Contents5"/>
            <w:tabs>
              <w:tab w:val="clear" w:pos="7892"/>
              <w:tab w:val="right" w:pos="9026" w:leader="dot"/>
            </w:tabs>
            <w:rPr/>
          </w:pPr>
          <w:hyperlink w:anchor="__RefHeading___Toc716572_996550957">
            <w:r>
              <w:rPr>
                <w:webHidden/>
                <w:rStyle w:val="IndexLink"/>
                <w:rtl w:val="true"/>
              </w:rPr>
              <w:t>الدليل السادس</w:t>
            </w:r>
            <w:r>
              <w:rPr>
                <w:rStyle w:val="IndexLink"/>
                <w:rtl w:val="true"/>
              </w:rPr>
              <w:tab/>
            </w:r>
            <w:r>
              <w:rPr>
                <w:rStyle w:val="IndexLink"/>
              </w:rPr>
              <w:t>92</w:t>
            </w:r>
          </w:hyperlink>
        </w:p>
        <w:p>
          <w:pPr>
            <w:pStyle w:val="Contents5"/>
            <w:tabs>
              <w:tab w:val="clear" w:pos="7892"/>
              <w:tab w:val="right" w:pos="9026" w:leader="dot"/>
            </w:tabs>
            <w:rPr/>
          </w:pPr>
          <w:hyperlink w:anchor="__RefHeading___Toc716574_996550957">
            <w:r>
              <w:rPr>
                <w:webHidden/>
                <w:rStyle w:val="IndexLink"/>
                <w:rtl w:val="true"/>
              </w:rPr>
              <w:t xml:space="preserve">الدليل السابع </w:t>
            </w:r>
            <w:r>
              <w:rPr>
                <w:rStyle w:val="IndexLink"/>
                <w:rtl w:val="true"/>
              </w:rPr>
              <w:t>(</w:t>
            </w:r>
            <w:r>
              <w:rPr>
                <w:rStyle w:val="IndexLink"/>
                <w:rtl w:val="true"/>
              </w:rPr>
              <w:t>التعليقات النحوية</w:t>
            </w:r>
            <w:r>
              <w:rPr>
                <w:rStyle w:val="IndexLink"/>
                <w:rtl w:val="true"/>
              </w:rPr>
              <w:t>)</w:t>
              <w:tab/>
            </w:r>
            <w:r>
              <w:rPr>
                <w:rStyle w:val="IndexLink"/>
              </w:rPr>
              <w:t>93</w:t>
            </w:r>
          </w:hyperlink>
        </w:p>
        <w:p>
          <w:pPr>
            <w:pStyle w:val="Contents5"/>
            <w:tabs>
              <w:tab w:val="clear" w:pos="7892"/>
              <w:tab w:val="right" w:pos="9026" w:leader="dot"/>
            </w:tabs>
            <w:rPr/>
          </w:pPr>
          <w:hyperlink w:anchor="__RefHeading___Toc716576_996550957">
            <w:r>
              <w:rPr>
                <w:webHidden/>
                <w:rStyle w:val="IndexLink"/>
                <w:rtl w:val="true"/>
              </w:rPr>
              <w:t>الدليل الثامن</w:t>
            </w:r>
            <w:r>
              <w:rPr>
                <w:rStyle w:val="IndexLink"/>
                <w:rtl w:val="true"/>
              </w:rPr>
              <w:tab/>
            </w:r>
            <w:r>
              <w:rPr>
                <w:rStyle w:val="IndexLink"/>
              </w:rPr>
              <w:t>100</w:t>
            </w:r>
          </w:hyperlink>
        </w:p>
        <w:p>
          <w:pPr>
            <w:pStyle w:val="Contents2"/>
            <w:tabs>
              <w:tab w:val="clear" w:pos="8743"/>
              <w:tab w:val="right" w:pos="9026" w:leader="dot"/>
            </w:tabs>
            <w:rPr/>
          </w:pPr>
          <w:hyperlink w:anchor="__RefHeading___Toc716578_996550957">
            <w:r>
              <w:rPr>
                <w:webHidden/>
                <w:rStyle w:val="IndexLink"/>
                <w:rtl w:val="true"/>
              </w:rPr>
              <w:t xml:space="preserve">الكتاب الأوّل في النحو </w:t>
            </w:r>
            <w:r>
              <w:rPr>
                <w:rStyle w:val="IndexLink"/>
                <w:rtl w:val="true"/>
              </w:rPr>
              <w:t xml:space="preserve">: </w:t>
            </w:r>
            <w:r>
              <w:rPr>
                <w:rStyle w:val="IndexLink"/>
                <w:rtl w:val="true"/>
              </w:rPr>
              <w:t>ذكر الكلمة وأنواعها</w:t>
            </w:r>
            <w:r>
              <w:rPr>
                <w:rStyle w:val="IndexLink"/>
                <w:rtl w:val="true"/>
              </w:rPr>
              <w:tab/>
            </w:r>
            <w:r>
              <w:rPr>
                <w:rStyle w:val="IndexLink"/>
              </w:rPr>
              <w:t>124</w:t>
            </w:r>
          </w:hyperlink>
        </w:p>
        <w:p>
          <w:pPr>
            <w:pStyle w:val="Contents3"/>
            <w:tabs>
              <w:tab w:val="clear" w:pos="8459"/>
              <w:tab w:val="right" w:pos="9026" w:leader="dot"/>
            </w:tabs>
            <w:rPr/>
          </w:pPr>
          <w:hyperlink w:anchor="__RefHeading___Toc716580_996550957">
            <w:r>
              <w:rPr>
                <w:webHidden/>
                <w:rStyle w:val="IndexLink"/>
                <w:rtl w:val="true"/>
              </w:rPr>
              <w:t>اشارة</w:t>
            </w:r>
            <w:r>
              <w:rPr>
                <w:rStyle w:val="IndexLink"/>
                <w:rtl w:val="true"/>
              </w:rPr>
              <w:tab/>
            </w:r>
            <w:r>
              <w:rPr>
                <w:rStyle w:val="IndexLink"/>
              </w:rPr>
              <w:t>124</w:t>
            </w:r>
          </w:hyperlink>
        </w:p>
        <w:p>
          <w:pPr>
            <w:pStyle w:val="Contents3"/>
            <w:tabs>
              <w:tab w:val="clear" w:pos="8459"/>
              <w:tab w:val="right" w:pos="9026" w:leader="dot"/>
            </w:tabs>
            <w:rPr/>
          </w:pPr>
          <w:hyperlink w:anchor="__RefHeading___Toc716582_996550957">
            <w:r>
              <w:rPr>
                <w:webHidden/>
                <w:rStyle w:val="IndexLink"/>
                <w:rtl w:val="true"/>
              </w:rPr>
              <w:t>ذكر الكلام</w:t>
            </w:r>
            <w:r>
              <w:rPr>
                <w:rStyle w:val="IndexLink"/>
                <w:rtl w:val="true"/>
              </w:rPr>
              <w:tab/>
            </w:r>
            <w:r>
              <w:rPr>
                <w:rStyle w:val="IndexLink"/>
              </w:rPr>
              <w:t>125</w:t>
            </w:r>
          </w:hyperlink>
        </w:p>
        <w:p>
          <w:pPr>
            <w:pStyle w:val="Contents3"/>
            <w:tabs>
              <w:tab w:val="clear" w:pos="8459"/>
              <w:tab w:val="right" w:pos="9026" w:leader="dot"/>
            </w:tabs>
            <w:rPr/>
          </w:pPr>
          <w:hyperlink w:anchor="__RefHeading___Toc716584_996550957">
            <w:r>
              <w:rPr>
                <w:webHidden/>
                <w:rStyle w:val="IndexLink"/>
                <w:rtl w:val="true"/>
              </w:rPr>
              <w:t xml:space="preserve">القسم الأول </w:t>
            </w:r>
            <w:r>
              <w:rPr>
                <w:rStyle w:val="IndexLink"/>
                <w:rtl w:val="true"/>
              </w:rPr>
              <w:t xml:space="preserve">: </w:t>
            </w:r>
            <w:r>
              <w:rPr>
                <w:rStyle w:val="IndexLink"/>
                <w:rtl w:val="true"/>
              </w:rPr>
              <w:t>في الاسم</w:t>
            </w:r>
            <w:r>
              <w:rPr>
                <w:rStyle w:val="IndexLink"/>
                <w:rtl w:val="true"/>
              </w:rPr>
              <w:tab/>
            </w:r>
            <w:r>
              <w:rPr>
                <w:rStyle w:val="IndexLink"/>
              </w:rPr>
              <w:t>126</w:t>
            </w:r>
          </w:hyperlink>
        </w:p>
        <w:p>
          <w:pPr>
            <w:pStyle w:val="Contents4"/>
            <w:tabs>
              <w:tab w:val="clear" w:pos="8176"/>
              <w:tab w:val="right" w:pos="9026" w:leader="dot"/>
            </w:tabs>
            <w:rPr/>
          </w:pPr>
          <w:hyperlink w:anchor="__RefHeading___Toc716586_996550957">
            <w:r>
              <w:rPr>
                <w:webHidden/>
                <w:rStyle w:val="IndexLink"/>
                <w:rtl w:val="true"/>
              </w:rPr>
              <w:t>اشارة</w:t>
            </w:r>
            <w:r>
              <w:rPr>
                <w:rStyle w:val="IndexLink"/>
                <w:rtl w:val="true"/>
              </w:rPr>
              <w:tab/>
            </w:r>
            <w:r>
              <w:rPr>
                <w:rStyle w:val="IndexLink"/>
              </w:rPr>
              <w:t>126</w:t>
            </w:r>
          </w:hyperlink>
        </w:p>
        <w:p>
          <w:pPr>
            <w:pStyle w:val="Contents4"/>
            <w:tabs>
              <w:tab w:val="clear" w:pos="8176"/>
              <w:tab w:val="right" w:pos="9026" w:leader="dot"/>
            </w:tabs>
            <w:rPr/>
          </w:pPr>
          <w:hyperlink w:anchor="__RefHeading___Toc716588_996550957">
            <w:r>
              <w:rPr>
                <w:webHidden/>
                <w:rStyle w:val="IndexLink"/>
                <w:rtl w:val="true"/>
              </w:rPr>
              <w:t>ذكر تقسيم آخر للاسم</w:t>
            </w:r>
            <w:r>
              <w:rPr>
                <w:rStyle w:val="IndexLink"/>
                <w:rtl w:val="true"/>
              </w:rPr>
              <w:tab/>
            </w:r>
            <w:r>
              <w:rPr>
                <w:rStyle w:val="IndexLink"/>
              </w:rPr>
              <w:t>127</w:t>
            </w:r>
          </w:hyperlink>
        </w:p>
        <w:p>
          <w:pPr>
            <w:pStyle w:val="Contents4"/>
            <w:tabs>
              <w:tab w:val="clear" w:pos="8176"/>
              <w:tab w:val="right" w:pos="9026" w:leader="dot"/>
            </w:tabs>
            <w:rPr/>
          </w:pPr>
          <w:hyperlink w:anchor="__RefHeading___Toc716590_996550957">
            <w:r>
              <w:rPr>
                <w:webHidden/>
                <w:rStyle w:val="IndexLink"/>
                <w:rtl w:val="true"/>
              </w:rPr>
              <w:t>ذكر تقسيم آخر للمعرب</w:t>
            </w:r>
            <w:r>
              <w:rPr>
                <w:rStyle w:val="IndexLink"/>
                <w:rtl w:val="true"/>
              </w:rPr>
              <w:tab/>
            </w:r>
            <w:r>
              <w:rPr>
                <w:rStyle w:val="IndexLink"/>
              </w:rPr>
              <w:t>129</w:t>
            </w:r>
          </w:hyperlink>
        </w:p>
        <w:p>
          <w:pPr>
            <w:pStyle w:val="Contents5"/>
            <w:tabs>
              <w:tab w:val="clear" w:pos="7892"/>
              <w:tab w:val="right" w:pos="9026" w:leader="dot"/>
            </w:tabs>
            <w:rPr/>
          </w:pPr>
          <w:hyperlink w:anchor="__RefHeading___Toc716592_996550957">
            <w:r>
              <w:rPr>
                <w:webHidden/>
                <w:rStyle w:val="IndexLink"/>
                <w:rtl w:val="true"/>
              </w:rPr>
              <w:t>اشارة</w:t>
            </w:r>
            <w:r>
              <w:rPr>
                <w:rStyle w:val="IndexLink"/>
                <w:rtl w:val="true"/>
              </w:rPr>
              <w:tab/>
            </w:r>
            <w:r>
              <w:rPr>
                <w:rStyle w:val="IndexLink"/>
              </w:rPr>
              <w:t>129</w:t>
            </w:r>
          </w:hyperlink>
        </w:p>
        <w:p>
          <w:pPr>
            <w:pStyle w:val="Contents5"/>
            <w:tabs>
              <w:tab w:val="clear" w:pos="7892"/>
              <w:tab w:val="right" w:pos="9026" w:leader="dot"/>
            </w:tabs>
            <w:rPr/>
          </w:pPr>
          <w:hyperlink w:anchor="__RefHeading___Toc716594_996550957">
            <w:r>
              <w:rPr>
                <w:webHidden/>
                <w:rStyle w:val="IndexLink"/>
              </w:rPr>
              <w:t>1</w:t>
            </w:r>
            <w:r>
              <w:rPr>
                <w:rStyle w:val="IndexLink"/>
                <w:rtl w:val="true"/>
              </w:rPr>
              <w:t xml:space="preserve">- </w:t>
            </w:r>
            <w:r>
              <w:rPr>
                <w:rStyle w:val="IndexLink"/>
                <w:rtl w:val="true"/>
              </w:rPr>
              <w:t>ذكر إعراب الاسم المفرد ، والجمع المكسّر المنصرفين</w:t>
            </w:r>
            <w:r>
              <w:rPr>
                <w:rStyle w:val="IndexLink"/>
                <w:rtl w:val="true"/>
              </w:rPr>
              <w:tab/>
            </w:r>
            <w:r>
              <w:rPr>
                <w:rStyle w:val="IndexLink"/>
              </w:rPr>
              <w:t>129</w:t>
            </w:r>
          </w:hyperlink>
        </w:p>
        <w:p>
          <w:pPr>
            <w:pStyle w:val="Contents5"/>
            <w:tabs>
              <w:tab w:val="clear" w:pos="7892"/>
              <w:tab w:val="right" w:pos="9026" w:leader="dot"/>
            </w:tabs>
            <w:rPr/>
          </w:pPr>
          <w:hyperlink w:anchor="__RefHeading___Toc716596_996550957">
            <w:r>
              <w:rPr>
                <w:webHidden/>
                <w:rStyle w:val="IndexLink"/>
              </w:rPr>
              <w:t>2</w:t>
            </w:r>
            <w:r>
              <w:rPr>
                <w:rStyle w:val="IndexLink"/>
                <w:rtl w:val="true"/>
              </w:rPr>
              <w:t xml:space="preserve">- </w:t>
            </w:r>
            <w:r>
              <w:rPr>
                <w:rStyle w:val="IndexLink"/>
                <w:rtl w:val="true"/>
              </w:rPr>
              <w:t>ذكر إعراب جمع المؤنّث الصحيح</w:t>
            </w:r>
            <w:r>
              <w:rPr>
                <w:rStyle w:val="IndexLink"/>
                <w:rtl w:val="true"/>
              </w:rPr>
              <w:tab/>
            </w:r>
            <w:r>
              <w:rPr>
                <w:rStyle w:val="IndexLink"/>
              </w:rPr>
              <w:t>129</w:t>
            </w:r>
          </w:hyperlink>
        </w:p>
        <w:p>
          <w:pPr>
            <w:pStyle w:val="Contents5"/>
            <w:tabs>
              <w:tab w:val="clear" w:pos="7892"/>
              <w:tab w:val="right" w:pos="9026" w:leader="dot"/>
            </w:tabs>
            <w:rPr/>
          </w:pPr>
          <w:hyperlink w:anchor="__RefHeading___Toc716598_996550957">
            <w:r>
              <w:rPr>
                <w:webHidden/>
                <w:rStyle w:val="IndexLink"/>
              </w:rPr>
              <w:t>3</w:t>
            </w:r>
            <w:r>
              <w:rPr>
                <w:rStyle w:val="IndexLink"/>
                <w:rtl w:val="true"/>
              </w:rPr>
              <w:t xml:space="preserve">- </w:t>
            </w:r>
            <w:r>
              <w:rPr>
                <w:rStyle w:val="IndexLink"/>
                <w:rtl w:val="true"/>
              </w:rPr>
              <w:t>ذكر إعراب الاسم الغير</w:t>
            </w:r>
            <w:r>
              <w:rPr>
                <w:rStyle w:val="IndexLink"/>
                <w:rtl w:val="true"/>
              </w:rPr>
              <w:tab/>
            </w:r>
            <w:r>
              <w:rPr>
                <w:rStyle w:val="IndexLink"/>
              </w:rPr>
              <w:t>129</w:t>
            </w:r>
          </w:hyperlink>
        </w:p>
        <w:p>
          <w:pPr>
            <w:pStyle w:val="Contents5"/>
            <w:tabs>
              <w:tab w:val="clear" w:pos="7892"/>
              <w:tab w:val="right" w:pos="9026" w:leader="dot"/>
            </w:tabs>
            <w:rPr/>
          </w:pPr>
          <w:hyperlink w:anchor="__RefHeading___Toc716600_996550957">
            <w:r>
              <w:rPr>
                <w:webHidden/>
                <w:rStyle w:val="IndexLink"/>
              </w:rPr>
              <w:t>4</w:t>
            </w:r>
            <w:r>
              <w:rPr>
                <w:rStyle w:val="IndexLink"/>
                <w:rtl w:val="true"/>
              </w:rPr>
              <w:t xml:space="preserve">- </w:t>
            </w:r>
            <w:r>
              <w:rPr>
                <w:rStyle w:val="IndexLink"/>
                <w:rtl w:val="true"/>
              </w:rPr>
              <w:t>ذكر إعراب الأسماء الستة</w:t>
            </w:r>
            <w:r>
              <w:rPr>
                <w:rStyle w:val="IndexLink"/>
                <w:rtl w:val="true"/>
              </w:rPr>
              <w:tab/>
            </w:r>
            <w:r>
              <w:rPr>
                <w:rStyle w:val="IndexLink"/>
              </w:rPr>
              <w:t>130</w:t>
            </w:r>
          </w:hyperlink>
        </w:p>
        <w:p>
          <w:pPr>
            <w:pStyle w:val="Contents5"/>
            <w:tabs>
              <w:tab w:val="clear" w:pos="7892"/>
              <w:tab w:val="right" w:pos="9026" w:leader="dot"/>
            </w:tabs>
            <w:rPr/>
          </w:pPr>
          <w:hyperlink w:anchor="__RefHeading___Toc716602_996550957">
            <w:r>
              <w:rPr>
                <w:webHidden/>
                <w:rStyle w:val="IndexLink"/>
              </w:rPr>
              <w:t>5</w:t>
            </w:r>
            <w:r>
              <w:rPr>
                <w:rStyle w:val="IndexLink"/>
                <w:rtl w:val="true"/>
              </w:rPr>
              <w:t xml:space="preserve">- </w:t>
            </w:r>
            <w:r>
              <w:rPr>
                <w:rStyle w:val="IndexLink"/>
                <w:rtl w:val="true"/>
              </w:rPr>
              <w:t>ذكر إعراب المثنّى</w:t>
            </w:r>
            <w:r>
              <w:rPr>
                <w:rStyle w:val="IndexLink"/>
                <w:rtl w:val="true"/>
              </w:rPr>
              <w:tab/>
            </w:r>
            <w:r>
              <w:rPr>
                <w:rStyle w:val="IndexLink"/>
              </w:rPr>
              <w:t>130</w:t>
            </w:r>
          </w:hyperlink>
        </w:p>
        <w:p>
          <w:pPr>
            <w:pStyle w:val="Contents5"/>
            <w:tabs>
              <w:tab w:val="clear" w:pos="7892"/>
              <w:tab w:val="right" w:pos="9026" w:leader="dot"/>
            </w:tabs>
            <w:rPr/>
          </w:pPr>
          <w:hyperlink w:anchor="__RefHeading___Toc716604_996550957">
            <w:r>
              <w:rPr>
                <w:webHidden/>
                <w:rStyle w:val="IndexLink"/>
              </w:rPr>
              <w:t>6</w:t>
            </w:r>
            <w:r>
              <w:rPr>
                <w:rStyle w:val="IndexLink"/>
                <w:rtl w:val="true"/>
              </w:rPr>
              <w:t xml:space="preserve">- </w:t>
            </w:r>
            <w:r>
              <w:rPr>
                <w:rStyle w:val="IndexLink"/>
                <w:rtl w:val="true"/>
              </w:rPr>
              <w:t>ذكر إعراب الجمع السّالم</w:t>
            </w:r>
            <w:r>
              <w:rPr>
                <w:rStyle w:val="IndexLink"/>
                <w:rtl w:val="true"/>
              </w:rPr>
              <w:tab/>
            </w:r>
            <w:r>
              <w:rPr>
                <w:rStyle w:val="IndexLink"/>
              </w:rPr>
              <w:t>131</w:t>
            </w:r>
          </w:hyperlink>
        </w:p>
        <w:p>
          <w:pPr>
            <w:pStyle w:val="Contents4"/>
            <w:tabs>
              <w:tab w:val="clear" w:pos="8176"/>
              <w:tab w:val="right" w:pos="9026" w:leader="dot"/>
            </w:tabs>
            <w:rPr/>
          </w:pPr>
          <w:hyperlink w:anchor="__RefHeading___Toc716606_996550957">
            <w:r>
              <w:rPr>
                <w:webHidden/>
                <w:rStyle w:val="IndexLink"/>
                <w:rtl w:val="true"/>
              </w:rPr>
              <w:t>ذكر الإعراب التقديري</w:t>
            </w:r>
            <w:r>
              <w:rPr>
                <w:rStyle w:val="IndexLink"/>
                <w:rtl w:val="true"/>
              </w:rPr>
              <w:tab/>
            </w:r>
            <w:r>
              <w:rPr>
                <w:rStyle w:val="IndexLink"/>
              </w:rPr>
              <w:t>131</w:t>
            </w:r>
          </w:hyperlink>
        </w:p>
        <w:p>
          <w:pPr>
            <w:pStyle w:val="Contents4"/>
            <w:tabs>
              <w:tab w:val="clear" w:pos="8176"/>
              <w:tab w:val="right" w:pos="9026" w:leader="dot"/>
            </w:tabs>
            <w:rPr/>
          </w:pPr>
          <w:hyperlink w:anchor="__RefHeading___Toc716608_996550957">
            <w:r>
              <w:rPr>
                <w:webHidden/>
                <w:rStyle w:val="IndexLink"/>
                <w:rtl w:val="true"/>
              </w:rPr>
              <w:t>ذكر ما لا ينصرف</w:t>
            </w:r>
            <w:r>
              <w:rPr>
                <w:rStyle w:val="IndexLink"/>
                <w:rtl w:val="true"/>
              </w:rPr>
              <w:tab/>
            </w:r>
            <w:r>
              <w:rPr>
                <w:rStyle w:val="IndexLink"/>
              </w:rPr>
              <w:t>132</w:t>
            </w:r>
          </w:hyperlink>
        </w:p>
        <w:p>
          <w:pPr>
            <w:pStyle w:val="Contents5"/>
            <w:tabs>
              <w:tab w:val="clear" w:pos="7892"/>
              <w:tab w:val="right" w:pos="9026" w:leader="dot"/>
            </w:tabs>
            <w:rPr/>
          </w:pPr>
          <w:hyperlink w:anchor="__RefHeading___Toc716610_996550957">
            <w:r>
              <w:rPr>
                <w:webHidden/>
                <w:rStyle w:val="IndexLink"/>
                <w:rtl w:val="true"/>
              </w:rPr>
              <w:t>اشارة</w:t>
            </w:r>
            <w:r>
              <w:rPr>
                <w:rStyle w:val="IndexLink"/>
                <w:rtl w:val="true"/>
              </w:rPr>
              <w:tab/>
            </w:r>
            <w:r>
              <w:rPr>
                <w:rStyle w:val="IndexLink"/>
              </w:rPr>
              <w:t>132</w:t>
            </w:r>
          </w:hyperlink>
        </w:p>
        <w:p>
          <w:pPr>
            <w:pStyle w:val="Contents5"/>
            <w:tabs>
              <w:tab w:val="clear" w:pos="7892"/>
              <w:tab w:val="right" w:pos="9026" w:leader="dot"/>
            </w:tabs>
            <w:rPr/>
          </w:pPr>
          <w:hyperlink w:anchor="__RefHeading___Toc716612_996550957">
            <w:r>
              <w:rPr>
                <w:webHidden/>
                <w:rStyle w:val="IndexLink"/>
              </w:rPr>
              <w:t>1</w:t>
            </w:r>
            <w:r>
              <w:rPr>
                <w:rStyle w:val="IndexLink"/>
                <w:rtl w:val="true"/>
              </w:rPr>
              <w:t xml:space="preserve">- </w:t>
            </w:r>
            <w:r>
              <w:rPr>
                <w:rStyle w:val="IndexLink"/>
                <w:rtl w:val="true"/>
              </w:rPr>
              <w:t>ذكر العدل</w:t>
            </w:r>
            <w:r>
              <w:rPr>
                <w:rStyle w:val="IndexLink"/>
                <w:rtl w:val="true"/>
              </w:rPr>
              <w:tab/>
            </w:r>
            <w:r>
              <w:rPr>
                <w:rStyle w:val="IndexLink"/>
              </w:rPr>
              <w:t>134</w:t>
            </w:r>
          </w:hyperlink>
        </w:p>
        <w:p>
          <w:pPr>
            <w:pStyle w:val="Contents5"/>
            <w:tabs>
              <w:tab w:val="clear" w:pos="7892"/>
              <w:tab w:val="right" w:pos="9026" w:leader="dot"/>
            </w:tabs>
            <w:rPr/>
          </w:pPr>
          <w:hyperlink w:anchor="__RefHeading___Toc716614_996550957">
            <w:r>
              <w:rPr>
                <w:webHidden/>
                <w:rStyle w:val="IndexLink"/>
              </w:rPr>
              <w:t>2</w:t>
            </w:r>
            <w:r>
              <w:rPr>
                <w:rStyle w:val="IndexLink"/>
                <w:rtl w:val="true"/>
              </w:rPr>
              <w:t xml:space="preserve">- </w:t>
            </w:r>
            <w:r>
              <w:rPr>
                <w:rStyle w:val="IndexLink"/>
                <w:rtl w:val="true"/>
              </w:rPr>
              <w:t>ذكر التأنيث</w:t>
            </w:r>
            <w:r>
              <w:rPr>
                <w:rStyle w:val="IndexLink"/>
                <w:rtl w:val="true"/>
              </w:rPr>
              <w:tab/>
            </w:r>
            <w:r>
              <w:rPr>
                <w:rStyle w:val="IndexLink"/>
              </w:rPr>
              <w:t>135</w:t>
            </w:r>
          </w:hyperlink>
        </w:p>
        <w:p>
          <w:pPr>
            <w:pStyle w:val="Contents5"/>
            <w:tabs>
              <w:tab w:val="clear" w:pos="7892"/>
              <w:tab w:val="right" w:pos="9026" w:leader="dot"/>
            </w:tabs>
            <w:rPr/>
          </w:pPr>
          <w:hyperlink w:anchor="__RefHeading___Toc716616_996550957">
            <w:r>
              <w:rPr>
                <w:webHidden/>
                <w:rStyle w:val="IndexLink"/>
              </w:rPr>
              <w:t>3</w:t>
            </w:r>
            <w:r>
              <w:rPr>
                <w:rStyle w:val="IndexLink"/>
                <w:rtl w:val="true"/>
              </w:rPr>
              <w:t xml:space="preserve">- </w:t>
            </w:r>
            <w:r>
              <w:rPr>
                <w:rStyle w:val="IndexLink"/>
                <w:rtl w:val="true"/>
              </w:rPr>
              <w:t>ذكر الجمع</w:t>
            </w:r>
            <w:r>
              <w:rPr>
                <w:rStyle w:val="IndexLink"/>
                <w:rtl w:val="true"/>
              </w:rPr>
              <w:tab/>
            </w:r>
            <w:r>
              <w:rPr>
                <w:rStyle w:val="IndexLink"/>
              </w:rPr>
              <w:t>137</w:t>
            </w:r>
          </w:hyperlink>
        </w:p>
        <w:p>
          <w:pPr>
            <w:pStyle w:val="Contents5"/>
            <w:tabs>
              <w:tab w:val="clear" w:pos="7892"/>
              <w:tab w:val="right" w:pos="9026" w:leader="dot"/>
            </w:tabs>
            <w:rPr/>
          </w:pPr>
          <w:hyperlink w:anchor="__RefHeading___Toc716618_996550957">
            <w:r>
              <w:rPr>
                <w:webHidden/>
                <w:rStyle w:val="IndexLink"/>
              </w:rPr>
              <w:t>4</w:t>
            </w:r>
            <w:r>
              <w:rPr>
                <w:rStyle w:val="IndexLink"/>
                <w:rtl w:val="true"/>
              </w:rPr>
              <w:t xml:space="preserve">- </w:t>
            </w:r>
            <w:r>
              <w:rPr>
                <w:rStyle w:val="IndexLink"/>
                <w:rtl w:val="true"/>
              </w:rPr>
              <w:t>ذكر المعرفة</w:t>
            </w:r>
            <w:r>
              <w:rPr>
                <w:rStyle w:val="IndexLink"/>
                <w:rtl w:val="true"/>
              </w:rPr>
              <w:tab/>
            </w:r>
            <w:r>
              <w:rPr>
                <w:rStyle w:val="IndexLink"/>
              </w:rPr>
              <w:t>139</w:t>
            </w:r>
          </w:hyperlink>
        </w:p>
        <w:p>
          <w:pPr>
            <w:pStyle w:val="Contents5"/>
            <w:tabs>
              <w:tab w:val="clear" w:pos="7892"/>
              <w:tab w:val="right" w:pos="9026" w:leader="dot"/>
            </w:tabs>
            <w:rPr/>
          </w:pPr>
          <w:hyperlink w:anchor="__RefHeading___Toc716620_996550957">
            <w:r>
              <w:rPr>
                <w:webHidden/>
                <w:rStyle w:val="IndexLink"/>
              </w:rPr>
              <w:t>5</w:t>
            </w:r>
            <w:r>
              <w:rPr>
                <w:rStyle w:val="IndexLink"/>
                <w:rtl w:val="true"/>
              </w:rPr>
              <w:t xml:space="preserve">- </w:t>
            </w:r>
            <w:r>
              <w:rPr>
                <w:rStyle w:val="IndexLink"/>
                <w:rtl w:val="true"/>
              </w:rPr>
              <w:t>ذكر العجمة</w:t>
            </w:r>
            <w:r>
              <w:rPr>
                <w:rStyle w:val="IndexLink"/>
                <w:rtl w:val="true"/>
              </w:rPr>
              <w:tab/>
            </w:r>
            <w:r>
              <w:rPr>
                <w:rStyle w:val="IndexLink"/>
              </w:rPr>
              <w:t>139</w:t>
            </w:r>
          </w:hyperlink>
        </w:p>
        <w:p>
          <w:pPr>
            <w:pStyle w:val="Contents5"/>
            <w:tabs>
              <w:tab w:val="clear" w:pos="7892"/>
              <w:tab w:val="right" w:pos="9026" w:leader="dot"/>
            </w:tabs>
            <w:rPr/>
          </w:pPr>
          <w:hyperlink w:anchor="__RefHeading___Toc716622_996550957">
            <w:r>
              <w:rPr>
                <w:webHidden/>
                <w:rStyle w:val="IndexLink"/>
              </w:rPr>
              <w:t>6</w:t>
            </w:r>
            <w:r>
              <w:rPr>
                <w:rStyle w:val="IndexLink"/>
                <w:rtl w:val="true"/>
              </w:rPr>
              <w:t xml:space="preserve">- </w:t>
            </w:r>
            <w:r>
              <w:rPr>
                <w:rStyle w:val="IndexLink"/>
                <w:rtl w:val="true"/>
              </w:rPr>
              <w:t>ذكر وزن الفعل</w:t>
            </w:r>
            <w:r>
              <w:rPr>
                <w:rStyle w:val="IndexLink"/>
                <w:rtl w:val="true"/>
              </w:rPr>
              <w:tab/>
            </w:r>
            <w:r>
              <w:rPr>
                <w:rStyle w:val="IndexLink"/>
              </w:rPr>
              <w:t>140</w:t>
            </w:r>
          </w:hyperlink>
        </w:p>
        <w:p>
          <w:pPr>
            <w:pStyle w:val="Contents5"/>
            <w:tabs>
              <w:tab w:val="clear" w:pos="7892"/>
              <w:tab w:val="right" w:pos="9026" w:leader="dot"/>
            </w:tabs>
            <w:rPr/>
          </w:pPr>
          <w:hyperlink w:anchor="__RefHeading___Toc716624_996550957">
            <w:r>
              <w:rPr>
                <w:webHidden/>
                <w:rStyle w:val="IndexLink"/>
              </w:rPr>
              <w:t>7</w:t>
            </w:r>
            <w:r>
              <w:rPr>
                <w:rStyle w:val="IndexLink"/>
                <w:rtl w:val="true"/>
              </w:rPr>
              <w:t xml:space="preserve">- </w:t>
            </w:r>
            <w:r>
              <w:rPr>
                <w:rStyle w:val="IndexLink"/>
                <w:rtl w:val="true"/>
              </w:rPr>
              <w:t>ذكر الوصف</w:t>
            </w:r>
            <w:r>
              <w:rPr>
                <w:rStyle w:val="IndexLink"/>
                <w:rtl w:val="true"/>
              </w:rPr>
              <w:tab/>
            </w:r>
            <w:r>
              <w:rPr>
                <w:rStyle w:val="IndexLink"/>
              </w:rPr>
              <w:t>141</w:t>
            </w:r>
          </w:hyperlink>
        </w:p>
        <w:p>
          <w:pPr>
            <w:pStyle w:val="Contents5"/>
            <w:tabs>
              <w:tab w:val="clear" w:pos="7892"/>
              <w:tab w:val="right" w:pos="9026" w:leader="dot"/>
            </w:tabs>
            <w:rPr/>
          </w:pPr>
          <w:hyperlink w:anchor="__RefHeading___Toc716626_996550957">
            <w:r>
              <w:rPr>
                <w:webHidden/>
                <w:rStyle w:val="IndexLink"/>
              </w:rPr>
              <w:t>8</w:t>
            </w:r>
            <w:r>
              <w:rPr>
                <w:rStyle w:val="IndexLink"/>
                <w:rtl w:val="true"/>
              </w:rPr>
              <w:t xml:space="preserve">- </w:t>
            </w:r>
            <w:r>
              <w:rPr>
                <w:rStyle w:val="IndexLink"/>
                <w:rtl w:val="true"/>
              </w:rPr>
              <w:t>ذكر الألف والنون</w:t>
            </w:r>
            <w:r>
              <w:rPr>
                <w:rStyle w:val="IndexLink"/>
                <w:rtl w:val="true"/>
              </w:rPr>
              <w:tab/>
            </w:r>
            <w:r>
              <w:rPr>
                <w:rStyle w:val="IndexLink"/>
              </w:rPr>
              <w:t>142</w:t>
            </w:r>
          </w:hyperlink>
        </w:p>
        <w:p>
          <w:pPr>
            <w:pStyle w:val="Contents5"/>
            <w:tabs>
              <w:tab w:val="clear" w:pos="7892"/>
              <w:tab w:val="right" w:pos="9026" w:leader="dot"/>
            </w:tabs>
            <w:rPr/>
          </w:pPr>
          <w:hyperlink w:anchor="__RefHeading___Toc716628_996550957">
            <w:r>
              <w:rPr>
                <w:webHidden/>
                <w:rStyle w:val="IndexLink"/>
              </w:rPr>
              <w:t>9</w:t>
            </w:r>
            <w:r>
              <w:rPr>
                <w:rStyle w:val="IndexLink"/>
                <w:rtl w:val="true"/>
              </w:rPr>
              <w:t xml:space="preserve">- </w:t>
            </w:r>
            <w:r>
              <w:rPr>
                <w:rStyle w:val="IndexLink"/>
                <w:rtl w:val="true"/>
              </w:rPr>
              <w:t>ذكر التركيب</w:t>
            </w:r>
            <w:r>
              <w:rPr>
                <w:rStyle w:val="IndexLink"/>
                <w:rtl w:val="true"/>
              </w:rPr>
              <w:tab/>
            </w:r>
            <w:r>
              <w:rPr>
                <w:rStyle w:val="IndexLink"/>
              </w:rPr>
              <w:t>142</w:t>
            </w:r>
          </w:hyperlink>
        </w:p>
        <w:p>
          <w:pPr>
            <w:pStyle w:val="Contents5"/>
            <w:tabs>
              <w:tab w:val="clear" w:pos="7892"/>
              <w:tab w:val="right" w:pos="9026" w:leader="dot"/>
            </w:tabs>
            <w:rPr/>
          </w:pPr>
          <w:hyperlink w:anchor="__RefHeading___Toc716630_996550957">
            <w:r>
              <w:rPr>
                <w:webHidden/>
                <w:rStyle w:val="IndexLink"/>
                <w:rtl w:val="true"/>
              </w:rPr>
              <w:t>ذكر بقيّة الكلام على ما لا ينصرف</w:t>
            </w:r>
            <w:r>
              <w:rPr>
                <w:rStyle w:val="IndexLink"/>
                <w:rtl w:val="true"/>
              </w:rPr>
              <w:tab/>
            </w:r>
            <w:r>
              <w:rPr>
                <w:rStyle w:val="IndexLink"/>
              </w:rPr>
              <w:t>143</w:t>
            </w:r>
          </w:hyperlink>
        </w:p>
        <w:p>
          <w:pPr>
            <w:pStyle w:val="Contents4"/>
            <w:tabs>
              <w:tab w:val="clear" w:pos="8176"/>
              <w:tab w:val="right" w:pos="9026" w:leader="dot"/>
            </w:tabs>
            <w:rPr/>
          </w:pPr>
          <w:hyperlink w:anchor="__RefHeading___Toc716632_996550957">
            <w:r>
              <w:rPr>
                <w:webHidden/>
                <w:rStyle w:val="IndexLink"/>
                <w:rtl w:val="true"/>
              </w:rPr>
              <w:t>ذكر المرفوعات</w:t>
            </w:r>
            <w:r>
              <w:rPr>
                <w:rStyle w:val="IndexLink"/>
                <w:rtl w:val="true"/>
              </w:rPr>
              <w:tab/>
            </w:r>
            <w:r>
              <w:rPr>
                <w:rStyle w:val="IndexLink"/>
              </w:rPr>
              <w:t>144</w:t>
            </w:r>
          </w:hyperlink>
        </w:p>
        <w:p>
          <w:pPr>
            <w:pStyle w:val="Contents5"/>
            <w:tabs>
              <w:tab w:val="clear" w:pos="7892"/>
              <w:tab w:val="right" w:pos="9026" w:leader="dot"/>
            </w:tabs>
            <w:rPr/>
          </w:pPr>
          <w:hyperlink w:anchor="__RefHeading___Toc716634_996550957">
            <w:r>
              <w:rPr>
                <w:webHidden/>
                <w:rStyle w:val="IndexLink"/>
                <w:rtl w:val="true"/>
              </w:rPr>
              <w:t>اشارة</w:t>
            </w:r>
            <w:r>
              <w:rPr>
                <w:rStyle w:val="IndexLink"/>
                <w:rtl w:val="true"/>
              </w:rPr>
              <w:tab/>
            </w:r>
            <w:r>
              <w:rPr>
                <w:rStyle w:val="IndexLink"/>
              </w:rPr>
              <w:t>144</w:t>
            </w:r>
          </w:hyperlink>
        </w:p>
        <w:p>
          <w:pPr>
            <w:pStyle w:val="Contents5"/>
            <w:tabs>
              <w:tab w:val="clear" w:pos="7892"/>
              <w:tab w:val="right" w:pos="9026" w:leader="dot"/>
            </w:tabs>
            <w:rPr/>
          </w:pPr>
          <w:hyperlink w:anchor="__RefHeading___Toc716636_996550957">
            <w:r>
              <w:rPr>
                <w:webHidden/>
                <w:rStyle w:val="IndexLink"/>
              </w:rPr>
              <w:t>1</w:t>
            </w:r>
            <w:r>
              <w:rPr>
                <w:rStyle w:val="IndexLink"/>
                <w:rtl w:val="true"/>
              </w:rPr>
              <w:t xml:space="preserve">- </w:t>
            </w:r>
            <w:r>
              <w:rPr>
                <w:rStyle w:val="IndexLink"/>
                <w:rtl w:val="true"/>
              </w:rPr>
              <w:t>ذكر الفاعل</w:t>
            </w:r>
            <w:r>
              <w:rPr>
                <w:rStyle w:val="IndexLink"/>
                <w:rtl w:val="true"/>
              </w:rPr>
              <w:tab/>
            </w:r>
            <w:r>
              <w:rPr>
                <w:rStyle w:val="IndexLink"/>
              </w:rPr>
              <w:t>144</w:t>
            </w:r>
          </w:hyperlink>
        </w:p>
        <w:p>
          <w:pPr>
            <w:pStyle w:val="Contents6"/>
            <w:tabs>
              <w:tab w:val="clear" w:pos="7609"/>
              <w:tab w:val="right" w:pos="9026" w:leader="dot"/>
            </w:tabs>
            <w:rPr/>
          </w:pPr>
          <w:hyperlink w:anchor="__RefHeading___Toc716638_996550957">
            <w:r>
              <w:rPr>
                <w:webHidden/>
                <w:rStyle w:val="IndexLink"/>
                <w:rtl w:val="true"/>
              </w:rPr>
              <w:t>اشارة</w:t>
            </w:r>
            <w:r>
              <w:rPr>
                <w:rStyle w:val="IndexLink"/>
                <w:rtl w:val="true"/>
              </w:rPr>
              <w:tab/>
            </w:r>
            <w:r>
              <w:rPr>
                <w:rStyle w:val="IndexLink"/>
              </w:rPr>
              <w:t>144</w:t>
            </w:r>
          </w:hyperlink>
        </w:p>
        <w:p>
          <w:pPr>
            <w:pStyle w:val="Contents6"/>
            <w:tabs>
              <w:tab w:val="clear" w:pos="7609"/>
              <w:tab w:val="right" w:pos="9026" w:leader="dot"/>
            </w:tabs>
            <w:rPr/>
          </w:pPr>
          <w:hyperlink w:anchor="__RefHeading___Toc716640_996550957">
            <w:r>
              <w:rPr>
                <w:webHidden/>
                <w:rStyle w:val="IndexLink"/>
                <w:rtl w:val="true"/>
              </w:rPr>
              <w:t>ذكر وجوب تقديم الفاعل</w:t>
            </w:r>
            <w:r>
              <w:rPr>
                <w:rStyle w:val="IndexLink"/>
                <w:rtl w:val="true"/>
              </w:rPr>
              <w:tab/>
            </w:r>
            <w:r>
              <w:rPr>
                <w:rStyle w:val="IndexLink"/>
              </w:rPr>
              <w:t>145</w:t>
            </w:r>
          </w:hyperlink>
        </w:p>
        <w:p>
          <w:pPr>
            <w:pStyle w:val="Contents6"/>
            <w:tabs>
              <w:tab w:val="clear" w:pos="7609"/>
              <w:tab w:val="right" w:pos="9026" w:leader="dot"/>
            </w:tabs>
            <w:rPr/>
          </w:pPr>
          <w:hyperlink w:anchor="__RefHeading___Toc716642_996550957">
            <w:r>
              <w:rPr>
                <w:webHidden/>
                <w:rStyle w:val="IndexLink"/>
                <w:rtl w:val="true"/>
              </w:rPr>
              <w:t>ذكر وجوب تقديم المفعول</w:t>
            </w:r>
            <w:r>
              <w:rPr>
                <w:rStyle w:val="IndexLink"/>
                <w:rtl w:val="true"/>
              </w:rPr>
              <w:tab/>
            </w:r>
            <w:r>
              <w:rPr>
                <w:rStyle w:val="IndexLink"/>
              </w:rPr>
              <w:t>145</w:t>
            </w:r>
          </w:hyperlink>
        </w:p>
        <w:p>
          <w:pPr>
            <w:pStyle w:val="Contents6"/>
            <w:tabs>
              <w:tab w:val="clear" w:pos="7609"/>
              <w:tab w:val="right" w:pos="9026" w:leader="dot"/>
            </w:tabs>
            <w:rPr/>
          </w:pPr>
          <w:hyperlink w:anchor="__RefHeading___Toc716644_996550957">
            <w:r>
              <w:rPr>
                <w:webHidden/>
                <w:rStyle w:val="IndexLink"/>
                <w:rtl w:val="true"/>
              </w:rPr>
              <w:t>ذكر حذف الفعل جوازا ووجوبا</w:t>
            </w:r>
            <w:r>
              <w:rPr>
                <w:rStyle w:val="IndexLink"/>
                <w:rtl w:val="true"/>
              </w:rPr>
              <w:tab/>
            </w:r>
            <w:r>
              <w:rPr>
                <w:rStyle w:val="IndexLink"/>
              </w:rPr>
              <w:t>146</w:t>
            </w:r>
          </w:hyperlink>
        </w:p>
        <w:p>
          <w:pPr>
            <w:pStyle w:val="Contents6"/>
            <w:tabs>
              <w:tab w:val="clear" w:pos="7609"/>
              <w:tab w:val="right" w:pos="9026" w:leader="dot"/>
            </w:tabs>
            <w:rPr/>
          </w:pPr>
          <w:hyperlink w:anchor="__RefHeading___Toc716646_996550957">
            <w:r>
              <w:rPr>
                <w:webHidden/>
                <w:rStyle w:val="IndexLink"/>
                <w:rtl w:val="true"/>
              </w:rPr>
              <w:t>ذكر تنازع الفعلين</w:t>
            </w:r>
            <w:r>
              <w:rPr>
                <w:rStyle w:val="IndexLink"/>
                <w:rtl w:val="true"/>
              </w:rPr>
              <w:tab/>
            </w:r>
            <w:r>
              <w:rPr>
                <w:rStyle w:val="IndexLink"/>
              </w:rPr>
              <w:t>147</w:t>
            </w:r>
          </w:hyperlink>
        </w:p>
        <w:p>
          <w:pPr>
            <w:pStyle w:val="Contents5"/>
            <w:tabs>
              <w:tab w:val="clear" w:pos="7892"/>
              <w:tab w:val="right" w:pos="9026" w:leader="dot"/>
            </w:tabs>
            <w:rPr/>
          </w:pPr>
          <w:hyperlink w:anchor="__RefHeading___Toc716648_996550957">
            <w:r>
              <w:rPr>
                <w:webHidden/>
                <w:rStyle w:val="IndexLink"/>
              </w:rPr>
              <w:t>2</w:t>
            </w:r>
            <w:r>
              <w:rPr>
                <w:rStyle w:val="IndexLink"/>
                <w:rtl w:val="true"/>
              </w:rPr>
              <w:t xml:space="preserve">- </w:t>
            </w:r>
            <w:r>
              <w:rPr>
                <w:rStyle w:val="IndexLink"/>
                <w:rtl w:val="true"/>
              </w:rPr>
              <w:t>ذكر مفعول ما لم يسمّ فاعله</w:t>
            </w:r>
            <w:r>
              <w:rPr>
                <w:rStyle w:val="IndexLink"/>
                <w:rtl w:val="true"/>
              </w:rPr>
              <w:tab/>
            </w:r>
            <w:r>
              <w:rPr>
                <w:rStyle w:val="IndexLink"/>
              </w:rPr>
              <w:t>148</w:t>
            </w:r>
          </w:hyperlink>
        </w:p>
        <w:p>
          <w:pPr>
            <w:pStyle w:val="Contents5"/>
            <w:tabs>
              <w:tab w:val="clear" w:pos="7892"/>
              <w:tab w:val="right" w:pos="9026" w:leader="dot"/>
            </w:tabs>
            <w:rPr/>
          </w:pPr>
          <w:hyperlink w:anchor="__RefHeading___Toc716650_996550957">
            <w:r>
              <w:rPr>
                <w:webHidden/>
                <w:rStyle w:val="IndexLink"/>
              </w:rPr>
              <w:t>3</w:t>
            </w:r>
            <w:r>
              <w:rPr>
                <w:rStyle w:val="IndexLink"/>
                <w:rtl w:val="true"/>
              </w:rPr>
              <w:t xml:space="preserve">- </w:t>
            </w:r>
            <w:r>
              <w:rPr>
                <w:rStyle w:val="IndexLink"/>
                <w:rtl w:val="true"/>
              </w:rPr>
              <w:t>ذكر المبتدأ</w:t>
            </w:r>
            <w:r>
              <w:rPr>
                <w:rStyle w:val="IndexLink"/>
                <w:rtl w:val="true"/>
              </w:rPr>
              <w:tab/>
            </w:r>
            <w:r>
              <w:rPr>
                <w:rStyle w:val="IndexLink"/>
              </w:rPr>
              <w:t>150</w:t>
            </w:r>
          </w:hyperlink>
        </w:p>
        <w:p>
          <w:pPr>
            <w:pStyle w:val="Contents5"/>
            <w:tabs>
              <w:tab w:val="clear" w:pos="7892"/>
              <w:tab w:val="right" w:pos="9026" w:leader="dot"/>
            </w:tabs>
            <w:rPr/>
          </w:pPr>
          <w:hyperlink w:anchor="__RefHeading___Toc716652_996550957">
            <w:r>
              <w:rPr>
                <w:webHidden/>
                <w:rStyle w:val="IndexLink"/>
              </w:rPr>
              <w:t>4</w:t>
            </w:r>
            <w:r>
              <w:rPr>
                <w:rStyle w:val="IndexLink"/>
                <w:rtl w:val="true"/>
              </w:rPr>
              <w:t xml:space="preserve">- </w:t>
            </w:r>
            <w:r>
              <w:rPr>
                <w:rStyle w:val="IndexLink"/>
                <w:rtl w:val="true"/>
              </w:rPr>
              <w:t>ذكر الخبر</w:t>
            </w:r>
            <w:r>
              <w:rPr>
                <w:rStyle w:val="IndexLink"/>
                <w:rtl w:val="true"/>
              </w:rPr>
              <w:tab/>
            </w:r>
            <w:r>
              <w:rPr>
                <w:rStyle w:val="IndexLink"/>
              </w:rPr>
              <w:t>152</w:t>
            </w:r>
          </w:hyperlink>
        </w:p>
        <w:p>
          <w:pPr>
            <w:pStyle w:val="Contents6"/>
            <w:tabs>
              <w:tab w:val="clear" w:pos="7609"/>
              <w:tab w:val="right" w:pos="9026" w:leader="dot"/>
            </w:tabs>
            <w:rPr/>
          </w:pPr>
          <w:hyperlink w:anchor="__RefHeading___Toc716654_996550957">
            <w:r>
              <w:rPr>
                <w:webHidden/>
                <w:rStyle w:val="IndexLink"/>
                <w:rtl w:val="true"/>
              </w:rPr>
              <w:t>اشارة</w:t>
            </w:r>
            <w:r>
              <w:rPr>
                <w:rStyle w:val="IndexLink"/>
                <w:rtl w:val="true"/>
              </w:rPr>
              <w:tab/>
            </w:r>
            <w:r>
              <w:rPr>
                <w:rStyle w:val="IndexLink"/>
              </w:rPr>
              <w:t>152</w:t>
            </w:r>
          </w:hyperlink>
        </w:p>
        <w:p>
          <w:pPr>
            <w:pStyle w:val="Contents6"/>
            <w:tabs>
              <w:tab w:val="clear" w:pos="7609"/>
              <w:tab w:val="right" w:pos="9026" w:leader="dot"/>
            </w:tabs>
            <w:rPr/>
          </w:pPr>
          <w:hyperlink w:anchor="__RefHeading___Toc716656_996550957">
            <w:r>
              <w:rPr>
                <w:webHidden/>
                <w:rStyle w:val="IndexLink"/>
                <w:rtl w:val="true"/>
              </w:rPr>
              <w:t>ذكر أنّ أصل المبتدإ التقديم</w:t>
            </w:r>
            <w:r>
              <w:rPr>
                <w:rStyle w:val="IndexLink"/>
                <w:rtl w:val="true"/>
              </w:rPr>
              <w:tab/>
            </w:r>
            <w:r>
              <w:rPr>
                <w:rStyle w:val="IndexLink"/>
              </w:rPr>
              <w:t>153</w:t>
            </w:r>
          </w:hyperlink>
        </w:p>
        <w:p>
          <w:pPr>
            <w:pStyle w:val="Contents6"/>
            <w:tabs>
              <w:tab w:val="clear" w:pos="7609"/>
              <w:tab w:val="right" w:pos="9026" w:leader="dot"/>
            </w:tabs>
            <w:rPr/>
          </w:pPr>
          <w:hyperlink w:anchor="__RefHeading___Toc716658_996550957">
            <w:r>
              <w:rPr>
                <w:webHidden/>
                <w:rStyle w:val="IndexLink"/>
                <w:rtl w:val="true"/>
              </w:rPr>
              <w:t>ذكر وجوب تقديم المبتدأ</w:t>
            </w:r>
            <w:r>
              <w:rPr>
                <w:rStyle w:val="IndexLink"/>
                <w:rtl w:val="true"/>
              </w:rPr>
              <w:tab/>
            </w:r>
            <w:r>
              <w:rPr>
                <w:rStyle w:val="IndexLink"/>
              </w:rPr>
              <w:t>153</w:t>
            </w:r>
          </w:hyperlink>
        </w:p>
        <w:p>
          <w:pPr>
            <w:pStyle w:val="Contents6"/>
            <w:tabs>
              <w:tab w:val="clear" w:pos="7609"/>
              <w:tab w:val="right" w:pos="9026" w:leader="dot"/>
            </w:tabs>
            <w:rPr/>
          </w:pPr>
          <w:hyperlink w:anchor="__RefHeading___Toc716660_996550957">
            <w:r>
              <w:rPr>
                <w:webHidden/>
                <w:rStyle w:val="IndexLink"/>
                <w:rtl w:val="true"/>
              </w:rPr>
              <w:t>ذكر وجوب تقديم الخبر</w:t>
            </w:r>
            <w:r>
              <w:rPr>
                <w:rStyle w:val="IndexLink"/>
                <w:rtl w:val="true"/>
              </w:rPr>
              <w:tab/>
            </w:r>
            <w:r>
              <w:rPr>
                <w:rStyle w:val="IndexLink"/>
              </w:rPr>
              <w:t>154</w:t>
            </w:r>
          </w:hyperlink>
        </w:p>
        <w:p>
          <w:pPr>
            <w:pStyle w:val="Contents6"/>
            <w:tabs>
              <w:tab w:val="clear" w:pos="7609"/>
              <w:tab w:val="right" w:pos="9026" w:leader="dot"/>
            </w:tabs>
            <w:rPr/>
          </w:pPr>
          <w:hyperlink w:anchor="__RefHeading___Toc716662_996550957">
            <w:r>
              <w:rPr>
                <w:webHidden/>
                <w:rStyle w:val="IndexLink"/>
                <w:rtl w:val="true"/>
              </w:rPr>
              <w:t>ذكر الابتداء بالنّكرة</w:t>
            </w:r>
            <w:r>
              <w:rPr>
                <w:rStyle w:val="IndexLink"/>
                <w:rtl w:val="true"/>
              </w:rPr>
              <w:tab/>
            </w:r>
            <w:r>
              <w:rPr>
                <w:rStyle w:val="IndexLink"/>
              </w:rPr>
              <w:t>154</w:t>
            </w:r>
          </w:hyperlink>
        </w:p>
        <w:p>
          <w:pPr>
            <w:pStyle w:val="Contents6"/>
            <w:tabs>
              <w:tab w:val="clear" w:pos="7609"/>
              <w:tab w:val="right" w:pos="9026" w:leader="dot"/>
            </w:tabs>
            <w:rPr/>
          </w:pPr>
          <w:hyperlink w:anchor="__RefHeading___Toc716664_996550957">
            <w:r>
              <w:rPr>
                <w:webHidden/>
                <w:rStyle w:val="IndexLink"/>
                <w:rtl w:val="true"/>
              </w:rPr>
              <w:t>ذكر الجملة الخبرية</w:t>
            </w:r>
            <w:r>
              <w:rPr>
                <w:rStyle w:val="IndexLink"/>
                <w:rtl w:val="true"/>
              </w:rPr>
              <w:tab/>
            </w:r>
            <w:r>
              <w:rPr>
                <w:rStyle w:val="IndexLink"/>
              </w:rPr>
              <w:t>156</w:t>
            </w:r>
          </w:hyperlink>
        </w:p>
        <w:p>
          <w:pPr>
            <w:pStyle w:val="Contents6"/>
            <w:tabs>
              <w:tab w:val="clear" w:pos="7609"/>
              <w:tab w:val="right" w:pos="9026" w:leader="dot"/>
            </w:tabs>
            <w:rPr/>
          </w:pPr>
          <w:hyperlink w:anchor="__RefHeading___Toc716666_996550957">
            <w:r>
              <w:rPr>
                <w:webHidden/>
                <w:rStyle w:val="IndexLink"/>
                <w:rtl w:val="true"/>
              </w:rPr>
              <w:t>ذكر أمور مشتركة بين المبتدأ والخبر</w:t>
            </w:r>
            <w:r>
              <w:rPr>
                <w:rStyle w:val="IndexLink"/>
                <w:rtl w:val="true"/>
              </w:rPr>
              <w:tab/>
            </w:r>
            <w:r>
              <w:rPr>
                <w:rStyle w:val="IndexLink"/>
              </w:rPr>
              <w:t>158</w:t>
            </w:r>
          </w:hyperlink>
        </w:p>
        <w:p>
          <w:pPr>
            <w:pStyle w:val="Contents6"/>
            <w:tabs>
              <w:tab w:val="clear" w:pos="7609"/>
              <w:tab w:val="right" w:pos="9026" w:leader="dot"/>
            </w:tabs>
            <w:rPr/>
          </w:pPr>
          <w:hyperlink w:anchor="__RefHeading___Toc716668_996550957">
            <w:r>
              <w:rPr>
                <w:webHidden/>
                <w:rStyle w:val="IndexLink"/>
                <w:rtl w:val="true"/>
              </w:rPr>
              <w:t>ذكر جواز حذف المبتدإ والخبر</w:t>
            </w:r>
            <w:r>
              <w:rPr>
                <w:rStyle w:val="IndexLink"/>
                <w:rtl w:val="true"/>
              </w:rPr>
              <w:tab/>
            </w:r>
            <w:r>
              <w:rPr>
                <w:rStyle w:val="IndexLink"/>
              </w:rPr>
              <w:t>160</w:t>
            </w:r>
          </w:hyperlink>
        </w:p>
        <w:p>
          <w:pPr>
            <w:pStyle w:val="Contents6"/>
            <w:tabs>
              <w:tab w:val="clear" w:pos="7609"/>
              <w:tab w:val="right" w:pos="9026" w:leader="dot"/>
            </w:tabs>
            <w:rPr/>
          </w:pPr>
          <w:hyperlink w:anchor="__RefHeading___Toc716670_996550957">
            <w:r>
              <w:rPr>
                <w:webHidden/>
                <w:rStyle w:val="IndexLink"/>
                <w:rtl w:val="true"/>
              </w:rPr>
              <w:t>ذكر وجوب حذف الخبر</w:t>
            </w:r>
            <w:r>
              <w:rPr>
                <w:rStyle w:val="IndexLink"/>
                <w:rtl w:val="true"/>
              </w:rPr>
              <w:tab/>
            </w:r>
            <w:r>
              <w:rPr>
                <w:rStyle w:val="IndexLink"/>
              </w:rPr>
              <w:t>160</w:t>
            </w:r>
          </w:hyperlink>
        </w:p>
        <w:p>
          <w:pPr>
            <w:pStyle w:val="Contents6"/>
            <w:tabs>
              <w:tab w:val="clear" w:pos="7609"/>
              <w:tab w:val="right" w:pos="9026" w:leader="dot"/>
            </w:tabs>
            <w:rPr/>
          </w:pPr>
          <w:hyperlink w:anchor="__RefHeading___Toc716672_996550957">
            <w:r>
              <w:rPr>
                <w:webHidden/>
                <w:rStyle w:val="IndexLink"/>
                <w:rtl w:val="true"/>
              </w:rPr>
              <w:t>ذكر وجوب حذف المبتدأ</w:t>
            </w:r>
            <w:r>
              <w:rPr>
                <w:rStyle w:val="IndexLink"/>
                <w:rtl w:val="true"/>
              </w:rPr>
              <w:tab/>
            </w:r>
            <w:r>
              <w:rPr>
                <w:rStyle w:val="IndexLink"/>
              </w:rPr>
              <w:t>161</w:t>
            </w:r>
          </w:hyperlink>
        </w:p>
        <w:p>
          <w:pPr>
            <w:pStyle w:val="Contents6"/>
            <w:tabs>
              <w:tab w:val="clear" w:pos="7609"/>
              <w:tab w:val="right" w:pos="9026" w:leader="dot"/>
            </w:tabs>
            <w:rPr/>
          </w:pPr>
          <w:hyperlink w:anchor="__RefHeading___Toc716674_996550957">
            <w:r>
              <w:rPr>
                <w:webHidden/>
                <w:rStyle w:val="IndexLink"/>
                <w:rtl w:val="true"/>
              </w:rPr>
              <w:t>ذكر تعدّد الخبر</w:t>
            </w:r>
            <w:r>
              <w:rPr>
                <w:rStyle w:val="IndexLink"/>
                <w:rtl w:val="true"/>
              </w:rPr>
              <w:tab/>
            </w:r>
            <w:r>
              <w:rPr>
                <w:rStyle w:val="IndexLink"/>
              </w:rPr>
              <w:t>161</w:t>
            </w:r>
          </w:hyperlink>
        </w:p>
        <w:p>
          <w:pPr>
            <w:pStyle w:val="Contents5"/>
            <w:tabs>
              <w:tab w:val="clear" w:pos="7892"/>
              <w:tab w:val="right" w:pos="9026" w:leader="dot"/>
            </w:tabs>
            <w:rPr/>
          </w:pPr>
          <w:hyperlink w:anchor="__RefHeading___Toc716676_996550957">
            <w:r>
              <w:rPr>
                <w:webHidden/>
                <w:rStyle w:val="IndexLink"/>
              </w:rPr>
              <w:t>5</w:t>
            </w:r>
            <w:r>
              <w:rPr>
                <w:rStyle w:val="IndexLink"/>
                <w:rtl w:val="true"/>
              </w:rPr>
              <w:t xml:space="preserve">- </w:t>
            </w:r>
            <w:r>
              <w:rPr>
                <w:rStyle w:val="IndexLink"/>
                <w:rtl w:val="true"/>
              </w:rPr>
              <w:t>ذكر خبر إنّ</w:t>
            </w:r>
            <w:r>
              <w:rPr>
                <w:rStyle w:val="IndexLink"/>
                <w:rtl w:val="true"/>
              </w:rPr>
              <w:tab/>
            </w:r>
            <w:r>
              <w:rPr>
                <w:rStyle w:val="IndexLink"/>
              </w:rPr>
              <w:t>162</w:t>
            </w:r>
          </w:hyperlink>
        </w:p>
        <w:p>
          <w:pPr>
            <w:pStyle w:val="Contents5"/>
            <w:tabs>
              <w:tab w:val="clear" w:pos="7892"/>
              <w:tab w:val="right" w:pos="9026" w:leader="dot"/>
            </w:tabs>
            <w:rPr/>
          </w:pPr>
          <w:hyperlink w:anchor="__RefHeading___Toc716678_996550957">
            <w:r>
              <w:rPr>
                <w:webHidden/>
                <w:rStyle w:val="IndexLink"/>
              </w:rPr>
              <w:t>6</w:t>
            </w:r>
            <w:r>
              <w:rPr>
                <w:rStyle w:val="IndexLink"/>
                <w:rtl w:val="true"/>
              </w:rPr>
              <w:t xml:space="preserve">- </w:t>
            </w:r>
            <w:r>
              <w:rPr>
                <w:rStyle w:val="IndexLink"/>
                <w:rtl w:val="true"/>
              </w:rPr>
              <w:t>ذكر خبر لا التي لنفي الجنس</w:t>
            </w:r>
            <w:r>
              <w:rPr>
                <w:rStyle w:val="IndexLink"/>
                <w:rtl w:val="true"/>
              </w:rPr>
              <w:tab/>
            </w:r>
            <w:r>
              <w:rPr>
                <w:rStyle w:val="IndexLink"/>
              </w:rPr>
              <w:t>162</w:t>
            </w:r>
          </w:hyperlink>
        </w:p>
        <w:p>
          <w:pPr>
            <w:pStyle w:val="Contents5"/>
            <w:tabs>
              <w:tab w:val="clear" w:pos="7892"/>
              <w:tab w:val="right" w:pos="9026" w:leader="dot"/>
            </w:tabs>
            <w:rPr/>
          </w:pPr>
          <w:hyperlink w:anchor="__RefHeading___Toc716680_996550957">
            <w:r>
              <w:rPr>
                <w:webHidden/>
                <w:rStyle w:val="IndexLink"/>
              </w:rPr>
              <w:t>7</w:t>
            </w:r>
            <w:r>
              <w:rPr>
                <w:rStyle w:val="IndexLink"/>
                <w:rtl w:val="true"/>
              </w:rPr>
              <w:t xml:space="preserve">- </w:t>
            </w:r>
            <w:r>
              <w:rPr>
                <w:rStyle w:val="IndexLink"/>
                <w:rtl w:val="true"/>
              </w:rPr>
              <w:t>ذكر اسم ما ولا المشبّهتين بليس</w:t>
            </w:r>
            <w:r>
              <w:rPr>
                <w:rStyle w:val="IndexLink"/>
                <w:rtl w:val="true"/>
              </w:rPr>
              <w:tab/>
            </w:r>
            <w:r>
              <w:rPr>
                <w:rStyle w:val="IndexLink"/>
              </w:rPr>
              <w:t>164</w:t>
            </w:r>
          </w:hyperlink>
        </w:p>
        <w:p>
          <w:pPr>
            <w:pStyle w:val="Contents4"/>
            <w:tabs>
              <w:tab w:val="clear" w:pos="8176"/>
              <w:tab w:val="right" w:pos="9026" w:leader="dot"/>
            </w:tabs>
            <w:rPr/>
          </w:pPr>
          <w:hyperlink w:anchor="__RefHeading___Toc716682_996550957">
            <w:r>
              <w:rPr>
                <w:webHidden/>
                <w:rStyle w:val="IndexLink"/>
                <w:rtl w:val="true"/>
              </w:rPr>
              <w:t>ذكر المنصوبات</w:t>
            </w:r>
            <w:r>
              <w:rPr>
                <w:rStyle w:val="IndexLink"/>
                <w:rtl w:val="true"/>
              </w:rPr>
              <w:tab/>
            </w:r>
            <w:r>
              <w:rPr>
                <w:rStyle w:val="IndexLink"/>
              </w:rPr>
              <w:t>164</w:t>
            </w:r>
          </w:hyperlink>
        </w:p>
        <w:p>
          <w:pPr>
            <w:pStyle w:val="Contents5"/>
            <w:tabs>
              <w:tab w:val="clear" w:pos="7892"/>
              <w:tab w:val="right" w:pos="9026" w:leader="dot"/>
            </w:tabs>
            <w:rPr/>
          </w:pPr>
          <w:hyperlink w:anchor="__RefHeading___Toc716684_996550957">
            <w:r>
              <w:rPr>
                <w:webHidden/>
                <w:rStyle w:val="IndexLink"/>
                <w:rtl w:val="true"/>
              </w:rPr>
              <w:t>اشارة</w:t>
            </w:r>
            <w:r>
              <w:rPr>
                <w:rStyle w:val="IndexLink"/>
                <w:rtl w:val="true"/>
              </w:rPr>
              <w:tab/>
            </w:r>
            <w:r>
              <w:rPr>
                <w:rStyle w:val="IndexLink"/>
              </w:rPr>
              <w:t>164</w:t>
            </w:r>
          </w:hyperlink>
        </w:p>
        <w:p>
          <w:pPr>
            <w:pStyle w:val="Contents5"/>
            <w:tabs>
              <w:tab w:val="clear" w:pos="7892"/>
              <w:tab w:val="right" w:pos="9026" w:leader="dot"/>
            </w:tabs>
            <w:rPr/>
          </w:pPr>
          <w:hyperlink w:anchor="__RefHeading___Toc716686_996550957">
            <w:r>
              <w:rPr>
                <w:webHidden/>
                <w:rStyle w:val="IndexLink"/>
              </w:rPr>
              <w:t>1</w:t>
            </w:r>
            <w:r>
              <w:rPr>
                <w:rStyle w:val="IndexLink"/>
                <w:rtl w:val="true"/>
              </w:rPr>
              <w:t xml:space="preserve">- </w:t>
            </w:r>
            <w:r>
              <w:rPr>
                <w:rStyle w:val="IndexLink"/>
                <w:rtl w:val="true"/>
              </w:rPr>
              <w:t>ذكر المفعول المطلق</w:t>
            </w:r>
            <w:r>
              <w:rPr>
                <w:rStyle w:val="IndexLink"/>
                <w:rtl w:val="true"/>
              </w:rPr>
              <w:tab/>
            </w:r>
            <w:r>
              <w:rPr>
                <w:rStyle w:val="IndexLink"/>
              </w:rPr>
              <w:t>165</w:t>
            </w:r>
          </w:hyperlink>
        </w:p>
        <w:p>
          <w:pPr>
            <w:pStyle w:val="Contents6"/>
            <w:tabs>
              <w:tab w:val="clear" w:pos="7609"/>
              <w:tab w:val="right" w:pos="9026" w:leader="dot"/>
            </w:tabs>
            <w:rPr/>
          </w:pPr>
          <w:hyperlink w:anchor="__RefHeading___Toc716688_996550957">
            <w:r>
              <w:rPr>
                <w:webHidden/>
                <w:rStyle w:val="IndexLink"/>
                <w:rtl w:val="true"/>
              </w:rPr>
              <w:t>اشارة</w:t>
            </w:r>
            <w:r>
              <w:rPr>
                <w:rStyle w:val="IndexLink"/>
                <w:rtl w:val="true"/>
              </w:rPr>
              <w:tab/>
            </w:r>
            <w:r>
              <w:rPr>
                <w:rStyle w:val="IndexLink"/>
              </w:rPr>
              <w:t>165</w:t>
            </w:r>
          </w:hyperlink>
        </w:p>
        <w:p>
          <w:pPr>
            <w:pStyle w:val="Contents6"/>
            <w:tabs>
              <w:tab w:val="clear" w:pos="7609"/>
              <w:tab w:val="right" w:pos="9026" w:leader="dot"/>
            </w:tabs>
            <w:rPr/>
          </w:pPr>
          <w:hyperlink w:anchor="__RefHeading___Toc716690_996550957">
            <w:r>
              <w:rPr>
                <w:webHidden/>
                <w:rStyle w:val="IndexLink"/>
                <w:rtl w:val="true"/>
              </w:rPr>
              <w:t>ذكر جواز حذف الفعل</w:t>
            </w:r>
            <w:r>
              <w:rPr>
                <w:rStyle w:val="IndexLink"/>
                <w:rtl w:val="true"/>
              </w:rPr>
              <w:tab/>
            </w:r>
            <w:r>
              <w:rPr>
                <w:rStyle w:val="IndexLink"/>
              </w:rPr>
              <w:t>166</w:t>
            </w:r>
          </w:hyperlink>
        </w:p>
        <w:p>
          <w:pPr>
            <w:pStyle w:val="Contents6"/>
            <w:tabs>
              <w:tab w:val="clear" w:pos="7609"/>
              <w:tab w:val="right" w:pos="9026" w:leader="dot"/>
            </w:tabs>
            <w:rPr/>
          </w:pPr>
          <w:hyperlink w:anchor="__RefHeading___Toc716692_996550957">
            <w:r>
              <w:rPr>
                <w:webHidden/>
                <w:rStyle w:val="IndexLink"/>
                <w:rtl w:val="true"/>
              </w:rPr>
              <w:t>ذكر وجوب حذف الفعل</w:t>
            </w:r>
            <w:r>
              <w:rPr>
                <w:rStyle w:val="IndexLink"/>
                <w:rtl w:val="true"/>
              </w:rPr>
              <w:tab/>
            </w:r>
            <w:r>
              <w:rPr>
                <w:rStyle w:val="IndexLink"/>
              </w:rPr>
              <w:t>166</w:t>
            </w:r>
          </w:hyperlink>
        </w:p>
        <w:p>
          <w:pPr>
            <w:pStyle w:val="Contents5"/>
            <w:tabs>
              <w:tab w:val="clear" w:pos="7892"/>
              <w:tab w:val="right" w:pos="9026" w:leader="dot"/>
            </w:tabs>
            <w:rPr/>
          </w:pPr>
          <w:hyperlink w:anchor="__RefHeading___Toc716694_996550957">
            <w:r>
              <w:rPr>
                <w:webHidden/>
                <w:rStyle w:val="IndexLink"/>
              </w:rPr>
              <w:t>2</w:t>
            </w:r>
            <w:r>
              <w:rPr>
                <w:rStyle w:val="IndexLink"/>
                <w:rtl w:val="true"/>
              </w:rPr>
              <w:t xml:space="preserve">- </w:t>
            </w:r>
            <w:r>
              <w:rPr>
                <w:rStyle w:val="IndexLink"/>
                <w:rtl w:val="true"/>
              </w:rPr>
              <w:t>ذكر المفعول به</w:t>
            </w:r>
            <w:r>
              <w:rPr>
                <w:rStyle w:val="IndexLink"/>
                <w:rtl w:val="true"/>
              </w:rPr>
              <w:tab/>
            </w:r>
            <w:r>
              <w:rPr>
                <w:rStyle w:val="IndexLink"/>
              </w:rPr>
              <w:t>170</w:t>
            </w:r>
          </w:hyperlink>
        </w:p>
        <w:p>
          <w:pPr>
            <w:pStyle w:val="Contents6"/>
            <w:tabs>
              <w:tab w:val="clear" w:pos="7609"/>
              <w:tab w:val="right" w:pos="9026" w:leader="dot"/>
            </w:tabs>
            <w:rPr/>
          </w:pPr>
          <w:hyperlink w:anchor="__RefHeading___Toc716696_996550957">
            <w:r>
              <w:rPr>
                <w:webHidden/>
                <w:rStyle w:val="IndexLink"/>
                <w:rtl w:val="true"/>
              </w:rPr>
              <w:t>اشارة</w:t>
            </w:r>
            <w:r>
              <w:rPr>
                <w:rStyle w:val="IndexLink"/>
                <w:rtl w:val="true"/>
              </w:rPr>
              <w:tab/>
            </w:r>
            <w:r>
              <w:rPr>
                <w:rStyle w:val="IndexLink"/>
              </w:rPr>
              <w:t>170</w:t>
            </w:r>
          </w:hyperlink>
        </w:p>
        <w:p>
          <w:pPr>
            <w:pStyle w:val="Contents6"/>
            <w:tabs>
              <w:tab w:val="clear" w:pos="7609"/>
              <w:tab w:val="right" w:pos="9026" w:leader="dot"/>
            </w:tabs>
            <w:rPr/>
          </w:pPr>
          <w:hyperlink w:anchor="__RefHeading___Toc716698_996550957">
            <w:r>
              <w:rPr>
                <w:webHidden/>
                <w:rStyle w:val="IndexLink"/>
                <w:rtl w:val="true"/>
              </w:rPr>
              <w:t>ذكر ما يجب حذفه من الأفعال</w:t>
            </w:r>
            <w:r>
              <w:rPr>
                <w:rStyle w:val="IndexLink"/>
                <w:rtl w:val="true"/>
              </w:rPr>
              <w:tab/>
            </w:r>
            <w:r>
              <w:rPr>
                <w:rStyle w:val="IndexLink"/>
              </w:rPr>
              <w:t>170</w:t>
            </w:r>
          </w:hyperlink>
        </w:p>
        <w:p>
          <w:pPr>
            <w:pStyle w:val="Contents6"/>
            <w:tabs>
              <w:tab w:val="clear" w:pos="7609"/>
              <w:tab w:val="right" w:pos="9026" w:leader="dot"/>
            </w:tabs>
            <w:rPr/>
          </w:pPr>
          <w:hyperlink w:anchor="__RefHeading___Toc716700_996550957">
            <w:r>
              <w:rPr>
                <w:webHidden/>
                <w:rStyle w:val="IndexLink"/>
                <w:rtl w:val="true"/>
              </w:rPr>
              <w:t>اشارة</w:t>
            </w:r>
            <w:r>
              <w:rPr>
                <w:rStyle w:val="IndexLink"/>
                <w:rtl w:val="true"/>
              </w:rPr>
              <w:tab/>
            </w:r>
            <w:r>
              <w:rPr>
                <w:rStyle w:val="IndexLink"/>
              </w:rPr>
              <w:t>170</w:t>
            </w:r>
          </w:hyperlink>
        </w:p>
        <w:p>
          <w:pPr>
            <w:pStyle w:val="Contents6"/>
            <w:tabs>
              <w:tab w:val="clear" w:pos="7609"/>
              <w:tab w:val="right" w:pos="9026" w:leader="dot"/>
            </w:tabs>
            <w:rPr/>
          </w:pPr>
          <w:hyperlink w:anchor="__RefHeading___Toc716702_996550957">
            <w:r>
              <w:rPr>
                <w:webHidden/>
                <w:rStyle w:val="IndexLink"/>
              </w:rPr>
              <w:t>1</w:t>
            </w:r>
            <w:r>
              <w:rPr>
                <w:rStyle w:val="IndexLink"/>
                <w:rtl w:val="true"/>
              </w:rPr>
              <w:t xml:space="preserve">- </w:t>
            </w:r>
            <w:r>
              <w:rPr>
                <w:rStyle w:val="IndexLink"/>
                <w:rtl w:val="true"/>
              </w:rPr>
              <w:t>ذكر السّماعي</w:t>
            </w:r>
            <w:r>
              <w:rPr>
                <w:rStyle w:val="IndexLink"/>
                <w:rtl w:val="true"/>
              </w:rPr>
              <w:tab/>
            </w:r>
            <w:r>
              <w:rPr>
                <w:rStyle w:val="IndexLink"/>
              </w:rPr>
              <w:t>171</w:t>
            </w:r>
          </w:hyperlink>
        </w:p>
        <w:p>
          <w:pPr>
            <w:pStyle w:val="Contents6"/>
            <w:tabs>
              <w:tab w:val="clear" w:pos="7609"/>
              <w:tab w:val="right" w:pos="9026" w:leader="dot"/>
            </w:tabs>
            <w:rPr/>
          </w:pPr>
          <w:hyperlink w:anchor="__RefHeading___Toc716704_996550957">
            <w:r>
              <w:rPr>
                <w:webHidden/>
                <w:rStyle w:val="IndexLink"/>
              </w:rPr>
              <w:t>2</w:t>
            </w:r>
            <w:r>
              <w:rPr>
                <w:rStyle w:val="IndexLink"/>
                <w:rtl w:val="true"/>
              </w:rPr>
              <w:t xml:space="preserve">- </w:t>
            </w:r>
            <w:r>
              <w:rPr>
                <w:rStyle w:val="IndexLink"/>
                <w:rtl w:val="true"/>
              </w:rPr>
              <w:t>ذكر المنادى</w:t>
            </w:r>
            <w:r>
              <w:rPr>
                <w:rStyle w:val="IndexLink"/>
                <w:rtl w:val="true"/>
              </w:rPr>
              <w:tab/>
            </w:r>
            <w:r>
              <w:rPr>
                <w:rStyle w:val="IndexLink"/>
              </w:rPr>
              <w:t>171</w:t>
            </w:r>
          </w:hyperlink>
        </w:p>
        <w:p>
          <w:pPr>
            <w:pStyle w:val="Contents6"/>
            <w:tabs>
              <w:tab w:val="clear" w:pos="7609"/>
              <w:tab w:val="right" w:pos="9026" w:leader="dot"/>
            </w:tabs>
            <w:rPr/>
          </w:pPr>
          <w:hyperlink w:anchor="__RefHeading___Toc716706_996550957">
            <w:r>
              <w:rPr>
                <w:webHidden/>
                <w:rStyle w:val="IndexLink"/>
                <w:rtl w:val="true"/>
              </w:rPr>
              <w:t>اشارة</w:t>
            </w:r>
            <w:r>
              <w:rPr>
                <w:rStyle w:val="IndexLink"/>
                <w:rtl w:val="true"/>
              </w:rPr>
              <w:tab/>
            </w:r>
            <w:r>
              <w:rPr>
                <w:rStyle w:val="IndexLink"/>
              </w:rPr>
              <w:t>171</w:t>
            </w:r>
          </w:hyperlink>
        </w:p>
        <w:p>
          <w:pPr>
            <w:pStyle w:val="Contents6"/>
            <w:tabs>
              <w:tab w:val="clear" w:pos="7609"/>
              <w:tab w:val="right" w:pos="9026" w:leader="dot"/>
            </w:tabs>
            <w:rPr/>
          </w:pPr>
          <w:hyperlink w:anchor="__RefHeading___Toc716708_996550957">
            <w:r>
              <w:rPr>
                <w:webHidden/>
                <w:rStyle w:val="IndexLink"/>
                <w:rtl w:val="true"/>
              </w:rPr>
              <w:t>ذكر إعراب توابع المنادى</w:t>
            </w:r>
            <w:r>
              <w:rPr>
                <w:rStyle w:val="IndexLink"/>
                <w:rtl w:val="true"/>
              </w:rPr>
              <w:tab/>
            </w:r>
            <w:r>
              <w:rPr>
                <w:rStyle w:val="IndexLink"/>
              </w:rPr>
              <w:t>173</w:t>
            </w:r>
          </w:hyperlink>
        </w:p>
        <w:p>
          <w:pPr>
            <w:pStyle w:val="Contents6"/>
            <w:tabs>
              <w:tab w:val="clear" w:pos="7609"/>
              <w:tab w:val="right" w:pos="9026" w:leader="dot"/>
            </w:tabs>
            <w:rPr/>
          </w:pPr>
          <w:hyperlink w:anchor="__RefHeading___Toc716710_996550957">
            <w:r>
              <w:rPr>
                <w:webHidden/>
                <w:rStyle w:val="IndexLink"/>
                <w:rtl w:val="true"/>
              </w:rPr>
              <w:t>ذكر المنادى المعرّف باللام</w:t>
            </w:r>
            <w:r>
              <w:rPr>
                <w:rStyle w:val="IndexLink"/>
                <w:rtl w:val="true"/>
              </w:rPr>
              <w:tab/>
            </w:r>
            <w:r>
              <w:rPr>
                <w:rStyle w:val="IndexLink"/>
              </w:rPr>
              <w:t>174</w:t>
            </w:r>
          </w:hyperlink>
        </w:p>
        <w:p>
          <w:pPr>
            <w:pStyle w:val="Contents6"/>
            <w:tabs>
              <w:tab w:val="clear" w:pos="7609"/>
              <w:tab w:val="right" w:pos="9026" w:leader="dot"/>
            </w:tabs>
            <w:rPr/>
          </w:pPr>
          <w:hyperlink w:anchor="__RefHeading___Toc716712_996550957">
            <w:r>
              <w:rPr>
                <w:webHidden/>
                <w:rStyle w:val="IndexLink"/>
                <w:rtl w:val="true"/>
              </w:rPr>
              <w:t>ذكر بقيّة الكلام على المنادى</w:t>
            </w:r>
            <w:r>
              <w:rPr>
                <w:rStyle w:val="IndexLink"/>
                <w:rtl w:val="true"/>
              </w:rPr>
              <w:tab/>
            </w:r>
            <w:r>
              <w:rPr>
                <w:rStyle w:val="IndexLink"/>
              </w:rPr>
              <w:t>176</w:t>
            </w:r>
          </w:hyperlink>
        </w:p>
        <w:p>
          <w:pPr>
            <w:pStyle w:val="Contents6"/>
            <w:tabs>
              <w:tab w:val="clear" w:pos="7609"/>
              <w:tab w:val="right" w:pos="9026" w:leader="dot"/>
            </w:tabs>
            <w:rPr/>
          </w:pPr>
          <w:hyperlink w:anchor="__RefHeading___Toc716714_996550957">
            <w:r>
              <w:rPr>
                <w:webHidden/>
                <w:rStyle w:val="IndexLink"/>
                <w:rtl w:val="true"/>
              </w:rPr>
              <w:t>ذكر التّرخيم</w:t>
            </w:r>
            <w:r>
              <w:rPr>
                <w:rStyle w:val="IndexLink"/>
                <w:rtl w:val="true"/>
              </w:rPr>
              <w:tab/>
            </w:r>
            <w:r>
              <w:rPr>
                <w:rStyle w:val="IndexLink"/>
              </w:rPr>
              <w:t>178</w:t>
            </w:r>
          </w:hyperlink>
        </w:p>
        <w:p>
          <w:pPr>
            <w:pStyle w:val="Contents6"/>
            <w:tabs>
              <w:tab w:val="clear" w:pos="7609"/>
              <w:tab w:val="right" w:pos="9026" w:leader="dot"/>
            </w:tabs>
            <w:rPr/>
          </w:pPr>
          <w:hyperlink w:anchor="__RefHeading___Toc716716_996550957">
            <w:r>
              <w:rPr>
                <w:webHidden/>
                <w:rStyle w:val="IndexLink"/>
                <w:rtl w:val="true"/>
              </w:rPr>
              <w:t>ذكر المندوب</w:t>
            </w:r>
            <w:r>
              <w:rPr>
                <w:rStyle w:val="IndexLink"/>
                <w:rtl w:val="true"/>
              </w:rPr>
              <w:tab/>
            </w:r>
            <w:r>
              <w:rPr>
                <w:rStyle w:val="IndexLink"/>
              </w:rPr>
              <w:t>180</w:t>
            </w:r>
          </w:hyperlink>
        </w:p>
        <w:p>
          <w:pPr>
            <w:pStyle w:val="Contents6"/>
            <w:tabs>
              <w:tab w:val="clear" w:pos="7609"/>
              <w:tab w:val="right" w:pos="9026" w:leader="dot"/>
            </w:tabs>
            <w:rPr/>
          </w:pPr>
          <w:hyperlink w:anchor="__RefHeading___Toc716718_996550957">
            <w:r>
              <w:rPr>
                <w:webHidden/>
                <w:rStyle w:val="IndexLink"/>
              </w:rPr>
              <w:t>3</w:t>
            </w:r>
            <w:r>
              <w:rPr>
                <w:rStyle w:val="IndexLink"/>
                <w:rtl w:val="true"/>
              </w:rPr>
              <w:t xml:space="preserve">- </w:t>
            </w:r>
            <w:r>
              <w:rPr>
                <w:rStyle w:val="IndexLink"/>
                <w:rtl w:val="true"/>
              </w:rPr>
              <w:t xml:space="preserve">ذكر المفعول به الذي أضمر عامله </w:t>
            </w:r>
            <w:r>
              <w:rPr>
                <w:rStyle w:val="IndexLink"/>
                <w:rtl w:val="true"/>
              </w:rPr>
              <w:t xml:space="preserve">: </w:t>
            </w:r>
            <w:r>
              <w:rPr>
                <w:rStyle w:val="IndexLink"/>
                <w:rtl w:val="true"/>
              </w:rPr>
              <w:t>على شريط التفسير</w:t>
            </w:r>
            <w:r>
              <w:rPr>
                <w:rStyle w:val="IndexLink"/>
                <w:rtl w:val="true"/>
              </w:rPr>
              <w:tab/>
            </w:r>
            <w:r>
              <w:rPr>
                <w:rStyle w:val="IndexLink"/>
              </w:rPr>
              <w:t>182</w:t>
            </w:r>
          </w:hyperlink>
        </w:p>
        <w:p>
          <w:pPr>
            <w:pStyle w:val="Contents6"/>
            <w:tabs>
              <w:tab w:val="clear" w:pos="7609"/>
              <w:tab w:val="right" w:pos="9026" w:leader="dot"/>
            </w:tabs>
            <w:rPr/>
          </w:pPr>
          <w:hyperlink w:anchor="__RefHeading___Toc716720_996550957">
            <w:r>
              <w:rPr>
                <w:webHidden/>
                <w:rStyle w:val="IndexLink"/>
              </w:rPr>
              <w:t>4</w:t>
            </w:r>
            <w:r>
              <w:rPr>
                <w:rStyle w:val="IndexLink"/>
                <w:rtl w:val="true"/>
              </w:rPr>
              <w:t xml:space="preserve">- </w:t>
            </w:r>
            <w:r>
              <w:rPr>
                <w:rStyle w:val="IndexLink"/>
                <w:rtl w:val="true"/>
              </w:rPr>
              <w:t>ذكر التّحذير</w:t>
            </w:r>
            <w:r>
              <w:rPr>
                <w:rStyle w:val="IndexLink"/>
                <w:rtl w:val="true"/>
              </w:rPr>
              <w:tab/>
            </w:r>
            <w:r>
              <w:rPr>
                <w:rStyle w:val="IndexLink"/>
              </w:rPr>
              <w:t>186</w:t>
            </w:r>
          </w:hyperlink>
        </w:p>
        <w:p>
          <w:pPr>
            <w:pStyle w:val="Contents5"/>
            <w:tabs>
              <w:tab w:val="clear" w:pos="7892"/>
              <w:tab w:val="right" w:pos="9026" w:leader="dot"/>
            </w:tabs>
            <w:rPr/>
          </w:pPr>
          <w:hyperlink w:anchor="__RefHeading___Toc716722_996550957">
            <w:r>
              <w:rPr>
                <w:webHidden/>
                <w:rStyle w:val="IndexLink"/>
              </w:rPr>
              <w:t>3</w:t>
            </w:r>
            <w:r>
              <w:rPr>
                <w:rStyle w:val="IndexLink"/>
                <w:rtl w:val="true"/>
              </w:rPr>
              <w:t xml:space="preserve">- </w:t>
            </w:r>
            <w:r>
              <w:rPr>
                <w:rStyle w:val="IndexLink"/>
                <w:rtl w:val="true"/>
              </w:rPr>
              <w:t>ذكر المفعول فيه</w:t>
            </w:r>
            <w:r>
              <w:rPr>
                <w:rStyle w:val="IndexLink"/>
                <w:rtl w:val="true"/>
              </w:rPr>
              <w:tab/>
            </w:r>
            <w:r>
              <w:rPr>
                <w:rStyle w:val="IndexLink"/>
              </w:rPr>
              <w:t>187</w:t>
            </w:r>
          </w:hyperlink>
        </w:p>
        <w:p>
          <w:pPr>
            <w:pStyle w:val="Contents5"/>
            <w:tabs>
              <w:tab w:val="clear" w:pos="7892"/>
              <w:tab w:val="right" w:pos="9026" w:leader="dot"/>
            </w:tabs>
            <w:rPr/>
          </w:pPr>
          <w:hyperlink w:anchor="__RefHeading___Toc716724_996550957">
            <w:r>
              <w:rPr>
                <w:webHidden/>
                <w:rStyle w:val="IndexLink"/>
              </w:rPr>
              <w:t>4</w:t>
            </w:r>
            <w:r>
              <w:rPr>
                <w:rStyle w:val="IndexLink"/>
                <w:rtl w:val="true"/>
              </w:rPr>
              <w:t xml:space="preserve">- </w:t>
            </w:r>
            <w:r>
              <w:rPr>
                <w:rStyle w:val="IndexLink"/>
                <w:rtl w:val="true"/>
              </w:rPr>
              <w:t>ذكر المفعول له</w:t>
            </w:r>
            <w:r>
              <w:rPr>
                <w:rStyle w:val="IndexLink"/>
                <w:rtl w:val="true"/>
              </w:rPr>
              <w:tab/>
            </w:r>
            <w:r>
              <w:rPr>
                <w:rStyle w:val="IndexLink"/>
              </w:rPr>
              <w:t>189</w:t>
            </w:r>
          </w:hyperlink>
        </w:p>
        <w:p>
          <w:pPr>
            <w:pStyle w:val="Contents5"/>
            <w:tabs>
              <w:tab w:val="clear" w:pos="7892"/>
              <w:tab w:val="right" w:pos="9026" w:leader="dot"/>
            </w:tabs>
            <w:rPr/>
          </w:pPr>
          <w:hyperlink w:anchor="__RefHeading___Toc716726_996550957">
            <w:r>
              <w:rPr>
                <w:webHidden/>
                <w:rStyle w:val="IndexLink"/>
              </w:rPr>
              <w:t>5</w:t>
            </w:r>
            <w:r>
              <w:rPr>
                <w:rStyle w:val="IndexLink"/>
                <w:rtl w:val="true"/>
              </w:rPr>
              <w:t xml:space="preserve">- </w:t>
            </w:r>
            <w:r>
              <w:rPr>
                <w:rStyle w:val="IndexLink"/>
                <w:rtl w:val="true"/>
              </w:rPr>
              <w:t>ذكر المفعول معه</w:t>
            </w:r>
            <w:r>
              <w:rPr>
                <w:rStyle w:val="IndexLink"/>
                <w:rtl w:val="true"/>
              </w:rPr>
              <w:tab/>
            </w:r>
            <w:r>
              <w:rPr>
                <w:rStyle w:val="IndexLink"/>
              </w:rPr>
              <w:t>189</w:t>
            </w:r>
          </w:hyperlink>
        </w:p>
        <w:p>
          <w:pPr>
            <w:pStyle w:val="Contents5"/>
            <w:tabs>
              <w:tab w:val="clear" w:pos="7892"/>
              <w:tab w:val="right" w:pos="9026" w:leader="dot"/>
            </w:tabs>
            <w:rPr/>
          </w:pPr>
          <w:hyperlink w:anchor="__RefHeading___Toc716728_996550957">
            <w:r>
              <w:rPr>
                <w:webHidden/>
                <w:rStyle w:val="IndexLink"/>
              </w:rPr>
              <w:t>6</w:t>
            </w:r>
            <w:r>
              <w:rPr>
                <w:rStyle w:val="IndexLink"/>
                <w:rtl w:val="true"/>
              </w:rPr>
              <w:t xml:space="preserve">- </w:t>
            </w:r>
            <w:r>
              <w:rPr>
                <w:rStyle w:val="IndexLink"/>
                <w:rtl w:val="true"/>
              </w:rPr>
              <w:t>ذكر الحال</w:t>
            </w:r>
            <w:r>
              <w:rPr>
                <w:rStyle w:val="IndexLink"/>
                <w:rtl w:val="true"/>
              </w:rPr>
              <w:tab/>
            </w:r>
            <w:r>
              <w:rPr>
                <w:rStyle w:val="IndexLink"/>
              </w:rPr>
              <w:t>191</w:t>
            </w:r>
          </w:hyperlink>
        </w:p>
        <w:p>
          <w:pPr>
            <w:pStyle w:val="Contents6"/>
            <w:tabs>
              <w:tab w:val="clear" w:pos="7609"/>
              <w:tab w:val="right" w:pos="9026" w:leader="dot"/>
            </w:tabs>
            <w:rPr/>
          </w:pPr>
          <w:hyperlink w:anchor="__RefHeading___Toc716730_996550957">
            <w:r>
              <w:rPr>
                <w:webHidden/>
                <w:rStyle w:val="IndexLink"/>
                <w:rtl w:val="true"/>
              </w:rPr>
              <w:t>اشارة</w:t>
            </w:r>
            <w:r>
              <w:rPr>
                <w:rStyle w:val="IndexLink"/>
                <w:rtl w:val="true"/>
              </w:rPr>
              <w:tab/>
            </w:r>
            <w:r>
              <w:rPr>
                <w:rStyle w:val="IndexLink"/>
              </w:rPr>
              <w:t>191</w:t>
            </w:r>
          </w:hyperlink>
        </w:p>
        <w:p>
          <w:pPr>
            <w:pStyle w:val="Contents6"/>
            <w:tabs>
              <w:tab w:val="clear" w:pos="7609"/>
              <w:tab w:val="right" w:pos="9026" w:leader="dot"/>
            </w:tabs>
            <w:rPr/>
          </w:pPr>
          <w:hyperlink w:anchor="__RefHeading___Toc716732_996550957">
            <w:r>
              <w:rPr>
                <w:webHidden/>
                <w:rStyle w:val="IndexLink"/>
                <w:rtl w:val="true"/>
              </w:rPr>
              <w:t>وشرط الحال</w:t>
            </w:r>
            <w:r>
              <w:rPr>
                <w:rStyle w:val="IndexLink"/>
                <w:rtl w:val="true"/>
              </w:rPr>
              <w:tab/>
            </w:r>
            <w:r>
              <w:rPr>
                <w:rStyle w:val="IndexLink"/>
              </w:rPr>
              <w:t>192</w:t>
            </w:r>
          </w:hyperlink>
        </w:p>
        <w:p>
          <w:pPr>
            <w:pStyle w:val="Contents6"/>
            <w:tabs>
              <w:tab w:val="clear" w:pos="7609"/>
              <w:tab w:val="right" w:pos="9026" w:leader="dot"/>
            </w:tabs>
            <w:rPr/>
          </w:pPr>
          <w:hyperlink w:anchor="__RefHeading___Toc716734_996550957">
            <w:r>
              <w:rPr>
                <w:webHidden/>
                <w:rStyle w:val="IndexLink"/>
                <w:rtl w:val="true"/>
              </w:rPr>
              <w:t>وعامل الحال</w:t>
            </w:r>
            <w:r>
              <w:rPr>
                <w:rStyle w:val="IndexLink"/>
                <w:rtl w:val="true"/>
              </w:rPr>
              <w:tab/>
            </w:r>
            <w:r>
              <w:rPr>
                <w:rStyle w:val="IndexLink"/>
              </w:rPr>
              <w:t>194</w:t>
            </w:r>
          </w:hyperlink>
        </w:p>
        <w:p>
          <w:pPr>
            <w:pStyle w:val="Contents5"/>
            <w:tabs>
              <w:tab w:val="clear" w:pos="7892"/>
              <w:tab w:val="right" w:pos="9026" w:leader="dot"/>
            </w:tabs>
            <w:rPr/>
          </w:pPr>
          <w:hyperlink w:anchor="__RefHeading___Toc716736_996550957">
            <w:r>
              <w:rPr>
                <w:webHidden/>
                <w:rStyle w:val="IndexLink"/>
              </w:rPr>
              <w:t>7</w:t>
            </w:r>
            <w:r>
              <w:rPr>
                <w:rStyle w:val="IndexLink"/>
                <w:rtl w:val="true"/>
              </w:rPr>
              <w:t xml:space="preserve">- </w:t>
            </w:r>
            <w:r>
              <w:rPr>
                <w:rStyle w:val="IndexLink"/>
                <w:rtl w:val="true"/>
              </w:rPr>
              <w:t>ذكر التمييز</w:t>
            </w:r>
            <w:r>
              <w:rPr>
                <w:rStyle w:val="IndexLink"/>
                <w:rtl w:val="true"/>
              </w:rPr>
              <w:tab/>
            </w:r>
            <w:r>
              <w:rPr>
                <w:rStyle w:val="IndexLink"/>
              </w:rPr>
              <w:t>197</w:t>
            </w:r>
          </w:hyperlink>
        </w:p>
        <w:p>
          <w:pPr>
            <w:pStyle w:val="Contents6"/>
            <w:tabs>
              <w:tab w:val="clear" w:pos="7609"/>
              <w:tab w:val="right" w:pos="9026" w:leader="dot"/>
            </w:tabs>
            <w:rPr/>
          </w:pPr>
          <w:hyperlink w:anchor="__RefHeading___Toc716738_996550957">
            <w:r>
              <w:rPr>
                <w:webHidden/>
                <w:rStyle w:val="IndexLink"/>
                <w:rtl w:val="true"/>
              </w:rPr>
              <w:t>اشارة</w:t>
            </w:r>
            <w:r>
              <w:rPr>
                <w:rStyle w:val="IndexLink"/>
                <w:rtl w:val="true"/>
              </w:rPr>
              <w:tab/>
            </w:r>
            <w:r>
              <w:rPr>
                <w:rStyle w:val="IndexLink"/>
              </w:rPr>
              <w:t>197</w:t>
            </w:r>
          </w:hyperlink>
        </w:p>
        <w:p>
          <w:pPr>
            <w:pStyle w:val="Contents6"/>
            <w:tabs>
              <w:tab w:val="clear" w:pos="7609"/>
              <w:tab w:val="right" w:pos="9026" w:leader="dot"/>
            </w:tabs>
            <w:rPr/>
          </w:pPr>
          <w:hyperlink w:anchor="__RefHeading___Toc716740_996550957">
            <w:r>
              <w:rPr>
                <w:webHidden/>
                <w:rStyle w:val="IndexLink"/>
                <w:rtl w:val="true"/>
              </w:rPr>
              <w:t>ذكر تمييز الذّات المذكورة التي هي مقدار وهي غير عدد</w:t>
            </w:r>
            <w:r>
              <w:rPr>
                <w:rStyle w:val="IndexLink"/>
                <w:rtl w:val="true"/>
              </w:rPr>
              <w:tab/>
            </w:r>
            <w:r>
              <w:rPr>
                <w:rStyle w:val="IndexLink"/>
              </w:rPr>
              <w:t>199</w:t>
            </w:r>
          </w:hyperlink>
        </w:p>
        <w:p>
          <w:pPr>
            <w:pStyle w:val="Contents6"/>
            <w:tabs>
              <w:tab w:val="clear" w:pos="7609"/>
              <w:tab w:val="right" w:pos="9026" w:leader="dot"/>
            </w:tabs>
            <w:rPr/>
          </w:pPr>
          <w:hyperlink w:anchor="__RefHeading___Toc716742_996550957">
            <w:r>
              <w:rPr>
                <w:webHidden/>
                <w:rStyle w:val="IndexLink"/>
                <w:rtl w:val="true"/>
              </w:rPr>
              <w:t>ذكر تمييز الذات التي هي غير مقدار</w:t>
            </w:r>
            <w:r>
              <w:rPr>
                <w:rStyle w:val="IndexLink"/>
                <w:rtl w:val="true"/>
              </w:rPr>
              <w:tab/>
            </w:r>
            <w:r>
              <w:rPr>
                <w:rStyle w:val="IndexLink"/>
              </w:rPr>
              <w:t>201</w:t>
            </w:r>
          </w:hyperlink>
        </w:p>
        <w:p>
          <w:pPr>
            <w:pStyle w:val="Contents6"/>
            <w:tabs>
              <w:tab w:val="clear" w:pos="7609"/>
              <w:tab w:val="right" w:pos="9026" w:leader="dot"/>
            </w:tabs>
            <w:rPr/>
          </w:pPr>
          <w:hyperlink w:anchor="__RefHeading___Toc716744_996550957">
            <w:r>
              <w:rPr>
                <w:webHidden/>
                <w:rStyle w:val="IndexLink"/>
                <w:rtl w:val="true"/>
              </w:rPr>
              <w:t>ذكر تمييز الذات المقدّرة</w:t>
            </w:r>
            <w:r>
              <w:rPr>
                <w:rStyle w:val="IndexLink"/>
                <w:rtl w:val="true"/>
              </w:rPr>
              <w:tab/>
            </w:r>
            <w:r>
              <w:rPr>
                <w:rStyle w:val="IndexLink"/>
              </w:rPr>
              <w:t>201</w:t>
            </w:r>
          </w:hyperlink>
        </w:p>
        <w:p>
          <w:pPr>
            <w:pStyle w:val="Contents5"/>
            <w:tabs>
              <w:tab w:val="clear" w:pos="7892"/>
              <w:tab w:val="right" w:pos="9026" w:leader="dot"/>
            </w:tabs>
            <w:rPr/>
          </w:pPr>
          <w:hyperlink w:anchor="__RefHeading___Toc716746_996550957">
            <w:r>
              <w:rPr>
                <w:webHidden/>
                <w:rStyle w:val="IndexLink"/>
              </w:rPr>
              <w:t>8</w:t>
            </w:r>
            <w:r>
              <w:rPr>
                <w:rStyle w:val="IndexLink"/>
                <w:rtl w:val="true"/>
              </w:rPr>
              <w:t xml:space="preserve">- </w:t>
            </w:r>
            <w:r>
              <w:rPr>
                <w:rStyle w:val="IndexLink"/>
                <w:rtl w:val="true"/>
              </w:rPr>
              <w:t>ذكر الاستثناء</w:t>
            </w:r>
            <w:r>
              <w:rPr>
                <w:rStyle w:val="IndexLink"/>
                <w:rtl w:val="true"/>
              </w:rPr>
              <w:tab/>
            </w:r>
            <w:r>
              <w:rPr>
                <w:rStyle w:val="IndexLink"/>
              </w:rPr>
              <w:t>204</w:t>
            </w:r>
          </w:hyperlink>
        </w:p>
        <w:p>
          <w:pPr>
            <w:pStyle w:val="Contents6"/>
            <w:tabs>
              <w:tab w:val="clear" w:pos="7609"/>
              <w:tab w:val="right" w:pos="9026" w:leader="dot"/>
            </w:tabs>
            <w:rPr/>
          </w:pPr>
          <w:hyperlink w:anchor="__RefHeading___Toc716748_996550957">
            <w:r>
              <w:rPr>
                <w:webHidden/>
                <w:rStyle w:val="IndexLink"/>
                <w:rtl w:val="true"/>
              </w:rPr>
              <w:t>اشارة</w:t>
            </w:r>
            <w:r>
              <w:rPr>
                <w:rStyle w:val="IndexLink"/>
                <w:rtl w:val="true"/>
              </w:rPr>
              <w:tab/>
            </w:r>
            <w:r>
              <w:rPr>
                <w:rStyle w:val="IndexLink"/>
              </w:rPr>
              <w:t>204</w:t>
            </w:r>
          </w:hyperlink>
        </w:p>
        <w:p>
          <w:pPr>
            <w:pStyle w:val="Contents6"/>
            <w:tabs>
              <w:tab w:val="clear" w:pos="7609"/>
              <w:tab w:val="right" w:pos="9026" w:leader="dot"/>
            </w:tabs>
            <w:rPr/>
          </w:pPr>
          <w:hyperlink w:anchor="__RefHeading___Toc716750_996550957">
            <w:r>
              <w:rPr>
                <w:webHidden/>
                <w:rStyle w:val="IndexLink"/>
                <w:rtl w:val="true"/>
              </w:rPr>
              <w:t>ذكر وجوب نصب المستثنى</w:t>
            </w:r>
            <w:r>
              <w:rPr>
                <w:rStyle w:val="IndexLink"/>
                <w:rtl w:val="true"/>
              </w:rPr>
              <w:tab/>
            </w:r>
            <w:r>
              <w:rPr>
                <w:rStyle w:val="IndexLink"/>
              </w:rPr>
              <w:t>205</w:t>
            </w:r>
          </w:hyperlink>
        </w:p>
        <w:p>
          <w:pPr>
            <w:pStyle w:val="Contents6"/>
            <w:tabs>
              <w:tab w:val="clear" w:pos="7609"/>
              <w:tab w:val="right" w:pos="9026" w:leader="dot"/>
            </w:tabs>
            <w:rPr/>
          </w:pPr>
          <w:hyperlink w:anchor="__RefHeading___Toc716752_996550957">
            <w:r>
              <w:rPr>
                <w:webHidden/>
                <w:rStyle w:val="IndexLink"/>
                <w:rtl w:val="true"/>
              </w:rPr>
              <w:t>ذكر جواز نصب المستثنى</w:t>
            </w:r>
            <w:r>
              <w:rPr>
                <w:rStyle w:val="IndexLink"/>
                <w:rtl w:val="true"/>
              </w:rPr>
              <w:tab/>
            </w:r>
            <w:r>
              <w:rPr>
                <w:rStyle w:val="IndexLink"/>
              </w:rPr>
              <w:t>207</w:t>
            </w:r>
          </w:hyperlink>
        </w:p>
        <w:p>
          <w:pPr>
            <w:pStyle w:val="Contents6"/>
            <w:tabs>
              <w:tab w:val="clear" w:pos="7609"/>
              <w:tab w:val="right" w:pos="9026" w:leader="dot"/>
            </w:tabs>
            <w:rPr/>
          </w:pPr>
          <w:hyperlink w:anchor="__RefHeading___Toc716754_996550957">
            <w:r>
              <w:rPr>
                <w:webHidden/>
                <w:rStyle w:val="IndexLink"/>
                <w:rtl w:val="true"/>
              </w:rPr>
              <w:t>ذكر الاستثناء المفرّغ</w:t>
            </w:r>
            <w:r>
              <w:rPr>
                <w:rStyle w:val="IndexLink"/>
                <w:rtl w:val="true"/>
              </w:rPr>
              <w:tab/>
            </w:r>
            <w:r>
              <w:rPr>
                <w:rStyle w:val="IndexLink"/>
              </w:rPr>
              <w:t>208</w:t>
            </w:r>
          </w:hyperlink>
        </w:p>
        <w:p>
          <w:pPr>
            <w:pStyle w:val="Contents6"/>
            <w:tabs>
              <w:tab w:val="clear" w:pos="7609"/>
              <w:tab w:val="right" w:pos="9026" w:leader="dot"/>
            </w:tabs>
            <w:rPr/>
          </w:pPr>
          <w:hyperlink w:anchor="__RefHeading___Toc716756_996550957">
            <w:r>
              <w:rPr>
                <w:webHidden/>
                <w:rStyle w:val="IndexLink"/>
                <w:rtl w:val="true"/>
              </w:rPr>
              <w:t>ذكر البدل على المحلّ</w:t>
            </w:r>
            <w:r>
              <w:rPr>
                <w:rStyle w:val="IndexLink"/>
                <w:rtl w:val="true"/>
              </w:rPr>
              <w:tab/>
            </w:r>
            <w:r>
              <w:rPr>
                <w:rStyle w:val="IndexLink"/>
              </w:rPr>
              <w:t>208</w:t>
            </w:r>
          </w:hyperlink>
        </w:p>
        <w:p>
          <w:pPr>
            <w:pStyle w:val="Contents6"/>
            <w:tabs>
              <w:tab w:val="clear" w:pos="7609"/>
              <w:tab w:val="right" w:pos="9026" w:leader="dot"/>
            </w:tabs>
            <w:rPr/>
          </w:pPr>
          <w:hyperlink w:anchor="__RefHeading___Toc716758_996550957">
            <w:r>
              <w:rPr>
                <w:webHidden/>
                <w:rStyle w:val="IndexLink"/>
                <w:rtl w:val="true"/>
              </w:rPr>
              <w:t>ذكر إعراب غير</w:t>
            </w:r>
            <w:r>
              <w:rPr>
                <w:rStyle w:val="IndexLink"/>
                <w:rtl w:val="true"/>
              </w:rPr>
              <w:tab/>
            </w:r>
            <w:r>
              <w:rPr>
                <w:rStyle w:val="IndexLink"/>
              </w:rPr>
              <w:t>212</w:t>
            </w:r>
          </w:hyperlink>
        </w:p>
        <w:p>
          <w:pPr>
            <w:pStyle w:val="Contents5"/>
            <w:tabs>
              <w:tab w:val="clear" w:pos="7892"/>
              <w:tab w:val="right" w:pos="9026" w:leader="dot"/>
            </w:tabs>
            <w:rPr/>
          </w:pPr>
          <w:hyperlink w:anchor="__RefHeading___Toc716760_996550957">
            <w:r>
              <w:rPr>
                <w:webHidden/>
                <w:rStyle w:val="IndexLink"/>
              </w:rPr>
              <w:t>9</w:t>
            </w:r>
            <w:r>
              <w:rPr>
                <w:rStyle w:val="IndexLink"/>
                <w:rtl w:val="true"/>
              </w:rPr>
              <w:t xml:space="preserve">- </w:t>
            </w:r>
            <w:r>
              <w:rPr>
                <w:rStyle w:val="IndexLink"/>
                <w:rtl w:val="true"/>
              </w:rPr>
              <w:t>ذكر خبر كان وأخواتها</w:t>
            </w:r>
            <w:r>
              <w:rPr>
                <w:rStyle w:val="IndexLink"/>
                <w:rtl w:val="true"/>
              </w:rPr>
              <w:tab/>
            </w:r>
            <w:r>
              <w:rPr>
                <w:rStyle w:val="IndexLink"/>
              </w:rPr>
              <w:t>214</w:t>
            </w:r>
          </w:hyperlink>
        </w:p>
        <w:p>
          <w:pPr>
            <w:pStyle w:val="Contents5"/>
            <w:tabs>
              <w:tab w:val="clear" w:pos="7892"/>
              <w:tab w:val="right" w:pos="9026" w:leader="dot"/>
            </w:tabs>
            <w:rPr/>
          </w:pPr>
          <w:hyperlink w:anchor="__RefHeading___Toc716762_996550957">
            <w:r>
              <w:rPr>
                <w:webHidden/>
                <w:rStyle w:val="IndexLink"/>
              </w:rPr>
              <w:t>10</w:t>
            </w:r>
            <w:r>
              <w:rPr>
                <w:rStyle w:val="IndexLink"/>
                <w:rtl w:val="true"/>
              </w:rPr>
              <w:t xml:space="preserve">- </w:t>
            </w:r>
            <w:r>
              <w:rPr>
                <w:rStyle w:val="IndexLink"/>
                <w:rtl w:val="true"/>
              </w:rPr>
              <w:t>ذكر اسم إنّ وأخواتها</w:t>
            </w:r>
            <w:r>
              <w:rPr>
                <w:rStyle w:val="IndexLink"/>
                <w:rtl w:val="true"/>
              </w:rPr>
              <w:tab/>
            </w:r>
            <w:r>
              <w:rPr>
                <w:rStyle w:val="IndexLink"/>
              </w:rPr>
              <w:t>215</w:t>
            </w:r>
          </w:hyperlink>
        </w:p>
        <w:p>
          <w:pPr>
            <w:pStyle w:val="Contents5"/>
            <w:tabs>
              <w:tab w:val="clear" w:pos="7892"/>
              <w:tab w:val="right" w:pos="9026" w:leader="dot"/>
            </w:tabs>
            <w:rPr/>
          </w:pPr>
          <w:hyperlink w:anchor="__RefHeading___Toc716764_996550957">
            <w:r>
              <w:rPr>
                <w:webHidden/>
                <w:rStyle w:val="IndexLink"/>
              </w:rPr>
              <w:t>11</w:t>
            </w:r>
            <w:r>
              <w:rPr>
                <w:rStyle w:val="IndexLink"/>
                <w:rtl w:val="true"/>
              </w:rPr>
              <w:t xml:space="preserve">- </w:t>
            </w:r>
            <w:r>
              <w:rPr>
                <w:rStyle w:val="IndexLink"/>
                <w:rtl w:val="true"/>
              </w:rPr>
              <w:t>ذكر منصوب لا التي لنفي الجنس</w:t>
            </w:r>
            <w:r>
              <w:rPr>
                <w:rStyle w:val="IndexLink"/>
                <w:rtl w:val="true"/>
              </w:rPr>
              <w:tab/>
            </w:r>
            <w:r>
              <w:rPr>
                <w:rStyle w:val="IndexLink"/>
              </w:rPr>
              <w:t>216</w:t>
            </w:r>
          </w:hyperlink>
        </w:p>
        <w:p>
          <w:pPr>
            <w:pStyle w:val="Contents5"/>
            <w:tabs>
              <w:tab w:val="clear" w:pos="7892"/>
              <w:tab w:val="right" w:pos="9026" w:leader="dot"/>
            </w:tabs>
            <w:rPr/>
          </w:pPr>
          <w:hyperlink w:anchor="__RefHeading___Toc716766_996550957">
            <w:r>
              <w:rPr>
                <w:webHidden/>
                <w:rStyle w:val="IndexLink"/>
              </w:rPr>
              <w:t>12</w:t>
            </w:r>
            <w:r>
              <w:rPr>
                <w:rStyle w:val="IndexLink"/>
                <w:rtl w:val="true"/>
              </w:rPr>
              <w:t xml:space="preserve">- </w:t>
            </w:r>
            <w:r>
              <w:rPr>
                <w:rStyle w:val="IndexLink"/>
                <w:rtl w:val="true"/>
              </w:rPr>
              <w:t>ذكر خبر ما ولا المشبّهتين بليس</w:t>
            </w:r>
            <w:r>
              <w:rPr>
                <w:rStyle w:val="IndexLink"/>
                <w:rtl w:val="true"/>
              </w:rPr>
              <w:tab/>
            </w:r>
            <w:r>
              <w:rPr>
                <w:rStyle w:val="IndexLink"/>
              </w:rPr>
              <w:t>223</w:t>
            </w:r>
          </w:hyperlink>
        </w:p>
        <w:p>
          <w:pPr>
            <w:pStyle w:val="Contents4"/>
            <w:tabs>
              <w:tab w:val="clear" w:pos="8176"/>
              <w:tab w:val="right" w:pos="9026" w:leader="dot"/>
            </w:tabs>
            <w:rPr/>
          </w:pPr>
          <w:hyperlink w:anchor="__RefHeading___Toc716768_996550957">
            <w:r>
              <w:rPr>
                <w:webHidden/>
                <w:rStyle w:val="IndexLink"/>
                <w:rtl w:val="true"/>
              </w:rPr>
              <w:t>ذكر المجرورات</w:t>
            </w:r>
            <w:r>
              <w:rPr>
                <w:rStyle w:val="IndexLink"/>
                <w:rtl w:val="true"/>
              </w:rPr>
              <w:tab/>
            </w:r>
            <w:r>
              <w:rPr>
                <w:rStyle w:val="IndexLink"/>
              </w:rPr>
              <w:t>224</w:t>
            </w:r>
          </w:hyperlink>
        </w:p>
        <w:p>
          <w:pPr>
            <w:pStyle w:val="Contents5"/>
            <w:tabs>
              <w:tab w:val="clear" w:pos="7892"/>
              <w:tab w:val="right" w:pos="9026" w:leader="dot"/>
            </w:tabs>
            <w:rPr/>
          </w:pPr>
          <w:hyperlink w:anchor="__RefHeading___Toc716770_996550957">
            <w:r>
              <w:rPr>
                <w:webHidden/>
                <w:rStyle w:val="IndexLink"/>
                <w:rtl w:val="true"/>
              </w:rPr>
              <w:t>اشارة</w:t>
            </w:r>
            <w:r>
              <w:rPr>
                <w:rStyle w:val="IndexLink"/>
                <w:rtl w:val="true"/>
              </w:rPr>
              <w:tab/>
            </w:r>
            <w:r>
              <w:rPr>
                <w:rStyle w:val="IndexLink"/>
              </w:rPr>
              <w:t>224</w:t>
            </w:r>
          </w:hyperlink>
        </w:p>
        <w:p>
          <w:pPr>
            <w:pStyle w:val="Contents5"/>
            <w:tabs>
              <w:tab w:val="clear" w:pos="7892"/>
              <w:tab w:val="right" w:pos="9026" w:leader="dot"/>
            </w:tabs>
            <w:rPr/>
          </w:pPr>
          <w:hyperlink w:anchor="__RefHeading___Toc716772_996550957">
            <w:r>
              <w:rPr>
                <w:webHidden/>
                <w:rStyle w:val="IndexLink"/>
                <w:rtl w:val="true"/>
              </w:rPr>
              <w:t>ذكر الإضافة المعنويّة</w:t>
            </w:r>
            <w:r>
              <w:rPr>
                <w:rStyle w:val="IndexLink"/>
                <w:rtl w:val="true"/>
              </w:rPr>
              <w:tab/>
            </w:r>
            <w:r>
              <w:rPr>
                <w:rStyle w:val="IndexLink"/>
              </w:rPr>
              <w:t>225</w:t>
            </w:r>
          </w:hyperlink>
        </w:p>
        <w:p>
          <w:pPr>
            <w:pStyle w:val="Contents5"/>
            <w:tabs>
              <w:tab w:val="clear" w:pos="7892"/>
              <w:tab w:val="right" w:pos="9026" w:leader="dot"/>
            </w:tabs>
            <w:rPr/>
          </w:pPr>
          <w:hyperlink w:anchor="__RefHeading___Toc716774_996550957">
            <w:r>
              <w:rPr>
                <w:webHidden/>
                <w:rStyle w:val="IndexLink"/>
                <w:rtl w:val="true"/>
              </w:rPr>
              <w:t>ذكر الإضافة اللفظيّة</w:t>
            </w:r>
            <w:r>
              <w:rPr>
                <w:rStyle w:val="IndexLink"/>
                <w:rtl w:val="true"/>
              </w:rPr>
              <w:tab/>
            </w:r>
            <w:r>
              <w:rPr>
                <w:rStyle w:val="IndexLink"/>
              </w:rPr>
              <w:t>226</w:t>
            </w:r>
          </w:hyperlink>
        </w:p>
        <w:p>
          <w:pPr>
            <w:pStyle w:val="Contents5"/>
            <w:tabs>
              <w:tab w:val="clear" w:pos="7892"/>
              <w:tab w:val="right" w:pos="9026" w:leader="dot"/>
            </w:tabs>
            <w:rPr/>
          </w:pPr>
          <w:hyperlink w:anchor="__RefHeading___Toc716776_996550957">
            <w:r>
              <w:rPr>
                <w:webHidden/>
                <w:rStyle w:val="IndexLink"/>
                <w:rtl w:val="true"/>
              </w:rPr>
              <w:t>ذكر ما يمتنع إضافته</w:t>
            </w:r>
            <w:r>
              <w:rPr>
                <w:rStyle w:val="IndexLink"/>
                <w:rtl w:val="true"/>
              </w:rPr>
              <w:tab/>
            </w:r>
            <w:r>
              <w:rPr>
                <w:rStyle w:val="IndexLink"/>
              </w:rPr>
              <w:t>228</w:t>
            </w:r>
          </w:hyperlink>
        </w:p>
        <w:p>
          <w:pPr>
            <w:pStyle w:val="Contents5"/>
            <w:tabs>
              <w:tab w:val="clear" w:pos="7892"/>
              <w:tab w:val="right" w:pos="9026" w:leader="dot"/>
            </w:tabs>
            <w:rPr/>
          </w:pPr>
          <w:hyperlink w:anchor="__RefHeading___Toc716778_996550957">
            <w:r>
              <w:rPr>
                <w:webHidden/>
                <w:rStyle w:val="IndexLink"/>
                <w:rtl w:val="true"/>
              </w:rPr>
              <w:t>ذكر إضافة الاسم الصحيح والملحق به</w:t>
            </w:r>
            <w:r>
              <w:rPr>
                <w:rStyle w:val="IndexLink"/>
                <w:rtl w:val="true"/>
              </w:rPr>
              <w:tab/>
            </w:r>
            <w:r>
              <w:rPr>
                <w:rStyle w:val="IndexLink"/>
              </w:rPr>
              <w:t>229</w:t>
            </w:r>
          </w:hyperlink>
        </w:p>
        <w:p>
          <w:pPr>
            <w:pStyle w:val="Contents5"/>
            <w:tabs>
              <w:tab w:val="clear" w:pos="7892"/>
              <w:tab w:val="right" w:pos="9026" w:leader="dot"/>
            </w:tabs>
            <w:rPr/>
          </w:pPr>
          <w:hyperlink w:anchor="__RefHeading___Toc716780_996550957">
            <w:r>
              <w:rPr>
                <w:webHidden/>
                <w:rStyle w:val="IndexLink"/>
                <w:rtl w:val="true"/>
              </w:rPr>
              <w:t>ذكر إضافة المقصور والمنقوص</w:t>
            </w:r>
            <w:r>
              <w:rPr>
                <w:rStyle w:val="IndexLink"/>
                <w:rtl w:val="true"/>
              </w:rPr>
              <w:tab/>
            </w:r>
            <w:r>
              <w:rPr>
                <w:rStyle w:val="IndexLink"/>
              </w:rPr>
              <w:t>230</w:t>
            </w:r>
          </w:hyperlink>
        </w:p>
        <w:p>
          <w:pPr>
            <w:pStyle w:val="Contents5"/>
            <w:tabs>
              <w:tab w:val="clear" w:pos="7892"/>
              <w:tab w:val="right" w:pos="9026" w:leader="dot"/>
            </w:tabs>
            <w:rPr/>
          </w:pPr>
          <w:hyperlink w:anchor="__RefHeading___Toc716782_996550957">
            <w:r>
              <w:rPr>
                <w:webHidden/>
                <w:rStyle w:val="IndexLink"/>
                <w:rtl w:val="true"/>
              </w:rPr>
              <w:t>ذكر بقيّة الكلام على الإضافة</w:t>
            </w:r>
            <w:r>
              <w:rPr>
                <w:rStyle w:val="IndexLink"/>
                <w:rtl w:val="true"/>
              </w:rPr>
              <w:tab/>
            </w:r>
            <w:r>
              <w:rPr>
                <w:rStyle w:val="IndexLink"/>
              </w:rPr>
              <w:t>233</w:t>
            </w:r>
          </w:hyperlink>
        </w:p>
        <w:p>
          <w:pPr>
            <w:pStyle w:val="Contents4"/>
            <w:tabs>
              <w:tab w:val="clear" w:pos="8176"/>
              <w:tab w:val="right" w:pos="9026" w:leader="dot"/>
            </w:tabs>
            <w:rPr/>
          </w:pPr>
          <w:hyperlink w:anchor="__RefHeading___Toc716784_996550957">
            <w:r>
              <w:rPr>
                <w:webHidden/>
                <w:rStyle w:val="IndexLink"/>
                <w:rtl w:val="true"/>
              </w:rPr>
              <w:t>ذكر التّوابع</w:t>
            </w:r>
            <w:r>
              <w:rPr>
                <w:rStyle w:val="IndexLink"/>
                <w:rtl w:val="true"/>
              </w:rPr>
              <w:tab/>
            </w:r>
            <w:r>
              <w:rPr>
                <w:rStyle w:val="IndexLink"/>
              </w:rPr>
              <w:t>234</w:t>
            </w:r>
          </w:hyperlink>
        </w:p>
        <w:p>
          <w:pPr>
            <w:pStyle w:val="Contents5"/>
            <w:tabs>
              <w:tab w:val="clear" w:pos="7892"/>
              <w:tab w:val="right" w:pos="9026" w:leader="dot"/>
            </w:tabs>
            <w:rPr/>
          </w:pPr>
          <w:hyperlink w:anchor="__RefHeading___Toc716786_996550957">
            <w:r>
              <w:rPr>
                <w:webHidden/>
                <w:rStyle w:val="IndexLink"/>
                <w:rtl w:val="true"/>
              </w:rPr>
              <w:t>اشارة</w:t>
            </w:r>
            <w:r>
              <w:rPr>
                <w:rStyle w:val="IndexLink"/>
                <w:rtl w:val="true"/>
              </w:rPr>
              <w:tab/>
            </w:r>
            <w:r>
              <w:rPr>
                <w:rStyle w:val="IndexLink"/>
              </w:rPr>
              <w:t>234</w:t>
            </w:r>
          </w:hyperlink>
        </w:p>
        <w:p>
          <w:pPr>
            <w:pStyle w:val="Contents5"/>
            <w:tabs>
              <w:tab w:val="clear" w:pos="7892"/>
              <w:tab w:val="right" w:pos="9026" w:leader="dot"/>
            </w:tabs>
            <w:rPr/>
          </w:pPr>
          <w:hyperlink w:anchor="__RefHeading___Toc716788_996550957">
            <w:r>
              <w:rPr>
                <w:webHidden/>
                <w:rStyle w:val="IndexLink"/>
                <w:rtl w:val="true"/>
              </w:rPr>
              <w:t>ذكر النّعت</w:t>
            </w:r>
            <w:r>
              <w:rPr>
                <w:rStyle w:val="IndexLink"/>
                <w:rtl w:val="true"/>
              </w:rPr>
              <w:tab/>
            </w:r>
            <w:r>
              <w:rPr>
                <w:rStyle w:val="IndexLink"/>
              </w:rPr>
              <w:t>235</w:t>
            </w:r>
          </w:hyperlink>
        </w:p>
        <w:p>
          <w:pPr>
            <w:pStyle w:val="Contents6"/>
            <w:tabs>
              <w:tab w:val="clear" w:pos="7609"/>
              <w:tab w:val="right" w:pos="9026" w:leader="dot"/>
            </w:tabs>
            <w:rPr/>
          </w:pPr>
          <w:hyperlink w:anchor="__RefHeading___Toc716790_996550957">
            <w:r>
              <w:rPr>
                <w:webHidden/>
                <w:rStyle w:val="IndexLink"/>
                <w:rtl w:val="true"/>
              </w:rPr>
              <w:t>اشارة</w:t>
            </w:r>
            <w:r>
              <w:rPr>
                <w:rStyle w:val="IndexLink"/>
                <w:rtl w:val="true"/>
              </w:rPr>
              <w:tab/>
            </w:r>
            <w:r>
              <w:rPr>
                <w:rStyle w:val="IndexLink"/>
              </w:rPr>
              <w:t>235</w:t>
            </w:r>
          </w:hyperlink>
        </w:p>
        <w:p>
          <w:pPr>
            <w:pStyle w:val="Contents6"/>
            <w:tabs>
              <w:tab w:val="clear" w:pos="7609"/>
              <w:tab w:val="right" w:pos="9026" w:leader="dot"/>
            </w:tabs>
            <w:rPr/>
          </w:pPr>
          <w:hyperlink w:anchor="__RefHeading___Toc716792_996550957">
            <w:r>
              <w:rPr>
                <w:webHidden/>
                <w:rStyle w:val="IndexLink"/>
                <w:rtl w:val="true"/>
              </w:rPr>
              <w:t>فصل</w:t>
            </w:r>
            <w:r>
              <w:rPr>
                <w:rStyle w:val="IndexLink"/>
                <w:rtl w:val="true"/>
              </w:rPr>
              <w:tab/>
            </w:r>
            <w:r>
              <w:rPr>
                <w:rStyle w:val="IndexLink"/>
              </w:rPr>
              <w:t>238</w:t>
            </w:r>
          </w:hyperlink>
        </w:p>
        <w:p>
          <w:pPr>
            <w:pStyle w:val="Contents6"/>
            <w:tabs>
              <w:tab w:val="clear" w:pos="7609"/>
              <w:tab w:val="right" w:pos="9026" w:leader="dot"/>
            </w:tabs>
            <w:rPr/>
          </w:pPr>
          <w:hyperlink w:anchor="__RefHeading___Toc716794_996550957">
            <w:r>
              <w:rPr>
                <w:webHidden/>
                <w:rStyle w:val="IndexLink"/>
                <w:rtl w:val="true"/>
              </w:rPr>
              <w:t>فصل</w:t>
            </w:r>
            <w:r>
              <w:rPr>
                <w:rStyle w:val="IndexLink"/>
                <w:rtl w:val="true"/>
              </w:rPr>
              <w:tab/>
            </w:r>
            <w:r>
              <w:rPr>
                <w:rStyle w:val="IndexLink"/>
              </w:rPr>
              <w:t>239</w:t>
            </w:r>
          </w:hyperlink>
        </w:p>
        <w:p>
          <w:pPr>
            <w:pStyle w:val="Contents5"/>
            <w:tabs>
              <w:tab w:val="clear" w:pos="7892"/>
              <w:tab w:val="right" w:pos="9026" w:leader="dot"/>
            </w:tabs>
            <w:rPr/>
          </w:pPr>
          <w:hyperlink w:anchor="__RefHeading___Toc716796_996550957">
            <w:r>
              <w:rPr>
                <w:webHidden/>
                <w:rStyle w:val="IndexLink"/>
                <w:rtl w:val="true"/>
              </w:rPr>
              <w:t>ذكر العطف</w:t>
            </w:r>
            <w:r>
              <w:rPr>
                <w:rStyle w:val="IndexLink"/>
                <w:rtl w:val="true"/>
              </w:rPr>
              <w:tab/>
            </w:r>
            <w:r>
              <w:rPr>
                <w:rStyle w:val="IndexLink"/>
              </w:rPr>
              <w:t>240</w:t>
            </w:r>
          </w:hyperlink>
        </w:p>
        <w:p>
          <w:pPr>
            <w:pStyle w:val="Contents5"/>
            <w:tabs>
              <w:tab w:val="clear" w:pos="7892"/>
              <w:tab w:val="right" w:pos="9026" w:leader="dot"/>
            </w:tabs>
            <w:rPr/>
          </w:pPr>
          <w:hyperlink w:anchor="__RefHeading___Toc716798_996550957">
            <w:r>
              <w:rPr>
                <w:webHidden/>
                <w:rStyle w:val="IndexLink"/>
                <w:rtl w:val="true"/>
              </w:rPr>
              <w:t>ذكر التأكيد</w:t>
            </w:r>
            <w:r>
              <w:rPr>
                <w:rStyle w:val="IndexLink"/>
                <w:rtl w:val="true"/>
              </w:rPr>
              <w:tab/>
            </w:r>
            <w:r>
              <w:rPr>
                <w:rStyle w:val="IndexLink"/>
              </w:rPr>
              <w:t>243</w:t>
            </w:r>
          </w:hyperlink>
        </w:p>
        <w:p>
          <w:pPr>
            <w:pStyle w:val="Contents5"/>
            <w:tabs>
              <w:tab w:val="clear" w:pos="7892"/>
              <w:tab w:val="right" w:pos="9026" w:leader="dot"/>
            </w:tabs>
            <w:rPr/>
          </w:pPr>
          <w:hyperlink w:anchor="__RefHeading___Toc716800_996550957">
            <w:r>
              <w:rPr>
                <w:webHidden/>
                <w:rStyle w:val="IndexLink"/>
                <w:rtl w:val="true"/>
              </w:rPr>
              <w:t>ذكر البدل</w:t>
            </w:r>
            <w:r>
              <w:rPr>
                <w:rStyle w:val="IndexLink"/>
                <w:rtl w:val="true"/>
              </w:rPr>
              <w:tab/>
            </w:r>
            <w:r>
              <w:rPr>
                <w:rStyle w:val="IndexLink"/>
              </w:rPr>
              <w:t>246</w:t>
            </w:r>
          </w:hyperlink>
        </w:p>
        <w:p>
          <w:pPr>
            <w:pStyle w:val="Contents5"/>
            <w:tabs>
              <w:tab w:val="clear" w:pos="7892"/>
              <w:tab w:val="right" w:pos="9026" w:leader="dot"/>
            </w:tabs>
            <w:rPr/>
          </w:pPr>
          <w:hyperlink w:anchor="__RefHeading___Toc716802_996550957">
            <w:r>
              <w:rPr>
                <w:webHidden/>
                <w:rStyle w:val="IndexLink"/>
                <w:rtl w:val="true"/>
              </w:rPr>
              <w:t>ذكر عطف البيان</w:t>
            </w:r>
            <w:r>
              <w:rPr>
                <w:rStyle w:val="IndexLink"/>
                <w:rtl w:val="true"/>
              </w:rPr>
              <w:tab/>
            </w:r>
            <w:r>
              <w:rPr>
                <w:rStyle w:val="IndexLink"/>
              </w:rPr>
              <w:t>250</w:t>
            </w:r>
          </w:hyperlink>
        </w:p>
        <w:p>
          <w:pPr>
            <w:pStyle w:val="Contents4"/>
            <w:tabs>
              <w:tab w:val="clear" w:pos="8176"/>
              <w:tab w:val="right" w:pos="9026" w:leader="dot"/>
            </w:tabs>
            <w:rPr/>
          </w:pPr>
          <w:hyperlink w:anchor="__RefHeading___Toc716804_996550957">
            <w:r>
              <w:rPr>
                <w:webHidden/>
                <w:rStyle w:val="IndexLink"/>
                <w:rtl w:val="true"/>
              </w:rPr>
              <w:t>ذكر المبنيّ</w:t>
            </w:r>
            <w:r>
              <w:rPr>
                <w:rStyle w:val="IndexLink"/>
                <w:rtl w:val="true"/>
              </w:rPr>
              <w:tab/>
            </w:r>
            <w:r>
              <w:rPr>
                <w:rStyle w:val="IndexLink"/>
              </w:rPr>
              <w:t>251</w:t>
            </w:r>
          </w:hyperlink>
        </w:p>
        <w:p>
          <w:pPr>
            <w:pStyle w:val="Contents5"/>
            <w:tabs>
              <w:tab w:val="clear" w:pos="7892"/>
              <w:tab w:val="right" w:pos="9026" w:leader="dot"/>
            </w:tabs>
            <w:rPr/>
          </w:pPr>
          <w:hyperlink w:anchor="__RefHeading___Toc716806_996550957">
            <w:r>
              <w:rPr>
                <w:webHidden/>
                <w:rStyle w:val="IndexLink"/>
                <w:rtl w:val="true"/>
              </w:rPr>
              <w:t>اشارة</w:t>
            </w:r>
            <w:r>
              <w:rPr>
                <w:rStyle w:val="IndexLink"/>
                <w:rtl w:val="true"/>
              </w:rPr>
              <w:tab/>
            </w:r>
            <w:r>
              <w:rPr>
                <w:rStyle w:val="IndexLink"/>
              </w:rPr>
              <w:t>251</w:t>
            </w:r>
          </w:hyperlink>
        </w:p>
        <w:p>
          <w:pPr>
            <w:pStyle w:val="Contents5"/>
            <w:tabs>
              <w:tab w:val="clear" w:pos="7892"/>
              <w:tab w:val="right" w:pos="9026" w:leader="dot"/>
            </w:tabs>
            <w:rPr/>
          </w:pPr>
          <w:hyperlink w:anchor="__RefHeading___Toc716808_996550957">
            <w:r>
              <w:rPr>
                <w:webHidden/>
                <w:rStyle w:val="IndexLink"/>
              </w:rPr>
              <w:t>1</w:t>
            </w:r>
            <w:r>
              <w:rPr>
                <w:rStyle w:val="IndexLink"/>
                <w:rtl w:val="true"/>
              </w:rPr>
              <w:t xml:space="preserve">- </w:t>
            </w:r>
            <w:r>
              <w:rPr>
                <w:rStyle w:val="IndexLink"/>
                <w:rtl w:val="true"/>
              </w:rPr>
              <w:t>ذكر المضمرات</w:t>
            </w:r>
            <w:r>
              <w:rPr>
                <w:rStyle w:val="IndexLink"/>
                <w:rtl w:val="true"/>
              </w:rPr>
              <w:tab/>
            </w:r>
            <w:r>
              <w:rPr>
                <w:rStyle w:val="IndexLink"/>
              </w:rPr>
              <w:t>252</w:t>
            </w:r>
          </w:hyperlink>
        </w:p>
        <w:p>
          <w:pPr>
            <w:pStyle w:val="Contents6"/>
            <w:tabs>
              <w:tab w:val="clear" w:pos="7609"/>
              <w:tab w:val="right" w:pos="9026" w:leader="dot"/>
            </w:tabs>
            <w:rPr/>
          </w:pPr>
          <w:hyperlink w:anchor="__RefHeading___Toc716810_996550957">
            <w:r>
              <w:rPr>
                <w:webHidden/>
                <w:rStyle w:val="IndexLink"/>
                <w:rtl w:val="true"/>
              </w:rPr>
              <w:t>اشارة</w:t>
            </w:r>
            <w:r>
              <w:rPr>
                <w:rStyle w:val="IndexLink"/>
                <w:rtl w:val="true"/>
              </w:rPr>
              <w:tab/>
            </w:r>
            <w:r>
              <w:rPr>
                <w:rStyle w:val="IndexLink"/>
              </w:rPr>
              <w:t>252</w:t>
            </w:r>
          </w:hyperlink>
        </w:p>
        <w:p>
          <w:pPr>
            <w:pStyle w:val="Contents6"/>
            <w:tabs>
              <w:tab w:val="clear" w:pos="7609"/>
              <w:tab w:val="right" w:pos="9026" w:leader="dot"/>
            </w:tabs>
            <w:rPr/>
          </w:pPr>
          <w:hyperlink w:anchor="__RefHeading___Toc716812_996550957">
            <w:r>
              <w:rPr>
                <w:webHidden/>
                <w:rStyle w:val="IndexLink"/>
                <w:rtl w:val="true"/>
              </w:rPr>
              <w:t>ذكر تقسيم المضمر</w:t>
            </w:r>
            <w:r>
              <w:rPr>
                <w:rStyle w:val="IndexLink"/>
                <w:rtl w:val="true"/>
              </w:rPr>
              <w:tab/>
            </w:r>
            <w:r>
              <w:rPr>
                <w:rStyle w:val="IndexLink"/>
              </w:rPr>
              <w:t>253</w:t>
            </w:r>
          </w:hyperlink>
        </w:p>
        <w:p>
          <w:pPr>
            <w:pStyle w:val="Contents6"/>
            <w:tabs>
              <w:tab w:val="clear" w:pos="7609"/>
              <w:tab w:val="right" w:pos="9026" w:leader="dot"/>
            </w:tabs>
            <w:rPr/>
          </w:pPr>
          <w:hyperlink w:anchor="__RefHeading___Toc716814_996550957">
            <w:r>
              <w:rPr>
                <w:webHidden/>
                <w:rStyle w:val="IndexLink"/>
                <w:rtl w:val="true"/>
              </w:rPr>
              <w:t>ذكر الضمير المرفوع المتّصل</w:t>
            </w:r>
            <w:r>
              <w:rPr>
                <w:rStyle w:val="IndexLink"/>
                <w:rtl w:val="true"/>
              </w:rPr>
              <w:tab/>
            </w:r>
            <w:r>
              <w:rPr>
                <w:rStyle w:val="IndexLink"/>
              </w:rPr>
              <w:t>253</w:t>
            </w:r>
          </w:hyperlink>
        </w:p>
        <w:p>
          <w:pPr>
            <w:pStyle w:val="Contents6"/>
            <w:tabs>
              <w:tab w:val="clear" w:pos="7609"/>
              <w:tab w:val="right" w:pos="9026" w:leader="dot"/>
            </w:tabs>
            <w:rPr/>
          </w:pPr>
          <w:hyperlink w:anchor="__RefHeading___Toc716816_996550957">
            <w:r>
              <w:rPr>
                <w:webHidden/>
                <w:rStyle w:val="IndexLink"/>
                <w:rtl w:val="true"/>
              </w:rPr>
              <w:t>ذكر الضمير المرفوع المنفصل</w:t>
            </w:r>
            <w:r>
              <w:rPr>
                <w:rStyle w:val="IndexLink"/>
                <w:rtl w:val="true"/>
              </w:rPr>
              <w:tab/>
            </w:r>
            <w:r>
              <w:rPr>
                <w:rStyle w:val="IndexLink"/>
              </w:rPr>
              <w:t>254</w:t>
            </w:r>
          </w:hyperlink>
        </w:p>
        <w:p>
          <w:pPr>
            <w:pStyle w:val="Contents6"/>
            <w:tabs>
              <w:tab w:val="clear" w:pos="7609"/>
              <w:tab w:val="right" w:pos="9026" w:leader="dot"/>
            </w:tabs>
            <w:rPr/>
          </w:pPr>
          <w:hyperlink w:anchor="__RefHeading___Toc716818_996550957">
            <w:r>
              <w:rPr>
                <w:webHidden/>
                <w:rStyle w:val="IndexLink"/>
                <w:rtl w:val="true"/>
              </w:rPr>
              <w:t>ذكر المنصوب المتّصل</w:t>
            </w:r>
            <w:r>
              <w:rPr>
                <w:rStyle w:val="IndexLink"/>
                <w:rtl w:val="true"/>
              </w:rPr>
              <w:tab/>
            </w:r>
            <w:r>
              <w:rPr>
                <w:rStyle w:val="IndexLink"/>
              </w:rPr>
              <w:t>255</w:t>
            </w:r>
          </w:hyperlink>
        </w:p>
        <w:p>
          <w:pPr>
            <w:pStyle w:val="Contents6"/>
            <w:tabs>
              <w:tab w:val="clear" w:pos="7609"/>
              <w:tab w:val="right" w:pos="9026" w:leader="dot"/>
            </w:tabs>
            <w:rPr/>
          </w:pPr>
          <w:hyperlink w:anchor="__RefHeading___Toc716820_996550957">
            <w:r>
              <w:rPr>
                <w:webHidden/>
                <w:rStyle w:val="IndexLink"/>
                <w:rtl w:val="true"/>
              </w:rPr>
              <w:t>ذكر المنصوب المنفصل</w:t>
            </w:r>
            <w:r>
              <w:rPr>
                <w:rStyle w:val="IndexLink"/>
                <w:rtl w:val="true"/>
              </w:rPr>
              <w:tab/>
            </w:r>
            <w:r>
              <w:rPr>
                <w:rStyle w:val="IndexLink"/>
              </w:rPr>
              <w:t>255</w:t>
            </w:r>
          </w:hyperlink>
        </w:p>
        <w:p>
          <w:pPr>
            <w:pStyle w:val="Contents6"/>
            <w:tabs>
              <w:tab w:val="clear" w:pos="7609"/>
              <w:tab w:val="right" w:pos="9026" w:leader="dot"/>
            </w:tabs>
            <w:rPr/>
          </w:pPr>
          <w:hyperlink w:anchor="__RefHeading___Toc716822_996550957">
            <w:r>
              <w:rPr>
                <w:webHidden/>
                <w:rStyle w:val="IndexLink"/>
                <w:rtl w:val="true"/>
              </w:rPr>
              <w:t>ذكر الضمير المجرور</w:t>
            </w:r>
            <w:r>
              <w:rPr>
                <w:rStyle w:val="IndexLink"/>
                <w:rtl w:val="true"/>
              </w:rPr>
              <w:tab/>
            </w:r>
            <w:r>
              <w:rPr>
                <w:rStyle w:val="IndexLink"/>
              </w:rPr>
              <w:t>256</w:t>
            </w:r>
          </w:hyperlink>
        </w:p>
        <w:p>
          <w:pPr>
            <w:pStyle w:val="Contents6"/>
            <w:tabs>
              <w:tab w:val="clear" w:pos="7609"/>
              <w:tab w:val="right" w:pos="9026" w:leader="dot"/>
            </w:tabs>
            <w:rPr/>
          </w:pPr>
          <w:hyperlink w:anchor="__RefHeading___Toc716824_996550957">
            <w:r>
              <w:rPr>
                <w:webHidden/>
                <w:rStyle w:val="IndexLink"/>
                <w:rtl w:val="true"/>
              </w:rPr>
              <w:t>ذكر الضمير المستتر</w:t>
            </w:r>
            <w:r>
              <w:rPr>
                <w:rStyle w:val="IndexLink"/>
                <w:rtl w:val="true"/>
              </w:rPr>
              <w:tab/>
            </w:r>
            <w:r>
              <w:rPr>
                <w:rStyle w:val="IndexLink"/>
              </w:rPr>
              <w:t>260</w:t>
            </w:r>
          </w:hyperlink>
        </w:p>
        <w:p>
          <w:pPr>
            <w:pStyle w:val="Contents6"/>
            <w:tabs>
              <w:tab w:val="clear" w:pos="7609"/>
              <w:tab w:val="right" w:pos="9026" w:leader="dot"/>
            </w:tabs>
            <w:rPr/>
          </w:pPr>
          <w:hyperlink w:anchor="__RefHeading___Toc716826_996550957">
            <w:r>
              <w:rPr>
                <w:webHidden/>
                <w:rStyle w:val="IndexLink"/>
                <w:rtl w:val="true"/>
              </w:rPr>
              <w:t>ذكر أحكام الضمير المنفصل</w:t>
            </w:r>
            <w:r>
              <w:rPr>
                <w:rStyle w:val="IndexLink"/>
                <w:rtl w:val="true"/>
              </w:rPr>
              <w:tab/>
            </w:r>
            <w:r>
              <w:rPr>
                <w:rStyle w:val="IndexLink"/>
              </w:rPr>
              <w:t>261</w:t>
            </w:r>
          </w:hyperlink>
        </w:p>
        <w:p>
          <w:pPr>
            <w:pStyle w:val="Contents6"/>
            <w:tabs>
              <w:tab w:val="clear" w:pos="7609"/>
              <w:tab w:val="right" w:pos="9026" w:leader="dot"/>
            </w:tabs>
            <w:rPr/>
          </w:pPr>
          <w:hyperlink w:anchor="__RefHeading___Toc716828_996550957">
            <w:r>
              <w:rPr>
                <w:webHidden/>
                <w:rStyle w:val="IndexLink"/>
                <w:rtl w:val="true"/>
              </w:rPr>
              <w:t>ذكر الضمائر التي يجوز فيها الاتصال والانفصال</w:t>
            </w:r>
            <w:r>
              <w:rPr>
                <w:rStyle w:val="IndexLink"/>
                <w:rtl w:val="true"/>
              </w:rPr>
              <w:tab/>
            </w:r>
            <w:r>
              <w:rPr>
                <w:rStyle w:val="IndexLink"/>
              </w:rPr>
              <w:t>262</w:t>
            </w:r>
          </w:hyperlink>
        </w:p>
        <w:p>
          <w:pPr>
            <w:pStyle w:val="Contents6"/>
            <w:tabs>
              <w:tab w:val="clear" w:pos="7609"/>
              <w:tab w:val="right" w:pos="9026" w:leader="dot"/>
            </w:tabs>
            <w:rPr/>
          </w:pPr>
          <w:hyperlink w:anchor="__RefHeading___Toc716830_996550957">
            <w:r>
              <w:rPr>
                <w:webHidden/>
                <w:rStyle w:val="IndexLink"/>
                <w:rtl w:val="true"/>
              </w:rPr>
              <w:t>ذكر المضمر الواقع بعد عسى</w:t>
            </w:r>
            <w:r>
              <w:rPr>
                <w:rStyle w:val="IndexLink"/>
                <w:rtl w:val="true"/>
              </w:rPr>
              <w:tab/>
            </w:r>
            <w:r>
              <w:rPr>
                <w:rStyle w:val="IndexLink"/>
              </w:rPr>
              <w:t>264</w:t>
            </w:r>
          </w:hyperlink>
        </w:p>
        <w:p>
          <w:pPr>
            <w:pStyle w:val="Contents6"/>
            <w:tabs>
              <w:tab w:val="clear" w:pos="7609"/>
              <w:tab w:val="right" w:pos="9026" w:leader="dot"/>
            </w:tabs>
            <w:rPr/>
          </w:pPr>
          <w:hyperlink w:anchor="__RefHeading___Toc716832_996550957">
            <w:r>
              <w:rPr>
                <w:webHidden/>
                <w:rStyle w:val="IndexLink"/>
                <w:rtl w:val="true"/>
              </w:rPr>
              <w:t>ذكر نون الوقاية</w:t>
            </w:r>
            <w:r>
              <w:rPr>
                <w:rStyle w:val="IndexLink"/>
                <w:rtl w:val="true"/>
              </w:rPr>
              <w:tab/>
            </w:r>
            <w:r>
              <w:rPr>
                <w:rStyle w:val="IndexLink"/>
              </w:rPr>
              <w:t>267</w:t>
            </w:r>
          </w:hyperlink>
        </w:p>
        <w:p>
          <w:pPr>
            <w:pStyle w:val="Contents6"/>
            <w:tabs>
              <w:tab w:val="clear" w:pos="7609"/>
              <w:tab w:val="right" w:pos="9026" w:leader="dot"/>
            </w:tabs>
            <w:rPr/>
          </w:pPr>
          <w:hyperlink w:anchor="__RefHeading___Toc716834_996550957">
            <w:r>
              <w:rPr>
                <w:webHidden/>
                <w:rStyle w:val="IndexLink"/>
                <w:rtl w:val="true"/>
              </w:rPr>
              <w:t>ذكر الفصل</w:t>
            </w:r>
            <w:r>
              <w:rPr>
                <w:rStyle w:val="IndexLink"/>
                <w:rtl w:val="true"/>
              </w:rPr>
              <w:tab/>
            </w:r>
            <w:r>
              <w:rPr>
                <w:rStyle w:val="IndexLink"/>
              </w:rPr>
              <w:t>268</w:t>
            </w:r>
          </w:hyperlink>
        </w:p>
        <w:p>
          <w:pPr>
            <w:pStyle w:val="Contents6"/>
            <w:tabs>
              <w:tab w:val="clear" w:pos="7609"/>
              <w:tab w:val="right" w:pos="9026" w:leader="dot"/>
            </w:tabs>
            <w:rPr/>
          </w:pPr>
          <w:hyperlink w:anchor="__RefHeading___Toc716836_996550957">
            <w:r>
              <w:rPr>
                <w:webHidden/>
                <w:rStyle w:val="IndexLink"/>
                <w:rtl w:val="true"/>
              </w:rPr>
              <w:t>ذكر ضمير الشّأن</w:t>
            </w:r>
            <w:r>
              <w:rPr>
                <w:rStyle w:val="IndexLink"/>
                <w:rtl w:val="true"/>
              </w:rPr>
              <w:tab/>
            </w:r>
            <w:r>
              <w:rPr>
                <w:rStyle w:val="IndexLink"/>
              </w:rPr>
              <w:t>270</w:t>
            </w:r>
          </w:hyperlink>
        </w:p>
        <w:p>
          <w:pPr>
            <w:pStyle w:val="Contents5"/>
            <w:tabs>
              <w:tab w:val="clear" w:pos="7892"/>
              <w:tab w:val="right" w:pos="9026" w:leader="dot"/>
            </w:tabs>
            <w:rPr/>
          </w:pPr>
          <w:hyperlink w:anchor="__RefHeading___Toc716838_996550957">
            <w:r>
              <w:rPr>
                <w:webHidden/>
                <w:rStyle w:val="IndexLink"/>
              </w:rPr>
              <w:t>2</w:t>
            </w:r>
            <w:r>
              <w:rPr>
                <w:rStyle w:val="IndexLink"/>
                <w:rtl w:val="true"/>
              </w:rPr>
              <w:t xml:space="preserve">- </w:t>
            </w:r>
            <w:r>
              <w:rPr>
                <w:rStyle w:val="IndexLink"/>
                <w:rtl w:val="true"/>
              </w:rPr>
              <w:t>ذكر أسماء الإشارة</w:t>
            </w:r>
            <w:r>
              <w:rPr>
                <w:rStyle w:val="IndexLink"/>
                <w:rtl w:val="true"/>
              </w:rPr>
              <w:tab/>
            </w:r>
            <w:r>
              <w:rPr>
                <w:rStyle w:val="IndexLink"/>
              </w:rPr>
              <w:t>272</w:t>
            </w:r>
          </w:hyperlink>
        </w:p>
        <w:p>
          <w:pPr>
            <w:pStyle w:val="Contents5"/>
            <w:tabs>
              <w:tab w:val="clear" w:pos="7892"/>
              <w:tab w:val="right" w:pos="9026" w:leader="dot"/>
            </w:tabs>
            <w:rPr/>
          </w:pPr>
          <w:hyperlink w:anchor="__RefHeading___Toc716840_996550957">
            <w:r>
              <w:rPr>
                <w:webHidden/>
                <w:rStyle w:val="IndexLink"/>
              </w:rPr>
              <w:t>3</w:t>
            </w:r>
            <w:r>
              <w:rPr>
                <w:rStyle w:val="IndexLink"/>
                <w:rtl w:val="true"/>
              </w:rPr>
              <w:t xml:space="preserve">- </w:t>
            </w:r>
            <w:r>
              <w:rPr>
                <w:rStyle w:val="IndexLink"/>
                <w:rtl w:val="true"/>
              </w:rPr>
              <w:t>ذكر الموصولات</w:t>
            </w:r>
            <w:r>
              <w:rPr>
                <w:rStyle w:val="IndexLink"/>
                <w:rtl w:val="true"/>
              </w:rPr>
              <w:tab/>
            </w:r>
            <w:r>
              <w:rPr>
                <w:rStyle w:val="IndexLink"/>
              </w:rPr>
              <w:t>274</w:t>
            </w:r>
          </w:hyperlink>
        </w:p>
        <w:p>
          <w:pPr>
            <w:pStyle w:val="Contents6"/>
            <w:tabs>
              <w:tab w:val="clear" w:pos="7609"/>
              <w:tab w:val="right" w:pos="9026" w:leader="dot"/>
            </w:tabs>
            <w:rPr/>
          </w:pPr>
          <w:hyperlink w:anchor="__RefHeading___Toc716842_996550957">
            <w:r>
              <w:rPr>
                <w:webHidden/>
                <w:rStyle w:val="IndexLink"/>
                <w:rtl w:val="true"/>
              </w:rPr>
              <w:t>اشارة</w:t>
            </w:r>
            <w:r>
              <w:rPr>
                <w:rStyle w:val="IndexLink"/>
                <w:rtl w:val="true"/>
              </w:rPr>
              <w:tab/>
            </w:r>
            <w:r>
              <w:rPr>
                <w:rStyle w:val="IndexLink"/>
              </w:rPr>
              <w:t>274</w:t>
            </w:r>
          </w:hyperlink>
        </w:p>
        <w:p>
          <w:pPr>
            <w:pStyle w:val="Contents6"/>
            <w:tabs>
              <w:tab w:val="clear" w:pos="7609"/>
              <w:tab w:val="right" w:pos="9026" w:leader="dot"/>
            </w:tabs>
            <w:rPr/>
          </w:pPr>
          <w:hyperlink w:anchor="__RefHeading___Toc716844_996550957">
            <w:r>
              <w:rPr>
                <w:webHidden/>
                <w:rStyle w:val="IndexLink"/>
                <w:rtl w:val="true"/>
              </w:rPr>
              <w:t>ذكر تعدّد الموصولات</w:t>
            </w:r>
            <w:r>
              <w:rPr>
                <w:rStyle w:val="IndexLink"/>
                <w:rtl w:val="true"/>
              </w:rPr>
              <w:tab/>
            </w:r>
            <w:r>
              <w:rPr>
                <w:rStyle w:val="IndexLink"/>
              </w:rPr>
              <w:t>276</w:t>
            </w:r>
          </w:hyperlink>
        </w:p>
        <w:p>
          <w:pPr>
            <w:pStyle w:val="Contents6"/>
            <w:tabs>
              <w:tab w:val="clear" w:pos="7609"/>
              <w:tab w:val="right" w:pos="9026" w:leader="dot"/>
            </w:tabs>
            <w:rPr/>
          </w:pPr>
          <w:hyperlink w:anchor="__RefHeading___Toc716846_996550957">
            <w:r>
              <w:rPr>
                <w:webHidden/>
                <w:rStyle w:val="IndexLink"/>
                <w:rtl w:val="true"/>
              </w:rPr>
              <w:t>ذكر الإخبار بالذي وبابها</w:t>
            </w:r>
            <w:r>
              <w:rPr>
                <w:rStyle w:val="IndexLink"/>
                <w:rtl w:val="true"/>
              </w:rPr>
              <w:tab/>
            </w:r>
            <w:r>
              <w:rPr>
                <w:rStyle w:val="IndexLink"/>
              </w:rPr>
              <w:t>277</w:t>
            </w:r>
          </w:hyperlink>
        </w:p>
        <w:p>
          <w:pPr>
            <w:pStyle w:val="Contents6"/>
            <w:tabs>
              <w:tab w:val="clear" w:pos="7609"/>
              <w:tab w:val="right" w:pos="9026" w:leader="dot"/>
            </w:tabs>
            <w:rPr/>
          </w:pPr>
          <w:hyperlink w:anchor="__RefHeading___Toc716848_996550957">
            <w:r>
              <w:rPr>
                <w:webHidden/>
                <w:rStyle w:val="IndexLink"/>
                <w:rtl w:val="true"/>
              </w:rPr>
              <w:t>ذكر أنواع من</w:t>
            </w:r>
            <w:r>
              <w:rPr>
                <w:rStyle w:val="IndexLink"/>
                <w:rtl w:val="true"/>
              </w:rPr>
              <w:tab/>
            </w:r>
            <w:r>
              <w:rPr>
                <w:rStyle w:val="IndexLink"/>
              </w:rPr>
              <w:t>282</w:t>
            </w:r>
          </w:hyperlink>
        </w:p>
        <w:p>
          <w:pPr>
            <w:pStyle w:val="Contents6"/>
            <w:tabs>
              <w:tab w:val="clear" w:pos="7609"/>
              <w:tab w:val="right" w:pos="9026" w:leader="dot"/>
            </w:tabs>
            <w:rPr/>
          </w:pPr>
          <w:hyperlink w:anchor="__RefHeading___Toc716850_996550957">
            <w:r>
              <w:rPr>
                <w:webHidden/>
                <w:rStyle w:val="IndexLink"/>
                <w:rtl w:val="true"/>
              </w:rPr>
              <w:t>ذكر أنواع أيّ وأيّة</w:t>
            </w:r>
            <w:r>
              <w:rPr>
                <w:rStyle w:val="IndexLink"/>
                <w:rtl w:val="true"/>
              </w:rPr>
              <w:tab/>
            </w:r>
            <w:r>
              <w:rPr>
                <w:rStyle w:val="IndexLink"/>
              </w:rPr>
              <w:t>283</w:t>
            </w:r>
          </w:hyperlink>
        </w:p>
        <w:p>
          <w:pPr>
            <w:pStyle w:val="Contents6"/>
            <w:tabs>
              <w:tab w:val="clear" w:pos="7609"/>
              <w:tab w:val="right" w:pos="9026" w:leader="dot"/>
            </w:tabs>
            <w:rPr/>
          </w:pPr>
          <w:hyperlink w:anchor="__RefHeading___Toc716852_996550957">
            <w:r>
              <w:rPr>
                <w:webHidden/>
                <w:rStyle w:val="IndexLink"/>
                <w:rtl w:val="true"/>
              </w:rPr>
              <w:t>ذكر ما ذا</w:t>
            </w:r>
            <w:r>
              <w:rPr>
                <w:rStyle w:val="IndexLink"/>
                <w:rtl w:val="true"/>
              </w:rPr>
              <w:tab/>
            </w:r>
            <w:r>
              <w:rPr>
                <w:rStyle w:val="IndexLink"/>
              </w:rPr>
              <w:t>284</w:t>
            </w:r>
          </w:hyperlink>
        </w:p>
        <w:p>
          <w:pPr>
            <w:pStyle w:val="Contents5"/>
            <w:tabs>
              <w:tab w:val="clear" w:pos="7892"/>
              <w:tab w:val="right" w:pos="9026" w:leader="dot"/>
            </w:tabs>
            <w:rPr/>
          </w:pPr>
          <w:hyperlink w:anchor="__RefHeading___Toc716854_996550957">
            <w:r>
              <w:rPr>
                <w:webHidden/>
                <w:rStyle w:val="IndexLink"/>
              </w:rPr>
              <w:t>4</w:t>
            </w:r>
            <w:r>
              <w:rPr>
                <w:rStyle w:val="IndexLink"/>
                <w:rtl w:val="true"/>
              </w:rPr>
              <w:t xml:space="preserve">- </w:t>
            </w:r>
            <w:r>
              <w:rPr>
                <w:rStyle w:val="IndexLink"/>
                <w:rtl w:val="true"/>
              </w:rPr>
              <w:t>ذكر أسماء الأفعال</w:t>
            </w:r>
            <w:r>
              <w:rPr>
                <w:rStyle w:val="IndexLink"/>
                <w:rtl w:val="true"/>
              </w:rPr>
              <w:tab/>
            </w:r>
            <w:r>
              <w:rPr>
                <w:rStyle w:val="IndexLink"/>
              </w:rPr>
              <w:t>284</w:t>
            </w:r>
          </w:hyperlink>
        </w:p>
        <w:p>
          <w:pPr>
            <w:pStyle w:val="Contents6"/>
            <w:tabs>
              <w:tab w:val="clear" w:pos="7609"/>
              <w:tab w:val="right" w:pos="9026" w:leader="dot"/>
            </w:tabs>
            <w:rPr/>
          </w:pPr>
          <w:hyperlink w:anchor="__RefHeading___Toc716856_996550957">
            <w:r>
              <w:rPr>
                <w:webHidden/>
                <w:rStyle w:val="IndexLink"/>
                <w:rtl w:val="true"/>
              </w:rPr>
              <w:t>اشارة</w:t>
            </w:r>
            <w:r>
              <w:rPr>
                <w:rStyle w:val="IndexLink"/>
                <w:rtl w:val="true"/>
              </w:rPr>
              <w:tab/>
            </w:r>
            <w:r>
              <w:rPr>
                <w:rStyle w:val="IndexLink"/>
              </w:rPr>
              <w:t>284</w:t>
            </w:r>
          </w:hyperlink>
        </w:p>
        <w:p>
          <w:pPr>
            <w:pStyle w:val="Contents6"/>
            <w:tabs>
              <w:tab w:val="clear" w:pos="7609"/>
              <w:tab w:val="right" w:pos="9026" w:leader="dot"/>
            </w:tabs>
            <w:rPr/>
          </w:pPr>
          <w:hyperlink w:anchor="__RefHeading___Toc716858_996550957">
            <w:r>
              <w:rPr>
                <w:webHidden/>
                <w:rStyle w:val="IndexLink"/>
                <w:rtl w:val="true"/>
              </w:rPr>
              <w:t>فصل</w:t>
            </w:r>
            <w:r>
              <w:rPr>
                <w:rStyle w:val="IndexLink"/>
                <w:rtl w:val="true"/>
              </w:rPr>
              <w:tab/>
            </w:r>
            <w:r>
              <w:rPr>
                <w:rStyle w:val="IndexLink"/>
              </w:rPr>
              <w:t>286</w:t>
            </w:r>
          </w:hyperlink>
        </w:p>
        <w:p>
          <w:pPr>
            <w:pStyle w:val="Contents6"/>
            <w:tabs>
              <w:tab w:val="clear" w:pos="7609"/>
              <w:tab w:val="right" w:pos="9026" w:leader="dot"/>
            </w:tabs>
            <w:rPr/>
          </w:pPr>
          <w:hyperlink w:anchor="__RefHeading___Toc716860_996550957">
            <w:r>
              <w:rPr>
                <w:webHidden/>
                <w:rStyle w:val="IndexLink"/>
                <w:rtl w:val="true"/>
              </w:rPr>
              <w:t>فصل</w:t>
            </w:r>
            <w:r>
              <w:rPr>
                <w:rStyle w:val="IndexLink"/>
                <w:rtl w:val="true"/>
              </w:rPr>
              <w:tab/>
            </w:r>
            <w:r>
              <w:rPr>
                <w:rStyle w:val="IndexLink"/>
              </w:rPr>
              <w:t>286</w:t>
            </w:r>
          </w:hyperlink>
        </w:p>
        <w:p>
          <w:pPr>
            <w:pStyle w:val="Contents6"/>
            <w:tabs>
              <w:tab w:val="clear" w:pos="7609"/>
              <w:tab w:val="right" w:pos="9026" w:leader="dot"/>
            </w:tabs>
            <w:rPr/>
          </w:pPr>
          <w:hyperlink w:anchor="__RefHeading___Toc716862_996550957">
            <w:r>
              <w:rPr>
                <w:webHidden/>
                <w:rStyle w:val="IndexLink"/>
                <w:rtl w:val="true"/>
              </w:rPr>
              <w:t>فصل</w:t>
            </w:r>
            <w:r>
              <w:rPr>
                <w:rStyle w:val="IndexLink"/>
                <w:rtl w:val="true"/>
              </w:rPr>
              <w:tab/>
            </w:r>
            <w:r>
              <w:rPr>
                <w:rStyle w:val="IndexLink"/>
              </w:rPr>
              <w:t>287</w:t>
            </w:r>
          </w:hyperlink>
        </w:p>
        <w:p>
          <w:pPr>
            <w:pStyle w:val="Contents6"/>
            <w:tabs>
              <w:tab w:val="clear" w:pos="7609"/>
              <w:tab w:val="right" w:pos="9026" w:leader="dot"/>
            </w:tabs>
            <w:rPr/>
          </w:pPr>
          <w:hyperlink w:anchor="__RefHeading___Toc716864_996550957">
            <w:r>
              <w:rPr>
                <w:webHidden/>
                <w:rStyle w:val="IndexLink"/>
                <w:rtl w:val="true"/>
              </w:rPr>
              <w:t>فصل</w:t>
            </w:r>
            <w:r>
              <w:rPr>
                <w:rStyle w:val="IndexLink"/>
                <w:rtl w:val="true"/>
              </w:rPr>
              <w:tab/>
            </w:r>
            <w:r>
              <w:rPr>
                <w:rStyle w:val="IndexLink"/>
              </w:rPr>
              <w:t>288</w:t>
            </w:r>
          </w:hyperlink>
        </w:p>
        <w:p>
          <w:pPr>
            <w:pStyle w:val="Contents5"/>
            <w:tabs>
              <w:tab w:val="clear" w:pos="7892"/>
              <w:tab w:val="right" w:pos="9026" w:leader="dot"/>
            </w:tabs>
            <w:rPr/>
          </w:pPr>
          <w:hyperlink w:anchor="__RefHeading___Toc716866_996550957">
            <w:r>
              <w:rPr>
                <w:webHidden/>
                <w:rStyle w:val="IndexLink"/>
              </w:rPr>
              <w:t>5</w:t>
            </w:r>
            <w:r>
              <w:rPr>
                <w:rStyle w:val="IndexLink"/>
                <w:rtl w:val="true"/>
              </w:rPr>
              <w:t xml:space="preserve">- </w:t>
            </w:r>
            <w:r>
              <w:rPr>
                <w:rStyle w:val="IndexLink"/>
                <w:rtl w:val="true"/>
              </w:rPr>
              <w:t>ذكر الأصوات</w:t>
            </w:r>
            <w:r>
              <w:rPr>
                <w:rStyle w:val="IndexLink"/>
                <w:rtl w:val="true"/>
              </w:rPr>
              <w:tab/>
            </w:r>
            <w:r>
              <w:rPr>
                <w:rStyle w:val="IndexLink"/>
              </w:rPr>
              <w:t>289</w:t>
            </w:r>
          </w:hyperlink>
        </w:p>
        <w:p>
          <w:pPr>
            <w:pStyle w:val="Contents5"/>
            <w:tabs>
              <w:tab w:val="clear" w:pos="7892"/>
              <w:tab w:val="right" w:pos="9026" w:leader="dot"/>
            </w:tabs>
            <w:rPr/>
          </w:pPr>
          <w:hyperlink w:anchor="__RefHeading___Toc716868_996550957">
            <w:r>
              <w:rPr>
                <w:webHidden/>
                <w:rStyle w:val="IndexLink"/>
              </w:rPr>
              <w:t>6</w:t>
            </w:r>
            <w:r>
              <w:rPr>
                <w:rStyle w:val="IndexLink"/>
                <w:rtl w:val="true"/>
              </w:rPr>
              <w:t xml:space="preserve">- </w:t>
            </w:r>
            <w:r>
              <w:rPr>
                <w:rStyle w:val="IndexLink"/>
                <w:rtl w:val="true"/>
              </w:rPr>
              <w:t>ذكر المركّبات</w:t>
            </w:r>
            <w:r>
              <w:rPr>
                <w:rStyle w:val="IndexLink"/>
                <w:rtl w:val="true"/>
              </w:rPr>
              <w:tab/>
            </w:r>
            <w:r>
              <w:rPr>
                <w:rStyle w:val="IndexLink"/>
              </w:rPr>
              <w:t>290</w:t>
            </w:r>
          </w:hyperlink>
        </w:p>
        <w:p>
          <w:pPr>
            <w:pStyle w:val="Contents5"/>
            <w:tabs>
              <w:tab w:val="clear" w:pos="7892"/>
              <w:tab w:val="right" w:pos="9026" w:leader="dot"/>
            </w:tabs>
            <w:rPr/>
          </w:pPr>
          <w:hyperlink w:anchor="__RefHeading___Toc716870_996550957">
            <w:r>
              <w:rPr>
                <w:webHidden/>
                <w:rStyle w:val="IndexLink"/>
              </w:rPr>
              <w:t>7</w:t>
            </w:r>
            <w:r>
              <w:rPr>
                <w:rStyle w:val="IndexLink"/>
                <w:rtl w:val="true"/>
              </w:rPr>
              <w:t xml:space="preserve">- </w:t>
            </w:r>
            <w:r>
              <w:rPr>
                <w:rStyle w:val="IndexLink"/>
                <w:rtl w:val="true"/>
              </w:rPr>
              <w:t>ذكر الكنايات المبنيّات</w:t>
            </w:r>
            <w:r>
              <w:rPr>
                <w:rStyle w:val="IndexLink"/>
                <w:rtl w:val="true"/>
              </w:rPr>
              <w:tab/>
            </w:r>
            <w:r>
              <w:rPr>
                <w:rStyle w:val="IndexLink"/>
              </w:rPr>
              <w:t>292</w:t>
            </w:r>
          </w:hyperlink>
        </w:p>
        <w:p>
          <w:pPr>
            <w:pStyle w:val="Contents5"/>
            <w:tabs>
              <w:tab w:val="clear" w:pos="7892"/>
              <w:tab w:val="right" w:pos="9026" w:leader="dot"/>
            </w:tabs>
            <w:rPr/>
          </w:pPr>
          <w:hyperlink w:anchor="__RefHeading___Toc716872_996550957">
            <w:r>
              <w:rPr>
                <w:webHidden/>
                <w:rStyle w:val="IndexLink"/>
              </w:rPr>
              <w:t>8</w:t>
            </w:r>
            <w:r>
              <w:rPr>
                <w:rStyle w:val="IndexLink"/>
                <w:rtl w:val="true"/>
              </w:rPr>
              <w:t xml:space="preserve">- </w:t>
            </w:r>
            <w:r>
              <w:rPr>
                <w:rStyle w:val="IndexLink"/>
                <w:rtl w:val="true"/>
              </w:rPr>
              <w:t>ذكر الظروف المبنيّة</w:t>
            </w:r>
            <w:r>
              <w:rPr>
                <w:rStyle w:val="IndexLink"/>
                <w:rtl w:val="true"/>
              </w:rPr>
              <w:tab/>
            </w:r>
            <w:r>
              <w:rPr>
                <w:rStyle w:val="IndexLink"/>
              </w:rPr>
              <w:t>296</w:t>
            </w:r>
          </w:hyperlink>
        </w:p>
        <w:p>
          <w:pPr>
            <w:pStyle w:val="Contents4"/>
            <w:tabs>
              <w:tab w:val="clear" w:pos="8176"/>
              <w:tab w:val="right" w:pos="9026" w:leader="dot"/>
            </w:tabs>
            <w:rPr/>
          </w:pPr>
          <w:hyperlink w:anchor="__RefHeading___Toc716874_996550957">
            <w:r>
              <w:rPr>
                <w:webHidden/>
                <w:rStyle w:val="IndexLink"/>
                <w:rtl w:val="true"/>
              </w:rPr>
              <w:t>ذكر اسم الجنس</w:t>
            </w:r>
            <w:r>
              <w:rPr>
                <w:rStyle w:val="IndexLink"/>
                <w:rtl w:val="true"/>
              </w:rPr>
              <w:tab/>
            </w:r>
            <w:r>
              <w:rPr>
                <w:rStyle w:val="IndexLink"/>
              </w:rPr>
              <w:t>303</w:t>
            </w:r>
          </w:hyperlink>
        </w:p>
        <w:p>
          <w:pPr>
            <w:pStyle w:val="Contents4"/>
            <w:tabs>
              <w:tab w:val="clear" w:pos="8176"/>
              <w:tab w:val="right" w:pos="9026" w:leader="dot"/>
            </w:tabs>
            <w:rPr/>
          </w:pPr>
          <w:hyperlink w:anchor="__RefHeading___Toc716876_996550957">
            <w:r>
              <w:rPr>
                <w:webHidden/>
                <w:rStyle w:val="IndexLink"/>
                <w:rtl w:val="true"/>
              </w:rPr>
              <w:t>ذكر المعرفة</w:t>
            </w:r>
            <w:r>
              <w:rPr>
                <w:rStyle w:val="IndexLink"/>
                <w:rtl w:val="true"/>
              </w:rPr>
              <w:tab/>
            </w:r>
            <w:r>
              <w:rPr>
                <w:rStyle w:val="IndexLink"/>
              </w:rPr>
              <w:t>304</w:t>
            </w:r>
          </w:hyperlink>
        </w:p>
        <w:p>
          <w:pPr>
            <w:pStyle w:val="Contents4"/>
            <w:tabs>
              <w:tab w:val="clear" w:pos="8176"/>
              <w:tab w:val="right" w:pos="9026" w:leader="dot"/>
            </w:tabs>
            <w:rPr/>
          </w:pPr>
          <w:hyperlink w:anchor="__RefHeading___Toc716878_996550957">
            <w:r>
              <w:rPr>
                <w:webHidden/>
                <w:rStyle w:val="IndexLink"/>
                <w:rtl w:val="true"/>
              </w:rPr>
              <w:t>ذكر النّكرة</w:t>
            </w:r>
            <w:r>
              <w:rPr>
                <w:rStyle w:val="IndexLink"/>
                <w:rtl w:val="true"/>
              </w:rPr>
              <w:tab/>
            </w:r>
            <w:r>
              <w:rPr>
                <w:rStyle w:val="IndexLink"/>
              </w:rPr>
              <w:t>311</w:t>
            </w:r>
          </w:hyperlink>
        </w:p>
        <w:p>
          <w:pPr>
            <w:pStyle w:val="Contents4"/>
            <w:tabs>
              <w:tab w:val="clear" w:pos="8176"/>
              <w:tab w:val="right" w:pos="9026" w:leader="dot"/>
            </w:tabs>
            <w:rPr/>
          </w:pPr>
          <w:hyperlink w:anchor="__RefHeading___Toc716880_996550957">
            <w:r>
              <w:rPr>
                <w:webHidden/>
                <w:rStyle w:val="IndexLink"/>
                <w:rtl w:val="true"/>
              </w:rPr>
              <w:t>ذكر اسم العدد</w:t>
            </w:r>
            <w:r>
              <w:rPr>
                <w:rStyle w:val="IndexLink"/>
                <w:rtl w:val="true"/>
              </w:rPr>
              <w:tab/>
            </w:r>
            <w:r>
              <w:rPr>
                <w:rStyle w:val="IndexLink"/>
              </w:rPr>
              <w:t>312</w:t>
            </w:r>
          </w:hyperlink>
        </w:p>
        <w:p>
          <w:pPr>
            <w:pStyle w:val="Contents5"/>
            <w:tabs>
              <w:tab w:val="clear" w:pos="7892"/>
              <w:tab w:val="right" w:pos="9026" w:leader="dot"/>
            </w:tabs>
            <w:rPr/>
          </w:pPr>
          <w:hyperlink w:anchor="__RefHeading___Toc716882_996550957">
            <w:r>
              <w:rPr>
                <w:webHidden/>
                <w:rStyle w:val="IndexLink"/>
                <w:rtl w:val="true"/>
              </w:rPr>
              <w:t>اشارة</w:t>
            </w:r>
            <w:r>
              <w:rPr>
                <w:rStyle w:val="IndexLink"/>
                <w:rtl w:val="true"/>
              </w:rPr>
              <w:tab/>
            </w:r>
            <w:r>
              <w:rPr>
                <w:rStyle w:val="IndexLink"/>
              </w:rPr>
              <w:t>312</w:t>
            </w:r>
          </w:hyperlink>
        </w:p>
        <w:p>
          <w:pPr>
            <w:pStyle w:val="Contents5"/>
            <w:tabs>
              <w:tab w:val="clear" w:pos="7892"/>
              <w:tab w:val="right" w:pos="9026" w:leader="dot"/>
            </w:tabs>
            <w:rPr/>
          </w:pPr>
          <w:hyperlink w:anchor="__RefHeading___Toc716884_996550957">
            <w:r>
              <w:rPr>
                <w:webHidden/>
                <w:rStyle w:val="IndexLink"/>
                <w:rtl w:val="true"/>
              </w:rPr>
              <w:t>ذكر تمييز الثلاثة إلى العشرة</w:t>
            </w:r>
            <w:r>
              <w:rPr>
                <w:rStyle w:val="IndexLink"/>
                <w:rtl w:val="true"/>
              </w:rPr>
              <w:tab/>
            </w:r>
            <w:r>
              <w:rPr>
                <w:rStyle w:val="IndexLink"/>
              </w:rPr>
              <w:t>314</w:t>
            </w:r>
          </w:hyperlink>
        </w:p>
        <w:p>
          <w:pPr>
            <w:pStyle w:val="Contents5"/>
            <w:tabs>
              <w:tab w:val="clear" w:pos="7892"/>
              <w:tab w:val="right" w:pos="9026" w:leader="dot"/>
            </w:tabs>
            <w:rPr/>
          </w:pPr>
          <w:hyperlink w:anchor="__RefHeading___Toc716886_996550957">
            <w:r>
              <w:rPr>
                <w:webHidden/>
                <w:rStyle w:val="IndexLink"/>
                <w:rtl w:val="true"/>
              </w:rPr>
              <w:t>ذكر تمييز أحد عشر إلى تسعة وتسعين</w:t>
            </w:r>
            <w:r>
              <w:rPr>
                <w:rStyle w:val="IndexLink"/>
                <w:rtl w:val="true"/>
              </w:rPr>
              <w:tab/>
            </w:r>
            <w:r>
              <w:rPr>
                <w:rStyle w:val="IndexLink"/>
              </w:rPr>
              <w:t>315</w:t>
            </w:r>
          </w:hyperlink>
        </w:p>
        <w:p>
          <w:pPr>
            <w:pStyle w:val="Contents5"/>
            <w:tabs>
              <w:tab w:val="clear" w:pos="7892"/>
              <w:tab w:val="right" w:pos="9026" w:leader="dot"/>
            </w:tabs>
            <w:rPr/>
          </w:pPr>
          <w:hyperlink w:anchor="__RefHeading___Toc716888_996550957">
            <w:r>
              <w:rPr>
                <w:webHidden/>
                <w:rStyle w:val="IndexLink"/>
                <w:rtl w:val="true"/>
              </w:rPr>
              <w:t>ذكر تمييز المائة وما فوقها</w:t>
            </w:r>
            <w:r>
              <w:rPr>
                <w:rStyle w:val="IndexLink"/>
                <w:rtl w:val="true"/>
              </w:rPr>
              <w:tab/>
            </w:r>
            <w:r>
              <w:rPr>
                <w:rStyle w:val="IndexLink"/>
              </w:rPr>
              <w:t>315</w:t>
            </w:r>
          </w:hyperlink>
        </w:p>
        <w:p>
          <w:pPr>
            <w:pStyle w:val="Contents5"/>
            <w:tabs>
              <w:tab w:val="clear" w:pos="7892"/>
              <w:tab w:val="right" w:pos="9026" w:leader="dot"/>
            </w:tabs>
            <w:rPr/>
          </w:pPr>
          <w:hyperlink w:anchor="__RefHeading___Toc716890_996550957">
            <w:r>
              <w:rPr>
                <w:webHidden/>
                <w:rStyle w:val="IndexLink"/>
                <w:rtl w:val="true"/>
              </w:rPr>
              <w:t>ذكر ما لا يميّز وغير ذلك</w:t>
            </w:r>
            <w:r>
              <w:rPr>
                <w:rStyle w:val="IndexLink"/>
                <w:rtl w:val="true"/>
              </w:rPr>
              <w:tab/>
            </w:r>
            <w:r>
              <w:rPr>
                <w:rStyle w:val="IndexLink"/>
              </w:rPr>
              <w:t>315</w:t>
            </w:r>
          </w:hyperlink>
        </w:p>
        <w:p>
          <w:pPr>
            <w:pStyle w:val="Contents5"/>
            <w:tabs>
              <w:tab w:val="clear" w:pos="7892"/>
              <w:tab w:val="right" w:pos="9026" w:leader="dot"/>
            </w:tabs>
            <w:rPr/>
          </w:pPr>
          <w:hyperlink w:anchor="__RefHeading___Toc716892_996550957">
            <w:r>
              <w:rPr>
                <w:webHidden/>
                <w:rStyle w:val="IndexLink"/>
                <w:rtl w:val="true"/>
              </w:rPr>
              <w:t>ذكر التصيير والحال</w:t>
            </w:r>
            <w:r>
              <w:rPr>
                <w:rStyle w:val="IndexLink"/>
                <w:rtl w:val="true"/>
              </w:rPr>
              <w:tab/>
            </w:r>
            <w:r>
              <w:rPr>
                <w:rStyle w:val="IndexLink"/>
              </w:rPr>
              <w:t>316</w:t>
            </w:r>
          </w:hyperlink>
        </w:p>
        <w:p>
          <w:pPr>
            <w:pStyle w:val="Contents5"/>
            <w:tabs>
              <w:tab w:val="clear" w:pos="7892"/>
              <w:tab w:val="right" w:pos="9026" w:leader="dot"/>
            </w:tabs>
            <w:rPr/>
          </w:pPr>
          <w:hyperlink w:anchor="__RefHeading___Toc716894_996550957">
            <w:r>
              <w:rPr>
                <w:webHidden/>
                <w:rStyle w:val="IndexLink"/>
                <w:rtl w:val="true"/>
              </w:rPr>
              <w:t>ذكر تعريف الأعداد</w:t>
            </w:r>
            <w:r>
              <w:rPr>
                <w:rStyle w:val="IndexLink"/>
                <w:rtl w:val="true"/>
              </w:rPr>
              <w:tab/>
            </w:r>
            <w:r>
              <w:rPr>
                <w:rStyle w:val="IndexLink"/>
              </w:rPr>
              <w:t>317</w:t>
            </w:r>
          </w:hyperlink>
        </w:p>
        <w:p>
          <w:pPr>
            <w:pStyle w:val="Contents4"/>
            <w:tabs>
              <w:tab w:val="clear" w:pos="8176"/>
              <w:tab w:val="right" w:pos="9026" w:leader="dot"/>
            </w:tabs>
            <w:rPr/>
          </w:pPr>
          <w:hyperlink w:anchor="__RefHeading___Toc716896_996550957">
            <w:r>
              <w:rPr>
                <w:webHidden/>
                <w:rStyle w:val="IndexLink"/>
                <w:rtl w:val="true"/>
              </w:rPr>
              <w:t>ذكر المذكّر والمؤنّث</w:t>
            </w:r>
            <w:r>
              <w:rPr>
                <w:rStyle w:val="IndexLink"/>
                <w:rtl w:val="true"/>
              </w:rPr>
              <w:tab/>
            </w:r>
            <w:r>
              <w:rPr>
                <w:rStyle w:val="IndexLink"/>
              </w:rPr>
              <w:t>318</w:t>
            </w:r>
          </w:hyperlink>
        </w:p>
        <w:p>
          <w:pPr>
            <w:pStyle w:val="Contents4"/>
            <w:tabs>
              <w:tab w:val="clear" w:pos="8176"/>
              <w:tab w:val="right" w:pos="9026" w:leader="dot"/>
            </w:tabs>
            <w:rPr/>
          </w:pPr>
          <w:hyperlink w:anchor="__RefHeading___Toc716898_996550957">
            <w:r>
              <w:rPr>
                <w:webHidden/>
                <w:rStyle w:val="IndexLink"/>
                <w:rtl w:val="true"/>
              </w:rPr>
              <w:t>ذكر التثنية</w:t>
            </w:r>
            <w:r>
              <w:rPr>
                <w:rStyle w:val="IndexLink"/>
                <w:rtl w:val="true"/>
              </w:rPr>
              <w:tab/>
            </w:r>
            <w:r>
              <w:rPr>
                <w:rStyle w:val="IndexLink"/>
              </w:rPr>
              <w:t>321</w:t>
            </w:r>
          </w:hyperlink>
        </w:p>
        <w:p>
          <w:pPr>
            <w:pStyle w:val="Contents5"/>
            <w:tabs>
              <w:tab w:val="clear" w:pos="7892"/>
              <w:tab w:val="right" w:pos="9026" w:leader="dot"/>
            </w:tabs>
            <w:rPr/>
          </w:pPr>
          <w:hyperlink w:anchor="__RefHeading___Toc716900_996550957">
            <w:r>
              <w:rPr>
                <w:webHidden/>
                <w:rStyle w:val="IndexLink"/>
                <w:rtl w:val="true"/>
              </w:rPr>
              <w:t>اشارة</w:t>
            </w:r>
            <w:r>
              <w:rPr>
                <w:rStyle w:val="IndexLink"/>
                <w:rtl w:val="true"/>
              </w:rPr>
              <w:tab/>
            </w:r>
            <w:r>
              <w:rPr>
                <w:rStyle w:val="IndexLink"/>
              </w:rPr>
              <w:t>321</w:t>
            </w:r>
          </w:hyperlink>
        </w:p>
        <w:p>
          <w:pPr>
            <w:pStyle w:val="Contents5"/>
            <w:tabs>
              <w:tab w:val="clear" w:pos="7892"/>
              <w:tab w:val="right" w:pos="9026" w:leader="dot"/>
            </w:tabs>
            <w:rPr/>
          </w:pPr>
          <w:hyperlink w:anchor="__RefHeading___Toc716902_996550957">
            <w:r>
              <w:rPr>
                <w:webHidden/>
                <w:rStyle w:val="IndexLink"/>
                <w:rtl w:val="true"/>
              </w:rPr>
              <w:t>ذكر تثنية الملحق بالصحيح ، والمقصور والممدود</w:t>
            </w:r>
            <w:r>
              <w:rPr>
                <w:rStyle w:val="IndexLink"/>
                <w:rtl w:val="true"/>
              </w:rPr>
              <w:tab/>
            </w:r>
            <w:r>
              <w:rPr>
                <w:rStyle w:val="IndexLink"/>
              </w:rPr>
              <w:t>322</w:t>
            </w:r>
          </w:hyperlink>
        </w:p>
        <w:p>
          <w:pPr>
            <w:pStyle w:val="Contents4"/>
            <w:tabs>
              <w:tab w:val="clear" w:pos="8176"/>
              <w:tab w:val="right" w:pos="9026" w:leader="dot"/>
            </w:tabs>
            <w:rPr/>
          </w:pPr>
          <w:hyperlink w:anchor="__RefHeading___Toc716904_996550957">
            <w:r>
              <w:rPr>
                <w:webHidden/>
                <w:rStyle w:val="IndexLink"/>
                <w:rtl w:val="true"/>
              </w:rPr>
              <w:t>ذكر الجمع</w:t>
            </w:r>
            <w:r>
              <w:rPr>
                <w:rStyle w:val="IndexLink"/>
                <w:rtl w:val="true"/>
              </w:rPr>
              <w:tab/>
            </w:r>
            <w:r>
              <w:rPr>
                <w:rStyle w:val="IndexLink"/>
              </w:rPr>
              <w:t>324</w:t>
            </w:r>
          </w:hyperlink>
        </w:p>
        <w:p>
          <w:pPr>
            <w:pStyle w:val="Contents5"/>
            <w:tabs>
              <w:tab w:val="clear" w:pos="7892"/>
              <w:tab w:val="right" w:pos="9026" w:leader="dot"/>
            </w:tabs>
            <w:rPr/>
          </w:pPr>
          <w:hyperlink w:anchor="__RefHeading___Toc716906_996550957">
            <w:r>
              <w:rPr>
                <w:webHidden/>
                <w:rStyle w:val="IndexLink"/>
                <w:rtl w:val="true"/>
              </w:rPr>
              <w:t>اشارة</w:t>
            </w:r>
            <w:r>
              <w:rPr>
                <w:rStyle w:val="IndexLink"/>
                <w:rtl w:val="true"/>
              </w:rPr>
              <w:tab/>
            </w:r>
            <w:r>
              <w:rPr>
                <w:rStyle w:val="IndexLink"/>
              </w:rPr>
              <w:t>324</w:t>
            </w:r>
          </w:hyperlink>
        </w:p>
        <w:p>
          <w:pPr>
            <w:pStyle w:val="Contents5"/>
            <w:tabs>
              <w:tab w:val="clear" w:pos="7892"/>
              <w:tab w:val="right" w:pos="9026" w:leader="dot"/>
            </w:tabs>
            <w:rPr/>
          </w:pPr>
          <w:hyperlink w:anchor="__RefHeading___Toc716908_996550957">
            <w:r>
              <w:rPr>
                <w:webHidden/>
                <w:rStyle w:val="IndexLink"/>
                <w:rtl w:val="true"/>
              </w:rPr>
              <w:t>ذكر جمع المذكّر السّالم</w:t>
            </w:r>
            <w:r>
              <w:rPr>
                <w:rStyle w:val="IndexLink"/>
                <w:rtl w:val="true"/>
              </w:rPr>
              <w:tab/>
            </w:r>
            <w:r>
              <w:rPr>
                <w:rStyle w:val="IndexLink"/>
              </w:rPr>
              <w:t>326</w:t>
            </w:r>
          </w:hyperlink>
        </w:p>
        <w:p>
          <w:pPr>
            <w:pStyle w:val="Contents5"/>
            <w:tabs>
              <w:tab w:val="clear" w:pos="7892"/>
              <w:tab w:val="right" w:pos="9026" w:leader="dot"/>
            </w:tabs>
            <w:rPr/>
          </w:pPr>
          <w:hyperlink w:anchor="__RefHeading___Toc716910_996550957">
            <w:r>
              <w:rPr>
                <w:webHidden/>
                <w:rStyle w:val="IndexLink"/>
                <w:rtl w:val="true"/>
              </w:rPr>
              <w:t>ذكر جمع المؤنّث الصحيح</w:t>
            </w:r>
            <w:r>
              <w:rPr>
                <w:rStyle w:val="IndexLink"/>
                <w:rtl w:val="true"/>
              </w:rPr>
              <w:tab/>
            </w:r>
            <w:r>
              <w:rPr>
                <w:rStyle w:val="IndexLink"/>
              </w:rPr>
              <w:t>328</w:t>
            </w:r>
          </w:hyperlink>
        </w:p>
        <w:p>
          <w:pPr>
            <w:pStyle w:val="Contents5"/>
            <w:tabs>
              <w:tab w:val="clear" w:pos="7892"/>
              <w:tab w:val="right" w:pos="9026" w:leader="dot"/>
            </w:tabs>
            <w:rPr/>
          </w:pPr>
          <w:hyperlink w:anchor="__RefHeading___Toc716912_996550957">
            <w:r>
              <w:rPr>
                <w:webHidden/>
                <w:rStyle w:val="IndexLink"/>
                <w:rtl w:val="true"/>
              </w:rPr>
              <w:t>ذكر جمع التكسير</w:t>
            </w:r>
            <w:r>
              <w:rPr>
                <w:rStyle w:val="IndexLink"/>
                <w:rtl w:val="true"/>
              </w:rPr>
              <w:tab/>
            </w:r>
            <w:r>
              <w:rPr>
                <w:rStyle w:val="IndexLink"/>
              </w:rPr>
              <w:t>329</w:t>
            </w:r>
          </w:hyperlink>
        </w:p>
        <w:p>
          <w:pPr>
            <w:pStyle w:val="Contents4"/>
            <w:tabs>
              <w:tab w:val="clear" w:pos="8176"/>
              <w:tab w:val="right" w:pos="9026" w:leader="dot"/>
            </w:tabs>
            <w:rPr/>
          </w:pPr>
          <w:hyperlink w:anchor="__RefHeading___Toc716914_996550957">
            <w:r>
              <w:rPr>
                <w:webHidden/>
                <w:rStyle w:val="IndexLink"/>
                <w:rtl w:val="true"/>
              </w:rPr>
              <w:t>ذكر الأسماء المتصلة بالأفعال</w:t>
            </w:r>
            <w:r>
              <w:rPr>
                <w:rStyle w:val="IndexLink"/>
                <w:rtl w:val="true"/>
              </w:rPr>
              <w:tab/>
            </w:r>
            <w:r>
              <w:rPr>
                <w:rStyle w:val="IndexLink"/>
              </w:rPr>
              <w:t>330</w:t>
            </w:r>
          </w:hyperlink>
        </w:p>
        <w:p>
          <w:pPr>
            <w:pStyle w:val="Contents5"/>
            <w:tabs>
              <w:tab w:val="clear" w:pos="7892"/>
              <w:tab w:val="right" w:pos="9026" w:leader="dot"/>
            </w:tabs>
            <w:rPr/>
          </w:pPr>
          <w:hyperlink w:anchor="__RefHeading___Toc716916_996550957">
            <w:r>
              <w:rPr>
                <w:webHidden/>
                <w:rStyle w:val="IndexLink"/>
                <w:rtl w:val="true"/>
              </w:rPr>
              <w:t>اشارة</w:t>
            </w:r>
            <w:r>
              <w:rPr>
                <w:rStyle w:val="IndexLink"/>
                <w:rtl w:val="true"/>
              </w:rPr>
              <w:tab/>
            </w:r>
            <w:r>
              <w:rPr>
                <w:rStyle w:val="IndexLink"/>
              </w:rPr>
              <w:t>330</w:t>
            </w:r>
          </w:hyperlink>
        </w:p>
        <w:p>
          <w:pPr>
            <w:pStyle w:val="Contents5"/>
            <w:tabs>
              <w:tab w:val="clear" w:pos="7892"/>
              <w:tab w:val="right" w:pos="9026" w:leader="dot"/>
            </w:tabs>
            <w:rPr/>
          </w:pPr>
          <w:hyperlink w:anchor="__RefHeading___Toc716918_996550957">
            <w:r>
              <w:rPr>
                <w:webHidden/>
                <w:rStyle w:val="IndexLink"/>
              </w:rPr>
              <w:t>1</w:t>
            </w:r>
            <w:r>
              <w:rPr>
                <w:rStyle w:val="IndexLink"/>
                <w:rtl w:val="true"/>
              </w:rPr>
              <w:t xml:space="preserve">- </w:t>
            </w:r>
            <w:r>
              <w:rPr>
                <w:rStyle w:val="IndexLink"/>
                <w:rtl w:val="true"/>
              </w:rPr>
              <w:t>ذكر المصدر</w:t>
            </w:r>
            <w:r>
              <w:rPr>
                <w:rStyle w:val="IndexLink"/>
                <w:rtl w:val="true"/>
              </w:rPr>
              <w:tab/>
            </w:r>
            <w:r>
              <w:rPr>
                <w:rStyle w:val="IndexLink"/>
              </w:rPr>
              <w:t>330</w:t>
            </w:r>
          </w:hyperlink>
        </w:p>
        <w:p>
          <w:pPr>
            <w:pStyle w:val="Contents5"/>
            <w:tabs>
              <w:tab w:val="clear" w:pos="7892"/>
              <w:tab w:val="right" w:pos="9026" w:leader="dot"/>
            </w:tabs>
            <w:rPr/>
          </w:pPr>
          <w:hyperlink w:anchor="__RefHeading___Toc716920_996550957">
            <w:r>
              <w:rPr>
                <w:webHidden/>
                <w:rStyle w:val="IndexLink"/>
              </w:rPr>
              <w:t>2</w:t>
            </w:r>
            <w:r>
              <w:rPr>
                <w:rStyle w:val="IndexLink"/>
                <w:rtl w:val="true"/>
              </w:rPr>
              <w:t xml:space="preserve">- </w:t>
            </w:r>
            <w:r>
              <w:rPr>
                <w:rStyle w:val="IndexLink"/>
                <w:rtl w:val="true"/>
              </w:rPr>
              <w:t>ذكر اسم الفاعل</w:t>
            </w:r>
            <w:r>
              <w:rPr>
                <w:rStyle w:val="IndexLink"/>
                <w:rtl w:val="true"/>
              </w:rPr>
              <w:tab/>
            </w:r>
            <w:r>
              <w:rPr>
                <w:rStyle w:val="IndexLink"/>
              </w:rPr>
              <w:t>337</w:t>
            </w:r>
          </w:hyperlink>
        </w:p>
        <w:p>
          <w:pPr>
            <w:pStyle w:val="Contents6"/>
            <w:tabs>
              <w:tab w:val="clear" w:pos="7609"/>
              <w:tab w:val="right" w:pos="9026" w:leader="dot"/>
            </w:tabs>
            <w:rPr/>
          </w:pPr>
          <w:hyperlink w:anchor="__RefHeading___Toc716922_996550957">
            <w:r>
              <w:rPr>
                <w:webHidden/>
                <w:rStyle w:val="IndexLink"/>
                <w:rtl w:val="true"/>
              </w:rPr>
              <w:t>اشارة</w:t>
            </w:r>
            <w:r>
              <w:rPr>
                <w:rStyle w:val="IndexLink"/>
                <w:rtl w:val="true"/>
              </w:rPr>
              <w:tab/>
            </w:r>
            <w:r>
              <w:rPr>
                <w:rStyle w:val="IndexLink"/>
              </w:rPr>
              <w:t>337</w:t>
            </w:r>
          </w:hyperlink>
        </w:p>
        <w:p>
          <w:pPr>
            <w:pStyle w:val="Contents6"/>
            <w:tabs>
              <w:tab w:val="clear" w:pos="7609"/>
              <w:tab w:val="right" w:pos="9026" w:leader="dot"/>
            </w:tabs>
            <w:rPr/>
          </w:pPr>
          <w:hyperlink w:anchor="__RefHeading___Toc716924_996550957">
            <w:r>
              <w:rPr>
                <w:webHidden/>
                <w:rStyle w:val="IndexLink"/>
                <w:rtl w:val="true"/>
              </w:rPr>
              <w:t>ذكر اسم الفاعل من الفعل الثلاثي المجرّد</w:t>
            </w:r>
            <w:r>
              <w:rPr>
                <w:rStyle w:val="IndexLink"/>
                <w:rtl w:val="true"/>
              </w:rPr>
              <w:tab/>
            </w:r>
            <w:r>
              <w:rPr>
                <w:rStyle w:val="IndexLink"/>
              </w:rPr>
              <w:t>337</w:t>
            </w:r>
          </w:hyperlink>
        </w:p>
        <w:p>
          <w:pPr>
            <w:pStyle w:val="Contents6"/>
            <w:tabs>
              <w:tab w:val="clear" w:pos="7609"/>
              <w:tab w:val="right" w:pos="9026" w:leader="dot"/>
            </w:tabs>
            <w:rPr/>
          </w:pPr>
          <w:hyperlink w:anchor="__RefHeading___Toc716926_996550957">
            <w:r>
              <w:rPr>
                <w:webHidden/>
                <w:rStyle w:val="IndexLink"/>
                <w:rtl w:val="true"/>
              </w:rPr>
              <w:t>ذكر اسم الفاعل من غير الثلاثي</w:t>
            </w:r>
            <w:r>
              <w:rPr>
                <w:rStyle w:val="IndexLink"/>
                <w:rtl w:val="true"/>
              </w:rPr>
              <w:tab/>
            </w:r>
            <w:r>
              <w:rPr>
                <w:rStyle w:val="IndexLink"/>
              </w:rPr>
              <w:t>338</w:t>
            </w:r>
          </w:hyperlink>
        </w:p>
        <w:p>
          <w:pPr>
            <w:pStyle w:val="Contents6"/>
            <w:tabs>
              <w:tab w:val="clear" w:pos="7609"/>
              <w:tab w:val="right" w:pos="9026" w:leader="dot"/>
            </w:tabs>
            <w:rPr/>
          </w:pPr>
          <w:hyperlink w:anchor="__RefHeading___Toc716928_996550957">
            <w:r>
              <w:rPr>
                <w:webHidden/>
                <w:rStyle w:val="IndexLink"/>
                <w:rtl w:val="true"/>
              </w:rPr>
              <w:t>ذكر عمل اسم الفاعل</w:t>
            </w:r>
            <w:r>
              <w:rPr>
                <w:rStyle w:val="IndexLink"/>
                <w:rtl w:val="true"/>
              </w:rPr>
              <w:tab/>
            </w:r>
            <w:r>
              <w:rPr>
                <w:rStyle w:val="IndexLink"/>
              </w:rPr>
              <w:t>338</w:t>
            </w:r>
          </w:hyperlink>
        </w:p>
        <w:p>
          <w:pPr>
            <w:pStyle w:val="Contents5"/>
            <w:tabs>
              <w:tab w:val="clear" w:pos="7892"/>
              <w:tab w:val="right" w:pos="9026" w:leader="dot"/>
            </w:tabs>
            <w:rPr/>
          </w:pPr>
          <w:hyperlink w:anchor="__RefHeading___Toc716930_996550957">
            <w:r>
              <w:rPr>
                <w:webHidden/>
                <w:rStyle w:val="IndexLink"/>
              </w:rPr>
              <w:t>3</w:t>
            </w:r>
            <w:r>
              <w:rPr>
                <w:rStyle w:val="IndexLink"/>
                <w:rtl w:val="true"/>
              </w:rPr>
              <w:t xml:space="preserve">- </w:t>
            </w:r>
            <w:r>
              <w:rPr>
                <w:rStyle w:val="IndexLink"/>
                <w:rtl w:val="true"/>
              </w:rPr>
              <w:t>ذكر أبنية المبالغة</w:t>
            </w:r>
            <w:r>
              <w:rPr>
                <w:rStyle w:val="IndexLink"/>
                <w:rtl w:val="true"/>
              </w:rPr>
              <w:tab/>
            </w:r>
            <w:r>
              <w:rPr>
                <w:rStyle w:val="IndexLink"/>
              </w:rPr>
              <w:t>341</w:t>
            </w:r>
          </w:hyperlink>
        </w:p>
        <w:p>
          <w:pPr>
            <w:pStyle w:val="Contents5"/>
            <w:tabs>
              <w:tab w:val="clear" w:pos="7892"/>
              <w:tab w:val="right" w:pos="9026" w:leader="dot"/>
            </w:tabs>
            <w:rPr/>
          </w:pPr>
          <w:hyperlink w:anchor="__RefHeading___Toc716932_996550957">
            <w:r>
              <w:rPr>
                <w:webHidden/>
                <w:rStyle w:val="IndexLink"/>
              </w:rPr>
              <w:t>4</w:t>
            </w:r>
            <w:r>
              <w:rPr>
                <w:rStyle w:val="IndexLink"/>
                <w:rtl w:val="true"/>
              </w:rPr>
              <w:t xml:space="preserve">- </w:t>
            </w:r>
            <w:r>
              <w:rPr>
                <w:rStyle w:val="IndexLink"/>
                <w:rtl w:val="true"/>
              </w:rPr>
              <w:t>ذكر اسم المفعول</w:t>
            </w:r>
            <w:r>
              <w:rPr>
                <w:rStyle w:val="IndexLink"/>
                <w:rtl w:val="true"/>
              </w:rPr>
              <w:tab/>
            </w:r>
            <w:r>
              <w:rPr>
                <w:rStyle w:val="IndexLink"/>
              </w:rPr>
              <w:t>342</w:t>
            </w:r>
          </w:hyperlink>
        </w:p>
        <w:p>
          <w:pPr>
            <w:pStyle w:val="Contents5"/>
            <w:tabs>
              <w:tab w:val="clear" w:pos="7892"/>
              <w:tab w:val="right" w:pos="9026" w:leader="dot"/>
            </w:tabs>
            <w:rPr/>
          </w:pPr>
          <w:hyperlink w:anchor="__RefHeading___Toc716934_996550957">
            <w:r>
              <w:rPr>
                <w:webHidden/>
                <w:rStyle w:val="IndexLink"/>
              </w:rPr>
              <w:t>5</w:t>
            </w:r>
            <w:r>
              <w:rPr>
                <w:rStyle w:val="IndexLink"/>
                <w:rtl w:val="true"/>
              </w:rPr>
              <w:t xml:space="preserve">- </w:t>
            </w:r>
            <w:r>
              <w:rPr>
                <w:rStyle w:val="IndexLink"/>
                <w:rtl w:val="true"/>
              </w:rPr>
              <w:t>ذكر الصّفة المشبّهة</w:t>
            </w:r>
            <w:r>
              <w:rPr>
                <w:rStyle w:val="IndexLink"/>
                <w:rtl w:val="true"/>
              </w:rPr>
              <w:tab/>
            </w:r>
            <w:r>
              <w:rPr>
                <w:rStyle w:val="IndexLink"/>
              </w:rPr>
              <w:t>344</w:t>
            </w:r>
          </w:hyperlink>
        </w:p>
        <w:p>
          <w:pPr>
            <w:pStyle w:val="Contents6"/>
            <w:tabs>
              <w:tab w:val="clear" w:pos="7609"/>
              <w:tab w:val="right" w:pos="9026" w:leader="dot"/>
            </w:tabs>
            <w:rPr/>
          </w:pPr>
          <w:hyperlink w:anchor="__RefHeading___Toc716936_996550957">
            <w:r>
              <w:rPr>
                <w:webHidden/>
                <w:rStyle w:val="IndexLink"/>
                <w:rtl w:val="true"/>
              </w:rPr>
              <w:t>اشارة</w:t>
            </w:r>
            <w:r>
              <w:rPr>
                <w:rStyle w:val="IndexLink"/>
                <w:rtl w:val="true"/>
              </w:rPr>
              <w:tab/>
            </w:r>
            <w:r>
              <w:rPr>
                <w:rStyle w:val="IndexLink"/>
              </w:rPr>
              <w:t>344</w:t>
            </w:r>
          </w:hyperlink>
        </w:p>
        <w:p>
          <w:pPr>
            <w:pStyle w:val="Contents6"/>
            <w:tabs>
              <w:tab w:val="clear" w:pos="7609"/>
              <w:tab w:val="right" w:pos="9026" w:leader="dot"/>
            </w:tabs>
            <w:rPr/>
          </w:pPr>
          <w:hyperlink w:anchor="__RefHeading___Toc716938_996550957">
            <w:r>
              <w:rPr>
                <w:webHidden/>
                <w:rStyle w:val="IndexLink"/>
                <w:rtl w:val="true"/>
              </w:rPr>
              <w:t>ذكر التشابه والاختلاف بين الصّفة المشبّهة وبين اسم الفاعل</w:t>
            </w:r>
            <w:r>
              <w:rPr>
                <w:rStyle w:val="IndexLink"/>
                <w:rtl w:val="true"/>
              </w:rPr>
              <w:tab/>
            </w:r>
            <w:r>
              <w:rPr>
                <w:rStyle w:val="IndexLink"/>
              </w:rPr>
              <w:t>345</w:t>
            </w:r>
          </w:hyperlink>
        </w:p>
        <w:p>
          <w:pPr>
            <w:pStyle w:val="Contents6"/>
            <w:tabs>
              <w:tab w:val="clear" w:pos="7609"/>
              <w:tab w:val="right" w:pos="9026" w:leader="dot"/>
            </w:tabs>
            <w:rPr/>
          </w:pPr>
          <w:hyperlink w:anchor="__RefHeading___Toc716940_996550957">
            <w:r>
              <w:rPr>
                <w:webHidden/>
                <w:rStyle w:val="IndexLink"/>
                <w:rtl w:val="true"/>
              </w:rPr>
              <w:t>اشارة</w:t>
            </w:r>
            <w:r>
              <w:rPr>
                <w:rStyle w:val="IndexLink"/>
                <w:rtl w:val="true"/>
              </w:rPr>
              <w:tab/>
            </w:r>
            <w:r>
              <w:rPr>
                <w:rStyle w:val="IndexLink"/>
              </w:rPr>
              <w:t>345</w:t>
            </w:r>
          </w:hyperlink>
        </w:p>
        <w:p>
          <w:pPr>
            <w:pStyle w:val="Contents6"/>
            <w:tabs>
              <w:tab w:val="clear" w:pos="7609"/>
              <w:tab w:val="right" w:pos="9026" w:leader="dot"/>
            </w:tabs>
            <w:rPr/>
          </w:pPr>
          <w:hyperlink w:anchor="__RefHeading___Toc716942_996550957">
            <w:r>
              <w:rPr>
                <w:webHidden/>
                <w:rStyle w:val="IndexLink"/>
                <w:rtl w:val="true"/>
              </w:rPr>
              <w:t>ذكر مسائلها الثماني عشرة</w:t>
            </w:r>
            <w:r>
              <w:rPr>
                <w:rStyle w:val="IndexLink"/>
                <w:rtl w:val="true"/>
              </w:rPr>
              <w:tab/>
            </w:r>
            <w:r>
              <w:rPr>
                <w:rStyle w:val="IndexLink"/>
              </w:rPr>
              <w:t>346</w:t>
            </w:r>
          </w:hyperlink>
        </w:p>
        <w:p>
          <w:pPr>
            <w:pStyle w:val="Contents6"/>
            <w:tabs>
              <w:tab w:val="clear" w:pos="7609"/>
              <w:tab w:val="right" w:pos="9026" w:leader="dot"/>
            </w:tabs>
            <w:rPr/>
          </w:pPr>
          <w:hyperlink w:anchor="__RefHeading___Toc716944_996550957">
            <w:r>
              <w:rPr>
                <w:webHidden/>
                <w:rStyle w:val="IndexLink"/>
                <w:rtl w:val="true"/>
              </w:rPr>
              <w:t>ذكر الرّافع والنّاصب والجارّ لمعمول الصّفة المشبّهة</w:t>
            </w:r>
            <w:r>
              <w:rPr>
                <w:rStyle w:val="IndexLink"/>
                <w:rtl w:val="true"/>
              </w:rPr>
              <w:tab/>
            </w:r>
            <w:r>
              <w:rPr>
                <w:rStyle w:val="IndexLink"/>
              </w:rPr>
              <w:t>349</w:t>
            </w:r>
          </w:hyperlink>
        </w:p>
        <w:p>
          <w:pPr>
            <w:pStyle w:val="Contents6"/>
            <w:tabs>
              <w:tab w:val="clear" w:pos="7609"/>
              <w:tab w:val="right" w:pos="9026" w:leader="dot"/>
            </w:tabs>
            <w:rPr/>
          </w:pPr>
          <w:hyperlink w:anchor="__RefHeading___Toc716946_996550957">
            <w:r>
              <w:rPr>
                <w:webHidden/>
                <w:rStyle w:val="IndexLink"/>
                <w:rtl w:val="true"/>
              </w:rPr>
              <w:t>ذكر الصفة التي فيها ضمير أو ضميران ، أو لا ضمير فيها أصلا</w:t>
            </w:r>
            <w:r>
              <w:rPr>
                <w:rStyle w:val="IndexLink"/>
                <w:rtl w:val="true"/>
              </w:rPr>
              <w:tab/>
            </w:r>
            <w:r>
              <w:rPr>
                <w:rStyle w:val="IndexLink"/>
              </w:rPr>
              <w:t>349</w:t>
            </w:r>
          </w:hyperlink>
        </w:p>
        <w:p>
          <w:pPr>
            <w:pStyle w:val="Contents5"/>
            <w:tabs>
              <w:tab w:val="clear" w:pos="7892"/>
              <w:tab w:val="right" w:pos="9026" w:leader="dot"/>
            </w:tabs>
            <w:rPr/>
          </w:pPr>
          <w:hyperlink w:anchor="__RefHeading___Toc716948_996550957">
            <w:r>
              <w:rPr>
                <w:webHidden/>
                <w:rStyle w:val="IndexLink"/>
              </w:rPr>
              <w:t>6</w:t>
            </w:r>
            <w:r>
              <w:rPr>
                <w:rStyle w:val="IndexLink"/>
                <w:rtl w:val="true"/>
              </w:rPr>
              <w:t xml:space="preserve">- </w:t>
            </w:r>
            <w:r>
              <w:rPr>
                <w:rStyle w:val="IndexLink"/>
                <w:rtl w:val="true"/>
              </w:rPr>
              <w:t>ذكر اسم التفضيل</w:t>
            </w:r>
            <w:r>
              <w:rPr>
                <w:rStyle w:val="IndexLink"/>
                <w:rtl w:val="true"/>
              </w:rPr>
              <w:tab/>
            </w:r>
            <w:r>
              <w:rPr>
                <w:rStyle w:val="IndexLink"/>
              </w:rPr>
              <w:t>350</w:t>
            </w:r>
          </w:hyperlink>
        </w:p>
        <w:p>
          <w:pPr>
            <w:pStyle w:val="Contents6"/>
            <w:tabs>
              <w:tab w:val="clear" w:pos="7609"/>
              <w:tab w:val="right" w:pos="9026" w:leader="dot"/>
            </w:tabs>
            <w:rPr/>
          </w:pPr>
          <w:hyperlink w:anchor="__RefHeading___Toc716950_996550957">
            <w:r>
              <w:rPr>
                <w:webHidden/>
                <w:rStyle w:val="IndexLink"/>
                <w:rtl w:val="true"/>
              </w:rPr>
              <w:t>اشارة</w:t>
            </w:r>
            <w:r>
              <w:rPr>
                <w:rStyle w:val="IndexLink"/>
                <w:rtl w:val="true"/>
              </w:rPr>
              <w:tab/>
            </w:r>
            <w:r>
              <w:rPr>
                <w:rStyle w:val="IndexLink"/>
              </w:rPr>
              <w:t>350</w:t>
            </w:r>
          </w:hyperlink>
        </w:p>
        <w:p>
          <w:pPr>
            <w:pStyle w:val="Contents6"/>
            <w:tabs>
              <w:tab w:val="clear" w:pos="7609"/>
              <w:tab w:val="right" w:pos="9026" w:leader="dot"/>
            </w:tabs>
            <w:rPr/>
          </w:pPr>
          <w:hyperlink w:anchor="__RefHeading___Toc716952_996550957">
            <w:r>
              <w:rPr>
                <w:webHidden/>
                <w:rStyle w:val="IndexLink"/>
                <w:rtl w:val="true"/>
              </w:rPr>
              <w:t>ذكر بناء أفعل التفضيل</w:t>
            </w:r>
            <w:r>
              <w:rPr>
                <w:rStyle w:val="IndexLink"/>
                <w:rtl w:val="true"/>
              </w:rPr>
              <w:tab/>
            </w:r>
            <w:r>
              <w:rPr>
                <w:rStyle w:val="IndexLink"/>
              </w:rPr>
              <w:t>351</w:t>
            </w:r>
          </w:hyperlink>
        </w:p>
        <w:p>
          <w:pPr>
            <w:pStyle w:val="Contents6"/>
            <w:tabs>
              <w:tab w:val="clear" w:pos="7609"/>
              <w:tab w:val="right" w:pos="9026" w:leader="dot"/>
            </w:tabs>
            <w:rPr/>
          </w:pPr>
          <w:hyperlink w:anchor="__RefHeading___Toc716954_996550957">
            <w:r>
              <w:rPr>
                <w:webHidden/>
                <w:rStyle w:val="IndexLink"/>
                <w:rtl w:val="true"/>
              </w:rPr>
              <w:t>ذكر استعماله للفاعل والمفعول</w:t>
            </w:r>
            <w:r>
              <w:rPr>
                <w:rStyle w:val="IndexLink"/>
                <w:rtl w:val="true"/>
              </w:rPr>
              <w:tab/>
            </w:r>
            <w:r>
              <w:rPr>
                <w:rStyle w:val="IndexLink"/>
              </w:rPr>
              <w:t>353</w:t>
            </w:r>
          </w:hyperlink>
        </w:p>
        <w:p>
          <w:pPr>
            <w:pStyle w:val="Contents6"/>
            <w:tabs>
              <w:tab w:val="clear" w:pos="7609"/>
              <w:tab w:val="right" w:pos="9026" w:leader="dot"/>
            </w:tabs>
            <w:rPr/>
          </w:pPr>
          <w:hyperlink w:anchor="__RefHeading___Toc716956_996550957">
            <w:r>
              <w:rPr>
                <w:webHidden/>
                <w:rStyle w:val="IndexLink"/>
                <w:rtl w:val="true"/>
              </w:rPr>
              <w:t>ذكر الأمور الثلاثة التي لا يستعمل أفعل إلّا بأحدها</w:t>
            </w:r>
            <w:r>
              <w:rPr>
                <w:rStyle w:val="IndexLink"/>
                <w:rtl w:val="true"/>
              </w:rPr>
              <w:tab/>
            </w:r>
            <w:r>
              <w:rPr>
                <w:rStyle w:val="IndexLink"/>
              </w:rPr>
              <w:t>353</w:t>
            </w:r>
          </w:hyperlink>
        </w:p>
        <w:p>
          <w:pPr>
            <w:pStyle w:val="Contents6"/>
            <w:tabs>
              <w:tab w:val="clear" w:pos="7609"/>
              <w:tab w:val="right" w:pos="9026" w:leader="dot"/>
            </w:tabs>
            <w:rPr/>
          </w:pPr>
          <w:hyperlink w:anchor="__RefHeading___Toc716958_996550957">
            <w:r>
              <w:rPr>
                <w:webHidden/>
                <w:rStyle w:val="IndexLink"/>
                <w:rtl w:val="true"/>
              </w:rPr>
              <w:t>ذكر أفعل المستعمل بمن</w:t>
            </w:r>
            <w:r>
              <w:rPr>
                <w:rStyle w:val="IndexLink"/>
                <w:rtl w:val="true"/>
              </w:rPr>
              <w:tab/>
            </w:r>
            <w:r>
              <w:rPr>
                <w:rStyle w:val="IndexLink"/>
              </w:rPr>
              <w:t>358</w:t>
            </w:r>
          </w:hyperlink>
        </w:p>
        <w:p>
          <w:pPr>
            <w:pStyle w:val="Contents6"/>
            <w:tabs>
              <w:tab w:val="clear" w:pos="7609"/>
              <w:tab w:val="right" w:pos="9026" w:leader="dot"/>
            </w:tabs>
            <w:rPr/>
          </w:pPr>
          <w:hyperlink w:anchor="__RefHeading___Toc716960_996550957">
            <w:r>
              <w:rPr>
                <w:webHidden/>
                <w:rStyle w:val="IndexLink"/>
                <w:rtl w:val="true"/>
              </w:rPr>
              <w:t>ذكر عمل أفعل التفضيل</w:t>
            </w:r>
            <w:r>
              <w:rPr>
                <w:rStyle w:val="IndexLink"/>
                <w:rtl w:val="true"/>
              </w:rPr>
              <w:tab/>
            </w:r>
            <w:r>
              <w:rPr>
                <w:rStyle w:val="IndexLink"/>
              </w:rPr>
              <w:t>358</w:t>
            </w:r>
          </w:hyperlink>
        </w:p>
        <w:p>
          <w:pPr>
            <w:pStyle w:val="Contents5"/>
            <w:tabs>
              <w:tab w:val="clear" w:pos="7892"/>
              <w:tab w:val="right" w:pos="9026" w:leader="dot"/>
            </w:tabs>
            <w:rPr/>
          </w:pPr>
          <w:hyperlink w:anchor="__RefHeading___Toc716962_996550957">
            <w:r>
              <w:rPr>
                <w:webHidden/>
                <w:rStyle w:val="IndexLink"/>
              </w:rPr>
              <w:t>7</w:t>
            </w:r>
            <w:r>
              <w:rPr>
                <w:rStyle w:val="IndexLink"/>
                <w:rtl w:val="true"/>
              </w:rPr>
              <w:t xml:space="preserve">- </w:t>
            </w:r>
            <w:r>
              <w:rPr>
                <w:rStyle w:val="IndexLink"/>
                <w:rtl w:val="true"/>
              </w:rPr>
              <w:t>ذكر اسم الزمان والمكان</w:t>
            </w:r>
            <w:r>
              <w:rPr>
                <w:rStyle w:val="IndexLink"/>
                <w:rtl w:val="true"/>
              </w:rPr>
              <w:tab/>
            </w:r>
            <w:r>
              <w:rPr>
                <w:rStyle w:val="IndexLink"/>
              </w:rPr>
              <w:t>360</w:t>
            </w:r>
          </w:hyperlink>
        </w:p>
        <w:p>
          <w:pPr>
            <w:pStyle w:val="Contents6"/>
            <w:tabs>
              <w:tab w:val="clear" w:pos="7609"/>
              <w:tab w:val="right" w:pos="9026" w:leader="dot"/>
            </w:tabs>
            <w:rPr/>
          </w:pPr>
          <w:hyperlink w:anchor="__RefHeading___Toc716964_996550957">
            <w:r>
              <w:rPr>
                <w:webHidden/>
                <w:rStyle w:val="IndexLink"/>
                <w:rtl w:val="true"/>
              </w:rPr>
              <w:t>اشارة</w:t>
            </w:r>
            <w:r>
              <w:rPr>
                <w:rStyle w:val="IndexLink"/>
                <w:rtl w:val="true"/>
              </w:rPr>
              <w:tab/>
            </w:r>
            <w:r>
              <w:rPr>
                <w:rStyle w:val="IndexLink"/>
              </w:rPr>
              <w:t>360</w:t>
            </w:r>
          </w:hyperlink>
        </w:p>
        <w:p>
          <w:pPr>
            <w:pStyle w:val="Contents6"/>
            <w:tabs>
              <w:tab w:val="clear" w:pos="7609"/>
              <w:tab w:val="right" w:pos="9026" w:leader="dot"/>
            </w:tabs>
            <w:rPr/>
          </w:pPr>
          <w:hyperlink w:anchor="__RefHeading___Toc716966_996550957">
            <w:r>
              <w:rPr>
                <w:webHidden/>
                <w:rStyle w:val="IndexLink"/>
                <w:rtl w:val="true"/>
              </w:rPr>
              <w:t>ذكر مفعل من معتلّ الفاء</w:t>
            </w:r>
            <w:r>
              <w:rPr>
                <w:rStyle w:val="IndexLink"/>
                <w:rtl w:val="true"/>
              </w:rPr>
              <w:tab/>
            </w:r>
            <w:r>
              <w:rPr>
                <w:rStyle w:val="IndexLink"/>
              </w:rPr>
              <w:t>362</w:t>
            </w:r>
          </w:hyperlink>
        </w:p>
        <w:p>
          <w:pPr>
            <w:pStyle w:val="Contents6"/>
            <w:tabs>
              <w:tab w:val="clear" w:pos="7609"/>
              <w:tab w:val="right" w:pos="9026" w:leader="dot"/>
            </w:tabs>
            <w:rPr/>
          </w:pPr>
          <w:hyperlink w:anchor="__RefHeading___Toc716968_996550957">
            <w:r>
              <w:rPr>
                <w:webHidden/>
                <w:rStyle w:val="IndexLink"/>
                <w:rtl w:val="true"/>
              </w:rPr>
              <w:t>ذكر مفعل من معتلّ اللّام</w:t>
            </w:r>
            <w:r>
              <w:rPr>
                <w:rStyle w:val="IndexLink"/>
                <w:rtl w:val="true"/>
              </w:rPr>
              <w:tab/>
            </w:r>
            <w:r>
              <w:rPr>
                <w:rStyle w:val="IndexLink"/>
              </w:rPr>
              <w:t>363</w:t>
            </w:r>
          </w:hyperlink>
        </w:p>
        <w:p>
          <w:pPr>
            <w:pStyle w:val="Contents6"/>
            <w:tabs>
              <w:tab w:val="clear" w:pos="7609"/>
              <w:tab w:val="right" w:pos="9026" w:leader="dot"/>
            </w:tabs>
            <w:rPr/>
          </w:pPr>
          <w:hyperlink w:anchor="__RefHeading___Toc716970_996550957">
            <w:r>
              <w:rPr>
                <w:webHidden/>
                <w:rStyle w:val="IndexLink"/>
                <w:rtl w:val="true"/>
              </w:rPr>
              <w:t>اشارة</w:t>
            </w:r>
            <w:r>
              <w:rPr>
                <w:rStyle w:val="IndexLink"/>
                <w:rtl w:val="true"/>
              </w:rPr>
              <w:tab/>
            </w:r>
            <w:r>
              <w:rPr>
                <w:rStyle w:val="IndexLink"/>
              </w:rPr>
              <w:t>363</w:t>
            </w:r>
          </w:hyperlink>
        </w:p>
        <w:p>
          <w:pPr>
            <w:pStyle w:val="Contents6"/>
            <w:tabs>
              <w:tab w:val="clear" w:pos="7609"/>
              <w:tab w:val="right" w:pos="9026" w:leader="dot"/>
            </w:tabs>
            <w:rPr/>
          </w:pPr>
          <w:hyperlink w:anchor="__RefHeading___Toc716972_996550957">
            <w:r>
              <w:rPr>
                <w:webHidden/>
                <w:rStyle w:val="IndexLink"/>
                <w:rtl w:val="true"/>
              </w:rPr>
              <w:t>فصل</w:t>
            </w:r>
            <w:r>
              <w:rPr>
                <w:rStyle w:val="IndexLink"/>
                <w:rtl w:val="true"/>
              </w:rPr>
              <w:tab/>
            </w:r>
            <w:r>
              <w:rPr>
                <w:rStyle w:val="IndexLink"/>
              </w:rPr>
              <w:t>363</w:t>
            </w:r>
          </w:hyperlink>
        </w:p>
        <w:p>
          <w:pPr>
            <w:pStyle w:val="Contents6"/>
            <w:tabs>
              <w:tab w:val="clear" w:pos="7609"/>
              <w:tab w:val="right" w:pos="9026" w:leader="dot"/>
            </w:tabs>
            <w:rPr/>
          </w:pPr>
          <w:hyperlink w:anchor="__RefHeading___Toc716974_996550957">
            <w:r>
              <w:rPr>
                <w:webHidden/>
                <w:rStyle w:val="IndexLink"/>
                <w:rtl w:val="true"/>
              </w:rPr>
              <w:t>ذكر اسم الزمان والمكان من الزائد على الثلاثي</w:t>
            </w:r>
            <w:r>
              <w:rPr>
                <w:rStyle w:val="IndexLink"/>
                <w:rtl w:val="true"/>
              </w:rPr>
              <w:tab/>
            </w:r>
            <w:r>
              <w:rPr>
                <w:rStyle w:val="IndexLink"/>
              </w:rPr>
              <w:t>364</w:t>
            </w:r>
          </w:hyperlink>
        </w:p>
        <w:p>
          <w:pPr>
            <w:pStyle w:val="Contents6"/>
            <w:tabs>
              <w:tab w:val="clear" w:pos="7609"/>
              <w:tab w:val="right" w:pos="9026" w:leader="dot"/>
            </w:tabs>
            <w:rPr/>
          </w:pPr>
          <w:hyperlink w:anchor="__RefHeading___Toc716976_996550957">
            <w:r>
              <w:rPr>
                <w:webHidden/>
                <w:rStyle w:val="IndexLink"/>
                <w:rtl w:val="true"/>
              </w:rPr>
              <w:t>ذكر ما جاء فيه مفعلة</w:t>
            </w:r>
            <w:r>
              <w:rPr>
                <w:rStyle w:val="IndexLink"/>
                <w:rtl w:val="true"/>
              </w:rPr>
              <w:tab/>
            </w:r>
            <w:r>
              <w:rPr>
                <w:rStyle w:val="IndexLink"/>
              </w:rPr>
              <w:t>364</w:t>
            </w:r>
          </w:hyperlink>
        </w:p>
        <w:p>
          <w:pPr>
            <w:pStyle w:val="Contents5"/>
            <w:tabs>
              <w:tab w:val="clear" w:pos="7892"/>
              <w:tab w:val="right" w:pos="9026" w:leader="dot"/>
            </w:tabs>
            <w:rPr/>
          </w:pPr>
          <w:hyperlink w:anchor="__RefHeading___Toc716978_996550957">
            <w:r>
              <w:rPr>
                <w:webHidden/>
                <w:rStyle w:val="IndexLink"/>
              </w:rPr>
              <w:t>8</w:t>
            </w:r>
            <w:r>
              <w:rPr>
                <w:rStyle w:val="IndexLink"/>
                <w:rtl w:val="true"/>
              </w:rPr>
              <w:t xml:space="preserve">- </w:t>
            </w:r>
            <w:r>
              <w:rPr>
                <w:rStyle w:val="IndexLink"/>
                <w:rtl w:val="true"/>
              </w:rPr>
              <w:t>ذكر اسم الآلة</w:t>
            </w:r>
            <w:r>
              <w:rPr>
                <w:rStyle w:val="IndexLink"/>
                <w:rtl w:val="true"/>
              </w:rPr>
              <w:tab/>
            </w:r>
            <w:r>
              <w:rPr>
                <w:rStyle w:val="IndexLink"/>
              </w:rPr>
              <w:t>365</w:t>
            </w:r>
          </w:hyperlink>
        </w:p>
        <w:p>
          <w:pPr>
            <w:pStyle w:val="Contents4"/>
            <w:tabs>
              <w:tab w:val="clear" w:pos="8176"/>
              <w:tab w:val="right" w:pos="9026" w:leader="dot"/>
            </w:tabs>
            <w:rPr/>
          </w:pPr>
          <w:hyperlink w:anchor="__RefHeading___Toc716980_996550957">
            <w:r>
              <w:rPr>
                <w:webHidden/>
                <w:rStyle w:val="IndexLink"/>
                <w:rtl w:val="true"/>
              </w:rPr>
              <w:t>ذكر المصغّر</w:t>
            </w:r>
            <w:r>
              <w:rPr>
                <w:rStyle w:val="IndexLink"/>
                <w:rtl w:val="true"/>
              </w:rPr>
              <w:tab/>
            </w:r>
            <w:r>
              <w:rPr>
                <w:rStyle w:val="IndexLink"/>
              </w:rPr>
              <w:t>367</w:t>
            </w:r>
          </w:hyperlink>
        </w:p>
        <w:p>
          <w:pPr>
            <w:pStyle w:val="Contents5"/>
            <w:tabs>
              <w:tab w:val="clear" w:pos="7892"/>
              <w:tab w:val="right" w:pos="9026" w:leader="dot"/>
            </w:tabs>
            <w:rPr/>
          </w:pPr>
          <w:hyperlink w:anchor="__RefHeading___Toc716982_996550957">
            <w:r>
              <w:rPr>
                <w:webHidden/>
                <w:rStyle w:val="IndexLink"/>
                <w:rtl w:val="true"/>
              </w:rPr>
              <w:t>اشارة</w:t>
            </w:r>
            <w:r>
              <w:rPr>
                <w:rStyle w:val="IndexLink"/>
                <w:rtl w:val="true"/>
              </w:rPr>
              <w:tab/>
            </w:r>
            <w:r>
              <w:rPr>
                <w:rStyle w:val="IndexLink"/>
              </w:rPr>
              <w:t>367</w:t>
            </w:r>
          </w:hyperlink>
        </w:p>
        <w:p>
          <w:pPr>
            <w:pStyle w:val="Contents5"/>
            <w:tabs>
              <w:tab w:val="clear" w:pos="7892"/>
              <w:tab w:val="right" w:pos="9026" w:leader="dot"/>
            </w:tabs>
            <w:rPr/>
          </w:pPr>
          <w:hyperlink w:anchor="__RefHeading___Toc716984_996550957">
            <w:r>
              <w:rPr>
                <w:webHidden/>
                <w:rStyle w:val="IndexLink"/>
                <w:rtl w:val="true"/>
              </w:rPr>
              <w:t>فصل</w:t>
            </w:r>
            <w:r>
              <w:rPr>
                <w:rStyle w:val="IndexLink"/>
                <w:rtl w:val="true"/>
              </w:rPr>
              <w:tab/>
            </w:r>
            <w:r>
              <w:rPr>
                <w:rStyle w:val="IndexLink"/>
              </w:rPr>
              <w:t>367</w:t>
            </w:r>
          </w:hyperlink>
        </w:p>
        <w:p>
          <w:pPr>
            <w:pStyle w:val="Contents5"/>
            <w:tabs>
              <w:tab w:val="clear" w:pos="7892"/>
              <w:tab w:val="right" w:pos="9026" w:leader="dot"/>
            </w:tabs>
            <w:rPr/>
          </w:pPr>
          <w:hyperlink w:anchor="__RefHeading___Toc716986_996550957">
            <w:r>
              <w:rPr>
                <w:webHidden/>
                <w:rStyle w:val="IndexLink"/>
                <w:rtl w:val="true"/>
              </w:rPr>
              <w:t>فصل</w:t>
            </w:r>
            <w:r>
              <w:rPr>
                <w:rStyle w:val="IndexLink"/>
                <w:rtl w:val="true"/>
              </w:rPr>
              <w:tab/>
            </w:r>
            <w:r>
              <w:rPr>
                <w:rStyle w:val="IndexLink"/>
              </w:rPr>
              <w:t>368</w:t>
            </w:r>
          </w:hyperlink>
        </w:p>
        <w:p>
          <w:pPr>
            <w:pStyle w:val="Contents5"/>
            <w:tabs>
              <w:tab w:val="clear" w:pos="7892"/>
              <w:tab w:val="right" w:pos="9026" w:leader="dot"/>
            </w:tabs>
            <w:rPr/>
          </w:pPr>
          <w:hyperlink w:anchor="__RefHeading___Toc716988_996550957">
            <w:r>
              <w:rPr>
                <w:webHidden/>
                <w:rStyle w:val="IndexLink"/>
                <w:rtl w:val="true"/>
              </w:rPr>
              <w:t>فصل</w:t>
            </w:r>
            <w:r>
              <w:rPr>
                <w:rStyle w:val="IndexLink"/>
                <w:rtl w:val="true"/>
              </w:rPr>
              <w:tab/>
            </w:r>
            <w:r>
              <w:rPr>
                <w:rStyle w:val="IndexLink"/>
              </w:rPr>
              <w:t>369</w:t>
            </w:r>
          </w:hyperlink>
        </w:p>
        <w:p>
          <w:pPr>
            <w:pStyle w:val="Contents5"/>
            <w:tabs>
              <w:tab w:val="clear" w:pos="7892"/>
              <w:tab w:val="right" w:pos="9026" w:leader="dot"/>
            </w:tabs>
            <w:rPr/>
          </w:pPr>
          <w:hyperlink w:anchor="__RefHeading___Toc716990_996550957">
            <w:r>
              <w:rPr>
                <w:webHidden/>
                <w:rStyle w:val="IndexLink"/>
                <w:rtl w:val="true"/>
              </w:rPr>
              <w:t>فصل</w:t>
            </w:r>
            <w:r>
              <w:rPr>
                <w:rStyle w:val="IndexLink"/>
                <w:rtl w:val="true"/>
              </w:rPr>
              <w:tab/>
            </w:r>
            <w:r>
              <w:rPr>
                <w:rStyle w:val="IndexLink"/>
              </w:rPr>
              <w:t>370</w:t>
            </w:r>
          </w:hyperlink>
        </w:p>
        <w:p>
          <w:pPr>
            <w:pStyle w:val="Contents5"/>
            <w:tabs>
              <w:tab w:val="clear" w:pos="7892"/>
              <w:tab w:val="right" w:pos="9026" w:leader="dot"/>
            </w:tabs>
            <w:rPr/>
          </w:pPr>
          <w:hyperlink w:anchor="__RefHeading___Toc716992_996550957">
            <w:r>
              <w:rPr>
                <w:webHidden/>
                <w:rStyle w:val="IndexLink"/>
                <w:rtl w:val="true"/>
              </w:rPr>
              <w:t>فصل</w:t>
            </w:r>
            <w:r>
              <w:rPr>
                <w:rStyle w:val="IndexLink"/>
                <w:rtl w:val="true"/>
              </w:rPr>
              <w:tab/>
            </w:r>
            <w:r>
              <w:rPr>
                <w:rStyle w:val="IndexLink"/>
              </w:rPr>
              <w:t>371</w:t>
            </w:r>
          </w:hyperlink>
        </w:p>
        <w:p>
          <w:pPr>
            <w:pStyle w:val="Contents5"/>
            <w:tabs>
              <w:tab w:val="clear" w:pos="7892"/>
              <w:tab w:val="right" w:pos="9026" w:leader="dot"/>
            </w:tabs>
            <w:rPr/>
          </w:pPr>
          <w:hyperlink w:anchor="__RefHeading___Toc716994_996550957">
            <w:r>
              <w:rPr>
                <w:webHidden/>
                <w:rStyle w:val="IndexLink"/>
                <w:rtl w:val="true"/>
              </w:rPr>
              <w:t>فصل</w:t>
            </w:r>
            <w:r>
              <w:rPr>
                <w:rStyle w:val="IndexLink"/>
                <w:rtl w:val="true"/>
              </w:rPr>
              <w:tab/>
            </w:r>
            <w:r>
              <w:rPr>
                <w:rStyle w:val="IndexLink"/>
              </w:rPr>
              <w:t>371</w:t>
            </w:r>
          </w:hyperlink>
        </w:p>
        <w:p>
          <w:pPr>
            <w:pStyle w:val="Contents5"/>
            <w:tabs>
              <w:tab w:val="clear" w:pos="7892"/>
              <w:tab w:val="right" w:pos="9026" w:leader="dot"/>
            </w:tabs>
            <w:rPr/>
          </w:pPr>
          <w:hyperlink w:anchor="__RefHeading___Toc716996_996550957">
            <w:r>
              <w:rPr>
                <w:webHidden/>
                <w:rStyle w:val="IndexLink"/>
                <w:rtl w:val="true"/>
              </w:rPr>
              <w:t>فصل</w:t>
            </w:r>
            <w:r>
              <w:rPr>
                <w:rStyle w:val="IndexLink"/>
                <w:rtl w:val="true"/>
              </w:rPr>
              <w:tab/>
            </w:r>
            <w:r>
              <w:rPr>
                <w:rStyle w:val="IndexLink"/>
              </w:rPr>
              <w:t>372</w:t>
            </w:r>
          </w:hyperlink>
        </w:p>
        <w:p>
          <w:pPr>
            <w:pStyle w:val="Contents5"/>
            <w:tabs>
              <w:tab w:val="clear" w:pos="7892"/>
              <w:tab w:val="right" w:pos="9026" w:leader="dot"/>
            </w:tabs>
            <w:rPr/>
          </w:pPr>
          <w:hyperlink w:anchor="__RefHeading___Toc716998_996550957">
            <w:r>
              <w:rPr>
                <w:webHidden/>
                <w:rStyle w:val="IndexLink"/>
                <w:rtl w:val="true"/>
              </w:rPr>
              <w:t>فصل</w:t>
            </w:r>
            <w:r>
              <w:rPr>
                <w:rStyle w:val="IndexLink"/>
                <w:rtl w:val="true"/>
              </w:rPr>
              <w:tab/>
            </w:r>
            <w:r>
              <w:rPr>
                <w:rStyle w:val="IndexLink"/>
              </w:rPr>
              <w:t>372</w:t>
            </w:r>
          </w:hyperlink>
        </w:p>
        <w:p>
          <w:pPr>
            <w:pStyle w:val="Contents5"/>
            <w:tabs>
              <w:tab w:val="clear" w:pos="7892"/>
              <w:tab w:val="right" w:pos="9026" w:leader="dot"/>
            </w:tabs>
            <w:rPr/>
          </w:pPr>
          <w:hyperlink w:anchor="__RefHeading___Toc717000_996550957">
            <w:r>
              <w:rPr>
                <w:webHidden/>
                <w:rStyle w:val="IndexLink"/>
                <w:rtl w:val="true"/>
              </w:rPr>
              <w:t>فصل</w:t>
            </w:r>
            <w:r>
              <w:rPr>
                <w:rStyle w:val="IndexLink"/>
                <w:rtl w:val="true"/>
              </w:rPr>
              <w:tab/>
            </w:r>
            <w:r>
              <w:rPr>
                <w:rStyle w:val="IndexLink"/>
              </w:rPr>
              <w:t>373</w:t>
            </w:r>
          </w:hyperlink>
        </w:p>
        <w:p>
          <w:pPr>
            <w:pStyle w:val="Contents5"/>
            <w:tabs>
              <w:tab w:val="clear" w:pos="7892"/>
              <w:tab w:val="right" w:pos="9026" w:leader="dot"/>
            </w:tabs>
            <w:rPr/>
          </w:pPr>
          <w:hyperlink w:anchor="__RefHeading___Toc717002_996550957">
            <w:r>
              <w:rPr>
                <w:webHidden/>
                <w:rStyle w:val="IndexLink"/>
                <w:rtl w:val="true"/>
              </w:rPr>
              <w:t>فصل</w:t>
            </w:r>
            <w:r>
              <w:rPr>
                <w:rStyle w:val="IndexLink"/>
                <w:rtl w:val="true"/>
              </w:rPr>
              <w:tab/>
            </w:r>
            <w:r>
              <w:rPr>
                <w:rStyle w:val="IndexLink"/>
              </w:rPr>
              <w:t>374</w:t>
            </w:r>
          </w:hyperlink>
        </w:p>
        <w:p>
          <w:pPr>
            <w:pStyle w:val="Contents5"/>
            <w:tabs>
              <w:tab w:val="clear" w:pos="7892"/>
              <w:tab w:val="right" w:pos="9026" w:leader="dot"/>
            </w:tabs>
            <w:rPr/>
          </w:pPr>
          <w:hyperlink w:anchor="__RefHeading___Toc717004_996550957">
            <w:r>
              <w:rPr>
                <w:webHidden/>
                <w:rStyle w:val="IndexLink"/>
                <w:rtl w:val="true"/>
              </w:rPr>
              <w:t>فصل</w:t>
            </w:r>
            <w:r>
              <w:rPr>
                <w:rStyle w:val="IndexLink"/>
                <w:rtl w:val="true"/>
              </w:rPr>
              <w:tab/>
            </w:r>
            <w:r>
              <w:rPr>
                <w:rStyle w:val="IndexLink"/>
              </w:rPr>
              <w:t>374</w:t>
            </w:r>
          </w:hyperlink>
        </w:p>
        <w:p>
          <w:pPr>
            <w:pStyle w:val="Contents5"/>
            <w:tabs>
              <w:tab w:val="clear" w:pos="7892"/>
              <w:tab w:val="right" w:pos="9026" w:leader="dot"/>
            </w:tabs>
            <w:rPr/>
          </w:pPr>
          <w:hyperlink w:anchor="__RefHeading___Toc717006_996550957">
            <w:r>
              <w:rPr>
                <w:webHidden/>
                <w:rStyle w:val="IndexLink"/>
                <w:rtl w:val="true"/>
              </w:rPr>
              <w:t>فصل</w:t>
            </w:r>
            <w:r>
              <w:rPr>
                <w:rStyle w:val="IndexLink"/>
                <w:rtl w:val="true"/>
              </w:rPr>
              <w:tab/>
            </w:r>
            <w:r>
              <w:rPr>
                <w:rStyle w:val="IndexLink"/>
              </w:rPr>
              <w:t>374</w:t>
            </w:r>
          </w:hyperlink>
        </w:p>
        <w:p>
          <w:pPr>
            <w:pStyle w:val="Contents5"/>
            <w:tabs>
              <w:tab w:val="clear" w:pos="7892"/>
              <w:tab w:val="right" w:pos="9026" w:leader="dot"/>
            </w:tabs>
            <w:rPr/>
          </w:pPr>
          <w:hyperlink w:anchor="__RefHeading___Toc717008_996550957">
            <w:r>
              <w:rPr>
                <w:webHidden/>
                <w:rStyle w:val="IndexLink"/>
                <w:rtl w:val="true"/>
              </w:rPr>
              <w:t>فصل</w:t>
            </w:r>
            <w:r>
              <w:rPr>
                <w:rStyle w:val="IndexLink"/>
                <w:rtl w:val="true"/>
              </w:rPr>
              <w:tab/>
            </w:r>
            <w:r>
              <w:rPr>
                <w:rStyle w:val="IndexLink"/>
              </w:rPr>
              <w:t>374</w:t>
            </w:r>
          </w:hyperlink>
        </w:p>
        <w:p>
          <w:pPr>
            <w:pStyle w:val="Contents4"/>
            <w:tabs>
              <w:tab w:val="clear" w:pos="8176"/>
              <w:tab w:val="right" w:pos="9026" w:leader="dot"/>
            </w:tabs>
            <w:rPr/>
          </w:pPr>
          <w:hyperlink w:anchor="__RefHeading___Toc717010_996550957">
            <w:r>
              <w:rPr>
                <w:webHidden/>
                <w:rStyle w:val="IndexLink"/>
                <w:rtl w:val="true"/>
              </w:rPr>
              <w:t>ذكر المنسوب</w:t>
            </w:r>
            <w:r>
              <w:rPr>
                <w:rStyle w:val="IndexLink"/>
                <w:rtl w:val="true"/>
              </w:rPr>
              <w:tab/>
            </w:r>
            <w:r>
              <w:rPr>
                <w:rStyle w:val="IndexLink"/>
              </w:rPr>
              <w:t>375</w:t>
            </w:r>
          </w:hyperlink>
        </w:p>
        <w:p>
          <w:pPr>
            <w:pStyle w:val="Contents5"/>
            <w:tabs>
              <w:tab w:val="clear" w:pos="7892"/>
              <w:tab w:val="right" w:pos="9026" w:leader="dot"/>
            </w:tabs>
            <w:rPr/>
          </w:pPr>
          <w:hyperlink w:anchor="__RefHeading___Toc717012_996550957">
            <w:r>
              <w:rPr>
                <w:webHidden/>
                <w:rStyle w:val="IndexLink"/>
                <w:rtl w:val="true"/>
              </w:rPr>
              <w:t>اشارة</w:t>
            </w:r>
            <w:r>
              <w:rPr>
                <w:rStyle w:val="IndexLink"/>
                <w:rtl w:val="true"/>
              </w:rPr>
              <w:tab/>
            </w:r>
            <w:r>
              <w:rPr>
                <w:rStyle w:val="IndexLink"/>
              </w:rPr>
              <w:t>375</w:t>
            </w:r>
          </w:hyperlink>
        </w:p>
        <w:p>
          <w:pPr>
            <w:pStyle w:val="Contents5"/>
            <w:tabs>
              <w:tab w:val="clear" w:pos="7892"/>
              <w:tab w:val="right" w:pos="9026" w:leader="dot"/>
            </w:tabs>
            <w:rPr/>
          </w:pPr>
          <w:hyperlink w:anchor="__RefHeading___Toc717014_996550957">
            <w:r>
              <w:rPr>
                <w:webHidden/>
                <w:rStyle w:val="IndexLink"/>
                <w:rtl w:val="true"/>
              </w:rPr>
              <w:t>فصل</w:t>
            </w:r>
            <w:r>
              <w:rPr>
                <w:rStyle w:val="IndexLink"/>
                <w:rtl w:val="true"/>
              </w:rPr>
              <w:tab/>
            </w:r>
            <w:r>
              <w:rPr>
                <w:rStyle w:val="IndexLink"/>
              </w:rPr>
              <w:t>377</w:t>
            </w:r>
          </w:hyperlink>
        </w:p>
        <w:p>
          <w:pPr>
            <w:pStyle w:val="Contents5"/>
            <w:tabs>
              <w:tab w:val="clear" w:pos="7892"/>
              <w:tab w:val="right" w:pos="9026" w:leader="dot"/>
            </w:tabs>
            <w:rPr/>
          </w:pPr>
          <w:hyperlink w:anchor="__RefHeading___Toc717016_996550957">
            <w:r>
              <w:rPr>
                <w:webHidden/>
                <w:rStyle w:val="IndexLink"/>
                <w:rtl w:val="true"/>
              </w:rPr>
              <w:t>فصل</w:t>
            </w:r>
            <w:r>
              <w:rPr>
                <w:rStyle w:val="IndexLink"/>
                <w:rtl w:val="true"/>
              </w:rPr>
              <w:tab/>
            </w:r>
            <w:r>
              <w:rPr>
                <w:rStyle w:val="IndexLink"/>
              </w:rPr>
              <w:t>377</w:t>
            </w:r>
          </w:hyperlink>
        </w:p>
        <w:p>
          <w:pPr>
            <w:pStyle w:val="Contents5"/>
            <w:tabs>
              <w:tab w:val="clear" w:pos="7892"/>
              <w:tab w:val="right" w:pos="9026" w:leader="dot"/>
            </w:tabs>
            <w:rPr/>
          </w:pPr>
          <w:hyperlink w:anchor="__RefHeading___Toc717018_996550957">
            <w:r>
              <w:rPr>
                <w:webHidden/>
                <w:rStyle w:val="IndexLink"/>
                <w:rtl w:val="true"/>
              </w:rPr>
              <w:t>فصل</w:t>
            </w:r>
            <w:r>
              <w:rPr>
                <w:rStyle w:val="IndexLink"/>
                <w:rtl w:val="true"/>
              </w:rPr>
              <w:tab/>
            </w:r>
            <w:r>
              <w:rPr>
                <w:rStyle w:val="IndexLink"/>
              </w:rPr>
              <w:t>378</w:t>
            </w:r>
          </w:hyperlink>
        </w:p>
        <w:p>
          <w:pPr>
            <w:pStyle w:val="Contents5"/>
            <w:tabs>
              <w:tab w:val="clear" w:pos="7892"/>
              <w:tab w:val="right" w:pos="9026" w:leader="dot"/>
            </w:tabs>
            <w:rPr/>
          </w:pPr>
          <w:hyperlink w:anchor="__RefHeading___Toc717020_996550957">
            <w:r>
              <w:rPr>
                <w:webHidden/>
                <w:rStyle w:val="IndexLink"/>
                <w:rtl w:val="true"/>
              </w:rPr>
              <w:t>فصل</w:t>
            </w:r>
            <w:r>
              <w:rPr>
                <w:rStyle w:val="IndexLink"/>
                <w:rtl w:val="true"/>
              </w:rPr>
              <w:tab/>
            </w:r>
            <w:r>
              <w:rPr>
                <w:rStyle w:val="IndexLink"/>
              </w:rPr>
              <w:t>379</w:t>
            </w:r>
          </w:hyperlink>
        </w:p>
        <w:p>
          <w:pPr>
            <w:pStyle w:val="Contents5"/>
            <w:tabs>
              <w:tab w:val="clear" w:pos="7892"/>
              <w:tab w:val="right" w:pos="9026" w:leader="dot"/>
            </w:tabs>
            <w:rPr/>
          </w:pPr>
          <w:hyperlink w:anchor="__RefHeading___Toc717022_996550957">
            <w:r>
              <w:rPr>
                <w:webHidden/>
                <w:rStyle w:val="IndexLink"/>
                <w:rtl w:val="true"/>
              </w:rPr>
              <w:t>فصل</w:t>
            </w:r>
            <w:r>
              <w:rPr>
                <w:rStyle w:val="IndexLink"/>
                <w:rtl w:val="true"/>
              </w:rPr>
              <w:tab/>
            </w:r>
            <w:r>
              <w:rPr>
                <w:rStyle w:val="IndexLink"/>
              </w:rPr>
              <w:t>379</w:t>
            </w:r>
          </w:hyperlink>
        </w:p>
        <w:p>
          <w:pPr>
            <w:pStyle w:val="Contents5"/>
            <w:tabs>
              <w:tab w:val="clear" w:pos="7892"/>
              <w:tab w:val="right" w:pos="9026" w:leader="dot"/>
            </w:tabs>
            <w:rPr/>
          </w:pPr>
          <w:hyperlink w:anchor="__RefHeading___Toc717024_996550957">
            <w:r>
              <w:rPr>
                <w:webHidden/>
                <w:rStyle w:val="IndexLink"/>
                <w:rtl w:val="true"/>
              </w:rPr>
              <w:t>فصل</w:t>
            </w:r>
            <w:r>
              <w:rPr>
                <w:rStyle w:val="IndexLink"/>
                <w:rtl w:val="true"/>
              </w:rPr>
              <w:tab/>
            </w:r>
            <w:r>
              <w:rPr>
                <w:rStyle w:val="IndexLink"/>
              </w:rPr>
              <w:t>380</w:t>
            </w:r>
          </w:hyperlink>
        </w:p>
        <w:p>
          <w:pPr>
            <w:pStyle w:val="Contents5"/>
            <w:tabs>
              <w:tab w:val="clear" w:pos="7892"/>
              <w:tab w:val="right" w:pos="9026" w:leader="dot"/>
            </w:tabs>
            <w:rPr/>
          </w:pPr>
          <w:hyperlink w:anchor="__RefHeading___Toc717026_996550957">
            <w:r>
              <w:rPr>
                <w:webHidden/>
                <w:rStyle w:val="IndexLink"/>
                <w:rtl w:val="true"/>
              </w:rPr>
              <w:t>فصل</w:t>
            </w:r>
            <w:r>
              <w:rPr>
                <w:rStyle w:val="IndexLink"/>
                <w:rtl w:val="true"/>
              </w:rPr>
              <w:tab/>
            </w:r>
            <w:r>
              <w:rPr>
                <w:rStyle w:val="IndexLink"/>
              </w:rPr>
              <w:t>381</w:t>
            </w:r>
          </w:hyperlink>
        </w:p>
        <w:p>
          <w:pPr>
            <w:pStyle w:val="Contents5"/>
            <w:tabs>
              <w:tab w:val="clear" w:pos="7892"/>
              <w:tab w:val="right" w:pos="9026" w:leader="dot"/>
            </w:tabs>
            <w:rPr/>
          </w:pPr>
          <w:hyperlink w:anchor="__RefHeading___Toc717028_996550957">
            <w:r>
              <w:rPr>
                <w:webHidden/>
                <w:rStyle w:val="IndexLink"/>
                <w:rtl w:val="true"/>
              </w:rPr>
              <w:t>فصل</w:t>
            </w:r>
            <w:r>
              <w:rPr>
                <w:rStyle w:val="IndexLink"/>
                <w:rtl w:val="true"/>
              </w:rPr>
              <w:tab/>
            </w:r>
            <w:r>
              <w:rPr>
                <w:rStyle w:val="IndexLink"/>
              </w:rPr>
              <w:t>381</w:t>
            </w:r>
          </w:hyperlink>
        </w:p>
        <w:p>
          <w:pPr>
            <w:pStyle w:val="Contents5"/>
            <w:tabs>
              <w:tab w:val="clear" w:pos="7892"/>
              <w:tab w:val="right" w:pos="9026" w:leader="dot"/>
            </w:tabs>
            <w:rPr/>
          </w:pPr>
          <w:hyperlink w:anchor="__RefHeading___Toc717030_996550957">
            <w:r>
              <w:rPr>
                <w:webHidden/>
                <w:rStyle w:val="IndexLink"/>
                <w:rtl w:val="true"/>
              </w:rPr>
              <w:t>فصل</w:t>
            </w:r>
            <w:r>
              <w:rPr>
                <w:rStyle w:val="IndexLink"/>
                <w:rtl w:val="true"/>
              </w:rPr>
              <w:tab/>
            </w:r>
            <w:r>
              <w:rPr>
                <w:rStyle w:val="IndexLink"/>
              </w:rPr>
              <w:t>382</w:t>
            </w:r>
          </w:hyperlink>
        </w:p>
        <w:p>
          <w:pPr>
            <w:pStyle w:val="Contents5"/>
            <w:tabs>
              <w:tab w:val="clear" w:pos="7892"/>
              <w:tab w:val="right" w:pos="9026" w:leader="dot"/>
            </w:tabs>
            <w:rPr/>
          </w:pPr>
          <w:hyperlink w:anchor="__RefHeading___Toc717032_996550957">
            <w:r>
              <w:rPr>
                <w:webHidden/>
                <w:rStyle w:val="IndexLink"/>
                <w:rtl w:val="true"/>
              </w:rPr>
              <w:t>فصل</w:t>
            </w:r>
            <w:r>
              <w:rPr>
                <w:rStyle w:val="IndexLink"/>
                <w:rtl w:val="true"/>
              </w:rPr>
              <w:tab/>
            </w:r>
            <w:r>
              <w:rPr>
                <w:rStyle w:val="IndexLink"/>
              </w:rPr>
              <w:t>384</w:t>
            </w:r>
          </w:hyperlink>
        </w:p>
        <w:p>
          <w:pPr>
            <w:pStyle w:val="Contents5"/>
            <w:tabs>
              <w:tab w:val="clear" w:pos="7892"/>
              <w:tab w:val="right" w:pos="9026" w:leader="dot"/>
            </w:tabs>
            <w:rPr/>
          </w:pPr>
          <w:hyperlink w:anchor="__RefHeading___Toc717034_996550957">
            <w:r>
              <w:rPr>
                <w:webHidden/>
                <w:rStyle w:val="IndexLink"/>
                <w:rtl w:val="true"/>
              </w:rPr>
              <w:t>فصل</w:t>
            </w:r>
            <w:r>
              <w:rPr>
                <w:rStyle w:val="IndexLink"/>
                <w:rtl w:val="true"/>
              </w:rPr>
              <w:tab/>
            </w:r>
            <w:r>
              <w:rPr>
                <w:rStyle w:val="IndexLink"/>
              </w:rPr>
              <w:t>384</w:t>
            </w:r>
          </w:hyperlink>
        </w:p>
        <w:p>
          <w:pPr>
            <w:pStyle w:val="Contents5"/>
            <w:tabs>
              <w:tab w:val="clear" w:pos="7892"/>
              <w:tab w:val="right" w:pos="9026" w:leader="dot"/>
            </w:tabs>
            <w:rPr/>
          </w:pPr>
          <w:hyperlink w:anchor="__RefHeading___Toc717036_996550957">
            <w:r>
              <w:rPr>
                <w:webHidden/>
                <w:rStyle w:val="IndexLink"/>
                <w:rtl w:val="true"/>
              </w:rPr>
              <w:t>فصل</w:t>
            </w:r>
            <w:r>
              <w:rPr>
                <w:rStyle w:val="IndexLink"/>
                <w:rtl w:val="true"/>
              </w:rPr>
              <w:tab/>
            </w:r>
            <w:r>
              <w:rPr>
                <w:rStyle w:val="IndexLink"/>
              </w:rPr>
              <w:t>385</w:t>
            </w:r>
          </w:hyperlink>
        </w:p>
        <w:p>
          <w:pPr>
            <w:pStyle w:val="Contents5"/>
            <w:tabs>
              <w:tab w:val="clear" w:pos="7892"/>
              <w:tab w:val="right" w:pos="9026" w:leader="dot"/>
            </w:tabs>
            <w:rPr/>
          </w:pPr>
          <w:hyperlink w:anchor="__RefHeading___Toc717038_996550957">
            <w:r>
              <w:rPr>
                <w:webHidden/>
                <w:rStyle w:val="IndexLink"/>
                <w:rtl w:val="true"/>
              </w:rPr>
              <w:t>فصل</w:t>
            </w:r>
            <w:r>
              <w:rPr>
                <w:rStyle w:val="IndexLink"/>
                <w:rtl w:val="true"/>
              </w:rPr>
              <w:tab/>
            </w:r>
            <w:r>
              <w:rPr>
                <w:rStyle w:val="IndexLink"/>
              </w:rPr>
              <w:t>385</w:t>
            </w:r>
          </w:hyperlink>
        </w:p>
        <w:p>
          <w:pPr>
            <w:pStyle w:val="Contents5"/>
            <w:tabs>
              <w:tab w:val="clear" w:pos="7892"/>
              <w:tab w:val="right" w:pos="9026" w:leader="dot"/>
            </w:tabs>
            <w:rPr/>
          </w:pPr>
          <w:hyperlink w:anchor="__RefHeading___Toc717040_996550957">
            <w:r>
              <w:rPr>
                <w:webHidden/>
                <w:rStyle w:val="IndexLink"/>
                <w:rtl w:val="true"/>
              </w:rPr>
              <w:t>فصل</w:t>
            </w:r>
            <w:r>
              <w:rPr>
                <w:rStyle w:val="IndexLink"/>
                <w:rtl w:val="true"/>
              </w:rPr>
              <w:tab/>
            </w:r>
            <w:r>
              <w:rPr>
                <w:rStyle w:val="IndexLink"/>
              </w:rPr>
              <w:t>386</w:t>
            </w:r>
          </w:hyperlink>
        </w:p>
        <w:p>
          <w:pPr>
            <w:pStyle w:val="Contents4"/>
            <w:tabs>
              <w:tab w:val="clear" w:pos="8176"/>
              <w:tab w:val="right" w:pos="9026" w:leader="dot"/>
            </w:tabs>
            <w:rPr/>
          </w:pPr>
          <w:hyperlink w:anchor="__RefHeading___Toc717042_996550957">
            <w:r>
              <w:rPr>
                <w:webHidden/>
                <w:rStyle w:val="IndexLink"/>
                <w:rtl w:val="true"/>
              </w:rPr>
              <w:t>فصل في المقصور والممدود</w:t>
            </w:r>
            <w:r>
              <w:rPr>
                <w:rStyle w:val="IndexLink"/>
                <w:rtl w:val="true"/>
              </w:rPr>
              <w:tab/>
            </w:r>
            <w:r>
              <w:rPr>
                <w:rStyle w:val="IndexLink"/>
              </w:rPr>
              <w:t>386</w:t>
            </w:r>
          </w:hyperlink>
        </w:p>
        <w:p>
          <w:pPr>
            <w:pStyle w:val="Contents4"/>
            <w:tabs>
              <w:tab w:val="clear" w:pos="8176"/>
              <w:tab w:val="right" w:pos="9026" w:leader="dot"/>
            </w:tabs>
            <w:rPr/>
          </w:pPr>
          <w:hyperlink w:anchor="__RefHeading___Toc717044_996550957">
            <w:r>
              <w:rPr>
                <w:webHidden/>
                <w:rStyle w:val="IndexLink"/>
                <w:rtl w:val="true"/>
              </w:rPr>
              <w:t>فصل في الوزن</w:t>
            </w:r>
            <w:r>
              <w:rPr>
                <w:rStyle w:val="IndexLink"/>
                <w:rtl w:val="true"/>
              </w:rPr>
              <w:tab/>
            </w:r>
            <w:r>
              <w:rPr>
                <w:rStyle w:val="IndexLink"/>
              </w:rPr>
              <w:t>390</w:t>
            </w:r>
          </w:hyperlink>
        </w:p>
        <w:p>
          <w:pPr>
            <w:pStyle w:val="Contents5"/>
            <w:tabs>
              <w:tab w:val="clear" w:pos="7892"/>
              <w:tab w:val="right" w:pos="9026" w:leader="dot"/>
            </w:tabs>
            <w:rPr/>
          </w:pPr>
          <w:hyperlink w:anchor="__RefHeading___Toc717046_996550957">
            <w:r>
              <w:rPr>
                <w:webHidden/>
                <w:rStyle w:val="IndexLink"/>
                <w:rtl w:val="true"/>
              </w:rPr>
              <w:t>اشارة</w:t>
            </w:r>
            <w:r>
              <w:rPr>
                <w:rStyle w:val="IndexLink"/>
                <w:rtl w:val="true"/>
              </w:rPr>
              <w:tab/>
            </w:r>
            <w:r>
              <w:rPr>
                <w:rStyle w:val="IndexLink"/>
              </w:rPr>
              <w:t>390</w:t>
            </w:r>
          </w:hyperlink>
        </w:p>
        <w:p>
          <w:pPr>
            <w:pStyle w:val="Contents5"/>
            <w:tabs>
              <w:tab w:val="clear" w:pos="7892"/>
              <w:tab w:val="right" w:pos="9026" w:leader="dot"/>
            </w:tabs>
            <w:rPr/>
          </w:pPr>
          <w:hyperlink w:anchor="__RefHeading___Toc717048_996550957">
            <w:r>
              <w:rPr>
                <w:webHidden/>
                <w:rStyle w:val="IndexLink"/>
                <w:rtl w:val="true"/>
              </w:rPr>
              <w:t xml:space="preserve">ذكر ما جاء فيه دليل على أنه لم يقصد به التكرار </w:t>
            </w:r>
            <w:r>
              <w:rPr>
                <w:rStyle w:val="IndexLink"/>
                <w:rtl w:val="true"/>
              </w:rPr>
              <w:t xml:space="preserve">: </w:t>
            </w:r>
            <w:r>
              <w:rPr>
                <w:rStyle w:val="IndexLink"/>
                <w:rtl w:val="true"/>
              </w:rPr>
              <w:t>بل زيد واتّفق موافقة الزائد لما قبله</w:t>
            </w:r>
            <w:r>
              <w:rPr>
                <w:rStyle w:val="IndexLink"/>
                <w:rtl w:val="true"/>
              </w:rPr>
              <w:tab/>
            </w:r>
            <w:r>
              <w:rPr>
                <w:rStyle w:val="IndexLink"/>
              </w:rPr>
              <w:t>392</w:t>
            </w:r>
          </w:hyperlink>
        </w:p>
        <w:p>
          <w:pPr>
            <w:pStyle w:val="Contents5"/>
            <w:tabs>
              <w:tab w:val="clear" w:pos="7892"/>
              <w:tab w:val="right" w:pos="9026" w:leader="dot"/>
            </w:tabs>
            <w:rPr/>
          </w:pPr>
          <w:hyperlink w:anchor="__RefHeading___Toc717050_996550957">
            <w:r>
              <w:rPr>
                <w:webHidden/>
                <w:rStyle w:val="IndexLink"/>
                <w:rtl w:val="true"/>
              </w:rPr>
              <w:t>ذكر كيفية وزن الكلمة المقلوبة</w:t>
            </w:r>
            <w:r>
              <w:rPr>
                <w:rStyle w:val="IndexLink"/>
                <w:rtl w:val="true"/>
              </w:rPr>
              <w:tab/>
            </w:r>
            <w:r>
              <w:rPr>
                <w:rStyle w:val="IndexLink"/>
              </w:rPr>
              <w:t>393</w:t>
            </w:r>
          </w:hyperlink>
        </w:p>
        <w:p>
          <w:pPr>
            <w:pStyle w:val="Contents5"/>
            <w:tabs>
              <w:tab w:val="clear" w:pos="7892"/>
              <w:tab w:val="right" w:pos="9026" w:leader="dot"/>
            </w:tabs>
            <w:rPr/>
          </w:pPr>
          <w:hyperlink w:anchor="__RefHeading___Toc717052_996550957">
            <w:r>
              <w:rPr>
                <w:webHidden/>
                <w:rStyle w:val="IndexLink"/>
                <w:rtl w:val="true"/>
              </w:rPr>
              <w:t>ذكر ما يتعرّف به القلب</w:t>
            </w:r>
            <w:r>
              <w:rPr>
                <w:rStyle w:val="IndexLink"/>
                <w:rtl w:val="true"/>
              </w:rPr>
              <w:tab/>
            </w:r>
            <w:r>
              <w:rPr>
                <w:rStyle w:val="IndexLink"/>
              </w:rPr>
              <w:t>393</w:t>
            </w:r>
          </w:hyperlink>
        </w:p>
        <w:p>
          <w:pPr>
            <w:pStyle w:val="Contents5"/>
            <w:tabs>
              <w:tab w:val="clear" w:pos="7892"/>
              <w:tab w:val="right" w:pos="9026" w:leader="dot"/>
            </w:tabs>
            <w:rPr/>
          </w:pPr>
          <w:hyperlink w:anchor="__RefHeading___Toc717054_996550957">
            <w:r>
              <w:rPr>
                <w:webHidden/>
                <w:rStyle w:val="IndexLink"/>
                <w:rtl w:val="true"/>
              </w:rPr>
              <w:t>ذكر كيفيّة وزن الكلمة المحذوفة</w:t>
            </w:r>
            <w:r>
              <w:rPr>
                <w:rStyle w:val="IndexLink"/>
                <w:rtl w:val="true"/>
              </w:rPr>
              <w:tab/>
            </w:r>
            <w:r>
              <w:rPr>
                <w:rStyle w:val="IndexLink"/>
              </w:rPr>
              <w:t>395</w:t>
            </w:r>
          </w:hyperlink>
        </w:p>
        <w:p>
          <w:pPr>
            <w:pStyle w:val="Contents4"/>
            <w:tabs>
              <w:tab w:val="clear" w:pos="8176"/>
              <w:tab w:val="right" w:pos="9026" w:leader="dot"/>
            </w:tabs>
            <w:rPr/>
          </w:pPr>
          <w:hyperlink w:anchor="__RefHeading___Toc717056_996550957">
            <w:r>
              <w:rPr>
                <w:webHidden/>
                <w:rStyle w:val="IndexLink"/>
                <w:rtl w:val="true"/>
              </w:rPr>
              <w:t>فصل في الأبنية</w:t>
            </w:r>
            <w:r>
              <w:rPr>
                <w:rStyle w:val="IndexLink"/>
                <w:rtl w:val="true"/>
              </w:rPr>
              <w:tab/>
            </w:r>
            <w:r>
              <w:rPr>
                <w:rStyle w:val="IndexLink"/>
              </w:rPr>
              <w:t>396</w:t>
            </w:r>
          </w:hyperlink>
        </w:p>
        <w:p>
          <w:pPr>
            <w:pStyle w:val="Contents5"/>
            <w:tabs>
              <w:tab w:val="clear" w:pos="7892"/>
              <w:tab w:val="right" w:pos="9026" w:leader="dot"/>
            </w:tabs>
            <w:rPr/>
          </w:pPr>
          <w:hyperlink w:anchor="__RefHeading___Toc717058_996550957">
            <w:r>
              <w:rPr>
                <w:webHidden/>
                <w:rStyle w:val="IndexLink"/>
                <w:rtl w:val="true"/>
              </w:rPr>
              <w:t>اشارة</w:t>
            </w:r>
            <w:r>
              <w:rPr>
                <w:rStyle w:val="IndexLink"/>
                <w:rtl w:val="true"/>
              </w:rPr>
              <w:tab/>
            </w:r>
            <w:r>
              <w:rPr>
                <w:rStyle w:val="IndexLink"/>
              </w:rPr>
              <w:t>396</w:t>
            </w:r>
          </w:hyperlink>
        </w:p>
        <w:p>
          <w:pPr>
            <w:pStyle w:val="Contents5"/>
            <w:tabs>
              <w:tab w:val="clear" w:pos="7892"/>
              <w:tab w:val="right" w:pos="9026" w:leader="dot"/>
            </w:tabs>
            <w:rPr/>
          </w:pPr>
          <w:hyperlink w:anchor="__RefHeading___Toc717060_996550957">
            <w:r>
              <w:rPr>
                <w:webHidden/>
                <w:rStyle w:val="IndexLink"/>
                <w:rtl w:val="true"/>
              </w:rPr>
              <w:t>ذكر تقسيم الأبنية الأصول</w:t>
            </w:r>
            <w:r>
              <w:rPr>
                <w:rStyle w:val="IndexLink"/>
                <w:rtl w:val="true"/>
              </w:rPr>
              <w:tab/>
            </w:r>
            <w:r>
              <w:rPr>
                <w:rStyle w:val="IndexLink"/>
              </w:rPr>
              <w:t>396</w:t>
            </w:r>
          </w:hyperlink>
        </w:p>
        <w:p>
          <w:pPr>
            <w:pStyle w:val="Contents5"/>
            <w:tabs>
              <w:tab w:val="clear" w:pos="7892"/>
              <w:tab w:val="right" w:pos="9026" w:leader="dot"/>
            </w:tabs>
            <w:rPr/>
          </w:pPr>
          <w:hyperlink w:anchor="__RefHeading___Toc717062_996550957">
            <w:r>
              <w:rPr>
                <w:webHidden/>
                <w:rStyle w:val="IndexLink"/>
                <w:rtl w:val="true"/>
              </w:rPr>
              <w:t>ذكر أبنية الاسم الثلاثي المجرّد</w:t>
            </w:r>
            <w:r>
              <w:rPr>
                <w:rStyle w:val="IndexLink"/>
                <w:rtl w:val="true"/>
              </w:rPr>
              <w:tab/>
            </w:r>
            <w:r>
              <w:rPr>
                <w:rStyle w:val="IndexLink"/>
              </w:rPr>
              <w:t>397</w:t>
            </w:r>
          </w:hyperlink>
        </w:p>
        <w:p>
          <w:pPr>
            <w:pStyle w:val="Contents5"/>
            <w:tabs>
              <w:tab w:val="clear" w:pos="7892"/>
              <w:tab w:val="right" w:pos="9026" w:leader="dot"/>
            </w:tabs>
            <w:rPr/>
          </w:pPr>
          <w:hyperlink w:anchor="__RefHeading___Toc717064_996550957">
            <w:r>
              <w:rPr>
                <w:webHidden/>
                <w:rStyle w:val="IndexLink"/>
                <w:rtl w:val="true"/>
              </w:rPr>
              <w:t>ذكر أبنية الاسم الرباعي المجرّد</w:t>
            </w:r>
            <w:r>
              <w:rPr>
                <w:rStyle w:val="IndexLink"/>
                <w:rtl w:val="true"/>
              </w:rPr>
              <w:tab/>
            </w:r>
            <w:r>
              <w:rPr>
                <w:rStyle w:val="IndexLink"/>
              </w:rPr>
              <w:t>399</w:t>
            </w:r>
          </w:hyperlink>
        </w:p>
        <w:p>
          <w:pPr>
            <w:pStyle w:val="Contents5"/>
            <w:tabs>
              <w:tab w:val="clear" w:pos="7892"/>
              <w:tab w:val="right" w:pos="9026" w:leader="dot"/>
            </w:tabs>
            <w:rPr/>
          </w:pPr>
          <w:hyperlink w:anchor="__RefHeading___Toc717066_996550957">
            <w:r>
              <w:rPr>
                <w:webHidden/>
                <w:rStyle w:val="IndexLink"/>
                <w:rtl w:val="true"/>
              </w:rPr>
              <w:t>ذكر أبنية الاسم الخماسي المجرّد</w:t>
            </w:r>
            <w:r>
              <w:rPr>
                <w:rStyle w:val="IndexLink"/>
                <w:rtl w:val="true"/>
              </w:rPr>
              <w:tab/>
            </w:r>
            <w:r>
              <w:rPr>
                <w:rStyle w:val="IndexLink"/>
              </w:rPr>
              <w:t>400</w:t>
            </w:r>
          </w:hyperlink>
        </w:p>
        <w:p>
          <w:pPr>
            <w:pStyle w:val="Contents4"/>
            <w:tabs>
              <w:tab w:val="clear" w:pos="8176"/>
              <w:tab w:val="right" w:pos="9026" w:leader="dot"/>
            </w:tabs>
            <w:rPr/>
          </w:pPr>
          <w:hyperlink w:anchor="__RefHeading___Toc717068_996550957">
            <w:r>
              <w:rPr>
                <w:webHidden/>
                <w:rStyle w:val="IndexLink"/>
                <w:rtl w:val="true"/>
              </w:rPr>
              <w:t>فصل في أبنية المزيد فيه</w:t>
            </w:r>
            <w:r>
              <w:rPr>
                <w:rStyle w:val="IndexLink"/>
                <w:rtl w:val="true"/>
              </w:rPr>
              <w:tab/>
            </w:r>
            <w:r>
              <w:rPr>
                <w:rStyle w:val="IndexLink"/>
              </w:rPr>
              <w:t>400</w:t>
            </w:r>
          </w:hyperlink>
        </w:p>
        <w:p>
          <w:pPr>
            <w:pStyle w:val="Contents5"/>
            <w:tabs>
              <w:tab w:val="clear" w:pos="7892"/>
              <w:tab w:val="right" w:pos="9026" w:leader="dot"/>
            </w:tabs>
            <w:rPr/>
          </w:pPr>
          <w:hyperlink w:anchor="__RefHeading___Toc717070_996550957">
            <w:r>
              <w:rPr>
                <w:webHidden/>
                <w:rStyle w:val="IndexLink"/>
                <w:rtl w:val="true"/>
              </w:rPr>
              <w:t>اشارة</w:t>
            </w:r>
            <w:r>
              <w:rPr>
                <w:rStyle w:val="IndexLink"/>
                <w:rtl w:val="true"/>
              </w:rPr>
              <w:tab/>
            </w:r>
            <w:r>
              <w:rPr>
                <w:rStyle w:val="IndexLink"/>
              </w:rPr>
              <w:t>400</w:t>
            </w:r>
          </w:hyperlink>
        </w:p>
        <w:p>
          <w:pPr>
            <w:pStyle w:val="Contents5"/>
            <w:tabs>
              <w:tab w:val="clear" w:pos="7892"/>
              <w:tab w:val="right" w:pos="9026" w:leader="dot"/>
            </w:tabs>
            <w:rPr/>
          </w:pPr>
          <w:hyperlink w:anchor="__RefHeading___Toc717072_996550957">
            <w:r>
              <w:rPr>
                <w:webHidden/>
                <w:rStyle w:val="IndexLink"/>
                <w:rtl w:val="true"/>
              </w:rPr>
              <w:t>ذكر أبنية الاسم الثلاثي المزيد فيه</w:t>
            </w:r>
            <w:r>
              <w:rPr>
                <w:rStyle w:val="IndexLink"/>
                <w:rtl w:val="true"/>
              </w:rPr>
              <w:tab/>
            </w:r>
            <w:r>
              <w:rPr>
                <w:rStyle w:val="IndexLink"/>
              </w:rPr>
              <w:t>401</w:t>
            </w:r>
          </w:hyperlink>
        </w:p>
        <w:p>
          <w:pPr>
            <w:pStyle w:val="Contents5"/>
            <w:tabs>
              <w:tab w:val="clear" w:pos="7892"/>
              <w:tab w:val="right" w:pos="9026" w:leader="dot"/>
            </w:tabs>
            <w:rPr/>
          </w:pPr>
          <w:hyperlink w:anchor="__RefHeading___Toc717074_996550957">
            <w:r>
              <w:rPr>
                <w:webHidden/>
                <w:rStyle w:val="IndexLink"/>
                <w:rtl w:val="true"/>
              </w:rPr>
              <w:t>ذكر الزيادة الواحدة بحسب المواضع الأربعة المذكورة</w:t>
            </w:r>
            <w:r>
              <w:rPr>
                <w:rStyle w:val="IndexLink"/>
                <w:rtl w:val="true"/>
              </w:rPr>
              <w:tab/>
            </w:r>
            <w:r>
              <w:rPr>
                <w:rStyle w:val="IndexLink"/>
              </w:rPr>
              <w:t>402</w:t>
            </w:r>
          </w:hyperlink>
        </w:p>
        <w:p>
          <w:pPr>
            <w:pStyle w:val="Contents5"/>
            <w:tabs>
              <w:tab w:val="clear" w:pos="7892"/>
              <w:tab w:val="right" w:pos="9026" w:leader="dot"/>
            </w:tabs>
            <w:rPr/>
          </w:pPr>
          <w:hyperlink w:anchor="__RefHeading___Toc717076_996550957">
            <w:r>
              <w:rPr>
                <w:webHidden/>
                <w:rStyle w:val="IndexLink"/>
                <w:rtl w:val="true"/>
              </w:rPr>
              <w:t>ذكر الزيادتين المفترقتين</w:t>
            </w:r>
            <w:r>
              <w:rPr>
                <w:rStyle w:val="IndexLink"/>
                <w:rtl w:val="true"/>
              </w:rPr>
              <w:tab/>
            </w:r>
            <w:r>
              <w:rPr>
                <w:rStyle w:val="IndexLink"/>
              </w:rPr>
              <w:t>403</w:t>
            </w:r>
          </w:hyperlink>
        </w:p>
        <w:p>
          <w:pPr>
            <w:pStyle w:val="Contents5"/>
            <w:tabs>
              <w:tab w:val="clear" w:pos="7892"/>
              <w:tab w:val="right" w:pos="9026" w:leader="dot"/>
            </w:tabs>
            <w:rPr/>
          </w:pPr>
          <w:hyperlink w:anchor="__RefHeading___Toc717078_996550957">
            <w:r>
              <w:rPr>
                <w:webHidden/>
                <w:rStyle w:val="IndexLink"/>
                <w:rtl w:val="true"/>
              </w:rPr>
              <w:t>ذكر الزيادتين المجتمعتين</w:t>
            </w:r>
            <w:r>
              <w:rPr>
                <w:rStyle w:val="IndexLink"/>
                <w:rtl w:val="true"/>
              </w:rPr>
              <w:tab/>
            </w:r>
            <w:r>
              <w:rPr>
                <w:rStyle w:val="IndexLink"/>
              </w:rPr>
              <w:t>406</w:t>
            </w:r>
          </w:hyperlink>
        </w:p>
        <w:p>
          <w:pPr>
            <w:pStyle w:val="Contents5"/>
            <w:tabs>
              <w:tab w:val="clear" w:pos="7892"/>
              <w:tab w:val="right" w:pos="9026" w:leader="dot"/>
            </w:tabs>
            <w:rPr/>
          </w:pPr>
          <w:hyperlink w:anchor="__RefHeading___Toc717080_996550957">
            <w:r>
              <w:rPr>
                <w:webHidden/>
                <w:rStyle w:val="IndexLink"/>
                <w:rtl w:val="true"/>
              </w:rPr>
              <w:t>ذكر الزيادات الثّلاث المفترقة</w:t>
            </w:r>
            <w:r>
              <w:rPr>
                <w:rStyle w:val="IndexLink"/>
                <w:rtl w:val="true"/>
              </w:rPr>
              <w:tab/>
            </w:r>
            <w:r>
              <w:rPr>
                <w:rStyle w:val="IndexLink"/>
              </w:rPr>
              <w:t>408</w:t>
            </w:r>
          </w:hyperlink>
        </w:p>
        <w:p>
          <w:pPr>
            <w:pStyle w:val="Contents5"/>
            <w:tabs>
              <w:tab w:val="clear" w:pos="7892"/>
              <w:tab w:val="right" w:pos="9026" w:leader="dot"/>
            </w:tabs>
            <w:rPr/>
          </w:pPr>
          <w:hyperlink w:anchor="__RefHeading___Toc717082_996550957">
            <w:r>
              <w:rPr>
                <w:webHidden/>
                <w:rStyle w:val="IndexLink"/>
                <w:rtl w:val="true"/>
              </w:rPr>
              <w:t>ذكر الزيادات الثّلاث المجتمعة</w:t>
            </w:r>
            <w:r>
              <w:rPr>
                <w:rStyle w:val="IndexLink"/>
                <w:rtl w:val="true"/>
              </w:rPr>
              <w:tab/>
            </w:r>
            <w:r>
              <w:rPr>
                <w:rStyle w:val="IndexLink"/>
              </w:rPr>
              <w:t>409</w:t>
            </w:r>
          </w:hyperlink>
        </w:p>
        <w:p>
          <w:pPr>
            <w:pStyle w:val="Contents5"/>
            <w:tabs>
              <w:tab w:val="clear" w:pos="7892"/>
              <w:tab w:val="right" w:pos="9026" w:leader="dot"/>
            </w:tabs>
            <w:rPr/>
          </w:pPr>
          <w:hyperlink w:anchor="__RefHeading___Toc717084_996550957">
            <w:r>
              <w:rPr>
                <w:webHidden/>
                <w:rStyle w:val="IndexLink"/>
                <w:rtl w:val="true"/>
              </w:rPr>
              <w:t>ذكر الزيادات الثّلاث على وجه تنفرد واحدة وتجتمع ثنتان</w:t>
            </w:r>
            <w:r>
              <w:rPr>
                <w:rStyle w:val="IndexLink"/>
                <w:rtl w:val="true"/>
              </w:rPr>
              <w:tab/>
            </w:r>
            <w:r>
              <w:rPr>
                <w:rStyle w:val="IndexLink"/>
              </w:rPr>
              <w:t>409</w:t>
            </w:r>
          </w:hyperlink>
        </w:p>
        <w:p>
          <w:pPr>
            <w:pStyle w:val="Contents5"/>
            <w:tabs>
              <w:tab w:val="clear" w:pos="7892"/>
              <w:tab w:val="right" w:pos="9026" w:leader="dot"/>
            </w:tabs>
            <w:rPr/>
          </w:pPr>
          <w:hyperlink w:anchor="__RefHeading___Toc717086_996550957">
            <w:r>
              <w:rPr>
                <w:webHidden/>
                <w:rStyle w:val="IndexLink"/>
                <w:rtl w:val="true"/>
              </w:rPr>
              <w:t>ذكر الزيادات الأربع</w:t>
            </w:r>
            <w:r>
              <w:rPr>
                <w:rStyle w:val="IndexLink"/>
                <w:rtl w:val="true"/>
              </w:rPr>
              <w:tab/>
            </w:r>
            <w:r>
              <w:rPr>
                <w:rStyle w:val="IndexLink"/>
              </w:rPr>
              <w:t>410</w:t>
            </w:r>
          </w:hyperlink>
        </w:p>
        <w:p>
          <w:pPr>
            <w:pStyle w:val="Contents5"/>
            <w:tabs>
              <w:tab w:val="clear" w:pos="7892"/>
              <w:tab w:val="right" w:pos="9026" w:leader="dot"/>
            </w:tabs>
            <w:rPr/>
          </w:pPr>
          <w:hyperlink w:anchor="__RefHeading___Toc717088_996550957">
            <w:r>
              <w:rPr>
                <w:webHidden/>
                <w:rStyle w:val="IndexLink"/>
                <w:rtl w:val="true"/>
              </w:rPr>
              <w:t>ذكر أبنية الاسم الرباعي المزيد فيه</w:t>
            </w:r>
            <w:r>
              <w:rPr>
                <w:rStyle w:val="IndexLink"/>
                <w:rtl w:val="true"/>
              </w:rPr>
              <w:tab/>
            </w:r>
            <w:r>
              <w:rPr>
                <w:rStyle w:val="IndexLink"/>
              </w:rPr>
              <w:t>410</w:t>
            </w:r>
          </w:hyperlink>
        </w:p>
        <w:p>
          <w:pPr>
            <w:pStyle w:val="Contents5"/>
            <w:tabs>
              <w:tab w:val="clear" w:pos="7892"/>
              <w:tab w:val="right" w:pos="9026" w:leader="dot"/>
            </w:tabs>
            <w:rPr/>
          </w:pPr>
          <w:hyperlink w:anchor="__RefHeading___Toc717090_996550957">
            <w:r>
              <w:rPr>
                <w:webHidden/>
                <w:rStyle w:val="IndexLink"/>
                <w:rtl w:val="true"/>
              </w:rPr>
              <w:t>ذكر الزيادة الواحدة في الرباعي</w:t>
            </w:r>
            <w:r>
              <w:rPr>
                <w:rStyle w:val="IndexLink"/>
                <w:rtl w:val="true"/>
              </w:rPr>
              <w:tab/>
            </w:r>
            <w:r>
              <w:rPr>
                <w:rStyle w:val="IndexLink"/>
              </w:rPr>
              <w:t>411</w:t>
            </w:r>
          </w:hyperlink>
        </w:p>
        <w:p>
          <w:pPr>
            <w:pStyle w:val="Contents5"/>
            <w:tabs>
              <w:tab w:val="clear" w:pos="7892"/>
              <w:tab w:val="right" w:pos="9026" w:leader="dot"/>
            </w:tabs>
            <w:rPr/>
          </w:pPr>
          <w:hyperlink w:anchor="__RefHeading___Toc717092_996550957">
            <w:r>
              <w:rPr>
                <w:webHidden/>
                <w:rStyle w:val="IndexLink"/>
                <w:rtl w:val="true"/>
              </w:rPr>
              <w:t>ذكر الزيادتين المفترقتين</w:t>
            </w:r>
            <w:r>
              <w:rPr>
                <w:rStyle w:val="IndexLink"/>
                <w:rtl w:val="true"/>
              </w:rPr>
              <w:tab/>
            </w:r>
            <w:r>
              <w:rPr>
                <w:rStyle w:val="IndexLink"/>
              </w:rPr>
              <w:t>413</w:t>
            </w:r>
          </w:hyperlink>
        </w:p>
        <w:p>
          <w:pPr>
            <w:pStyle w:val="Contents5"/>
            <w:tabs>
              <w:tab w:val="clear" w:pos="7892"/>
              <w:tab w:val="right" w:pos="9026" w:leader="dot"/>
            </w:tabs>
            <w:rPr/>
          </w:pPr>
          <w:hyperlink w:anchor="__RefHeading___Toc717094_996550957">
            <w:r>
              <w:rPr>
                <w:webHidden/>
                <w:rStyle w:val="IndexLink"/>
                <w:rtl w:val="true"/>
              </w:rPr>
              <w:t>ذكر الزيادتين المجتمعتين</w:t>
            </w:r>
            <w:r>
              <w:rPr>
                <w:rStyle w:val="IndexLink"/>
                <w:rtl w:val="true"/>
              </w:rPr>
              <w:tab/>
            </w:r>
            <w:r>
              <w:rPr>
                <w:rStyle w:val="IndexLink"/>
              </w:rPr>
              <w:t>414</w:t>
            </w:r>
          </w:hyperlink>
        </w:p>
        <w:p>
          <w:pPr>
            <w:pStyle w:val="Contents5"/>
            <w:tabs>
              <w:tab w:val="clear" w:pos="7892"/>
              <w:tab w:val="right" w:pos="9026" w:leader="dot"/>
            </w:tabs>
            <w:rPr/>
          </w:pPr>
          <w:hyperlink w:anchor="__RefHeading___Toc717096_996550957">
            <w:r>
              <w:rPr>
                <w:webHidden/>
                <w:rStyle w:val="IndexLink"/>
                <w:rtl w:val="true"/>
              </w:rPr>
              <w:t>ذكر الزيادات الثلاث في الرباعي</w:t>
            </w:r>
            <w:r>
              <w:rPr>
                <w:rStyle w:val="IndexLink"/>
                <w:rtl w:val="true"/>
              </w:rPr>
              <w:tab/>
            </w:r>
            <w:r>
              <w:rPr>
                <w:rStyle w:val="IndexLink"/>
              </w:rPr>
              <w:t>415</w:t>
            </w:r>
          </w:hyperlink>
        </w:p>
        <w:p>
          <w:pPr>
            <w:pStyle w:val="Contents5"/>
            <w:tabs>
              <w:tab w:val="clear" w:pos="7892"/>
              <w:tab w:val="right" w:pos="9026" w:leader="dot"/>
            </w:tabs>
            <w:rPr/>
          </w:pPr>
          <w:hyperlink w:anchor="__RefHeading___Toc717098_996550957">
            <w:r>
              <w:rPr>
                <w:webHidden/>
                <w:rStyle w:val="IndexLink"/>
                <w:rtl w:val="true"/>
              </w:rPr>
              <w:t>ذكر أبنية الاسم الخماسي المزيد فيه</w:t>
            </w:r>
            <w:r>
              <w:rPr>
                <w:rStyle w:val="IndexLink"/>
                <w:rtl w:val="true"/>
              </w:rPr>
              <w:tab/>
            </w:r>
            <w:r>
              <w:rPr>
                <w:rStyle w:val="IndexLink"/>
              </w:rPr>
              <w:t>416</w:t>
            </w:r>
          </w:hyperlink>
        </w:p>
        <w:p>
          <w:pPr>
            <w:pStyle w:val="Contents2"/>
            <w:tabs>
              <w:tab w:val="clear" w:pos="8743"/>
              <w:tab w:val="right" w:pos="9026" w:leader="dot"/>
            </w:tabs>
            <w:rPr/>
          </w:pPr>
          <w:hyperlink w:anchor="__RefHeading___Toc717100_996550957">
            <w:r>
              <w:rPr>
                <w:webHidden/>
                <w:rStyle w:val="IndexLink"/>
                <w:rtl w:val="true"/>
              </w:rPr>
              <w:t>فهرس موضوعات الجزء الأول</w:t>
            </w:r>
            <w:r>
              <w:rPr>
                <w:rStyle w:val="IndexLink"/>
                <w:rtl w:val="true"/>
              </w:rPr>
              <w:tab/>
            </w:r>
            <w:r>
              <w:rPr>
                <w:rStyle w:val="IndexLink"/>
              </w:rPr>
              <w:t>418</w:t>
            </w:r>
          </w:hyperlink>
        </w:p>
        <w:p>
          <w:pPr>
            <w:pStyle w:val="Contents3"/>
            <w:tabs>
              <w:tab w:val="clear" w:pos="8459"/>
              <w:tab w:val="right" w:pos="9026" w:leader="dot"/>
            </w:tabs>
            <w:rPr/>
          </w:pPr>
          <w:hyperlink w:anchor="__RefHeading___Toc717102_996550957">
            <w:r>
              <w:rPr>
                <w:webHidden/>
                <w:rStyle w:val="IndexLink"/>
                <w:rtl w:val="true"/>
              </w:rPr>
              <w:t>اشارة</w:t>
            </w:r>
            <w:r>
              <w:rPr>
                <w:rStyle w:val="IndexLink"/>
                <w:rtl w:val="true"/>
              </w:rPr>
              <w:tab/>
            </w:r>
            <w:r>
              <w:rPr>
                <w:rStyle w:val="IndexLink"/>
              </w:rPr>
              <w:t>418</w:t>
            </w:r>
          </w:hyperlink>
        </w:p>
        <w:p>
          <w:pPr>
            <w:pStyle w:val="Contents3"/>
            <w:tabs>
              <w:tab w:val="clear" w:pos="8459"/>
              <w:tab w:val="right" w:pos="9026" w:leader="dot"/>
            </w:tabs>
            <w:rPr/>
          </w:pPr>
          <w:hyperlink w:anchor="__RefHeading___Toc717104_996550957">
            <w:r>
              <w:rPr>
                <w:webHidden/>
                <w:rStyle w:val="IndexLink"/>
                <w:rtl w:val="true"/>
              </w:rPr>
              <w:t>القسم الأول</w:t>
            </w:r>
            <w:r>
              <w:rPr>
                <w:rStyle w:val="IndexLink"/>
                <w:rtl w:val="true"/>
              </w:rPr>
              <w:tab/>
            </w:r>
            <w:r>
              <w:rPr>
                <w:rStyle w:val="IndexLink"/>
              </w:rPr>
              <w:t>418</w:t>
            </w:r>
          </w:hyperlink>
        </w:p>
        <w:p>
          <w:pPr>
            <w:pStyle w:val="Contents3"/>
            <w:tabs>
              <w:tab w:val="clear" w:pos="8459"/>
              <w:tab w:val="right" w:pos="9026" w:leader="dot"/>
            </w:tabs>
            <w:rPr/>
          </w:pPr>
          <w:hyperlink w:anchor="__RefHeading___Toc717106_996550957">
            <w:r>
              <w:rPr>
                <w:webHidden/>
                <w:rStyle w:val="IndexLink"/>
                <w:rtl w:val="true"/>
              </w:rPr>
              <w:t>القسم الثاني</w:t>
            </w:r>
            <w:r>
              <w:rPr>
                <w:rStyle w:val="IndexLink"/>
                <w:rtl w:val="true"/>
              </w:rPr>
              <w:tab/>
            </w:r>
            <w:r>
              <w:rPr>
                <w:rStyle w:val="IndexLink"/>
              </w:rPr>
              <w:t>418</w:t>
            </w:r>
          </w:hyperlink>
        </w:p>
        <w:p>
          <w:pPr>
            <w:pStyle w:val="Contents3"/>
            <w:tabs>
              <w:tab w:val="clear" w:pos="8459"/>
              <w:tab w:val="right" w:pos="9026" w:leader="dot"/>
            </w:tabs>
            <w:rPr/>
          </w:pPr>
          <w:hyperlink w:anchor="__RefHeading___Toc717108_996550957">
            <w:r>
              <w:rPr>
                <w:webHidden/>
                <w:rStyle w:val="IndexLink"/>
                <w:rtl w:val="true"/>
              </w:rPr>
              <w:t>ذكر المنصوبات</w:t>
            </w:r>
            <w:r>
              <w:rPr>
                <w:rStyle w:val="IndexLink"/>
                <w:rtl w:val="true"/>
              </w:rPr>
              <w:tab/>
            </w:r>
            <w:r>
              <w:rPr>
                <w:rStyle w:val="IndexLink"/>
              </w:rPr>
              <w:t>425</w:t>
            </w:r>
          </w:hyperlink>
        </w:p>
        <w:p>
          <w:pPr>
            <w:pStyle w:val="Contents3"/>
            <w:tabs>
              <w:tab w:val="clear" w:pos="8459"/>
              <w:tab w:val="right" w:pos="9026" w:leader="dot"/>
            </w:tabs>
            <w:rPr/>
          </w:pPr>
          <w:hyperlink w:anchor="__RefHeading___Toc717110_996550957">
            <w:r>
              <w:rPr>
                <w:webHidden/>
                <w:rStyle w:val="IndexLink"/>
                <w:rtl w:val="true"/>
              </w:rPr>
              <w:t>ذكر المجرورات</w:t>
            </w:r>
            <w:r>
              <w:rPr>
                <w:rStyle w:val="IndexLink"/>
                <w:rtl w:val="true"/>
              </w:rPr>
              <w:tab/>
            </w:r>
            <w:r>
              <w:rPr>
                <w:rStyle w:val="IndexLink"/>
              </w:rPr>
              <w:t>428</w:t>
            </w:r>
          </w:hyperlink>
        </w:p>
        <w:p>
          <w:pPr>
            <w:pStyle w:val="Contents2"/>
            <w:tabs>
              <w:tab w:val="clear" w:pos="8743"/>
              <w:tab w:val="right" w:pos="9026" w:leader="dot"/>
            </w:tabs>
            <w:rPr/>
          </w:pPr>
          <w:hyperlink w:anchor="__RefHeading___Toc717112_996550957">
            <w:r>
              <w:rPr>
                <w:webHidden/>
                <w:rStyle w:val="IndexLink"/>
                <w:rtl w:val="true"/>
              </w:rPr>
              <w:t>تصویبات</w:t>
            </w:r>
            <w:r>
              <w:rPr>
                <w:rStyle w:val="IndexLink"/>
                <w:rtl w:val="true"/>
              </w:rPr>
              <w:tab/>
            </w:r>
            <w:r>
              <w:rPr>
                <w:rStyle w:val="IndexLink"/>
              </w:rPr>
              <w:t>445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482_155969"/>
      <w:bookmarkStart w:id="1" w:name="pg14482_155969"/>
      <w:bookmarkEnd w:id="1"/>
    </w:p>
    <w:p>
      <w:pPr>
        <w:pStyle w:val="Heading2"/>
        <w:numPr>
          <w:ilvl w:val="1"/>
          <w:numId w:val="1"/>
        </w:numPr>
        <w:rPr/>
      </w:pPr>
      <w:bookmarkStart w:id="2" w:name="pg14482_155969"/>
      <w:bookmarkStart w:id="3" w:name="__RefHeading___Toc716520_99655095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ابوالفداء، اسماعیل‌بن علی، ق</w:t>
      </w:r>
      <w:r>
        <w:rPr>
          <w:rFonts w:ascii="IRNazanin" w:hAnsi="IRNazanin" w:eastAsia="IRNazanin"/>
          <w:color w:val="111111"/>
          <w:sz w:val="28"/>
          <w:sz w:val="28"/>
          <w:szCs w:val="28"/>
          <w:lang w:bidi="fa-IR"/>
        </w:rPr>
        <w:t>‌</w:t>
      </w:r>
      <w:r>
        <w:rPr>
          <w:rFonts w:eastAsia="IRNazanin" w:cs="IRNazanin"/>
          <w:color w:val="111111"/>
          <w:sz w:val="28"/>
          <w:szCs w:val="28"/>
          <w:lang w:bidi="fa-IR"/>
        </w:rPr>
        <w:t>732</w:t>
      </w:r>
      <w:r>
        <w:rPr>
          <w:rFonts w:eastAsia="IRNazanin" w:cs="IRNazanin"/>
          <w:color w:val="111111"/>
          <w:sz w:val="28"/>
          <w:szCs w:val="28"/>
          <w:rtl w:val="true"/>
          <w:lang w:bidi="fa-IR"/>
        </w:rPr>
        <w:t xml:space="preserve"> - </w:t>
      </w:r>
      <w:r>
        <w:rPr>
          <w:rFonts w:eastAsia="IRNazanin" w:cs="IRNazanin"/>
          <w:color w:val="111111"/>
          <w:sz w:val="28"/>
          <w:szCs w:val="28"/>
          <w:lang w:bidi="fa-IR"/>
        </w:rPr>
        <w:t>672</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الکناش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الکنّاش فی فنّی النحو و الصرف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عمادالدین ابی‌الفداء اسماعیل بن الافضل علی الایوبی الشهیر بصاحب حماة؛ دراسة و تحقیق ریاض بن حسن الخوام</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المکتبة العصریة ، م</w:t>
      </w:r>
      <w:r>
        <w:rPr>
          <w:rFonts w:ascii="IRNazanin" w:hAnsi="IRNazanin" w:eastAsia="IRNazanin"/>
          <w:color w:val="111111"/>
          <w:sz w:val="28"/>
          <w:sz w:val="28"/>
          <w:szCs w:val="28"/>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w:t>
      </w:r>
      <w:r>
        <w:rPr>
          <w:rFonts w:eastAsia="IRNazanin" w:cs="IRNazanin"/>
          <w:color w:val="111111"/>
          <w:sz w:val="28"/>
          <w:szCs w:val="28"/>
          <w:lang w:bidi="fa-IR"/>
        </w:rPr>
        <w:t>1420</w:t>
      </w:r>
      <w:r>
        <w:rPr>
          <w:rFonts w:eastAsia="IRNazanin" w:cs="IRNazanin"/>
          <w:color w:val="111111"/>
          <w:sz w:val="28"/>
          <w:szCs w:val="28"/>
          <w:rtl w:val="true"/>
          <w:lang w:bidi="fa-IR"/>
        </w:rPr>
        <w:t xml:space="preserve"> =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و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خوام، ریاض</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PJ6151</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9376</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الکُنّاش فی فنّی النحو و الصرف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تألیف ابوالفداء اسماعیل بن افضل علی ایّوبی، مشهور به صاحب حماة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ascii="IRNazanin" w:hAnsi="IRNazanin" w:eastAsia="IRNazanin"/>
          <w:color w:val="111111"/>
          <w:sz w:val="28"/>
          <w:sz w:val="28"/>
          <w:szCs w:val="28"/>
          <w:lang w:bidi="fa-IR"/>
        </w:rPr>
        <w:t>۷۳۲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جمله آثار ادبیات عربی است که با تحقیق ریاض بن حسن خوّام در دو جلد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الکنّاش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جزئی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المفصل فی صنعة الإعراب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زمخشری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الکافیة فی علم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الشافیة فی علمی التصریف و الخط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حاجب که از منابع ادبیات عرب است، شرح شده و با شرح این اجزاء، جمیع ابواب صرف و نحو و املاء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مشتمل بر دو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 به مقاله تحقیقی محقق کتاب و باب دوم، به متن کتاب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 در دو قسمت و هرکدام در ضمن فصولی درباره نویسنده و کتاب، تحقیق ارزشمندی را ارائه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متن کتاب، ابتدا مطالب بر طبق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زمخشری پس از طرح یک سری مباحث مقدماتی، در سه بخش مرفوعات، منصوبات و مجرورات دسته‌بندی و سپس دنباله مباحث در چهار قسمت اسم، فعل، حرف و مشترک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مشترک، در ضمن ده فصل بیان شده که فصل دهم آن به مباحث خط و املاء اختصاص دارد</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16522_99655095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482_155973"/>
      <w:bookmarkStart w:id="8" w:name="pg14482_155973"/>
      <w:bookmarkEnd w:id="8"/>
    </w:p>
    <w:p>
      <w:pPr>
        <w:pStyle w:val="Heading2"/>
        <w:numPr>
          <w:ilvl w:val="1"/>
          <w:numId w:val="1"/>
        </w:numPr>
        <w:rPr/>
      </w:pPr>
      <w:bookmarkStart w:id="9" w:name="pg14482_155973"/>
      <w:bookmarkStart w:id="10" w:name="__RefHeading___Toc716524_996550957"/>
      <w:bookmarkStart w:id="11" w:name="_Toc3"/>
      <w:bookmarkEnd w:id="9"/>
      <w:bookmarkEnd w:id="10"/>
      <w:r>
        <w:rPr>
          <w:rtl w:val="true"/>
        </w:rPr>
        <w:t>[</w:t>
      </w:r>
      <w:r>
        <w:rPr>
          <w:rtl w:val="true"/>
        </w:rPr>
        <w:t>مقدمة المحقق</w:t>
      </w:r>
      <w:r>
        <w:rPr>
          <w:rtl w:val="true"/>
        </w:rPr>
        <w:t>]</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رب العالمين ، والصلاة والسّلام على سيد المرسلين وعلى آله وأصحابه أجمعين وبعد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نهجت دراسة الظواهر النحوية والصرفية منهجين متكاملين يردف كل واحد منهما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الظاهرة وفق الأسس التي قدمها النحويون في كتبهم مع الاتصال بالدرس النحوي والصرفي في صورته الحديثة ، وهذا المنهج يتمثل في قتل القديم بحثا واتخاذ الدرس الحديث آلة من آلات فهم القديم ودراسته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المخطوطات العربية ودراستها وإخراجها إلى النور لكونها المادة الأساسية لأصحاب المنهج الأول ورأيت أن أجمع بين المنهجين ، فآثرت </w:t>
      </w:r>
      <w:r>
        <w:rPr>
          <w:rStyle w:val="FootnoteAnchor"/>
          <w:rtl w:val="true"/>
        </w:rPr>
        <w:footnoteReference w:id="2"/>
      </w:r>
      <w:r>
        <w:rPr>
          <w:rFonts w:ascii="Amiri" w:hAnsi="Amiri" w:eastAsia="Amiri" w:cs="Amiri"/>
          <w:color w:val="111111"/>
          <w:sz w:val="28"/>
          <w:sz w:val="28"/>
          <w:szCs w:val="28"/>
          <w:rtl w:val="true"/>
          <w:lang w:bidi="ar-SA"/>
        </w:rPr>
        <w:t>أن أتناول في تجربتي الثانية تحقيق إحدى المخطوطات ودراستها ، وبذلك أشارك أيضا في الجهود المبذولة لتحقيق جميع المخطوطات العربية ونشرها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فضلت هذه المخطوطة على غيرها لأربعة أسباب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أبا الفداء ذو شهرة علمية عالمية واضحة ، قد نالها من نشر كتابيه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المختصر في أخبار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تقويم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فقد حاز هذان الكتابان على مكانة سامية لدى الباحثين العرب وغير العرب ، فطبعا مرارا ، وترجما إلى عدة لغات</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الباحثين المحدثين لم يعرفوا أبا الفداء نحويا ، فلعل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ونشره يفيد أنه لا يقل تمكّنا في النحو والصرف من تمكّنه في علمي التأريخ </w:t>
      </w:r>
    </w:p>
    <w:p>
      <w:pPr>
        <w:pStyle w:val="BookText"/>
        <w:rPr/>
      </w:pPr>
      <w:r>
        <w:rPr>
          <w:rFonts w:ascii="Amiri" w:hAnsi="Amiri" w:eastAsia="Amiri" w:cs="Amiri"/>
          <w:color w:val="111111"/>
          <w:sz w:val="28"/>
          <w:sz w:val="28"/>
          <w:szCs w:val="28"/>
          <w:rtl w:val="true"/>
          <w:lang w:bidi="ar-SA"/>
        </w:rPr>
        <w:t>والجغرافيا ، وبذلك نكشف عن جانب آخر من جوانب ثقافته المتنوعة ، مما يساعد على جلاء شخصيته وبيان ملامحها بدقة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هذه المخطوطة تمثّل واحدا من كتب الكنّاش التي ما رأيت أحدا قد تناول تحقيق واحد منها ، ولعلّنا بتحقيقها ندفع الباحثين إلى الالتفات إلى تحقيق كتب الكنّاش المتفرقة في مكتبات العالم ، وفي ذلك كثير من الفوائد المرجوة لدراستنا اللغوية والنحوية والصرفية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هذه المخطوطة شرح لأجزاء مختارة من مفصل الزمخشري ، وأجزاء من كافية ابن الحاجب وشافيته ، وهذه الكتب الثلاثة ذات قيمة معروفة بين المشتغلين بعلوم العربية ، وقد أتى أبو الفداء من شرح هذه الأجزاء على جميع الأبواب النحوية والصرفية والإملائية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أنها مخطوطة نادرة وحيدة ، فمن الواجب العلمي تحقيقها ونشرها خوفا عليها من عوادي الزمن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أجل ذلك كله ، عزمت على تحقيق هذه المخطوطة ، وجعلت عملي بابين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 المحقّق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وقسمت الباب الأول قسمين ، جعلت القسم الأول في ستة فصول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وأسرته وإمارته على مدينة حماة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حياته العلمية وتكوينه الثقافي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مصنّفاته وشعره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 أبي الفداء في الكناش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شواهده ومصادره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 أبي الفداء النحوي ، وموقفه من النحاة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وولي ذلك القسم الثاني الذي أتى في خمسة فصول </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التعريف بعنوان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الكناش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توثيق نسبة الكتاب إلى أبي الفداء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المخطوطة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قطر والنخبة المتميّزة من السّرّاق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جاء الباب الثاني للنص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الكنّاش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وخدمته بصنع فهارس للآيات القرآنية ، والأحاديث النبوية الشريفة ، والأشعار ، والأرجاز ، والأمثال والأقوال ، والألفاظ اللغوية ، والأعلام ، والقبائل ، والبلدان ، والكتب والمصادر ، والموضوعات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جهدت في أن أخرج هذا الكناش على أحسن صورة أحسبها ترضي 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أجمل حلّة أردتها له ، فلعلي قد وفّقت ، وإلا فحسبي أني حاولت ، وقد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العجز عن درك الإدراك إدراك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 الله سبحانه وتعالى أن يثبتنا بالقول الثابت ، وأن يرزقنا الصواب ، ويلهمنا الحكمة ، وأن يجعل هذا العمل نافعا خالصا لوجهه الكريم ، وله الحمد والمنّة أولا وآخرا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رياض بن حسن الخوّام</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مكة المكرمة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4482_155977"/>
      <w:bookmarkStart w:id="13" w:name="pg14482_155977"/>
      <w:bookmarkEnd w:id="13"/>
    </w:p>
    <w:p>
      <w:pPr>
        <w:pStyle w:val="Heading2"/>
        <w:numPr>
          <w:ilvl w:val="1"/>
          <w:numId w:val="1"/>
        </w:numPr>
        <w:rPr/>
      </w:pPr>
      <w:bookmarkStart w:id="14" w:name="pg14482_155977"/>
      <w:bookmarkStart w:id="15" w:name="__RefHeading___Toc716526_996550957"/>
      <w:bookmarkStart w:id="16" w:name="_Toc4"/>
      <w:bookmarkEnd w:id="14"/>
      <w:bookmarkEnd w:id="15"/>
      <w:r>
        <w:rPr>
          <w:rtl w:val="true"/>
        </w:rPr>
        <w:t xml:space="preserve">الباب الأول </w:t>
      </w:r>
      <w:r>
        <w:rPr>
          <w:rtl w:val="true"/>
        </w:rPr>
        <w:t xml:space="preserve">: </w:t>
      </w:r>
      <w:r>
        <w:rPr>
          <w:rtl w:val="true"/>
        </w:rPr>
        <w:t>الدراسة</w:t>
      </w:r>
      <w:bookmarkEnd w:id="16"/>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 w:name="__RefHeading___Toc716528_996550957"/>
      <w:bookmarkStart w:id="18" w:name="_Toc5"/>
      <w:bookmarkEnd w:id="17"/>
      <w:r>
        <w:rPr>
          <w:rtl w:val="true"/>
        </w:rPr>
        <w:t>اشارة</w:t>
      </w:r>
      <w:bookmarkStart w:id="19" w:name="pg14482_155978"/>
      <w:bookmarkEnd w:id="18"/>
    </w:p>
    <w:p>
      <w:pPr>
        <w:pStyle w:val="Heading3"/>
        <w:numPr>
          <w:ilvl w:val="2"/>
          <w:numId w:val="1"/>
        </w:numPr>
        <w:rPr/>
      </w:pPr>
      <w:bookmarkStart w:id="20" w:name="__RefHeading___Toc716530_996550957"/>
      <w:bookmarkStart w:id="21" w:name="_Toc6"/>
      <w:bookmarkEnd w:id="19"/>
      <w:bookmarkEnd w:id="20"/>
      <w:r>
        <w:rPr>
          <w:rtl w:val="true"/>
        </w:rPr>
        <w:t>القسم الأول</w:t>
      </w:r>
      <w:bookmarkEnd w:id="21"/>
    </w:p>
    <w:p>
      <w:pPr>
        <w:pStyle w:val="Heading4"/>
        <w:numPr>
          <w:ilvl w:val="3"/>
          <w:numId w:val="1"/>
        </w:numPr>
        <w:rPr/>
      </w:pPr>
      <w:bookmarkStart w:id="22" w:name="__RefHeading___Toc716532_996550957"/>
      <w:bookmarkStart w:id="23" w:name="_Toc7"/>
      <w:bookmarkEnd w:id="22"/>
      <w:r>
        <w:rPr>
          <w:rtl w:val="true"/>
        </w:rPr>
        <w:t>اشارة</w:t>
      </w:r>
      <w:bookmarkEnd w:id="23"/>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وأسرته وإمارته على مدينة حماة</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حياته العلمية وتكوينه الثقافي</w:t>
      </w:r>
    </w:p>
    <w:p>
      <w:pPr>
        <w:pStyle w:val="BookText"/>
        <w:rPr/>
      </w:pPr>
      <w:r>
        <w:rPr>
          <w:rFonts w:ascii="IRNazanin" w:hAnsi="IRNazanin" w:eastAsia="IRNazanin"/>
          <w:color w:val="111111"/>
          <w:sz w:val="28"/>
          <w:sz w:val="28"/>
          <w:szCs w:val="28"/>
          <w:rtl w:val="true"/>
          <w:lang w:bidi="fa-IR"/>
        </w:rPr>
        <w:t xml:space="preserve">الفصل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مصنفاته وشعره</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 أبي الفداء في الكناش</w:t>
      </w:r>
    </w:p>
    <w:p>
      <w:pPr>
        <w:pStyle w:val="BookText"/>
        <w:rPr/>
      </w:pPr>
      <w:r>
        <w:rPr>
          <w:rFonts w:ascii="IRNazanin" w:hAnsi="IRNazanin" w:eastAsia="IRNazanin"/>
          <w:color w:val="111111"/>
          <w:sz w:val="28"/>
          <w:sz w:val="28"/>
          <w:szCs w:val="28"/>
          <w:rtl w:val="true"/>
          <w:lang w:bidi="fa-IR"/>
        </w:rPr>
        <w:t xml:space="preserve">الفصل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شواهده ومصادره</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 أبي الفداء النحوي وموقفه من النحاة </w:t>
      </w:r>
      <w:bookmarkStart w:id="24" w:name="pg14482_155979"/>
    </w:p>
    <w:p>
      <w:pPr>
        <w:pStyle w:val="Heading4"/>
        <w:numPr>
          <w:ilvl w:val="3"/>
          <w:numId w:val="1"/>
        </w:numPr>
        <w:rPr/>
      </w:pPr>
      <w:bookmarkStart w:id="25" w:name="__RefHeading___Toc716534_996550957"/>
      <w:bookmarkStart w:id="26" w:name="_Toc8"/>
      <w:bookmarkEnd w:id="24"/>
      <w:bookmarkEnd w:id="25"/>
      <w:r>
        <w:rPr>
          <w:rtl w:val="true"/>
        </w:rPr>
        <w:t xml:space="preserve">الفصل الأول </w:t>
      </w:r>
      <w:r>
        <w:rPr>
          <w:rtl w:val="true"/>
        </w:rPr>
        <w:t xml:space="preserve">: </w:t>
      </w:r>
      <w:r>
        <w:rPr>
          <w:rtl w:val="true"/>
        </w:rPr>
        <w:t>اسمه وأسرته وإمارته على مدينة حماة</w:t>
      </w:r>
      <w:bookmarkEnd w:id="26"/>
    </w:p>
    <w:p>
      <w:pPr>
        <w:pStyle w:val="BookText"/>
        <w:rPr/>
      </w:pPr>
      <w:r>
        <w:rPr>
          <w:rFonts w:ascii="Amiri" w:hAnsi="Amiri" w:eastAsia="Amiri" w:cs="Amiri"/>
          <w:color w:val="111111"/>
          <w:sz w:val="28"/>
          <w:sz w:val="28"/>
          <w:szCs w:val="28"/>
          <w:rtl w:val="true"/>
          <w:lang w:bidi="ar-SA"/>
        </w:rPr>
        <w:t xml:space="preserve">هو الملك المؤيد عماد الدين أبو الفداء إسماعيل بن الملك الأفضل نور الدين أبي الحسن علي بن السلطان الملك المظفر تقي الدين أبي الفتح محمود بن السلطان الملك المنصور ناصر الدين أبي المعالي محمد بن السلطان الملك المظفر تقي الدين أبي الخطاب عمر بن شاهنشاه بن أيوب بن شادي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وواضح من هذا النسب الرفيع أن أبا الفداء ينتمي إلى الأسرة الأيوبية التي حكمت الشام ومصر وتاريخها أشهر من أن 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وتجمع المصادر التي ترجمت له على أن مولده كان في دمشق في شهر جمادي الأولى سنة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لأن أهله كانوا قد غادروا حماة إلى دمشق خوفا من التتار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وأشار أبو الفداء في كتابه المختصر إلى بعض الأخبار التي تلقي الضوء على </w:t>
      </w:r>
    </w:p>
    <w:p>
      <w:pPr>
        <w:pStyle w:val="BookText"/>
        <w:rPr/>
      </w:pPr>
      <w:r>
        <w:rPr>
          <w:rFonts w:ascii="Amiri" w:hAnsi="Amiri" w:eastAsia="Amiri" w:cs="Amiri"/>
          <w:color w:val="111111"/>
          <w:sz w:val="28"/>
          <w:sz w:val="28"/>
          <w:szCs w:val="28"/>
          <w:rtl w:val="true"/>
          <w:lang w:bidi="ar-SA"/>
        </w:rPr>
        <w:t xml:space="preserve">أحوال أسرته فذكر أن أباه الملك الأفضل علي بن الملك المظفر محمود بقي يشارك أخاه صاحب حماة الملك المنصور أحمد في معاركه وفتوحاته ضد الصليبيين </w:t>
      </w:r>
      <w:r>
        <w:rPr>
          <w:rStyle w:val="FootnoteAnchor"/>
          <w:rtl w:val="true"/>
        </w:rPr>
        <w:footnoteReference w:id="5"/>
      </w:r>
      <w:r>
        <w:rPr>
          <w:rFonts w:ascii="Amiri" w:hAnsi="Amiri" w:eastAsia="Amiri" w:cs="Amiri"/>
          <w:color w:val="111111"/>
          <w:sz w:val="28"/>
          <w:sz w:val="28"/>
          <w:szCs w:val="28"/>
          <w:rtl w:val="true"/>
          <w:lang w:bidi="ar-SA"/>
        </w:rPr>
        <w:t xml:space="preserve">حتى توفي بدمشق سنة </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6"/>
      </w:r>
      <w:r>
        <w:rPr>
          <w:rFonts w:ascii="Amiri" w:hAnsi="Amiri" w:eastAsia="Amiri" w:cs="Amiri"/>
          <w:color w:val="111111"/>
          <w:sz w:val="28"/>
          <w:sz w:val="28"/>
          <w:szCs w:val="28"/>
          <w:rtl w:val="true"/>
          <w:lang w:bidi="ar-SA"/>
        </w:rPr>
        <w:t xml:space="preserve">وأنّ والدته كانت على قدم كبير من العبادة والتقوى وتوفيت سنة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7"/>
      </w:r>
      <w:r>
        <w:rPr>
          <w:rFonts w:ascii="Amiri" w:hAnsi="Amiri" w:eastAsia="Amiri" w:cs="Amiri"/>
          <w:color w:val="111111"/>
          <w:sz w:val="28"/>
          <w:sz w:val="28"/>
          <w:szCs w:val="28"/>
          <w:rtl w:val="true"/>
          <w:lang w:bidi="ar-SA"/>
        </w:rPr>
        <w:t xml:space="preserve">وأنّ له أخوين هما أسد الدين عمر ، وبدر الدين حسن الذي توفي سنة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8"/>
      </w:r>
      <w:r>
        <w:rPr>
          <w:rFonts w:ascii="Amiri" w:hAnsi="Amiri" w:eastAsia="Amiri" w:cs="Amiri"/>
          <w:color w:val="111111"/>
          <w:sz w:val="28"/>
          <w:sz w:val="28"/>
          <w:szCs w:val="28"/>
          <w:rtl w:val="true"/>
          <w:lang w:bidi="ar-SA"/>
        </w:rPr>
        <w:t xml:space="preserve">وأنّ أبا الفداء رزق ولدا أسماه محمدا سنة </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9"/>
      </w:r>
      <w:r>
        <w:rPr>
          <w:rFonts w:ascii="Amiri" w:hAnsi="Amiri" w:eastAsia="Amiri" w:cs="Amiri"/>
          <w:color w:val="111111"/>
          <w:sz w:val="28"/>
          <w:sz w:val="28"/>
          <w:szCs w:val="28"/>
          <w:rtl w:val="true"/>
          <w:lang w:bidi="ar-SA"/>
        </w:rPr>
        <w:t xml:space="preserve">وذكر ابن الوردي أنّ محمدا استلم الملك بعد وفاة أبيه وعمره عشرون عاما وأنّه توفي سنة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والعجيب حقا أنّ كتب التراجم لم تحدثنا الكثير عن طفولة أبي الفداء ونشأته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سليل ملوك وملكا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نصّها على أنه كان أميرا بدمشق من جملة أمرائها </w:t>
      </w:r>
      <w:r>
        <w:rPr>
          <w:rStyle w:val="FootnoteAnchor"/>
          <w:rtl w:val="true"/>
        </w:rPr>
        <w:footnoteReference w:id="11"/>
      </w:r>
      <w:r>
        <w:rPr>
          <w:rFonts w:ascii="Amiri" w:hAnsi="Amiri" w:eastAsia="Amiri" w:cs="Amiri"/>
          <w:color w:val="111111"/>
          <w:sz w:val="28"/>
          <w:sz w:val="28"/>
          <w:szCs w:val="28"/>
          <w:rtl w:val="true"/>
          <w:lang w:bidi="ar-SA"/>
        </w:rPr>
        <w:t xml:space="preserve">في حين ذكر أبو الفداء أيضا ما يدلنا على أنه بدأ حياته العسكرية مبكرا ؛ فقد شارك عمّه وأباه في معاركهما ضد الصليبيين وفتح معهما قلعة المرقب وكان عمره اثنتي عشرة سنة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وتجمع المصادر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مبيّنة كيف تولّى السلطنة على حماة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أبا الفداء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خدم الملك الناصر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قلاوون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بالكرك وبالغ في ذلك فوعده بحماة </w:t>
      </w:r>
    </w:p>
    <w:p>
      <w:pPr>
        <w:pStyle w:val="BookText"/>
        <w:rPr/>
      </w:pPr>
      <w:r>
        <w:rPr>
          <w:rFonts w:ascii="Amiri" w:hAnsi="Amiri" w:eastAsia="Amiri" w:cs="Amiri"/>
          <w:color w:val="111111"/>
          <w:sz w:val="28"/>
          <w:sz w:val="28"/>
          <w:szCs w:val="28"/>
          <w:rtl w:val="true"/>
          <w:lang w:bidi="ar-SA"/>
        </w:rPr>
        <w:t xml:space="preserve">ووفّى له بذلك وأعطاه حماة بعد أن أمّر أسندمر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أميرا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حلب بعد موت نائبها قبجق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وجعله صاحبها ، سلطانا يفعل فيها ما يختار من إقطاع وغيره ليس لأحد من الدولة بمصر من نائب ووزير معه فيها حكم ، اللهم إلّا إن جرّد عسكر من مصر والشام جرّد منها ؛ وأركبه في القاهرة سنة </w:t>
      </w: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بشعار الملك وأبّهة السلطنة ، ومشى الأمراء والناس في خدمته حتى الأمير سيف الدين أرغون ، ولقبه الملك الصالح ، ثم بعد قليل لقبه الملك المؤيّد </w:t>
      </w:r>
      <w:r>
        <w:rPr>
          <w:rStyle w:val="FootnoteAnchor"/>
          <w:rtl w:val="true"/>
        </w:rPr>
        <w:footnoteReference w:id="13"/>
      </w:r>
      <w:r>
        <w:rPr>
          <w:rFonts w:ascii="Amiri" w:hAnsi="Amiri" w:eastAsia="Amiri" w:cs="Amiri"/>
          <w:color w:val="111111"/>
          <w:sz w:val="28"/>
          <w:sz w:val="28"/>
          <w:szCs w:val="28"/>
          <w:rtl w:val="true"/>
          <w:lang w:bidi="ar-SA"/>
        </w:rPr>
        <w:t xml:space="preserve">وعاد أبو الفداء إلى حماه بعد أن جهّزه السلطان بسائر ما يحتاج إليه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صوّرت لنا المصادر أيضا تلك المنزلة الرفيعة والمكانة السامية التي نالها أبو الفداء لدى الملك الناصر ، فقد تقدّم الملك الناصر إلى نوابه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بأن يكتب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يقبّل الأرض وهذا لفظ يختصّ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الشوكاني ، بالسلطان الأعظم </w:t>
      </w:r>
      <w:r>
        <w:rPr>
          <w:rStyle w:val="FootnoteAnchor"/>
          <w:rtl w:val="true"/>
        </w:rPr>
        <w:footnoteReference w:id="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الأمير سيف الدين تنكز رحمه‌الله يكتب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يقبّل الأرض بالمقام الشريف العالي المولوي السلطاني الملكي المؤيّدي العمادي ، وفي العنوان صاحب حماة ، ويكتب السلطان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أخوه محمد بن قلاوون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أعزّ الله أيضا المقام الشريف العالي السلطاني الملكي المؤيدي العمادي بلا مولوي </w:t>
      </w:r>
      <w:r>
        <w:rPr>
          <w:rFonts w:eastAsia="Amiri" w:cs="Amiri" w:ascii="Amiri" w:hAnsi="Amiri"/>
          <w:color w:val="111111"/>
          <w:sz w:val="28"/>
          <w:szCs w:val="28"/>
          <w:rtl w:val="true"/>
          <w:lang w:bidi="ar-SA"/>
        </w:rPr>
        <w:t xml:space="preserve">: </w:t>
      </w:r>
      <w:r>
        <w:rPr>
          <w:rStyle w:val="FootnoteAnchor"/>
          <w:rtl w:val="true"/>
        </w:rPr>
        <w:footnoteReference w:id="16"/>
      </w:r>
      <w:r>
        <w:rPr>
          <w:rFonts w:ascii="Amiri" w:hAnsi="Amiri" w:eastAsia="Amiri" w:cs="Amiri"/>
          <w:color w:val="111111"/>
          <w:sz w:val="28"/>
          <w:sz w:val="28"/>
          <w:szCs w:val="28"/>
          <w:rtl w:val="true"/>
          <w:lang w:bidi="ar-SA"/>
        </w:rPr>
        <w:t xml:space="preserve">وكان تاريخ التقليد في الثامن عشر من جمادى الأولى سنة </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قابل أبو الفداء هذا الإكرام والتعظيم بالوفاء والولاء ، فكان يتوجه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مصر في كلّ سنة بأنواع من الخيل والرقيق والجواهر وسائر الأصناف الغريبة</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وبقي أبو الفداء ملكا على حماة حتى توفي فجأة في الثالث والعشرين من </w:t>
      </w:r>
    </w:p>
    <w:p>
      <w:pPr>
        <w:pStyle w:val="BookText"/>
        <w:rPr/>
      </w:pPr>
      <w:r>
        <w:rPr>
          <w:rFonts w:ascii="Amiri" w:hAnsi="Amiri" w:eastAsia="Amiri" w:cs="Amiri"/>
          <w:color w:val="111111"/>
          <w:sz w:val="28"/>
          <w:sz w:val="28"/>
          <w:szCs w:val="28"/>
          <w:rtl w:val="true"/>
          <w:lang w:bidi="ar-SA"/>
        </w:rPr>
        <w:t xml:space="preserve">المحرّم سنة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19"/>
      </w:r>
      <w:r>
        <w:rPr>
          <w:rFonts w:ascii="Amiri" w:hAnsi="Amiri" w:eastAsia="Amiri" w:cs="Amiri"/>
          <w:color w:val="111111"/>
          <w:sz w:val="28"/>
          <w:sz w:val="28"/>
          <w:szCs w:val="28"/>
          <w:rtl w:val="true"/>
          <w:lang w:bidi="ar-SA"/>
        </w:rPr>
        <w:t>عن ستين سنة إلا ثلاثة أشهر وأياما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ودفن ضحوة عند والديه بظاهر حماة </w:t>
      </w:r>
      <w:r>
        <w:rPr>
          <w:rStyle w:val="FootnoteAnchor"/>
          <w:rtl w:val="true"/>
        </w:rPr>
        <w:footnoteReference w:id="20"/>
      </w:r>
      <w:r>
        <w:rPr>
          <w:rFonts w:ascii="Amiri" w:hAnsi="Amiri" w:eastAsia="Amiri" w:cs="Amiri"/>
          <w:color w:val="111111"/>
          <w:sz w:val="28"/>
          <w:sz w:val="28"/>
          <w:szCs w:val="28"/>
          <w:rtl w:val="true"/>
          <w:lang w:bidi="ar-SA"/>
        </w:rPr>
        <w:t xml:space="preserve">وقد رثاه جمال الدين محمد بن نباتة بقصيدة أولها </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ما للندى لا يلبّي صوت داعيه</w:t>
      </w:r>
    </w:p>
    <w:p>
      <w:pPr>
        <w:pStyle w:val="BookText"/>
        <w:rPr/>
      </w:pPr>
      <w:r>
        <w:rPr>
          <w:rFonts w:ascii="Amiri" w:hAnsi="Amiri" w:eastAsia="Amiri" w:cs="Amiri"/>
          <w:color w:val="111111"/>
          <w:sz w:val="28"/>
          <w:sz w:val="28"/>
          <w:szCs w:val="28"/>
          <w:rtl w:val="true"/>
          <w:lang w:bidi="ar-SA"/>
        </w:rPr>
        <w:t>أظنّ أنّ ابن شاد قام ناعيه</w:t>
      </w:r>
    </w:p>
    <w:p>
      <w:pPr>
        <w:pStyle w:val="BookText"/>
        <w:rPr/>
      </w:pPr>
      <w:r>
        <w:rPr>
          <w:rFonts w:ascii="IRNazanin" w:hAnsi="IRNazanin" w:eastAsia="IRNazanin"/>
          <w:color w:val="111111"/>
          <w:sz w:val="28"/>
          <w:sz w:val="28"/>
          <w:szCs w:val="28"/>
          <w:rtl w:val="true"/>
          <w:lang w:bidi="fa-IR"/>
        </w:rPr>
        <w:t>ما للرجاء قد استدّت مذاهبه</w:t>
      </w:r>
    </w:p>
    <w:p>
      <w:pPr>
        <w:pStyle w:val="BookText"/>
        <w:rPr/>
      </w:pPr>
      <w:r>
        <w:rPr>
          <w:rFonts w:ascii="Amiri" w:hAnsi="Amiri" w:eastAsia="Amiri" w:cs="Amiri"/>
          <w:color w:val="111111"/>
          <w:sz w:val="28"/>
          <w:sz w:val="28"/>
          <w:szCs w:val="28"/>
          <w:rtl w:val="true"/>
          <w:lang w:bidi="ar-SA"/>
        </w:rPr>
        <w:t>ما للزمان قد اسودت نواحيه</w:t>
      </w:r>
    </w:p>
    <w:p>
      <w:pPr>
        <w:pStyle w:val="BookText"/>
        <w:rPr/>
      </w:pPr>
      <w:r>
        <w:rPr>
          <w:rFonts w:ascii="Amiri" w:hAnsi="Amiri" w:eastAsia="Amiri" w:cs="Amiri"/>
          <w:color w:val="111111"/>
          <w:sz w:val="28"/>
          <w:sz w:val="28"/>
          <w:szCs w:val="28"/>
          <w:rtl w:val="true"/>
          <w:lang w:bidi="ar-SA"/>
        </w:rPr>
        <w:t>نعى المؤيّد ناعيه فيا أسفا</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للغيث كيف غدت عنّا غواديه </w:t>
      </w:r>
      <w:bookmarkStart w:id="27" w:name="pg14482_155983"/>
    </w:p>
    <w:p>
      <w:pPr>
        <w:pStyle w:val="Heading4"/>
        <w:numPr>
          <w:ilvl w:val="3"/>
          <w:numId w:val="1"/>
        </w:numPr>
        <w:rPr/>
      </w:pPr>
      <w:bookmarkStart w:id="28" w:name="__RefHeading___Toc716536_996550957"/>
      <w:bookmarkStart w:id="29" w:name="_Toc9"/>
      <w:bookmarkEnd w:id="27"/>
      <w:bookmarkEnd w:id="28"/>
      <w:r>
        <w:rPr>
          <w:rtl w:val="true"/>
        </w:rPr>
        <w:t xml:space="preserve">الفصل الثاني </w:t>
      </w:r>
      <w:r>
        <w:rPr>
          <w:rtl w:val="true"/>
        </w:rPr>
        <w:t xml:space="preserve">: </w:t>
      </w:r>
      <w:r>
        <w:rPr>
          <w:rtl w:val="true"/>
        </w:rPr>
        <w:t>حياته العلمية وتكوينه الثقافي</w:t>
      </w:r>
      <w:bookmarkEnd w:id="29"/>
    </w:p>
    <w:p>
      <w:pPr>
        <w:pStyle w:val="BookText"/>
        <w:rPr/>
      </w:pPr>
      <w:r>
        <w:rPr>
          <w:rFonts w:ascii="Amiri" w:hAnsi="Amiri" w:eastAsia="Amiri" w:cs="Amiri"/>
          <w:color w:val="111111"/>
          <w:sz w:val="28"/>
          <w:sz w:val="28"/>
          <w:szCs w:val="28"/>
          <w:rtl w:val="true"/>
          <w:lang w:bidi="ar-SA"/>
        </w:rPr>
        <w:t xml:space="preserve">يعدّ أبو الفداء موسوعة علمية ثقافية متنوعة ، فقد نهل من علوم كثيرة وأجاد في فنون متعدّدة ، فكان كما وصفته كتب التراجم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رجلا عالما جامعا لأشتات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ماهرا في الفقه والتفسير والأصلين والنحو وعلم الميقات والفلسفة والمنطق والطب والعروض والتاريخ وغير ذلك من العلوم ، شاعرا ماهرا كريما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معتنيا بعلوم الأوائل اعتناء كبيرا </w:t>
      </w:r>
      <w:r>
        <w:rPr>
          <w:rStyle w:val="FootnoteAnchor"/>
          <w:rtl w:val="true"/>
        </w:rPr>
        <w:footnoteReference w:id="22"/>
      </w:r>
      <w:r>
        <w:rPr>
          <w:rFonts w:ascii="Amiri" w:hAnsi="Amiri" w:eastAsia="Amiri" w:cs="Amiri"/>
          <w:color w:val="111111"/>
          <w:sz w:val="28"/>
          <w:sz w:val="28"/>
          <w:szCs w:val="28"/>
          <w:rtl w:val="true"/>
          <w:lang w:bidi="ar-SA"/>
        </w:rPr>
        <w:t>وله يد طولى في الهيئة</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ريب أنّ هذا التنوع الثقافي قد قام على أسس متينة متنوعة ، غير أن كتب التراجم ضنّت علينا بأخبار حياته العلمية الأولى ولم تذكر لنا أسماء شيوخه ومؤدّبيه</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وأحسب أن أبا الفداء قد تردّد على العلماء والمؤدّبين ، أو جاء إليه المؤدبون والعلماء شأنه في ذلك شأن أولاد الملوك والأمراء ، فأخذ عنهم ونهل من معينهم ، وتفتّق ذهنه عن عبقرية مبدعة فأصبح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أعجوبة من عجائب الدنيا</w:t>
      </w:r>
      <w:r>
        <w:rPr>
          <w:rFonts w:eastAsia="Amiri" w:cs="Amiri" w:ascii="Amiri" w:hAnsi="Amiri"/>
          <w:color w:val="111111"/>
          <w:sz w:val="28"/>
          <w:szCs w:val="28"/>
          <w:rtl w:val="true"/>
          <w:lang w:bidi="ar-SA"/>
        </w:rPr>
        <w:t xml:space="preserve">» </w:t>
      </w:r>
      <w:r>
        <w:rPr>
          <w:rStyle w:val="FootnoteAnchor"/>
          <w:rtl w:val="true"/>
        </w:rPr>
        <w:footnoteReference w:id="24"/>
      </w:r>
      <w:r>
        <w:rPr>
          <w:rFonts w:ascii="Amiri" w:hAnsi="Amiri" w:eastAsia="Amiri" w:cs="Amiri"/>
          <w:color w:val="111111"/>
          <w:sz w:val="28"/>
          <w:sz w:val="28"/>
          <w:szCs w:val="28"/>
          <w:rtl w:val="true"/>
          <w:lang w:bidi="ar-SA"/>
        </w:rPr>
        <w:t xml:space="preserve">وثمة إشارات وردت عرضا لدى أصحاب التراجم ، وفي كتابه المختصر تبين لنا بعض سيرته العلمية وتكوينه الثقافي وهي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ابن تغري بردي في كتابه المنهل الصافي ذكر أن أبا الفداء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 القرآن العزيز وعدّة كتب</w:t>
      </w:r>
      <w:r>
        <w:rPr>
          <w:rFonts w:eastAsia="Amiri" w:cs="Amiri" w:ascii="Amiri" w:hAnsi="Amiri"/>
          <w:color w:val="111111"/>
          <w:sz w:val="28"/>
          <w:szCs w:val="28"/>
          <w:rtl w:val="true"/>
          <w:lang w:bidi="ar-SA"/>
        </w:rPr>
        <w:t xml:space="preserve">» </w:t>
      </w:r>
      <w:r>
        <w:rPr>
          <w:rStyle w:val="FootnoteAnchor"/>
          <w:rtl w:val="true"/>
        </w:rPr>
        <w:footnoteReference w:id="26"/>
      </w:r>
      <w:r>
        <w:rPr>
          <w:rFonts w:ascii="Amiri" w:hAnsi="Amiri" w:eastAsia="Amiri" w:cs="Amiri"/>
          <w:color w:val="111111"/>
          <w:sz w:val="28"/>
          <w:sz w:val="28"/>
          <w:szCs w:val="28"/>
          <w:rtl w:val="true"/>
          <w:lang w:bidi="ar-SA"/>
        </w:rPr>
        <w:t xml:space="preserve">وهذا القول يدلّ على أنّ أبا الفداء قد قرأه وحفظه على يدي عالم مقرىء ، ويستتبع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تعلّمه التجويد والتفسير والنحو والصرف ، لأنّ هذه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مترافقة متكاملة يردف بعضها بعضا ، ومما يؤكد ذلك أن كتاب الكناش الذي بين أيدينا هو كتاب نحوي صرفي ضمّنه أبو الفداء كثيرا من القراءات القرآنية مبيّنا اختلاف القرّاء حولها ، واختلافهم مع النحويين أحيانا ، ولا ريب أنه لو لم يكن متمكّنا من ذلك لما استطاع أن يتمثّل بهذه الشواهد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أبا الفداء في كتابه المختصر أخبرنا عن اسم شيخ له هو جمال الدين محمد بن سالم بن واصل الشافعي المتوّفى </w:t>
      </w: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الذي كان مبرّزا في علوم كثيرة وصاحب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مفرج الكروب في أخبار بني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وبيّن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يتردّد عليه وعمره خمسة وعشرون عاما ، لأنّ مولده كان سنة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 عليه شرحه لعروض ابن الحاجب وكان يعرض عليه ما لم يحلّه من إشكال كتاب أقليدس ويستفيد منه ويصحّح عليه أسماء من له ترجمة في كتاب الأغاني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ابن حجر في كتابه الدّرر الكامنة أشار إلى أن أبا الفداء كان يقتني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كتبا نفيسة ولم يزل على ذلك إلى أن مات</w:t>
      </w:r>
      <w:r>
        <w:rPr>
          <w:rFonts w:eastAsia="Amiri" w:cs="Amiri" w:ascii="Amiri" w:hAnsi="Amiri"/>
          <w:color w:val="111111"/>
          <w:sz w:val="28"/>
          <w:szCs w:val="28"/>
          <w:rtl w:val="true"/>
          <w:lang w:bidi="ar-SA"/>
        </w:rPr>
        <w:t xml:space="preserve">» </w:t>
      </w:r>
      <w:r>
        <w:rPr>
          <w:rStyle w:val="FootnoteAnchor"/>
          <w:rtl w:val="true"/>
        </w:rPr>
        <w:footnoteReference w:id="28"/>
      </w:r>
      <w:r>
        <w:rPr>
          <w:rFonts w:ascii="Amiri" w:hAnsi="Amiri" w:eastAsia="Amiri" w:cs="Amiri"/>
          <w:color w:val="111111"/>
          <w:sz w:val="28"/>
          <w:sz w:val="28"/>
          <w:szCs w:val="28"/>
          <w:rtl w:val="true"/>
          <w:lang w:bidi="ar-SA"/>
        </w:rPr>
        <w:t xml:space="preserve">وهذا الخبر يدلّ على اهتمام أبي الفداء بالعلم الذي كان من نتيجته جمع هذه المكتبة النادرة ، ويؤكّد هذا الاهتمام أنّ أبا الفداء في كتابه المختصر يوجّه عنايته ، حين يترجم للرجال ، إلى ما صنفوه وما اقتنوه من كتب وينصّ على أماكن وجودها ، ففي ترجمته لأحمد بن يوسف المنازي المتوفى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ذكر أنه كان يقتني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كتبا كثيرة وأوقفها على جامع ميّافارقين وجامع آمد وهي ، إلى قريب ، كانت موجودة بخزائن الجامعين</w:t>
      </w:r>
      <w:r>
        <w:rPr>
          <w:rFonts w:eastAsia="Amiri" w:cs="Amiri" w:ascii="Amiri" w:hAnsi="Amiri"/>
          <w:color w:val="111111"/>
          <w:sz w:val="28"/>
          <w:szCs w:val="28"/>
          <w:rtl w:val="true"/>
          <w:lang w:bidi="ar-SA"/>
        </w:rPr>
        <w:t xml:space="preserve">» </w:t>
      </w:r>
      <w:r>
        <w:rPr>
          <w:rStyle w:val="FootnoteAnchor"/>
          <w:rtl w:val="true"/>
        </w:rPr>
        <w:footnoteReference w:id="29"/>
      </w:r>
      <w:r>
        <w:rPr>
          <w:rFonts w:ascii="Amiri" w:hAnsi="Amiri" w:eastAsia="Amiri" w:cs="Amiri"/>
          <w:color w:val="111111"/>
          <w:sz w:val="28"/>
          <w:sz w:val="28"/>
          <w:szCs w:val="28"/>
          <w:rtl w:val="true"/>
          <w:lang w:bidi="ar-SA"/>
        </w:rPr>
        <w:t xml:space="preserve">ومن ذلك ما رواه أيضا عن أبي علي </w:t>
      </w:r>
    </w:p>
    <w:p>
      <w:pPr>
        <w:pStyle w:val="BookText"/>
        <w:rPr/>
      </w:pPr>
      <w:r>
        <w:rPr>
          <w:rFonts w:ascii="Amiri" w:hAnsi="Amiri" w:eastAsia="Amiri" w:cs="Amiri"/>
          <w:color w:val="111111"/>
          <w:sz w:val="28"/>
          <w:sz w:val="28"/>
          <w:szCs w:val="28"/>
          <w:rtl w:val="true"/>
          <w:lang w:bidi="ar-SA"/>
        </w:rPr>
        <w:t xml:space="preserve">يحيى بن عيسى بن جذلة الطبيب المتوفى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أوقف كتبه قبل موته وجعلها في مشهد أبي حنيفة رضي‌الله‌عنه </w:t>
      </w:r>
      <w:r>
        <w:rPr>
          <w:rStyle w:val="FootnoteAnchor"/>
          <w:rtl w:val="true"/>
        </w:rPr>
        <w:footnoteReference w:id="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مظاهر اهتمامه بالكتب والمؤلفات حرصه على معرفة كتب اليونان المترجمة وغير المترجمة ، فقد نقل من تاريخ ابن القفطي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فلوطيس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كتب أرسطو ونقلت تصانيفه من الرومي إلى السرياني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أعلم أن شيئا منها خرج إلى العربي ، وذكر أيضا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مقسطراطيس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كتب أرسطو أيضا وخرجت إلى العربي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قصة علاجه ومداواته لابنه محمد حين سافرا إلى مصر تكشف لنا ثقافة أبي الفداء المتنوعة وتدلنا من جانب آخر على أنه كان طبيبا بارعا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مرض ابني محمد مرضا شديدا فأرسل لنا السلطان رئيس الأطباء وهو جمال الدين إبراهيم بن أبي الربيع المغربي فحضر إلى سرياقوس وبقي يساعدني على العلاج ثم رحل السلطان من سرياقوس ودخل القلعة وأرسل إليّ حرّاقة فركبت أنا وابني محمد فيها وكان إذ ذاك يوم بحرّانه يعني سابع أيام المرض وهو يوم الخميس سادس ذي الحجة ونزلت بدار طقز تمر ، على بركة الفيل ، وأصبح يوم الجمعة المرض منحطا ولله الحمد</w:t>
      </w:r>
      <w:r>
        <w:rPr>
          <w:rFonts w:eastAsia="Amiri" w:cs="Amiri" w:ascii="Amiri" w:hAnsi="Amiri"/>
          <w:color w:val="111111"/>
          <w:sz w:val="28"/>
          <w:szCs w:val="28"/>
          <w:rtl w:val="true"/>
          <w:lang w:bidi="ar-SA"/>
        </w:rPr>
        <w:t xml:space="preserve">» </w:t>
      </w:r>
      <w:r>
        <w:rPr>
          <w:rStyle w:val="FootnoteAnchor"/>
          <w:rtl w:val="true"/>
        </w:rPr>
        <w:footnoteReference w:id="32"/>
      </w:r>
      <w:r>
        <w:rPr>
          <w:rFonts w:ascii="Amiri" w:hAnsi="Amiri" w:eastAsia="Amiri" w:cs="Amiri"/>
          <w:color w:val="111111"/>
          <w:sz w:val="28"/>
          <w:sz w:val="28"/>
          <w:szCs w:val="28"/>
          <w:rtl w:val="true"/>
          <w:lang w:bidi="ar-SA"/>
        </w:rPr>
        <w:t xml:space="preserve">ويؤكد ذلك ما رواه أيضا الإسنوي في طبقاته فقد ذكر أن أبا الفداء حين قدم إلى الديار المصرية استدعاه إلى مجلسه فحضر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الصلاح ابن البرهان الطبيب المشهور فوقع الكلام اتفاقا في عدد من العلوم فتكلم كلاما محققا وشاركناه في ذلك ثم انتقل الكلام إلى علم النبات والحشائش فكلما وقع ذكر نبات ذكر صفته الدالّة عليه والأرض التي ينبت فيها والمنفعة التي فيه واستطرد من ذلك استطرادا عجيبا ، وهذا الفن الخاص هو الذي كان يتبجّح بمعرفته الطبيبان الحاضران وهما ابن القوبع وابن البرهان فإن أكثر الأطباء لا يدرون ذلك فلما خرجا تعجبا إلى الغاية ، وقال الشيخ ركن الدين ما أعلم من ملك من ملوك المسلمين وصل إلى هذا العلم</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اهتمامه في مختصره بتراجم اللغويين والنحويين </w:t>
      </w:r>
      <w:r>
        <w:rPr>
          <w:rStyle w:val="FootnoteAnchor"/>
          <w:rtl w:val="true"/>
        </w:rPr>
        <w:footnoteReference w:id="34"/>
      </w:r>
      <w:r>
        <w:rPr>
          <w:rFonts w:ascii="Amiri" w:hAnsi="Amiri" w:eastAsia="Amiri" w:cs="Amiri"/>
          <w:color w:val="111111"/>
          <w:sz w:val="28"/>
          <w:sz w:val="28"/>
          <w:szCs w:val="28"/>
          <w:rtl w:val="true"/>
          <w:lang w:bidi="ar-SA"/>
        </w:rPr>
        <w:t xml:space="preserve">يدل على شدة اتصاله بهذا الفن وذلك بمعرفة رجاله وأخبارهم ومصنّفاتهم ، فقد ترجم لكثير منهم تراجم وافية </w:t>
      </w:r>
      <w:r>
        <w:rPr>
          <w:rStyle w:val="FootnoteAnchor"/>
          <w:rtl w:val="true"/>
        </w:rPr>
        <w:footnoteReference w:id="35"/>
      </w:r>
      <w:r>
        <w:rPr>
          <w:rFonts w:ascii="Amiri" w:hAnsi="Amiri" w:eastAsia="Amiri" w:cs="Amiri"/>
          <w:color w:val="111111"/>
          <w:sz w:val="28"/>
          <w:sz w:val="28"/>
          <w:szCs w:val="28"/>
          <w:rtl w:val="true"/>
          <w:lang w:bidi="ar-SA"/>
        </w:rPr>
        <w:t xml:space="preserve">لم تخل من استطرادات علمية نافعة تكشف عن ثقافة واسعة وعلوم متنوعة امتلكها أبو الفداء واستثمرها في مؤلفاته المتعددة ، فبعد أن ترجم لابن الأعرابي قال ما نصّه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والأعرابي منسوب إلى الأعراب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أعرابي إذا كان بدويا وإن لم يكن من العرب ، ورجل عربي منسوب إلى العرب وإن لم يكن بدويا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أعجم وأعجمي إذا كان في لسانه عجمة ، وإن كان من العرب ، ورجل عجمي منسوب إلى العجم وإن كان فصيحا ، هكذا ذكر محمد بن عزيز السجستاني في كتابه الذي فسر فيه غريب القرآن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ذلك ذكره في ترجمة المتنبي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أبي علي الفارسي له إذ سأله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 لنا من الجموع على وزن فعلى فقال المتنبي في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حجلى وظربى ، قال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فطالعت كتب اللغة ثلاث ليال على أن أجد لهما ثالثا ، فلم أجد</w:t>
      </w:r>
      <w:r>
        <w:rPr>
          <w:rFonts w:eastAsia="Amiri" w:cs="Amiri" w:ascii="Amiri" w:hAnsi="Amiri"/>
          <w:color w:val="111111"/>
          <w:sz w:val="28"/>
          <w:szCs w:val="28"/>
          <w:rtl w:val="true"/>
          <w:lang w:bidi="ar-SA"/>
        </w:rPr>
        <w:t xml:space="preserve">» </w:t>
      </w:r>
      <w:r>
        <w:rPr>
          <w:rStyle w:val="FootnoteAnchor"/>
          <w:rtl w:val="true"/>
        </w:rPr>
        <w:footnoteReference w:id="37"/>
      </w:r>
      <w:r>
        <w:rPr>
          <w:rFonts w:ascii="Amiri" w:hAnsi="Amiri" w:eastAsia="Amiri" w:cs="Amiri"/>
          <w:color w:val="111111"/>
          <w:sz w:val="28"/>
          <w:sz w:val="28"/>
          <w:szCs w:val="28"/>
          <w:rtl w:val="true"/>
          <w:lang w:bidi="ar-SA"/>
        </w:rPr>
        <w:t xml:space="preserve">وعلّق أبو الفداء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وحسبك من يقول في حقه أبو علي هذه المقالة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قبل أثنى أبو الفداء على المتنبي لكونه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المكثرين لنقل اللغة والمطلعين عليها وعلى غريبها لا يسأل عن شيء إلا واستشهد فيه بكلام العرب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خطبة كتاب الكناش تفيد عزمه على تأليف سبعة كتب في فنون متنوعة </w:t>
      </w:r>
    </w:p>
    <w:p>
      <w:pPr>
        <w:pStyle w:val="BookText"/>
        <w:rPr/>
      </w:pPr>
      <w:r>
        <w:rPr>
          <w:rFonts w:ascii="Amiri" w:hAnsi="Amiri" w:eastAsia="Amiri" w:cs="Amiri"/>
          <w:color w:val="111111"/>
          <w:sz w:val="28"/>
          <w:sz w:val="28"/>
          <w:szCs w:val="28"/>
          <w:rtl w:val="true"/>
          <w:lang w:bidi="ar-SA"/>
        </w:rPr>
        <w:t xml:space="preserve">كان الكناش سيحتويها </w:t>
      </w:r>
      <w:r>
        <w:rPr>
          <w:rStyle w:val="FootnoteAnchor"/>
          <w:rtl w:val="true"/>
        </w:rPr>
        <w:footnoteReference w:id="39"/>
      </w:r>
      <w:r>
        <w:rPr>
          <w:rFonts w:ascii="Amiri" w:hAnsi="Amiri" w:eastAsia="Amiri" w:cs="Amiri"/>
          <w:color w:val="111111"/>
          <w:sz w:val="28"/>
          <w:sz w:val="28"/>
          <w:szCs w:val="28"/>
          <w:rtl w:val="true"/>
          <w:lang w:bidi="ar-SA"/>
        </w:rPr>
        <w:t xml:space="preserve">، وبدهيّ أنه لو لم يكن عالما بهذه الفنون لما عزم على التأليف فيها ، يضاف إلى ذلك أن مؤلفاته التي خلّفها لنا تدل على ما كان يتمتع به من ذهن وقّاد ، وذكاء حاد ، استطاع أن يجمع بين هذه العلوم المتفرقة ويؤلف فيها مؤلفات علمية معتبرة ، كالمختصر وتقويم البلدان </w:t>
      </w:r>
      <w:r>
        <w:rPr>
          <w:rStyle w:val="FootnoteAnchor"/>
          <w:rtl w:val="true"/>
        </w:rPr>
        <w:footnoteReference w:id="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الكتبي بعد ذكره أن أبا الفداء قد نظم الحاوي في الفقه ما نصه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لم يعرفه لما نظمه</w:t>
      </w:r>
      <w:r>
        <w:rPr>
          <w:rFonts w:eastAsia="Amiri" w:cs="Amiri" w:ascii="Amiri" w:hAnsi="Amiri"/>
          <w:color w:val="111111"/>
          <w:sz w:val="28"/>
          <w:szCs w:val="28"/>
          <w:rtl w:val="true"/>
          <w:lang w:bidi="ar-SA"/>
        </w:rPr>
        <w:t xml:space="preserve">» </w:t>
      </w:r>
      <w:r>
        <w:rPr>
          <w:rStyle w:val="FootnoteAnchor"/>
          <w:rtl w:val="true"/>
        </w:rPr>
        <w:footnoteReference w:id="41"/>
      </w:r>
      <w:r>
        <w:rPr>
          <w:rFonts w:ascii="Amiri" w:hAnsi="Amiri" w:eastAsia="Amiri" w:cs="Amiri"/>
          <w:color w:val="111111"/>
          <w:sz w:val="28"/>
          <w:sz w:val="28"/>
          <w:szCs w:val="28"/>
          <w:rtl w:val="true"/>
          <w:lang w:bidi="ar-SA"/>
        </w:rPr>
        <w:t>وذلك كله يفيد أن سيرورته العلمية قامت على أسس متينة ، فاستطاع بها أن يلج أبواب التأليف بكل أنواعه وأشكاله وفنونه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كتب التراجم قد ذكرت أن أبا الفداء منذ أن تولى سلطنة حماة اهتم بالعلماء ، فقرّبهم إليه وأجرى لهم الرواتب ، ومن هؤلاء أمين الدين عبد الرحمن الأبهري المتوفى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42"/>
      </w:r>
      <w:r>
        <w:rPr>
          <w:rFonts w:ascii="Amiri" w:hAnsi="Amiri" w:eastAsia="Amiri" w:cs="Amiri"/>
          <w:color w:val="111111"/>
          <w:sz w:val="28"/>
          <w:sz w:val="28"/>
          <w:szCs w:val="28"/>
          <w:rtl w:val="true"/>
          <w:lang w:bidi="ar-SA"/>
        </w:rPr>
        <w:t xml:space="preserve">وعمر بن محمد المعروف بابن العديم المتوفى </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43"/>
      </w:r>
      <w:r>
        <w:rPr>
          <w:rFonts w:ascii="Amiri" w:hAnsi="Amiri" w:eastAsia="Amiri" w:cs="Amiri"/>
          <w:color w:val="111111"/>
          <w:sz w:val="28"/>
          <w:sz w:val="28"/>
          <w:szCs w:val="28"/>
          <w:rtl w:val="true"/>
          <w:lang w:bidi="ar-SA"/>
        </w:rPr>
        <w:t xml:space="preserve">وكان أبو الفداء يأمر من يعجب به من العلماء بالإقامة عنده فقد ذكر الإسنوي أن أخاه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عماد الدين رحمه‌الله لمّا رحل إلى الشام قصد حلب فاجتاز على حماة وكان قد رتب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يحضر بمجلسه العلماء المارّين عليه والقاصدين إليه فحضر الأخ عنده وتكلم معه في علوم فأعجب به وأمره بالإقامة هناك وهيّأ له من الفرش والآلات ما يحتاج إليه ورتّب له رواتب كبيرة وولّاه مدارس ولازمه في الخلوة</w:t>
      </w:r>
      <w:r>
        <w:rPr>
          <w:rFonts w:eastAsia="Amiri" w:cs="Amiri" w:ascii="Amiri" w:hAnsi="Amiri"/>
          <w:color w:val="111111"/>
          <w:sz w:val="28"/>
          <w:szCs w:val="28"/>
          <w:rtl w:val="true"/>
          <w:lang w:bidi="ar-SA"/>
        </w:rPr>
        <w:t xml:space="preserve">» </w:t>
      </w:r>
      <w:r>
        <w:rPr>
          <w:rStyle w:val="FootnoteAnchor"/>
          <w:rtl w:val="true"/>
        </w:rPr>
        <w:footnoteReference w:id="44"/>
      </w:r>
      <w:r>
        <w:rPr>
          <w:rFonts w:ascii="Amiri" w:hAnsi="Amiri" w:eastAsia="Amiri" w:cs="Amiri"/>
          <w:color w:val="111111"/>
          <w:sz w:val="28"/>
          <w:sz w:val="28"/>
          <w:szCs w:val="28"/>
          <w:rtl w:val="true"/>
          <w:lang w:bidi="ar-SA"/>
        </w:rPr>
        <w:t xml:space="preserve">ولم يقتصر أبو الفداء على تقريبه العلماء بل آوى إليه الشعراء كابن نباتة وصفي الدين الحلي وأجزل لهم العطاء فقد رتّب لشاعره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الدين محمد بن نباتة كل سنة عليه ستمائة درهم وهو مقيم بدمشق غير ما يتحفه به</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الشعراء يثنون عليه كثيرا ، ويمدحونه بغرر القصائد ، حتى قال ابن حجر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أعرف في أحد من الملوك من المدائح ما لابن نباتة والشهاب محمود وغيرهما فيه إلا سيف الدولة وقد مدح الناس غيرهما من الملوك كثيرا ولكن اجتمع لهذين من الكثرة والإجادة من الفحول ما لم يتفق لغيرهما</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كلّه يتضح لنا أن أبا الفداء قد قضى حياته طالبا للعلم ، محبا لأهله ، كريما فاضلا ، جامعا بين الحكم والعلم ، فكان بحق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فضلاء بني أيوب الأعيان منهم</w:t>
      </w:r>
      <w:r>
        <w:rPr>
          <w:rFonts w:eastAsia="Amiri" w:cs="Amiri" w:ascii="Amiri" w:hAnsi="Amiri"/>
          <w:color w:val="111111"/>
          <w:sz w:val="28"/>
          <w:szCs w:val="28"/>
          <w:rtl w:val="true"/>
          <w:lang w:bidi="ar-SA"/>
        </w:rPr>
        <w:t xml:space="preserve">» </w:t>
      </w:r>
      <w:r>
        <w:rPr>
          <w:rStyle w:val="FootnoteAnchor"/>
          <w:rtl w:val="true"/>
        </w:rPr>
        <w:footnoteReference w:id="47"/>
      </w:r>
      <w:r>
        <w:rPr>
          <w:rFonts w:ascii="Amiri" w:hAnsi="Amiri" w:eastAsia="Amiri" w:cs="Amiri"/>
          <w:color w:val="111111"/>
          <w:sz w:val="28"/>
          <w:sz w:val="28"/>
          <w:szCs w:val="28"/>
          <w:rtl w:val="true"/>
          <w:lang w:bidi="ar-SA"/>
        </w:rPr>
        <w:t xml:space="preserve">وأصبحت حماة في عهده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محطّ رجال أهل العلم من كل فن ، ومنزلا للشعراء</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 xml:space="preserve">. </w:t>
      </w:r>
      <w:bookmarkStart w:id="30" w:name="pg14482_155989"/>
    </w:p>
    <w:p>
      <w:pPr>
        <w:pStyle w:val="Heading4"/>
        <w:numPr>
          <w:ilvl w:val="3"/>
          <w:numId w:val="1"/>
        </w:numPr>
        <w:rPr/>
      </w:pPr>
      <w:bookmarkStart w:id="31" w:name="__RefHeading___Toc716538_996550957"/>
      <w:bookmarkStart w:id="32" w:name="_Toc10"/>
      <w:bookmarkEnd w:id="30"/>
      <w:bookmarkEnd w:id="31"/>
      <w:r>
        <w:rPr>
          <w:rtl w:val="true"/>
        </w:rPr>
        <w:t xml:space="preserve">الفصل الثالث </w:t>
      </w:r>
      <w:r>
        <w:rPr>
          <w:rtl w:val="true"/>
        </w:rPr>
        <w:t xml:space="preserve">: </w:t>
      </w:r>
      <w:r>
        <w:rPr>
          <w:rtl w:val="true"/>
        </w:rPr>
        <w:t>مصنفاته وشعره</w:t>
      </w:r>
      <w:bookmarkEnd w:id="32"/>
    </w:p>
    <w:p>
      <w:pPr>
        <w:pStyle w:val="BookText"/>
        <w:rPr/>
      </w:pPr>
      <w:r>
        <w:rPr>
          <w:rFonts w:ascii="Amiri" w:hAnsi="Amiri" w:eastAsia="Amiri" w:cs="Amiri"/>
          <w:color w:val="111111"/>
          <w:sz w:val="28"/>
          <w:sz w:val="28"/>
          <w:szCs w:val="28"/>
          <w:rtl w:val="true"/>
          <w:lang w:bidi="ar-SA"/>
        </w:rPr>
        <w:t xml:space="preserve">كان من نتيجة الثقافة المتنوعة التي حصّلها أبو الفداء أن ألّف في عدد من الفنون كتبا ذاع صيتها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لأهميتها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وانتشر أمرها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لشهرة مؤلفها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التاريخ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المختصر في أخبار البشر </w:t>
      </w:r>
      <w:r>
        <w:rPr>
          <w:rStyle w:val="FootnoteAnchor"/>
          <w:rtl w:val="true"/>
        </w:rPr>
        <w:footnoteReference w:id="49"/>
      </w:r>
      <w:r>
        <w:rPr>
          <w:rFonts w:ascii="Amiri" w:hAnsi="Amiri" w:eastAsia="Amiri" w:cs="Amiri"/>
          <w:color w:val="111111"/>
          <w:sz w:val="28"/>
          <w:sz w:val="28"/>
          <w:szCs w:val="28"/>
          <w:rtl w:val="true"/>
          <w:lang w:bidi="ar-SA"/>
        </w:rPr>
        <w:t xml:space="preserve">وقد أرّخ فيه حتى سنة </w:t>
      </w: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ويعدّ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شهرة أبي الفداء ، فقد أتمّه وذيّله من حيث وقف أبو الفداء إلى آخر سنة </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زين الدين عمر المعروف بابن الوردي المتوفى سنة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50"/>
      </w:r>
      <w:r>
        <w:rPr>
          <w:rFonts w:ascii="Amiri" w:hAnsi="Amiri" w:eastAsia="Amiri" w:cs="Amiri"/>
          <w:color w:val="111111"/>
          <w:sz w:val="28"/>
          <w:sz w:val="28"/>
          <w:szCs w:val="28"/>
          <w:rtl w:val="true"/>
          <w:lang w:bidi="ar-SA"/>
        </w:rPr>
        <w:t xml:space="preserve">وسمى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تتمة المختصر في أخبار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واختصر القاضي أبو الوليد محمد بن محمد ابن الشحنة الحلبي المتوفى سنة </w:t>
      </w:r>
      <w:r>
        <w:rPr>
          <w:rFonts w:eastAsia="Amiri" w:cs="Amiri" w:ascii="Amiri" w:hAnsi="Amiri"/>
          <w:color w:val="111111"/>
          <w:sz w:val="28"/>
          <w:szCs w:val="28"/>
          <w:lang w:bidi="ar-SA"/>
        </w:rPr>
        <w:t>815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كتاب أبي الفداء وذيله إلى زمانه </w:t>
      </w:r>
      <w:r>
        <w:rPr>
          <w:rStyle w:val="FootnoteAnchor"/>
          <w:rtl w:val="true"/>
        </w:rPr>
        <w:footnoteReference w:id="51"/>
      </w:r>
      <w:r>
        <w:rPr>
          <w:rFonts w:ascii="Amiri" w:hAnsi="Amiri" w:eastAsia="Amiri" w:cs="Amiri"/>
          <w:color w:val="111111"/>
          <w:sz w:val="28"/>
          <w:sz w:val="28"/>
          <w:szCs w:val="28"/>
          <w:rtl w:val="true"/>
          <w:lang w:bidi="ar-SA"/>
        </w:rPr>
        <w:t xml:space="preserve">واهتم المستشرقون أيضا بكتاب المختصر فترجموه إلى عدة لغات ، وطبعوه مرارا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التّبر المسبوك في تواريخ أكابر الملوك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مخطوط بدار الكتب المصرية تحت رقم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نظرت فيه فوجدته يقع في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 من الحجم الصغير سرد فيه أبو الفداء أسماء بعض الملوك من غير أن يذكر شيئا عن أخبارهم</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الدولة الخوارزمية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انفرد بذكره الزركلي في كتابه الأعلام </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وأضاف بأنه مطبوع أيضا ، غير أني لم أجد أحدا ممن ترجم لأبي الفداء ذكر له هذا الكتاب ، ولم أستطع العثور على نسخة منه ، وأحسبه قطعة مطبوعة مأخوذة من كتاب المختصر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اللطائف السنية في التواريخ الإسلامية ، وكتاب اللطائف السنية ألفه فخر الدين إسماعيل بن علي المعروف بالعدولي الحمصي ، قيل عن هذا الكتاب إنه مختصر من كتاب التاريخ الكبير له ، اختصره أبو الفداء في مجلّد صغير أوله الحمد لله مصور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الدهور ومقدر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فيه أنه اختصره من تاريخ الذهبي وابن عساكر وابن كثير وغيرهم إلى سنة </w:t>
      </w: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 أبا الفداء قد أودع هذا الكتاب مختصره فقد ذكر في المختصر ما نصه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هنا نشرع في التواريخ الإسلامية</w:t>
      </w:r>
      <w:r>
        <w:rPr>
          <w:rFonts w:eastAsia="Amiri" w:cs="Amiri" w:ascii="Amiri" w:hAnsi="Amiri"/>
          <w:color w:val="111111"/>
          <w:sz w:val="28"/>
          <w:szCs w:val="28"/>
          <w:rtl w:val="true"/>
          <w:lang w:bidi="ar-SA"/>
        </w:rPr>
        <w:t xml:space="preserve">» </w:t>
      </w:r>
      <w:r>
        <w:rPr>
          <w:rStyle w:val="FootnoteAnchor"/>
          <w:rtl w:val="true"/>
        </w:rPr>
        <w:footnoteReference w:id="55"/>
      </w:r>
      <w:r>
        <w:rPr>
          <w:rFonts w:ascii="Amiri" w:hAnsi="Amiri" w:eastAsia="Amiri" w:cs="Amiri"/>
          <w:color w:val="111111"/>
          <w:sz w:val="28"/>
          <w:sz w:val="28"/>
          <w:szCs w:val="28"/>
          <w:rtl w:val="true"/>
          <w:lang w:bidi="ar-SA"/>
        </w:rPr>
        <w:t xml:space="preserve">فلعل التشابه في جزء من العنوان مع وصف صاحب الكشف له بأنه في مجلد صغير ، وكونه إلى سنة </w:t>
      </w: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إن صح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يقوي ما زعمناه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الجغرافيا </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تقويم البلدان </w:t>
      </w:r>
      <w:r>
        <w:rPr>
          <w:rStyle w:val="FootnoteAnchor"/>
          <w:rtl w:val="true"/>
        </w:rPr>
        <w:footnoteReference w:id="56"/>
      </w:r>
      <w:r>
        <w:rPr>
          <w:rFonts w:ascii="Amiri" w:hAnsi="Amiri" w:eastAsia="Amiri" w:cs="Amiri"/>
          <w:color w:val="111111"/>
          <w:sz w:val="28"/>
          <w:sz w:val="28"/>
          <w:szCs w:val="28"/>
          <w:rtl w:val="true"/>
          <w:lang w:bidi="ar-SA"/>
        </w:rPr>
        <w:t xml:space="preserve">، وقد طبع مرارا ، وترجم إلى عدة لغات </w:t>
      </w:r>
      <w:r>
        <w:rPr>
          <w:rStyle w:val="FootnoteAnchor"/>
          <w:rtl w:val="true"/>
        </w:rPr>
        <w:footnoteReference w:id="57"/>
      </w:r>
      <w:r>
        <w:rPr>
          <w:rFonts w:ascii="Amiri" w:hAnsi="Amiri" w:eastAsia="Amiri" w:cs="Amiri"/>
          <w:color w:val="111111"/>
          <w:sz w:val="28"/>
          <w:sz w:val="28"/>
          <w:szCs w:val="28"/>
          <w:rtl w:val="true"/>
          <w:lang w:bidi="ar-SA"/>
        </w:rPr>
        <w:t xml:space="preserve">ثم إن المولى محمد بن علي الشهير بسباهي زاده المتوفى سنة </w:t>
      </w:r>
      <w:r>
        <w:rPr>
          <w:rFonts w:eastAsia="Amiri" w:cs="Amiri" w:ascii="Amiri" w:hAnsi="Amiri"/>
          <w:color w:val="111111"/>
          <w:sz w:val="28"/>
          <w:szCs w:val="28"/>
          <w:lang w:bidi="ar-SA"/>
        </w:rPr>
        <w:t>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رتّبه على الحروف المعجمة ، وأضاف إليه ما التقطه من المصنفات ليكون أخذه يسيرا ونفعه كثيرا وسماه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أوضح المسالك إلى معرفة البلدان والممالك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وأهداه إلى السلطان مراد خان الثالث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الفقه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نظم أبو الفداء كتاب الحاوي في الفقه الشافعي </w:t>
      </w:r>
      <w:r>
        <w:rPr>
          <w:rStyle w:val="FootnoteAnchor"/>
          <w:rtl w:val="true"/>
        </w:rPr>
        <w:footnoteReference w:id="59"/>
      </w:r>
      <w:r>
        <w:rPr>
          <w:rFonts w:ascii="Amiri" w:hAnsi="Amiri" w:eastAsia="Amiri" w:cs="Amiri"/>
          <w:color w:val="111111"/>
          <w:sz w:val="28"/>
          <w:sz w:val="28"/>
          <w:szCs w:val="28"/>
          <w:rtl w:val="true"/>
          <w:lang w:bidi="ar-SA"/>
        </w:rPr>
        <w:t xml:space="preserve">لنجم الدين عبد الغفار بن عبد الكريم القزويني الشافعي المتوفى سنة </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60"/>
      </w:r>
      <w:r>
        <w:rPr>
          <w:rFonts w:ascii="Amiri" w:hAnsi="Amiri" w:eastAsia="Amiri" w:cs="Amiri"/>
          <w:color w:val="111111"/>
          <w:sz w:val="28"/>
          <w:sz w:val="28"/>
          <w:szCs w:val="28"/>
          <w:rtl w:val="true"/>
          <w:lang w:bidi="ar-SA"/>
        </w:rPr>
        <w:t xml:space="preserve">وهو من الكتب المعتبرة بين الشافعية ، ولو لم يعرفه معرفة جيدة ما نظمه </w:t>
      </w:r>
      <w:r>
        <w:rPr>
          <w:rStyle w:val="FootnoteAnchor"/>
          <w:rtl w:val="true"/>
        </w:rPr>
        <w:footnoteReference w:id="61"/>
      </w:r>
      <w:r>
        <w:rPr>
          <w:rFonts w:ascii="Amiri" w:hAnsi="Amiri" w:eastAsia="Amiri" w:cs="Amiri"/>
          <w:color w:val="111111"/>
          <w:sz w:val="28"/>
          <w:sz w:val="28"/>
          <w:szCs w:val="28"/>
          <w:rtl w:val="true"/>
          <w:lang w:bidi="ar-SA"/>
        </w:rPr>
        <w:t xml:space="preserve">وقد قام قاضي القضاة شرف الدين ابن البارزي بشرح النظم شرحا حسنا في أربع مجلدات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الطب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الدكتور رمضان ششن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المخطوطات العربية في مكتبات تركيا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لأبي الفداء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قطعة من كتاب له في الطب في مكتبة مدينة مغنيسا تحت رقم </w:t>
      </w:r>
      <w:r>
        <w:rPr>
          <w:rFonts w:eastAsia="Amiri" w:cs="Amiri" w:ascii="Amiri" w:hAnsi="Amiri"/>
          <w:color w:val="111111"/>
          <w:sz w:val="28"/>
          <w:szCs w:val="28"/>
          <w:lang w:bidi="ar-SA"/>
        </w:rPr>
        <w:t>1836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في آخرها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جميع هذا الكتاب 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مؤلفه مولانا السلطان الملك المؤيد عماد الدنيا والدين أبي الفداء إسماعيل صاحب حماه المحروسة </w:t>
      </w:r>
      <w:r>
        <w:rPr>
          <w:rFonts w:eastAsia="Amiri" w:cs="Amiri" w:ascii="Amiri" w:hAnsi="Amiri"/>
          <w:color w:val="111111"/>
          <w:sz w:val="28"/>
          <w:szCs w:val="28"/>
          <w:rtl w:val="true"/>
          <w:lang w:bidi="ar-SA"/>
        </w:rPr>
        <w:t xml:space="preserve">..» </w:t>
      </w:r>
      <w:r>
        <w:rPr>
          <w:rStyle w:val="FootnoteAnchor"/>
          <w:rtl w:val="true"/>
        </w:rPr>
        <w:footnoteReference w:id="63"/>
      </w:r>
      <w:r>
        <w:rPr>
          <w:rFonts w:ascii="Amiri" w:hAnsi="Amiri" w:eastAsia="Amiri" w:cs="Amiri"/>
          <w:color w:val="111111"/>
          <w:sz w:val="28"/>
          <w:sz w:val="28"/>
          <w:szCs w:val="28"/>
          <w:rtl w:val="true"/>
          <w:lang w:bidi="ar-SA"/>
        </w:rPr>
        <w:t xml:space="preserve">وكتب أبو الفداء بخط يده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بلغت هذه النسخة قراءة عليّ في شهور آخرها ثامن ذي القعدة سنة ثماني وعشرين وسبعمائة وكتبه إسماعيل بن محمود بن محمد بن عمر بن شاهنشاه بن أيوب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ولعله الكتاب الثالث من الكناش ، فقد أشار أبو الفداء في خطبة الكناش إلى أن الكتاب الثالث سيكون معقودا للطب ، ومما يؤكد ذلك أن الدكتور حسن الساعاتي قد نقل عن رينو والبارون ويسلان محققي كتاب تقويم البلدان أن لأبي الفداء عدة أجزاء في الطب بعنوان الكناش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العروض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قصيدة ابن الحاجب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المقصد الجليل في علم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والشرح مخطوط في مكتبة جورليلي علي باشا تحت رقم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ويقع في أربعين ورقة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النحو والصرف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منظومة الكافية لابن الحاجب ، 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علّم بالقلم إلخ وهو شرح لطيف علقه من شرح المصنف لهذه المنظومة ومن غيرها من شروح الكافية وفرغ من تعليقه في شعبان سنة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 أبا الفداء جعله ضمن كناشه فيما بعد ، فقد ألفيته في الكناش قد علق أكثر المباحث النحوية من شرح الوافية نظم الكافية لابن الحاجب وهو ما صرح به صاحب الكشف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علقه من شرح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الوافية في شرح الكافية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شرح أبيات شواهد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المتوسط المسمى بالوافية في شرح الكافية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ركن الدين حسن بن محمد الاستراباذي المتوفى سنة </w:t>
      </w: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وأول شرح الأبيات لك الحمد يا من صرف قلوبنا نحو المعاني والبيان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الكتاب الذي بين أيدينا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وله من الكتب </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جوده وهو صغير ، ويشتمل على علوم كثيرة </w:t>
      </w:r>
      <w:r>
        <w:rPr>
          <w:rStyle w:val="FootnoteAnchor"/>
          <w:rtl w:val="true"/>
        </w:rPr>
        <w:footnoteReference w:id="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هو نظم في الفلك منه نسخة في مكتبة بودليان في اكسفورد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نوادر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ويقع في مجلدين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 في الأخلاق والآداب والزهد والوعظ يقع في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تحت رقم </w:t>
      </w:r>
      <w:r>
        <w:rPr>
          <w:rFonts w:eastAsia="Amiri" w:cs="Amiri" w:ascii="Amiri" w:hAnsi="Amiri"/>
          <w:color w:val="111111"/>
          <w:sz w:val="28"/>
          <w:szCs w:val="28"/>
          <w:lang w:bidi="ar-SA"/>
        </w:rPr>
        <w:t>6794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المغرب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ذكره الأستاذ قدري الكيلاني ، فلعله اطلع عليه ، ولعله قطعة من الكناش ، لأن أبا الفداء قد ذكر في خطبته أن الكتاب الخامس منه ، هو في الأخلاق والسياسة والزهد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تصويب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البغدادي في كتابه هدية العارفين أن لأبي الفداء إسماعيل بن علي المتوفى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كتابا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الأحكام الصغرى في الحديث</w:t>
      </w:r>
      <w:r>
        <w:rPr>
          <w:rFonts w:eastAsia="Amiri" w:cs="Amiri" w:ascii="Amiri" w:hAnsi="Amiri"/>
          <w:color w:val="111111"/>
          <w:sz w:val="28"/>
          <w:szCs w:val="28"/>
          <w:rtl w:val="true"/>
          <w:lang w:bidi="ar-SA"/>
        </w:rPr>
        <w:t xml:space="preserve">» </w:t>
      </w:r>
      <w:r>
        <w:rPr>
          <w:rStyle w:val="FootnoteAnchor"/>
          <w:rtl w:val="true"/>
        </w:rPr>
        <w:footnoteReference w:id="73"/>
      </w:r>
      <w:r>
        <w:rPr>
          <w:rFonts w:ascii="Amiri" w:hAnsi="Amiri" w:eastAsia="Amiri" w:cs="Amiri"/>
          <w:color w:val="111111"/>
          <w:sz w:val="28"/>
          <w:sz w:val="28"/>
          <w:szCs w:val="28"/>
          <w:rtl w:val="true"/>
          <w:lang w:bidi="ar-SA"/>
        </w:rPr>
        <w:t xml:space="preserve">غير أني لم أجد أحدا ممن ترجم له ذكر له هذا الكتاب والصحيح أنه لعماد الدين أبي الفداء إسماعيل بن عمر بن كثير الدمشقي الشافعي المتوفى سنة </w:t>
      </w: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وذلك لأن صاحب كشف الظنون ذكره منسوبا لابن كثير المذكور </w:t>
      </w:r>
      <w:r>
        <w:rPr>
          <w:rStyle w:val="FootnoteAnchor"/>
          <w:rtl w:val="true"/>
        </w:rPr>
        <w:footnoteReference w:id="74"/>
      </w:r>
      <w:r>
        <w:rPr>
          <w:rFonts w:ascii="Amiri" w:hAnsi="Amiri" w:eastAsia="Amiri" w:cs="Amiri"/>
          <w:color w:val="111111"/>
          <w:sz w:val="28"/>
          <w:sz w:val="28"/>
          <w:szCs w:val="28"/>
          <w:rtl w:val="true"/>
          <w:lang w:bidi="ar-SA"/>
        </w:rPr>
        <w:t>ويبدو أن سبب وهم البغدادي هو التشابه في الكنية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شعره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رأينا فيما سبق أن أبا الفداء نظم كتاب الحاوي في الفقه ، وبدهي أنه لو لم يكن شاعرا ماهرا ما نظمه ، وقد تناثرت قطع من شعره في كتب التراجم ، ووصف أصحابها شعره بأنه بديع حسن </w:t>
      </w:r>
      <w:r>
        <w:rPr>
          <w:rStyle w:val="FootnoteAnchor"/>
          <w:rtl w:val="true"/>
        </w:rPr>
        <w:footnoteReference w:id="75"/>
      </w:r>
      <w:r>
        <w:rPr>
          <w:rFonts w:ascii="Amiri" w:hAnsi="Amiri" w:eastAsia="Amiri" w:cs="Amiri"/>
          <w:color w:val="111111"/>
          <w:sz w:val="28"/>
          <w:sz w:val="28"/>
          <w:szCs w:val="28"/>
          <w:rtl w:val="true"/>
          <w:lang w:bidi="ar-SA"/>
        </w:rPr>
        <w:t xml:space="preserve">والناظر في هذه القطع يلحظ أن أبا الفداء قد تناول في شعره غرضين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الوصف والغزل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شعره قطعة في وصف الفرس يقول فيها </w:t>
      </w:r>
      <w:r>
        <w:rPr>
          <w:rFonts w:eastAsia="Amiri" w:cs="Amiri" w:ascii="Amiri" w:hAnsi="Amiri"/>
          <w:color w:val="111111"/>
          <w:sz w:val="28"/>
          <w:szCs w:val="28"/>
          <w:rtl w:val="true"/>
          <w:lang w:bidi="ar-SA"/>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أحسن به طرفا أفوت به الفضاء</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رمته في مطلب أو مهرب </w:t>
      </w:r>
    </w:p>
    <w:p>
      <w:pPr>
        <w:pStyle w:val="BookText"/>
        <w:rPr/>
      </w:pPr>
      <w:r>
        <w:rPr>
          <w:rFonts w:ascii="Amiri" w:hAnsi="Amiri" w:eastAsia="Amiri" w:cs="Amiri"/>
          <w:color w:val="111111"/>
          <w:sz w:val="28"/>
          <w:sz w:val="28"/>
          <w:szCs w:val="28"/>
          <w:rtl w:val="true"/>
          <w:lang w:bidi="ar-SA"/>
        </w:rPr>
        <w:t>مثل الغزالة ما بدت في مشرق</w:t>
      </w:r>
    </w:p>
    <w:p>
      <w:pPr>
        <w:pStyle w:val="BookText"/>
        <w:rPr/>
      </w:pPr>
      <w:r>
        <w:rPr>
          <w:rFonts w:ascii="Amiri" w:hAnsi="Amiri" w:eastAsia="Amiri" w:cs="Amiri"/>
          <w:color w:val="111111"/>
          <w:sz w:val="28"/>
          <w:sz w:val="28"/>
          <w:szCs w:val="28"/>
          <w:rtl w:val="true"/>
          <w:lang w:bidi="ar-SA"/>
        </w:rPr>
        <w:t>إلا بدت أنوارها في المغرب</w:t>
      </w:r>
    </w:p>
    <w:p>
      <w:pPr>
        <w:pStyle w:val="BookText"/>
        <w:rPr/>
      </w:pPr>
      <w:r>
        <w:rPr>
          <w:rFonts w:ascii="Amiri" w:hAnsi="Amiri" w:eastAsia="Amiri" w:cs="Amiri"/>
          <w:color w:val="111111"/>
          <w:sz w:val="28"/>
          <w:sz w:val="28"/>
          <w:szCs w:val="28"/>
          <w:rtl w:val="true"/>
          <w:lang w:bidi="ar-SA"/>
        </w:rPr>
        <w:t xml:space="preserve">وله في الغزل </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كم من دم حلّلت وما ندمت</w:t>
      </w:r>
    </w:p>
    <w:p>
      <w:pPr>
        <w:pStyle w:val="BookText"/>
        <w:rPr/>
      </w:pPr>
      <w:r>
        <w:rPr>
          <w:rFonts w:ascii="Amiri" w:hAnsi="Amiri" w:eastAsia="Amiri" w:cs="Amiri"/>
          <w:color w:val="111111"/>
          <w:sz w:val="28"/>
          <w:sz w:val="28"/>
          <w:szCs w:val="28"/>
          <w:rtl w:val="true"/>
          <w:lang w:bidi="ar-SA"/>
        </w:rPr>
        <w:t>تفعل ما تشتهي فلا عدمت</w:t>
      </w:r>
    </w:p>
    <w:p>
      <w:pPr>
        <w:pStyle w:val="BookText"/>
        <w:rPr/>
      </w:pPr>
      <w:r>
        <w:rPr>
          <w:rFonts w:ascii="Amiri" w:hAnsi="Amiri" w:eastAsia="Amiri" w:cs="Amiri"/>
          <w:color w:val="111111"/>
          <w:sz w:val="28"/>
          <w:sz w:val="28"/>
          <w:szCs w:val="28"/>
          <w:rtl w:val="true"/>
          <w:lang w:bidi="ar-SA"/>
        </w:rPr>
        <w:t>لو أمكن الشمس عند رؤيتها</w:t>
      </w:r>
    </w:p>
    <w:p>
      <w:pPr>
        <w:pStyle w:val="BookText"/>
        <w:rPr/>
      </w:pPr>
      <w:r>
        <w:rPr>
          <w:rFonts w:ascii="IRNazanin" w:hAnsi="IRNazanin" w:eastAsia="IRNazanin"/>
          <w:color w:val="111111"/>
          <w:sz w:val="28"/>
          <w:sz w:val="28"/>
          <w:szCs w:val="28"/>
          <w:rtl w:val="true"/>
          <w:lang w:bidi="fa-IR"/>
        </w:rPr>
        <w:t>لثم مواطىء أقدامها لثمت</w:t>
      </w:r>
    </w:p>
    <w:p>
      <w:pPr>
        <w:pStyle w:val="BookText"/>
        <w:rPr/>
      </w:pPr>
      <w:r>
        <w:rPr>
          <w:rFonts w:ascii="Amiri" w:hAnsi="Amiri" w:eastAsia="Amiri" w:cs="Amiri"/>
          <w:color w:val="111111"/>
          <w:sz w:val="28"/>
          <w:sz w:val="28"/>
          <w:szCs w:val="28"/>
          <w:rtl w:val="true"/>
          <w:lang w:bidi="ar-SA"/>
        </w:rPr>
        <w:t xml:space="preserve">وشارك أبو الفداء في نظم الموشحات ، فقد ذكرت له كتب التراجم هذه الموشحة التي وصفها الصفدي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الموشحة جيدة في بابها منيعة على طلابها ، وقد عارض بوزنها موشحة لابن سناء الملك رحمه‌الله تعالى </w:t>
      </w:r>
      <w:r>
        <w:rPr>
          <w:rStyle w:val="FootnoteAnchor"/>
          <w:rtl w:val="true"/>
        </w:rPr>
        <w:footnoteReference w:id="78"/>
      </w:r>
      <w:r>
        <w:rPr>
          <w:rFonts w:ascii="Amiri" w:hAnsi="Amiri" w:eastAsia="Amiri" w:cs="Amiri"/>
          <w:color w:val="111111"/>
          <w:sz w:val="28"/>
          <w:sz w:val="28"/>
          <w:szCs w:val="28"/>
          <w:rtl w:val="true"/>
          <w:lang w:bidi="ar-SA"/>
        </w:rPr>
        <w:t xml:space="preserve">ومطلع موشحة أبي الفداء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أوقعني العمر في لعلّ وهل</w:t>
      </w:r>
    </w:p>
    <w:p>
      <w:pPr>
        <w:pStyle w:val="BookText"/>
        <w:rPr/>
      </w:pPr>
      <w:r>
        <w:rPr>
          <w:rFonts w:ascii="Amiri" w:hAnsi="Amiri" w:eastAsia="Amiri" w:cs="Amiri"/>
          <w:color w:val="111111"/>
          <w:sz w:val="28"/>
          <w:sz w:val="28"/>
          <w:szCs w:val="28"/>
          <w:rtl w:val="true"/>
          <w:lang w:bidi="ar-SA"/>
        </w:rPr>
        <w:t>يا ويح من قد مضى بهل ولعل</w:t>
      </w:r>
    </w:p>
    <w:p>
      <w:pPr>
        <w:pStyle w:val="BookText"/>
        <w:rPr/>
      </w:pPr>
      <w:r>
        <w:rPr>
          <w:rFonts w:ascii="Amiri" w:hAnsi="Amiri" w:eastAsia="Amiri" w:cs="Amiri"/>
          <w:color w:val="111111"/>
          <w:sz w:val="28"/>
          <w:sz w:val="28"/>
          <w:szCs w:val="28"/>
          <w:rtl w:val="true"/>
          <w:lang w:bidi="ar-SA"/>
        </w:rPr>
        <w:t>والشيب واف وعنده نزلا</w:t>
      </w:r>
    </w:p>
    <w:p>
      <w:pPr>
        <w:pStyle w:val="BookText"/>
        <w:rPr/>
      </w:pPr>
      <w:r>
        <w:rPr>
          <w:rFonts w:ascii="IRNazanin" w:hAnsi="IRNazanin" w:eastAsia="IRNazanin"/>
          <w:color w:val="111111"/>
          <w:sz w:val="28"/>
          <w:sz w:val="28"/>
          <w:szCs w:val="28"/>
          <w:rtl w:val="true"/>
          <w:lang w:bidi="fa-IR"/>
        </w:rPr>
        <w:t>وفرّ منه الشباب وارتحلا</w:t>
      </w:r>
    </w:p>
    <w:p>
      <w:pPr>
        <w:pStyle w:val="BookText"/>
        <w:rPr/>
      </w:pPr>
      <w:r>
        <w:rPr>
          <w:rFonts w:ascii="Amiri" w:hAnsi="Amiri" w:eastAsia="Amiri" w:cs="Amiri"/>
          <w:color w:val="111111"/>
          <w:sz w:val="28"/>
          <w:sz w:val="28"/>
          <w:szCs w:val="28"/>
          <w:rtl w:val="true"/>
          <w:lang w:bidi="ar-SA"/>
        </w:rPr>
        <w:t>ما أوقح الشيب الآتي</w:t>
      </w:r>
    </w:p>
    <w:p>
      <w:pPr>
        <w:pStyle w:val="BookText"/>
        <w:rPr/>
      </w:pPr>
      <w:r>
        <w:rPr>
          <w:rFonts w:ascii="Amiri" w:hAnsi="Amiri" w:eastAsia="Amiri" w:cs="Amiri"/>
          <w:color w:val="111111"/>
          <w:sz w:val="28"/>
          <w:sz w:val="28"/>
          <w:szCs w:val="28"/>
          <w:rtl w:val="true"/>
          <w:lang w:bidi="ar-SA"/>
        </w:rPr>
        <w:t>إذ حلّ لاعن مرضاتي</w:t>
      </w:r>
    </w:p>
    <w:p>
      <w:pPr>
        <w:pStyle w:val="BookText"/>
        <w:rPr/>
      </w:pPr>
      <w:r>
        <w:rPr>
          <w:rFonts w:ascii="Amiri" w:hAnsi="Amiri" w:eastAsia="Amiri" w:cs="Amiri"/>
          <w:color w:val="111111"/>
          <w:sz w:val="28"/>
          <w:sz w:val="28"/>
          <w:szCs w:val="28"/>
          <w:rtl w:val="true"/>
          <w:lang w:bidi="ar-SA"/>
        </w:rPr>
        <w:t xml:space="preserve">أما مطلع موشحة ابن سناء الملك فهو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عسى ويا قلّما تفيد عسى</w:t>
      </w:r>
    </w:p>
    <w:p>
      <w:pPr>
        <w:pStyle w:val="BookText"/>
        <w:rPr/>
      </w:pPr>
      <w:r>
        <w:rPr>
          <w:rFonts w:ascii="Amiri" w:hAnsi="Amiri" w:eastAsia="Amiri" w:cs="Amiri"/>
          <w:color w:val="111111"/>
          <w:sz w:val="28"/>
          <w:sz w:val="28"/>
          <w:szCs w:val="28"/>
          <w:rtl w:val="true"/>
          <w:lang w:bidi="ar-SA"/>
        </w:rPr>
        <w:t>أرى لنفسي من الهوى نفسا</w:t>
      </w:r>
    </w:p>
    <w:p>
      <w:pPr>
        <w:pStyle w:val="BookText"/>
        <w:rPr/>
      </w:pPr>
      <w:r>
        <w:rPr>
          <w:rFonts w:ascii="Amiri" w:hAnsi="Amiri" w:eastAsia="Amiri" w:cs="Amiri"/>
          <w:color w:val="111111"/>
          <w:sz w:val="28"/>
          <w:sz w:val="28"/>
          <w:szCs w:val="28"/>
          <w:rtl w:val="true"/>
          <w:lang w:bidi="ar-SA"/>
        </w:rPr>
        <w:t>مذبان عني من قد كلفت به</w:t>
      </w:r>
    </w:p>
    <w:p>
      <w:pPr>
        <w:pStyle w:val="BookText"/>
        <w:rPr/>
      </w:pPr>
      <w:r>
        <w:rPr>
          <w:rFonts w:ascii="Amiri" w:hAnsi="Amiri" w:eastAsia="Amiri" w:cs="Amiri"/>
          <w:color w:val="111111"/>
          <w:sz w:val="28"/>
          <w:sz w:val="28"/>
          <w:szCs w:val="28"/>
          <w:rtl w:val="true"/>
          <w:lang w:bidi="ar-SA"/>
        </w:rPr>
        <w:t>قلبي قد لجّ في تقلّبه</w:t>
      </w:r>
    </w:p>
    <w:p>
      <w:pPr>
        <w:pStyle w:val="BookText"/>
        <w:rPr/>
      </w:pPr>
      <w:r>
        <w:rPr>
          <w:rFonts w:ascii="Amiri" w:hAnsi="Amiri" w:eastAsia="Amiri" w:cs="Amiri"/>
          <w:color w:val="111111"/>
          <w:sz w:val="28"/>
          <w:sz w:val="28"/>
          <w:szCs w:val="28"/>
          <w:rtl w:val="true"/>
          <w:lang w:bidi="ar-SA"/>
        </w:rPr>
        <w:t>وبي أذى شوق عاتي</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ومدمعي يوم شات </w:t>
      </w:r>
      <w:r>
        <w:rPr>
          <w:rStyle w:val="FootnoteAnchor"/>
          <w:rtl w:val="true"/>
        </w:rPr>
        <w:footnoteReference w:id="79"/>
      </w:r>
      <w:bookmarkStart w:id="33" w:name="pg14482_155995"/>
    </w:p>
    <w:p>
      <w:pPr>
        <w:pStyle w:val="Heading4"/>
        <w:numPr>
          <w:ilvl w:val="3"/>
          <w:numId w:val="1"/>
        </w:numPr>
        <w:rPr/>
      </w:pPr>
      <w:bookmarkStart w:id="34" w:name="__RefHeading___Toc716540_996550957"/>
      <w:bookmarkStart w:id="35" w:name="_Toc11"/>
      <w:bookmarkEnd w:id="33"/>
      <w:bookmarkEnd w:id="34"/>
      <w:r>
        <w:rPr>
          <w:rtl w:val="true"/>
        </w:rPr>
        <w:t xml:space="preserve">الفصل الرابع </w:t>
      </w:r>
      <w:r>
        <w:rPr>
          <w:rtl w:val="true"/>
        </w:rPr>
        <w:t xml:space="preserve">: </w:t>
      </w:r>
      <w:r>
        <w:rPr>
          <w:rtl w:val="true"/>
        </w:rPr>
        <w:t xml:space="preserve">منهج أبي الفداء في كتاب </w:t>
      </w:r>
      <w:r>
        <w:rPr>
          <w:rtl w:val="true"/>
        </w:rPr>
        <w:t>«</w:t>
      </w:r>
      <w:r>
        <w:rPr>
          <w:rtl w:val="true"/>
        </w:rPr>
        <w:t>الكناش</w:t>
      </w:r>
      <w:r>
        <w:rPr>
          <w:rtl w:val="true"/>
        </w:rPr>
        <w:t>»</w:t>
      </w:r>
      <w:bookmarkEnd w:id="35"/>
    </w:p>
    <w:p>
      <w:pPr>
        <w:pStyle w:val="BookText"/>
        <w:rPr/>
      </w:pPr>
      <w:r>
        <w:rPr>
          <w:rFonts w:ascii="Amiri" w:hAnsi="Amiri" w:eastAsia="Amiri" w:cs="Amiri"/>
          <w:color w:val="111111"/>
          <w:sz w:val="28"/>
          <w:sz w:val="28"/>
          <w:szCs w:val="28"/>
          <w:rtl w:val="true"/>
          <w:lang w:bidi="ar-SA"/>
        </w:rPr>
        <w:t xml:space="preserve">يتّضح لنا منهجه في كنّاشه مما يأتي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أبو الفداء لكناشه بخطبة موجزة بيّن فيها أنّ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كناش مشتمل على عدة 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النحو والتصريف ،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الفقه ،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الطب ،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التاريخ ،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الأخلاق والسياسة والزهد ،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الأشعار ،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فنون مختلفة </w:t>
      </w:r>
      <w:r>
        <w:rPr>
          <w:rStyle w:val="FootnoteAnchor"/>
          <w:rtl w:val="true"/>
        </w:rPr>
        <w:footnoteReference w:id="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أنه لم يبيّن لنا فيها الهدف من تأليفه ، ولم يشر إلى الكتب التي سيقوم بشرحها ، ولم يذكر الكتب التي اعتمد عليها في صنعه لكناشه كما صنع في 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ذكر في مقدمته كلّ الكتب التي أخذ عنها ، ولعله كان عازما على كتابة خطبة طويلة يبين فيها ذلك بعد انتهائه من تأليف كل الكتب التي ذكرها في خطبته الموجزة ، ولكنّ المنيّة حالت دون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أبو الفداء في الكناش أجزاء من مفصل الزمخشري ، وأجزاء من كافية ابن الحاجب وشافيته فأتى من ذلك على الموضوعات النحوية والصرفية والإملائية جميعها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سار أبو الفداء في تقسيم كناشه وراء تقسيم الزمخشري لمفصله فقسم الكناش إلى أربعة أقسام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الاسم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الفعل</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الحرف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المشترك</w:t>
      </w:r>
    </w:p>
    <w:p>
      <w:pPr>
        <w:pStyle w:val="BookText"/>
        <w:rPr/>
      </w:pPr>
      <w:r>
        <w:rPr>
          <w:rFonts w:ascii="Amiri" w:hAnsi="Amiri" w:eastAsia="Amiri" w:cs="Amiri"/>
          <w:color w:val="111111"/>
          <w:sz w:val="28"/>
          <w:sz w:val="28"/>
          <w:szCs w:val="28"/>
          <w:rtl w:val="true"/>
          <w:lang w:bidi="ar-SA"/>
        </w:rPr>
        <w:t xml:space="preserve">وأنهى الكناش بعقد فصل خاصّ عن الخط والإملاء ، التزم فيه بالشافية لابن الحاجب كما التزم في القسم 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بالمفصل للزمخشري فقط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صدّر أبو الفداء عناوين موضوعاته بكلمات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على</w:t>
      </w:r>
      <w:r>
        <w:rPr>
          <w:rFonts w:eastAsia="Amiri" w:cs="Amiri" w:ascii="Amiri" w:hAnsi="Amiri"/>
          <w:color w:val="111111"/>
          <w:sz w:val="28"/>
          <w:szCs w:val="28"/>
          <w:rtl w:val="true"/>
          <w:lang w:bidi="ar-SA"/>
        </w:rPr>
        <w:t xml:space="preserve">) </w:t>
      </w:r>
      <w:r>
        <w:rPr>
          <w:rStyle w:val="FootnoteAnchor"/>
          <w:rtl w:val="true"/>
        </w:rPr>
        <w:footnoteReference w:id="82"/>
      </w:r>
      <w:r>
        <w:rPr>
          <w:rFonts w:ascii="Amiri" w:hAnsi="Amiri" w:eastAsia="Amiri" w:cs="Amiri"/>
          <w:color w:val="111111"/>
          <w:sz w:val="28"/>
          <w:sz w:val="28"/>
          <w:szCs w:val="28"/>
          <w:rtl w:val="true"/>
          <w:lang w:bidi="ar-SA"/>
        </w:rPr>
        <w:t xml:space="preserve">فيقول مثلا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في المقصور والممدود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على إبدال الواو من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يورد بعد ذكره العنوان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يختاره من الكتب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المفصل أو الكافية أو الشافية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غير أن يشير إلى صاحبه صراحة ، وكان أحيانا ينسبه إلى صاحبه باستعماله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 ذلك ما ذكره عن التمييز إذ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الاسم النكرة الذي يرفع الإبهام المستقر عن ذات مذكورة أو مقدرة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الإبهام المستقر ، احترز به عن الأسماء المشتركة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الاسم النكرة إنما هو على المختار وهو مذهب البصريين</w:t>
      </w:r>
      <w:r>
        <w:rPr>
          <w:rFonts w:eastAsia="Amiri" w:cs="Amiri" w:ascii="Amiri" w:hAnsi="Amiri"/>
          <w:color w:val="111111"/>
          <w:sz w:val="28"/>
          <w:szCs w:val="28"/>
          <w:rtl w:val="true"/>
          <w:lang w:bidi="ar-SA"/>
        </w:rPr>
        <w:t xml:space="preserve">» </w:t>
      </w:r>
      <w:r>
        <w:rPr>
          <w:rStyle w:val="FootnoteAnchor"/>
          <w:rtl w:val="true"/>
        </w:rPr>
        <w:footnoteReference w:id="83"/>
      </w:r>
      <w:r>
        <w:rPr>
          <w:rFonts w:ascii="Amiri" w:hAnsi="Amiri" w:eastAsia="Amiri" w:cs="Amiri"/>
          <w:color w:val="111111"/>
          <w:sz w:val="28"/>
          <w:sz w:val="28"/>
          <w:szCs w:val="28"/>
          <w:rtl w:val="true"/>
          <w:lang w:bidi="ar-SA"/>
        </w:rPr>
        <w:t xml:space="preserve">غير أن طريقة إيراد الحد لم تطرد ففي القسم 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اختلط كلام أبي الفداء بنصوص المفصل ، وفي الفصل العاشر المعقود للخط امتزج فيه كلام ابن الحاجب في الشافية بكلام أبي الفداء ، ومثل ذلك نلمسه في عدد من الموضوعات النحوية والصرفية المتفرقة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تميز أسلوبه في الكناش بسهولة التعبير ، وسلاسة الألفاظ ، وانتظامها في تراكيب واضحة ، هادفا من ذلك بيان المسألة النحوية وإبرازها في أوضح صورة وأتمّ بيان ، فيسهب حين يرى الإسهاب لازما ويوجز حين لا فائدة منه ، ويورد ما تتطلبه المسألة حين تكون للمختصين ويعرضها مجردة مما يثقل فهمها حين تكون للمبتدئين ، فجاء الكناش كتابا تعليميا من جهة ، تخصصيا من جهة ثانية</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اهتم أبو الفداء بصنع دوائر وجداول لتوضيح بعض الأحكام النحوية والصرفية من ذلك الدائرة التي رسمها للبدل </w:t>
      </w:r>
      <w:r>
        <w:rPr>
          <w:rStyle w:val="FootnoteAnchor"/>
          <w:rtl w:val="true"/>
        </w:rPr>
        <w:footnoteReference w:id="85"/>
      </w:r>
      <w:r>
        <w:rPr>
          <w:rFonts w:ascii="Amiri" w:hAnsi="Amiri" w:eastAsia="Amiri" w:cs="Amiri"/>
          <w:color w:val="111111"/>
          <w:sz w:val="28"/>
          <w:sz w:val="28"/>
          <w:szCs w:val="28"/>
          <w:rtl w:val="true"/>
          <w:lang w:bidi="ar-SA"/>
        </w:rPr>
        <w:t xml:space="preserve">والجدول الذي ضمّنه أمثلة نون </w:t>
      </w:r>
    </w:p>
    <w:p>
      <w:pPr>
        <w:pStyle w:val="BookText"/>
        <w:rPr/>
      </w:pPr>
      <w:r>
        <w:rPr>
          <w:rFonts w:ascii="Amiri" w:hAnsi="Amiri" w:eastAsia="Amiri" w:cs="Amiri"/>
          <w:color w:val="111111"/>
          <w:sz w:val="28"/>
          <w:sz w:val="28"/>
          <w:szCs w:val="28"/>
          <w:rtl w:val="true"/>
          <w:lang w:bidi="ar-SA"/>
        </w:rPr>
        <w:t xml:space="preserve">التأكيد جميعها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أورد أبو الفداء في كناشه عددا من الأبيات التعليمية التي يسهل حفظها من ذلك البيت الجامع في أوائل كلمة أحرف الإخفاء مع النون وهو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ترى جار دعد قد ثوى زيد في ضنى</w:t>
      </w:r>
    </w:p>
    <w:p>
      <w:pPr>
        <w:pStyle w:val="BookText"/>
        <w:rPr/>
      </w:pPr>
      <w:r>
        <w:rPr>
          <w:rFonts w:ascii="Amiri" w:hAnsi="Amiri" w:eastAsia="Amiri" w:cs="Amiri"/>
          <w:color w:val="111111"/>
          <w:sz w:val="28"/>
          <w:sz w:val="28"/>
          <w:szCs w:val="28"/>
          <w:rtl w:val="true"/>
          <w:lang w:bidi="ar-SA"/>
        </w:rPr>
        <w:t xml:space="preserve">كما ذاق طير صيد سوءا شبا ظفر </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 xml:space="preserve">ومن ذلك أيضا البيت الجامع للحروف التي تبدل الياء منها وهو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هل كان سرّ بصدّي</w:t>
      </w:r>
    </w:p>
    <w:p>
      <w:pPr>
        <w:pStyle w:val="BookText"/>
        <w:rPr/>
      </w:pPr>
      <w:r>
        <w:rPr>
          <w:rFonts w:ascii="Amiri" w:hAnsi="Amiri" w:eastAsia="Amiri" w:cs="Amiri"/>
          <w:color w:val="111111"/>
          <w:sz w:val="28"/>
          <w:sz w:val="28"/>
          <w:szCs w:val="28"/>
          <w:rtl w:val="true"/>
          <w:lang w:bidi="ar-SA"/>
        </w:rPr>
        <w:t xml:space="preserve">أثمت عوّض بحدّ </w:t>
      </w:r>
      <w:r>
        <w:rPr>
          <w:rStyle w:val="FootnoteAnchor"/>
          <w:rtl w:val="true"/>
        </w:rPr>
        <w:footnoteReference w:id="88"/>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أكثر أبو الفداء من الاستشهاد بالآيات القرآنية والأشعار لتوضيح الأحكام النحوية أو لتعضيدها ، مثال ذلك قوله عن أن المصدرية والمخففة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 المصدرية لا تقع بعد العلم ، والمخففة تقع بعده ومثال المخففة مع حرف النفي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 أن لا يخرج زيد ، وكقوله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يَرَوْنَ أَلَّا يَرْجِعُ إِلَيْهِمْ قَوْلاً</w:t>
      </w:r>
      <w:r>
        <w:rPr>
          <w:rFonts w:eastAsia="Amiri" w:cs="Amiri" w:ascii="Amiri" w:hAnsi="Amiri"/>
          <w:color w:val="111111"/>
          <w:sz w:val="28"/>
          <w:szCs w:val="28"/>
          <w:rtl w:val="true"/>
          <w:lang w:bidi="ar-SA"/>
        </w:rPr>
        <w:t>)</w:t>
      </w:r>
      <w:r>
        <w:rPr>
          <w:rStyle w:val="FootnoteAnchor"/>
          <w:rtl w:val="true"/>
        </w:rPr>
        <w:footnoteReference w:id="89"/>
      </w:r>
      <w:r>
        <w:rPr>
          <w:rFonts w:ascii="Amiri" w:hAnsi="Amiri" w:eastAsia="Amiri" w:cs="Amiri"/>
          <w:color w:val="111111"/>
          <w:sz w:val="28"/>
          <w:sz w:val="28"/>
          <w:szCs w:val="28"/>
          <w:rtl w:val="true"/>
          <w:lang w:bidi="ar-SA"/>
        </w:rPr>
        <w:t xml:space="preserve">وقد استعملت معها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لشبهها بها في النفي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لَيْسَ لِلْإِنْسانِ إِلَّا ما سَعى</w:t>
      </w:r>
      <w:r>
        <w:rPr>
          <w:rFonts w:eastAsia="Amiri" w:cs="Amiri" w:ascii="Amiri" w:hAnsi="Amiri"/>
          <w:color w:val="111111"/>
          <w:sz w:val="28"/>
          <w:szCs w:val="28"/>
          <w:rtl w:val="true"/>
          <w:lang w:bidi="ar-SA"/>
        </w:rPr>
        <w:t>)</w:t>
      </w:r>
      <w:r>
        <w:rPr>
          <w:rStyle w:val="FootnoteAnchor"/>
          <w:rtl w:val="true"/>
        </w:rPr>
        <w:footnoteReference w:id="90"/>
      </w:r>
      <w:r>
        <w:rPr>
          <w:rFonts w:ascii="Amiri" w:hAnsi="Amiri" w:eastAsia="Amiri" w:cs="Amiri"/>
          <w:color w:val="111111"/>
          <w:sz w:val="28"/>
          <w:sz w:val="28"/>
          <w:szCs w:val="28"/>
          <w:rtl w:val="true"/>
          <w:lang w:bidi="ar-SA"/>
        </w:rPr>
        <w:t xml:space="preserve">وقد عوضوا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عنها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أَيَحْسَبُ أَنْ لَمْ يَرَهُ أَحَدٌ</w:t>
      </w:r>
      <w:r>
        <w:rPr>
          <w:rFonts w:eastAsia="Amiri" w:cs="Amiri" w:ascii="Amiri" w:hAnsi="Amiri"/>
          <w:color w:val="111111"/>
          <w:sz w:val="28"/>
          <w:szCs w:val="28"/>
          <w:rtl w:val="true"/>
          <w:lang w:bidi="ar-SA"/>
        </w:rPr>
        <w:t>)</w:t>
      </w:r>
      <w:r>
        <w:rPr>
          <w:rStyle w:val="FootnoteAnchor"/>
          <w:rtl w:val="true"/>
        </w:rPr>
        <w:footnoteReference w:id="91"/>
      </w:r>
      <w:r>
        <w:rPr>
          <w:rFonts w:ascii="Amiri" w:hAnsi="Amiri" w:eastAsia="Amiri" w:cs="Amiri"/>
          <w:color w:val="111111"/>
          <w:sz w:val="28"/>
          <w:sz w:val="28"/>
          <w:szCs w:val="28"/>
          <w:rtl w:val="true"/>
          <w:lang w:bidi="ar-SA"/>
        </w:rPr>
        <w:t xml:space="preserve">وأما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نَزَّلَ عَلَيْكُمْ فِي الْكِتابِ أَنْ إِذا سَمِعْتُمْ آياتِ اللهِ يُكْفَرُ بِها وَيُسْتَهْزَأُ بِها</w:t>
      </w:r>
      <w:r>
        <w:rPr>
          <w:rFonts w:eastAsia="Amiri" w:cs="Amiri" w:ascii="Amiri" w:hAnsi="Amiri"/>
          <w:color w:val="111111"/>
          <w:sz w:val="28"/>
          <w:szCs w:val="28"/>
          <w:rtl w:val="true"/>
          <w:lang w:bidi="ar-SA"/>
        </w:rPr>
        <w:t>)</w:t>
      </w:r>
      <w:r>
        <w:rPr>
          <w:rStyle w:val="FootnoteAnchor"/>
          <w:rtl w:val="true"/>
        </w:rPr>
        <w:footnoteReference w:id="92"/>
      </w:r>
      <w:r>
        <w:rPr>
          <w:rFonts w:ascii="Amiri" w:hAnsi="Amiri" w:eastAsia="Amiri" w:cs="Amiri"/>
          <w:color w:val="111111"/>
          <w:sz w:val="28"/>
          <w:sz w:val="28"/>
          <w:szCs w:val="28"/>
          <w:rtl w:val="true"/>
          <w:lang w:bidi="ar-SA"/>
        </w:rPr>
        <w:t xml:space="preserve">فلما في إذا من معنى الشرط المختص بالاستقبال صارت بمنزلة السين وسوف ، ومثالها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 أن قد خرج زيد ومثالها مع السين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أَنْ سَيَكُونُ مِنْكُمْ مَرْضى</w:t>
      </w:r>
      <w:r>
        <w:rPr>
          <w:rFonts w:eastAsia="Amiri" w:cs="Amiri" w:ascii="Amiri" w:hAnsi="Amiri"/>
          <w:color w:val="111111"/>
          <w:sz w:val="28"/>
          <w:szCs w:val="28"/>
          <w:rtl w:val="true"/>
          <w:lang w:bidi="ar-SA"/>
        </w:rPr>
        <w:t>)</w:t>
      </w:r>
      <w:r>
        <w:rPr>
          <w:rStyle w:val="FootnoteAnchor"/>
          <w:rtl w:val="true"/>
        </w:rPr>
        <w:footnoteReference w:id="93"/>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ومثال استكثاره من الشعر قوله عن زيادة إن الخفيفة المكسورة بعد ما النافية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المكسورة الخفيفة تزاد بعد ما النافية لتأكيد النفي ويبطل عمل ما حينئذ كقول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إن طبّنا جبن ولكن</w:t>
      </w:r>
    </w:p>
    <w:p>
      <w:pPr>
        <w:pStyle w:val="BookText"/>
        <w:rPr/>
      </w:pPr>
      <w:r>
        <w:rPr>
          <w:rFonts w:ascii="Amiri" w:hAnsi="Amiri" w:eastAsia="Amiri" w:cs="Amiri"/>
          <w:color w:val="111111"/>
          <w:sz w:val="28"/>
          <w:sz w:val="28"/>
          <w:szCs w:val="28"/>
          <w:rtl w:val="true"/>
          <w:lang w:bidi="ar-SA"/>
        </w:rPr>
        <w:t>منايانا ودولة آخرينا</w:t>
      </w:r>
    </w:p>
    <w:p>
      <w:pPr>
        <w:pStyle w:val="BookText"/>
        <w:rPr/>
      </w:pPr>
      <w:r>
        <w:rPr>
          <w:rFonts w:ascii="Amiri" w:hAnsi="Amiri" w:eastAsia="Amiri" w:cs="Amiri"/>
          <w:color w:val="111111"/>
          <w:sz w:val="28"/>
          <w:sz w:val="28"/>
          <w:szCs w:val="28"/>
          <w:rtl w:val="true"/>
          <w:lang w:bidi="ar-SA"/>
        </w:rPr>
        <w:t xml:space="preserve">وكقول النابغة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إن أتيت بشيء أنت تكرهه</w:t>
      </w:r>
    </w:p>
    <w:p>
      <w:pPr>
        <w:pStyle w:val="BookText"/>
        <w:rPr/>
      </w:pPr>
      <w:r>
        <w:rPr>
          <w:rFonts w:ascii="Amiri" w:hAnsi="Amiri" w:eastAsia="Amiri" w:cs="Amiri"/>
          <w:color w:val="111111"/>
          <w:sz w:val="28"/>
          <w:sz w:val="28"/>
          <w:szCs w:val="28"/>
          <w:rtl w:val="true"/>
          <w:lang w:bidi="ar-SA"/>
        </w:rPr>
        <w:t>إذن فلا رفعت سوطي إليّ يدي</w:t>
      </w:r>
    </w:p>
    <w:p>
      <w:pPr>
        <w:pStyle w:val="BookText"/>
        <w:rPr/>
      </w:pPr>
      <w:r>
        <w:rPr>
          <w:rFonts w:ascii="Amiri" w:hAnsi="Amiri" w:eastAsia="Amiri" w:cs="Amiri"/>
          <w:color w:val="111111"/>
          <w:sz w:val="28"/>
          <w:sz w:val="28"/>
          <w:szCs w:val="28"/>
          <w:rtl w:val="true"/>
          <w:lang w:bidi="ar-SA"/>
        </w:rPr>
        <w:t xml:space="preserve">وكقول امرىء القيس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حلفت لها بالله حلفة فاجر</w:t>
      </w:r>
    </w:p>
    <w:p>
      <w:pPr>
        <w:pStyle w:val="BookText"/>
        <w:rPr/>
      </w:pPr>
      <w:r>
        <w:rPr>
          <w:rFonts w:ascii="Amiri" w:hAnsi="Amiri" w:eastAsia="Amiri" w:cs="Amiri"/>
          <w:color w:val="111111"/>
          <w:sz w:val="28"/>
          <w:sz w:val="28"/>
          <w:szCs w:val="28"/>
          <w:rtl w:val="true"/>
          <w:lang w:bidi="ar-SA"/>
        </w:rPr>
        <w:t xml:space="preserve">لناموا فما إن من حديث ولا صالي </w:t>
      </w:r>
      <w:r>
        <w:rPr>
          <w:rStyle w:val="FootnoteAnchor"/>
          <w:rtl w:val="true"/>
        </w:rPr>
        <w:footnoteReference w:id="95"/>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يعيّن أبو الفداء أحيانا موضع الشاهد في الأشعار التي يسوقها ويوضحه ، وأحيانا يعربه ويشرح غريبه من ذلك قوله عن جرير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تعدون عقر النّيب أفضل مجدكم</w:t>
      </w:r>
    </w:p>
    <w:p>
      <w:pPr>
        <w:pStyle w:val="BookText"/>
        <w:rPr/>
      </w:pPr>
      <w:r>
        <w:rPr>
          <w:rFonts w:ascii="Amiri" w:hAnsi="Amiri" w:eastAsia="Amiri" w:cs="Amiri"/>
          <w:color w:val="111111"/>
          <w:sz w:val="28"/>
          <w:sz w:val="28"/>
          <w:szCs w:val="28"/>
          <w:rtl w:val="true"/>
          <w:lang w:bidi="ar-SA"/>
        </w:rPr>
        <w:t>بني ضوطرى لو لا الكميّ المقنّعا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فنصب الكميّ بفعل مقدّر أي هلّا تعدّون الكميّ ، والضوطرى الضخم لا غناء عنده ومعنى البيت تفتخرون بعقر النيب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جمع ناب وهي المسنّة من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لكم في الشجاعة نصيب</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 ذلك قوله على بيت لبيبد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فأرسلها العراك ولم يذدها</w:t>
      </w:r>
    </w:p>
    <w:p>
      <w:pPr>
        <w:pStyle w:val="BookText"/>
        <w:rPr/>
      </w:pPr>
      <w:r>
        <w:rPr>
          <w:rFonts w:ascii="Amiri" w:hAnsi="Amiri" w:eastAsia="Amiri" w:cs="Amiri"/>
          <w:color w:val="111111"/>
          <w:sz w:val="28"/>
          <w:sz w:val="28"/>
          <w:szCs w:val="28"/>
          <w:rtl w:val="true"/>
          <w:lang w:bidi="ar-SA"/>
        </w:rPr>
        <w:t>ولم يشفق على نغص الدّخال</w:t>
      </w:r>
    </w:p>
    <w:p>
      <w:pPr>
        <w:pStyle w:val="BookText"/>
        <w:rPr/>
      </w:pPr>
      <w:r>
        <w:rPr>
          <w:rFonts w:ascii="Amiri" w:hAnsi="Amiri" w:eastAsia="Amiri" w:cs="Amiri"/>
          <w:color w:val="111111"/>
          <w:sz w:val="28"/>
          <w:sz w:val="28"/>
          <w:szCs w:val="28"/>
          <w:rtl w:val="true"/>
          <w:lang w:bidi="ar-SA"/>
        </w:rPr>
        <w:t xml:space="preserve">يصف حمار الوحش بأنه أرسل الأتن إلى الماء مزدحمة ، فالعراك وإن كان لفظه معرفة فمعناه التنكير أي معتركة ، وقال أبو علي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تأويله تعترك العراك ، فتعترك المقدّر هو الحال والعراك منصوب على المصدر ، والعراك الزّحام</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تأثر أبو الفداء في عرضه ومناقشاته لبعض القضايا النحوية والصرفية بعلمي الكلام والمنطق ، من ذلك قوله حين عرض خلاف النحويين حول تعريف المخصوص بالمدح أو الذم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وقيل تعريف الرجل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الرجل ، هو تعريف الجنس لا </w:t>
      </w:r>
    </w:p>
    <w:p>
      <w:pPr>
        <w:pStyle w:val="BookText"/>
        <w:rPr/>
      </w:pPr>
      <w:r>
        <w:rPr>
          <w:rFonts w:ascii="Amiri" w:hAnsi="Amiri" w:eastAsia="Amiri" w:cs="Amiri"/>
          <w:color w:val="111111"/>
          <w:sz w:val="28"/>
          <w:sz w:val="28"/>
          <w:szCs w:val="28"/>
          <w:rtl w:val="true"/>
          <w:lang w:bidi="ar-SA"/>
        </w:rPr>
        <w:t>تعريف العهد لأنك إذا مدحت جنس الشيء لأجل ذلك الشيء بالغت في مدح ذلك الشيء</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ويندرج تحت ذلك أيضا استعماله لمصطلحات أصحاب الكلام والمنطق كالفصول العدمية والماهية الاعتبارية والعوارض والحقائق والمحكوم والمحكوم عليه ، والخاص والعام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نقل أبو الفداء كثيرا من الآراء الخلافية غير أنه كان يعرضها غالبا من غير أن يبدي رأيه فيها من ذلك عرضه للخلاف حول جواز تقديم خبر ليس عليها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جواز تقديم خبرها عليها نفسها فقد اختلف فيه ، فمنهم من ألحقها بكان لكونها فعلا محقّقا ، ومنهم من ألحقها بما فتىء ، واستدلّ من ألحقها بكان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يَوْمَ يَأْتِيهِمْ لَيْسَ مَصْرُوفاً عَنْهُمْ</w:t>
      </w:r>
      <w:r>
        <w:rPr>
          <w:rFonts w:eastAsia="Amiri" w:cs="Amiri" w:ascii="Amiri" w:hAnsi="Amiri"/>
          <w:color w:val="111111"/>
          <w:sz w:val="28"/>
          <w:szCs w:val="28"/>
          <w:rtl w:val="true"/>
          <w:lang w:bidi="ar-SA"/>
        </w:rPr>
        <w:t>)</w:t>
      </w:r>
      <w:r>
        <w:rPr>
          <w:rStyle w:val="FootnoteAnchor"/>
          <w:rtl w:val="true"/>
        </w:rPr>
        <w:footnoteReference w:id="100"/>
      </w:r>
      <w:r>
        <w:rPr>
          <w:rFonts w:ascii="Amiri" w:hAnsi="Amiri" w:eastAsia="Amiri" w:cs="Amiri"/>
          <w:color w:val="111111"/>
          <w:sz w:val="28"/>
          <w:sz w:val="28"/>
          <w:szCs w:val="28"/>
          <w:rtl w:val="true"/>
          <w:lang w:bidi="ar-SA"/>
        </w:rPr>
        <w:t xml:space="preserve">ووجه الاستدلال أن يوم يأتيهم معمول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قدّم المعمول صحّ أن يقدّم العامل ، لأنّ المعمول فرع للعامل وأجيب عن ذلك أنه من الجائز أن يكون تقديمه لاتساعهم في الظروف فلا يجوز تقديم غير الظرف</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عرض أبو الفداء كثيرا للخلاف بين النحويين والقرّاء ، وتردّد في تأييد أحد الطرفين ، فنراه أحيانا يؤيد القراء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وإدغام الراء في اللام لحن كذا قال في المفصل وهو مذهب سيبويه والخليل قال السّخاوي وقد أدغم أبو عمرو الراء في اللام فيما يزيد عن ثمانين موضعا في القرآن الكريم وأبو عمرو حجة فيما ينقل وفيما يقرأ فيجب الرجوع إليه في ذلك</w:t>
      </w:r>
      <w:r>
        <w:rPr>
          <w:rFonts w:eastAsia="Amiri" w:cs="Amiri" w:ascii="Amiri" w:hAnsi="Amiri"/>
          <w:color w:val="111111"/>
          <w:sz w:val="28"/>
          <w:szCs w:val="28"/>
          <w:rtl w:val="true"/>
          <w:lang w:bidi="ar-SA"/>
        </w:rPr>
        <w:t xml:space="preserve">» </w:t>
      </w:r>
      <w:r>
        <w:rPr>
          <w:rStyle w:val="FootnoteAnchor"/>
          <w:rtl w:val="true"/>
        </w:rPr>
        <w:footnoteReference w:id="102"/>
      </w:r>
      <w:r>
        <w:rPr>
          <w:rFonts w:ascii="Amiri" w:hAnsi="Amiri" w:eastAsia="Amiri" w:cs="Amiri"/>
          <w:color w:val="111111"/>
          <w:sz w:val="28"/>
          <w:sz w:val="28"/>
          <w:szCs w:val="28"/>
          <w:rtl w:val="true"/>
          <w:lang w:bidi="ar-SA"/>
        </w:rPr>
        <w:t xml:space="preserve">وأحيانا يؤيّد النحويين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أدغمت الجيم في التاء في قراءة أبي عمرو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المعارج تعرج </w:t>
      </w:r>
      <w:r>
        <w:rPr>
          <w:rStyle w:val="FootnoteAnchor"/>
          <w:rtl w:val="true"/>
        </w:rPr>
        <w:footnoteReference w:id="103"/>
      </w:r>
      <w:r>
        <w:rPr>
          <w:rFonts w:ascii="Amiri" w:hAnsi="Amiri" w:eastAsia="Amiri" w:cs="Amiri"/>
          <w:color w:val="111111"/>
          <w:sz w:val="28"/>
          <w:sz w:val="28"/>
          <w:szCs w:val="28"/>
          <w:rtl w:val="true"/>
          <w:lang w:bidi="ar-SA"/>
        </w:rPr>
        <w:t xml:space="preserve">بإدغام جيم المعارج في تاء تعرج وليس بالقويّ لأنّ الجيم قريبة من الشين فكما أنّ الشين لا تدغم لفضيلتها </w:t>
      </w:r>
    </w:p>
    <w:p>
      <w:pPr>
        <w:pStyle w:val="BookText"/>
        <w:rPr/>
      </w:pPr>
      <w:r>
        <w:rPr>
          <w:rFonts w:ascii="Amiri" w:hAnsi="Amiri" w:eastAsia="Amiri" w:cs="Amiri"/>
          <w:color w:val="111111"/>
          <w:sz w:val="28"/>
          <w:sz w:val="28"/>
          <w:szCs w:val="28"/>
          <w:rtl w:val="true"/>
          <w:lang w:bidi="ar-SA"/>
        </w:rPr>
        <w:t>فكذلك الجيم</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أبرز المعالم التي تتضح منها خطة أبي الفداء في تأليفه لكناشه ومنهجه العام فيه ولعل هذا المنهج يبدو أكثر وضوحا حين نرى شواهده ومصادره التي ضمّنها كناشه ، وذلك في الفصل الآتي</w:t>
      </w:r>
      <w:r>
        <w:rPr>
          <w:rFonts w:eastAsia="Amiri" w:cs="Amiri" w:ascii="Amiri" w:hAnsi="Amiri"/>
          <w:color w:val="111111"/>
          <w:sz w:val="28"/>
          <w:szCs w:val="28"/>
          <w:rtl w:val="true"/>
          <w:lang w:bidi="ar-SA"/>
        </w:rPr>
        <w:t xml:space="preserve">. </w:t>
      </w:r>
      <w:bookmarkStart w:id="36" w:name="pg14482_156001"/>
    </w:p>
    <w:p>
      <w:pPr>
        <w:pStyle w:val="Heading4"/>
        <w:numPr>
          <w:ilvl w:val="3"/>
          <w:numId w:val="1"/>
        </w:numPr>
        <w:rPr/>
      </w:pPr>
      <w:bookmarkStart w:id="37" w:name="__RefHeading___Toc716542_996550957"/>
      <w:bookmarkStart w:id="38" w:name="_Toc12"/>
      <w:bookmarkEnd w:id="36"/>
      <w:bookmarkEnd w:id="37"/>
      <w:r>
        <w:rPr>
          <w:rtl w:val="true"/>
        </w:rPr>
        <w:t xml:space="preserve">الفصل الخامس </w:t>
      </w:r>
      <w:r>
        <w:rPr>
          <w:rtl w:val="true"/>
        </w:rPr>
        <w:t xml:space="preserve">: </w:t>
      </w:r>
      <w:r>
        <w:rPr>
          <w:rtl w:val="true"/>
        </w:rPr>
        <w:t>شواهده ومصادره</w:t>
      </w:r>
      <w:bookmarkEnd w:id="38"/>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شواهده </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نوّع أبو الفداء شواهده ، فاستشهد بالآيات القرآنية والأحاديث النبوية والأشعار والأقوال والأمثال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الآيات القرآنية</w:t>
      </w:r>
    </w:p>
    <w:p>
      <w:pPr>
        <w:pStyle w:val="BookText"/>
        <w:rPr/>
      </w:pPr>
      <w:r>
        <w:rPr>
          <w:rFonts w:ascii="Amiri" w:hAnsi="Amiri" w:eastAsia="Amiri" w:cs="Amiri"/>
          <w:color w:val="111111"/>
          <w:sz w:val="28"/>
          <w:sz w:val="28"/>
          <w:szCs w:val="28"/>
          <w:rtl w:val="true"/>
          <w:lang w:bidi="ar-SA"/>
        </w:rPr>
        <w:t xml:space="preserve">رأينا من قبل أنّ أبا الفداء كان حافظا للقرآن الكريم فلا عجب حين يجعل غالب شواهده من القرآن الكريم لتعضيد الظواهر النحوية والصرفية وتأصيلها ، مثال 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فالواو للجمع المطلق ليس فيها دلالة على أنّ الأوّل قبل الثاني ولا العكس ولا أنهما معا بل كل ذلك جائز ، ويدلّ على ذلك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هِيَ إِلَّا حَياتُنَا الدُّنْيا نَمُوتُ وَنَحْيا</w:t>
      </w:r>
      <w:r>
        <w:rPr>
          <w:rFonts w:eastAsia="Amiri" w:cs="Amiri" w:ascii="Amiri" w:hAnsi="Amiri"/>
          <w:color w:val="111111"/>
          <w:sz w:val="28"/>
          <w:szCs w:val="28"/>
          <w:rtl w:val="true"/>
          <w:lang w:bidi="ar-SA"/>
        </w:rPr>
        <w:t>)</w:t>
      </w:r>
      <w:r>
        <w:rPr>
          <w:rStyle w:val="FootnoteAnchor"/>
          <w:rtl w:val="true"/>
        </w:rPr>
        <w:footnoteReference w:id="106"/>
      </w:r>
      <w:r>
        <w:rPr>
          <w:rFonts w:ascii="Amiri" w:hAnsi="Amiri" w:eastAsia="Amiri" w:cs="Amiri"/>
          <w:color w:val="111111"/>
          <w:sz w:val="28"/>
          <w:sz w:val="28"/>
          <w:szCs w:val="28"/>
          <w:rtl w:val="true"/>
          <w:lang w:bidi="ar-SA"/>
        </w:rPr>
        <w:t xml:space="preserve">فالموت بعد الحياة مع أنه قدّمه عليها </w:t>
      </w:r>
      <w:r>
        <w:rPr>
          <w:rStyle w:val="FootnoteAnchor"/>
          <w:rtl w:val="true"/>
        </w:rPr>
        <w:footnoteReference w:id="107"/>
      </w:r>
      <w:r>
        <w:rPr>
          <w:rFonts w:ascii="Amiri" w:hAnsi="Amiri" w:eastAsia="Amiri" w:cs="Amiri"/>
          <w:color w:val="111111"/>
          <w:sz w:val="28"/>
          <w:sz w:val="28"/>
          <w:szCs w:val="28"/>
          <w:rtl w:val="true"/>
          <w:lang w:bidi="ar-SA"/>
        </w:rPr>
        <w:t xml:space="preserve">ومثل ذلك أيضا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 بكسر الهمزة حرف للتحقيق وهي للإثبات بعد الاستفهام ويلزمها القسم ،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وَيَسْتَنْبِئُونَكَ أَحَقٌّ هُوَ ، قُلْ إِي وَرَبِّي إِنَّهُ لَحَقٌّ وَما أَنْتُمْ بِمُعْجِزِينَ</w:t>
      </w:r>
      <w:r>
        <w:rPr>
          <w:rFonts w:eastAsia="Amiri" w:cs="Amiri" w:ascii="Amiri" w:hAnsi="Amiri"/>
          <w:color w:val="111111"/>
          <w:sz w:val="28"/>
          <w:szCs w:val="28"/>
          <w:rtl w:val="true"/>
          <w:lang w:bidi="ar-SA"/>
        </w:rPr>
        <w:t>)</w:t>
      </w:r>
      <w:r>
        <w:rPr>
          <w:rStyle w:val="FootnoteAnchor"/>
          <w:rtl w:val="true"/>
        </w:rPr>
        <w:footnoteReference w:id="108"/>
      </w:r>
      <w:r>
        <w:rPr>
          <w:rFonts w:ascii="Amiri" w:hAnsi="Amiri" w:eastAsia="Amiri" w:cs="Amiri"/>
          <w:color w:val="111111"/>
          <w:sz w:val="28"/>
          <w:sz w:val="28"/>
          <w:szCs w:val="28"/>
          <w:rtl w:val="true"/>
          <w:lang w:bidi="ar-SA"/>
        </w:rPr>
        <w:t xml:space="preserve">فيلزم أن يقع قبلها الاستفهام وبعدها القسم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أبو الفداء ينص كثيرا حين يورد القضايا النحوية ويوضحها على أنها قد وردت </w:t>
      </w:r>
    </w:p>
    <w:p>
      <w:pPr>
        <w:pStyle w:val="BookText"/>
        <w:rPr/>
      </w:pPr>
      <w:r>
        <w:rPr>
          <w:rFonts w:ascii="Amiri" w:hAnsi="Amiri" w:eastAsia="Amiri" w:cs="Amiri"/>
          <w:color w:val="111111"/>
          <w:sz w:val="28"/>
          <w:sz w:val="28"/>
          <w:szCs w:val="28"/>
          <w:rtl w:val="true"/>
          <w:lang w:bidi="ar-SA"/>
        </w:rPr>
        <w:t xml:space="preserve">في القراءات السبع مثال 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والظروف المضافة إلى الجملة يجوز بناؤها على الفتح ويجوز إعرابها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يَوْمُ يَنْفَعُ الصَّادِقِينَ صِدْقُهُمْ</w:t>
      </w:r>
      <w:r>
        <w:rPr>
          <w:rFonts w:eastAsia="Amiri" w:cs="Amiri" w:ascii="Amiri" w:hAnsi="Amiri"/>
          <w:color w:val="111111"/>
          <w:sz w:val="28"/>
          <w:szCs w:val="28"/>
          <w:rtl w:val="true"/>
          <w:lang w:bidi="ar-SA"/>
        </w:rPr>
        <w:t>)</w:t>
      </w:r>
      <w:r>
        <w:rPr>
          <w:rStyle w:val="FootnoteAnchor"/>
          <w:rtl w:val="true"/>
        </w:rPr>
        <w:footnoteReference w:id="110"/>
      </w:r>
      <w:r>
        <w:rPr>
          <w:rFonts w:ascii="Amiri" w:hAnsi="Amiri" w:eastAsia="Amiri" w:cs="Amiri"/>
          <w:color w:val="111111"/>
          <w:sz w:val="28"/>
          <w:sz w:val="28"/>
          <w:szCs w:val="28"/>
          <w:rtl w:val="true"/>
          <w:lang w:bidi="ar-SA"/>
        </w:rPr>
        <w:t xml:space="preserve">بفتح يوم ورفعه في السبعة ، وكذلك الظرف المضاف إلى إذ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يَفْتَدِي مِنْ عَذابِ يَوْمِئِذٍ</w:t>
      </w:r>
      <w:r>
        <w:rPr>
          <w:rFonts w:eastAsia="Amiri" w:cs="Amiri" w:ascii="Amiri" w:hAnsi="Amiri"/>
          <w:color w:val="111111"/>
          <w:sz w:val="28"/>
          <w:szCs w:val="28"/>
          <w:rtl w:val="true"/>
          <w:lang w:bidi="ar-SA"/>
        </w:rPr>
        <w:t>)</w:t>
      </w:r>
      <w:r>
        <w:rPr>
          <w:rStyle w:val="FootnoteAnchor"/>
          <w:rtl w:val="true"/>
        </w:rPr>
        <w:footnoteReference w:id="111"/>
      </w:r>
      <w:r>
        <w:rPr>
          <w:rFonts w:ascii="Amiri" w:hAnsi="Amiri" w:eastAsia="Amiri" w:cs="Amiri"/>
          <w:color w:val="111111"/>
          <w:sz w:val="28"/>
          <w:sz w:val="28"/>
          <w:szCs w:val="28"/>
          <w:rtl w:val="true"/>
          <w:lang w:bidi="ar-SA"/>
        </w:rPr>
        <w:t xml:space="preserve">بفتح ميم يوم وجره في السبعة ، وكذلك يجوز بناء غير ومثل على الفتح إذا أضيفا إلى ما ، أو إلى أن المخففة أو المشددة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لَحَقٌّ مِثْلَ ما أَنَّكُمْ تَنْطِقُونَ</w:t>
      </w:r>
      <w:r>
        <w:rPr>
          <w:rFonts w:eastAsia="Amiri" w:cs="Amiri" w:ascii="Amiri" w:hAnsi="Amiri"/>
          <w:color w:val="111111"/>
          <w:sz w:val="28"/>
          <w:szCs w:val="28"/>
          <w:rtl w:val="true"/>
          <w:lang w:bidi="ar-SA"/>
        </w:rPr>
        <w:t>)</w:t>
      </w:r>
      <w:r>
        <w:rPr>
          <w:rStyle w:val="FootnoteAnchor"/>
          <w:rtl w:val="true"/>
        </w:rPr>
        <w:footnoteReference w:id="112"/>
      </w:r>
      <w:r>
        <w:rPr>
          <w:rFonts w:ascii="Amiri" w:hAnsi="Amiri" w:eastAsia="Amiri" w:cs="Amiri"/>
          <w:color w:val="111111"/>
          <w:sz w:val="28"/>
          <w:sz w:val="28"/>
          <w:szCs w:val="28"/>
          <w:rtl w:val="true"/>
          <w:lang w:bidi="ar-SA"/>
        </w:rPr>
        <w:t>برفع مثل وفتحه في السبعة</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يقتصر أبو الفداء على استشهاد بالقراءات السبع بل استشهد أيضا بالقراءات الشاذة فكان يوردها إما لدعم رأي نحوي يورده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وأجاز المازنيّ نصب الرجل في يا أيها الرجل قياسا على صفة غير المبهم ، فإنّه أجرى صفة المبهم مجرى الظريف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زيد الظريف فكما جاز نصب الظريف حملا على المحل جاز نصب المبهم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في يا أيها الرجل وقرىء في الشاذ قل يا أيها الكافرين </w:t>
      </w:r>
      <w:r>
        <w:rPr>
          <w:rStyle w:val="FootnoteAnchor"/>
          <w:rtl w:val="true"/>
        </w:rPr>
        <w:footnoteReference w:id="114"/>
      </w:r>
      <w:r>
        <w:rPr>
          <w:rStyle w:val="FootnoteAnchor"/>
          <w:rtl w:val="true"/>
        </w:rPr>
        <w:footnoteReference w:id="115"/>
      </w:r>
      <w:r>
        <w:rPr>
          <w:rFonts w:ascii="Amiri" w:hAnsi="Amiri" w:eastAsia="Amiri" w:cs="Amiri"/>
          <w:color w:val="111111"/>
          <w:sz w:val="28"/>
          <w:sz w:val="28"/>
          <w:szCs w:val="28"/>
          <w:rtl w:val="true"/>
          <w:lang w:bidi="ar-SA"/>
        </w:rPr>
        <w:t xml:space="preserve">وإما لبيان خروجها عن القياس كقوله وقرىء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لَمَثُوبَةٌ مِنْ عِنْدِ اللهِ</w:t>
      </w:r>
      <w:r>
        <w:rPr>
          <w:rFonts w:eastAsia="Amiri" w:cs="Amiri" w:ascii="Amiri" w:hAnsi="Amiri"/>
          <w:color w:val="111111"/>
          <w:sz w:val="28"/>
          <w:szCs w:val="28"/>
          <w:rtl w:val="true"/>
          <w:lang w:bidi="ar-SA"/>
        </w:rPr>
        <w:t>)</w:t>
      </w:r>
      <w:r>
        <w:rPr>
          <w:rStyle w:val="FootnoteAnchor"/>
          <w:rtl w:val="true"/>
        </w:rPr>
        <w:footnoteReference w:id="116"/>
      </w:r>
      <w:r>
        <w:rPr>
          <w:rFonts w:ascii="Amiri" w:hAnsi="Amiri" w:eastAsia="Amiri" w:cs="Amiri"/>
          <w:color w:val="111111"/>
          <w:sz w:val="28"/>
          <w:sz w:val="28"/>
          <w:szCs w:val="28"/>
          <w:rtl w:val="true"/>
          <w:lang w:bidi="ar-SA"/>
        </w:rPr>
        <w:t xml:space="preserve">والقياس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مثابة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الأحاديث النبوية الشريفة</w:t>
      </w:r>
    </w:p>
    <w:p>
      <w:pPr>
        <w:pStyle w:val="BookText"/>
        <w:rPr/>
      </w:pPr>
      <w:r>
        <w:rPr>
          <w:rFonts w:ascii="Amiri" w:hAnsi="Amiri" w:eastAsia="Amiri" w:cs="Amiri"/>
          <w:color w:val="111111"/>
          <w:sz w:val="28"/>
          <w:sz w:val="28"/>
          <w:szCs w:val="28"/>
          <w:rtl w:val="true"/>
          <w:lang w:bidi="ar-SA"/>
        </w:rPr>
        <w:t xml:space="preserve">أجاز أبو الفداء الاستشهاد بالحديث النبوي الشريف فأورده في كناشه لأمرين </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للكشف عن أصل بعض الألفاظ ذات الصلة بقضية نحويّة أو صرفيّة كقوله في النسب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نسب إلى اسم على حرفين وكان متحرك الوسط في الأصل والمحذوف منه لام ولم يعوض همزة وصل كأب وأخ وست ، وجب ردّ المحذوف </w:t>
      </w:r>
    </w:p>
    <w:p>
      <w:pPr>
        <w:pStyle w:val="BookText"/>
        <w:rPr/>
      </w:pP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أبويّ وأخويّ وستهيّ إذ أصل ست ، سته بالتحريك ، وتحذف عينها فتبقى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وتحذف لامها فتبقى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 وكاء السّه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وكاء السّت</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لتوضيح بعض الظواهر النحويّة والصرفيّة كذكره الحديث الشريف لبيان أنواع ما فيقول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ومثال الصفة قوله صلى‌الله‌عليه‌وسلم أحبب حبيبك هونا ما ، عسى أن يكون بغيضك يوما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وأبغض بغيضك هونا ما عسى أن يكون حبيبك يوما ما ، أي أحبب حبيبك حبا قليلا ، وأبغض بغيضك بغضا قليلا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هنا حرف يفيد التقليل وقيل زائدة للتأكيد</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ويحاول أحيانا تخريج الحديث على مقتضى القواعد النحوية كقوله في الجمع المؤنث السالم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قيل قد جمع خضراء أخضر بالألف والتاء في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الخضراوات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مؤول بأنه جمع لمسمى الخضراوات نحو البقل وغيره لا للصفة التي هي خضراء ، فإنّ مسمى الخضروات مذكر غير عاقل ، وهو مما يجمع جمع السلامة أعني بالألف والتاء</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الأشعار</w:t>
      </w:r>
    </w:p>
    <w:p>
      <w:pPr>
        <w:pStyle w:val="BookText"/>
        <w:rPr/>
      </w:pPr>
      <w:r>
        <w:rPr>
          <w:rFonts w:ascii="Amiri" w:hAnsi="Amiri" w:eastAsia="Amiri" w:cs="Amiri"/>
          <w:color w:val="111111"/>
          <w:sz w:val="28"/>
          <w:sz w:val="28"/>
          <w:szCs w:val="28"/>
          <w:rtl w:val="true"/>
          <w:lang w:bidi="ar-SA"/>
        </w:rPr>
        <w:t xml:space="preserve">أكثر أبو الفداء من الشواهد الشعرية مراعيا ما وضعه البصريون من قواعد للاستشهاد بالشعر من حيث الزمان والمكان وقد أورد بيتا لأبي نواس مخطئا استعماله فعلى تأنيث أفعل التفضيل مجردة من أل التعريف والإضافة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خطّىء أبو نواس في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 صغرى وكبرى من فواقعها</w:t>
      </w:r>
    </w:p>
    <w:p>
      <w:pPr>
        <w:pStyle w:val="BookText"/>
        <w:rPr/>
      </w:pPr>
      <w:r>
        <w:rPr>
          <w:rFonts w:ascii="IRNazanin" w:hAnsi="IRNazanin" w:eastAsia="IRNazanin"/>
          <w:color w:val="111111"/>
          <w:sz w:val="28"/>
          <w:sz w:val="28"/>
          <w:szCs w:val="28"/>
          <w:rtl w:val="true"/>
          <w:lang w:bidi="fa-IR"/>
        </w:rPr>
        <w:t xml:space="preserve">حصباء درّ على أرض من الذّهب </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 xml:space="preserve">وأورد أيضا بيتين لأبي العلاء المعري على سبيل اللغز وهما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وخلّين مقرونين لمّا تعاونا</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أزالا قصيّا في المحلّ بعيدا </w:t>
      </w:r>
    </w:p>
    <w:p>
      <w:pPr>
        <w:pStyle w:val="BookText"/>
        <w:rPr/>
      </w:pPr>
      <w:r>
        <w:rPr>
          <w:rFonts w:ascii="Amiri" w:hAnsi="Amiri" w:eastAsia="Amiri" w:cs="Amiri"/>
          <w:color w:val="111111"/>
          <w:sz w:val="28"/>
          <w:sz w:val="28"/>
          <w:szCs w:val="28"/>
          <w:rtl w:val="true"/>
          <w:lang w:bidi="ar-SA"/>
        </w:rPr>
        <w:t>وينفيهما إن أحدث الدهر دولة</w:t>
      </w:r>
    </w:p>
    <w:p>
      <w:pPr>
        <w:pStyle w:val="BookText"/>
        <w:rPr/>
      </w:pPr>
      <w:r>
        <w:rPr>
          <w:rFonts w:ascii="Amiri" w:hAnsi="Amiri" w:eastAsia="Amiri" w:cs="Amiri"/>
          <w:color w:val="111111"/>
          <w:sz w:val="28"/>
          <w:sz w:val="28"/>
          <w:szCs w:val="28"/>
          <w:rtl w:val="true"/>
          <w:lang w:bidi="ar-SA"/>
        </w:rPr>
        <w:t xml:space="preserve">كما جعلاه في الدّيار طريدا </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يريد بذلك أن الألف واللام إذا دخلا على الاسم طردا التنوين ، وأنّ التنوين إذا دخل على الاسم طردهما كما طرداه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الأقوال والأمثال</w:t>
      </w:r>
    </w:p>
    <w:p>
      <w:pPr>
        <w:pStyle w:val="BookText"/>
        <w:rPr/>
      </w:pPr>
      <w:r>
        <w:rPr>
          <w:rFonts w:ascii="Amiri" w:hAnsi="Amiri" w:eastAsia="Amiri" w:cs="Amiri"/>
          <w:color w:val="111111"/>
          <w:sz w:val="28"/>
          <w:sz w:val="28"/>
          <w:szCs w:val="28"/>
          <w:rtl w:val="true"/>
          <w:lang w:bidi="ar-SA"/>
        </w:rPr>
        <w:t xml:space="preserve">ساق أبو الفداء في كناشه بعض أقوال الصحابة والتابعين ، فقد استشهد بقول عمر بن الخطاب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أطيق الأذان مع الخلّيفى لأذّنت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وبقول عمر 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لاردّيدى في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ليؤكد أن وزن فعّيلى يأتي مصدرا قياسيا </w:t>
      </w:r>
      <w:r>
        <w:rPr>
          <w:rStyle w:val="FootnoteAnchor"/>
          <w:rtl w:val="true"/>
        </w:rPr>
        <w:footnoteReference w:id="123"/>
      </w:r>
      <w:r>
        <w:rPr>
          <w:rFonts w:ascii="Amiri" w:hAnsi="Amiri" w:eastAsia="Amiri" w:cs="Amiri"/>
          <w:color w:val="111111"/>
          <w:sz w:val="28"/>
          <w:sz w:val="28"/>
          <w:szCs w:val="28"/>
          <w:rtl w:val="true"/>
          <w:lang w:bidi="ar-SA"/>
        </w:rPr>
        <w:t xml:space="preserve">واستخدم أبو الفداء الأمثال غالبا لتوضيح بعض الظواهر الشاذة عن القياس من ذلك قوله في الندبة وقد شذّ حذف حرف النداء في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 ليل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ليل وأطرق كرا أي يا كروان وفي أطرق كرا شذوذان ؛ حذف حرف النداء والترخيم </w:t>
      </w:r>
      <w:r>
        <w:rPr>
          <w:rStyle w:val="FootnoteAnchor"/>
          <w:rtl w:val="true"/>
        </w:rPr>
        <w:footnoteReference w:id="124"/>
      </w:r>
      <w:r>
        <w:rPr>
          <w:rFonts w:ascii="Amiri" w:hAnsi="Amiri" w:eastAsia="Amiri" w:cs="Amiri"/>
          <w:color w:val="111111"/>
          <w:sz w:val="28"/>
          <w:sz w:val="28"/>
          <w:szCs w:val="28"/>
          <w:rtl w:val="true"/>
          <w:lang w:bidi="ar-SA"/>
        </w:rPr>
        <w:t xml:space="preserve">، ويؤكد أبو الفداء دائما على أنّ الأمثال يجوز فيها من الحذف والتخفيف ما لا يجوز في غيرها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مصادره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اعتمد أبو الفداء في تصنيف كناشه على عدد كبير من المصادر ذكر منها ما يأتي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الكتاب لسيبويه المتوفى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وقد أشار إليه في تقديمه لبعض الأبيات الشعرية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بيت الكتاب أو من ذلك بيت الكتاب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الجمل للزجاجي المتوفى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وقد ذكره في موضع واحد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تاج اللغة وصحاح العربية للجوهري المتوفى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وقد أشار إليه في موضعين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المفصل للزمخشري المتوفى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وقد أشار إليه ونقل منه في ستة عشر موضعا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المفصل لابن يعيش المتوفى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أشار إليه في موضع واحد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المفصل للسخاوي المتوفى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وقد أشار إليه في ثلاثة أماكن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المفصل الموسوم بالإيضاح لابن الحاجب المتوفى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وقد أشار إليه في موضع واحد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الشافية للسيد ركن الدين الاستراباذي المتوفى </w:t>
      </w: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وقد ذكره في موضع واحد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مقدمة ابن الحاجب لتقي الدين النيلي من أهل القرن السابع ، وقد أشار إليه في موضع واحد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أبي الفداء لهذه المصادر الأصلية لا يعني أنه قد اقتصر عليها ، إذ يدلنا الكناش على أن أبا الفداء قد اطّلع واعتمد على كثير من كتب النحو والقراءات واللغة والتفسير وإن لم يذكرها صراحة ، ولقد وقفت على نصوص كثيرة جدا قد نقلها أبو الفداء من شرح الوافية وشرح الكافية وإيضاح المفصل لابن الحاجب ، ومن شرح المفصل لابن يعيش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تلك التي أشار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شرح التسهيل لابن مالك أيضا ، وقد ذكرنا أيضا في منهجه أن المفصل والكافية والشافية هي المتون الثلاثة التي أدار عليها أبو الفداء كناشه فكانت هي المادة الأولى عنده ، ومع ذلك لم يذكرها </w:t>
      </w:r>
    </w:p>
    <w:p>
      <w:pPr>
        <w:pStyle w:val="BookText"/>
        <w:rPr/>
      </w:pPr>
      <w:r>
        <w:rPr>
          <w:rFonts w:ascii="Amiri" w:hAnsi="Amiri" w:eastAsia="Amiri" w:cs="Amiri"/>
          <w:color w:val="111111"/>
          <w:sz w:val="28"/>
          <w:sz w:val="28"/>
          <w:szCs w:val="28"/>
          <w:rtl w:val="true"/>
          <w:lang w:bidi="ar-SA"/>
        </w:rPr>
        <w:t xml:space="preserve">صراحة ، ما عدا ذكره أن القسم 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 بالمفصل</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وأخيرا لا شك أن ذكر أبي الفداء للأعلام اللغويين والنحويين والقراء والشعراء يبين لنا مدى اعتماده على كتبهم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كتب من ذكرهم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ودواوينهم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 xml:space="preserve">. </w:t>
      </w:r>
      <w:bookmarkStart w:id="39" w:name="pg14482_156007"/>
    </w:p>
    <w:p>
      <w:pPr>
        <w:pStyle w:val="Heading4"/>
        <w:numPr>
          <w:ilvl w:val="3"/>
          <w:numId w:val="1"/>
        </w:numPr>
        <w:rPr/>
      </w:pPr>
      <w:bookmarkStart w:id="40" w:name="__RefHeading___Toc716544_996550957"/>
      <w:bookmarkStart w:id="41" w:name="_Toc13"/>
      <w:bookmarkEnd w:id="39"/>
      <w:bookmarkEnd w:id="40"/>
      <w:r>
        <w:rPr>
          <w:rtl w:val="true"/>
        </w:rPr>
        <w:t xml:space="preserve">الفصل السادس </w:t>
      </w:r>
      <w:r>
        <w:rPr>
          <w:rtl w:val="true"/>
        </w:rPr>
        <w:t xml:space="preserve">: </w:t>
      </w:r>
      <w:r>
        <w:rPr>
          <w:rtl w:val="true"/>
        </w:rPr>
        <w:t>مذهب أبي الفداء النحوي وموقفه من النحاة</w:t>
      </w:r>
      <w:bookmarkEnd w:id="41"/>
    </w:p>
    <w:p>
      <w:pPr>
        <w:pStyle w:val="BookText"/>
        <w:rPr/>
      </w:pPr>
      <w:r>
        <w:rPr>
          <w:rStyle w:val="FootnoteAnchor"/>
          <w:rtl w:val="true"/>
        </w:rPr>
        <w:footnoteReference w:id="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نستطيع أن نقرّر على ضوء ما رأينا في كتاب الكناش أن أبا الفداء بصريّ المذهب والنزعة كغيره من النحويين المتأخرين ، فقد أيد البصريين في عدد كبير من آرائهم ووافقهم في الأسس التي قامت عليها مدرستهم يتّضح ذلك مما يأتي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العامل</w:t>
      </w:r>
    </w:p>
    <w:p>
      <w:pPr>
        <w:pStyle w:val="BookText"/>
        <w:rPr/>
      </w:pPr>
      <w:r>
        <w:rPr>
          <w:rFonts w:ascii="Amiri" w:hAnsi="Amiri" w:eastAsia="Amiri" w:cs="Amiri"/>
          <w:color w:val="111111"/>
          <w:sz w:val="28"/>
          <w:sz w:val="28"/>
          <w:szCs w:val="28"/>
          <w:rtl w:val="true"/>
          <w:lang w:bidi="ar-SA"/>
        </w:rPr>
        <w:t xml:space="preserve">أيد أبو الفداء البصريين في نظرية العامل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اللفظي والمعنوي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أورد في كناشه عددا من المسائل تدل على اتجاهه هذا ، من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تقريره أن العامل في الفاعل والمفعول به هو الفعل ، والدلالة على كون الفعل هو العامل في الفاعل تتضح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والضمير المرفوع المتصل خاصة يستتر في الفعل الماضي للمذكر الغائب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استتر المتصل بخلاف المنصوب والمجرور المتصلين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وله ، لشدة اتصال المرفوع بالعامل دونهما</w:t>
      </w:r>
      <w:r>
        <w:rPr>
          <w:rFonts w:eastAsia="Amiri" w:cs="Amiri" w:ascii="Amiri" w:hAnsi="Amiri"/>
          <w:color w:val="111111"/>
          <w:sz w:val="28"/>
          <w:szCs w:val="28"/>
          <w:rtl w:val="true"/>
          <w:lang w:bidi="ar-SA"/>
        </w:rPr>
        <w:t xml:space="preserve">» </w:t>
      </w:r>
      <w:r>
        <w:rPr>
          <w:rStyle w:val="FootnoteAnchor"/>
          <w:rtl w:val="true"/>
        </w:rPr>
        <w:footnoteReference w:id="137"/>
      </w:r>
      <w:r>
        <w:rPr>
          <w:rFonts w:ascii="Amiri" w:hAnsi="Amiri" w:eastAsia="Amiri" w:cs="Amiri"/>
          <w:color w:val="111111"/>
          <w:sz w:val="28"/>
          <w:sz w:val="28"/>
          <w:szCs w:val="28"/>
          <w:rtl w:val="true"/>
          <w:lang w:bidi="ar-SA"/>
        </w:rPr>
        <w:t xml:space="preserve">وقال في موضع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والضمائر مع ثبوت عواملها لا تتغير عن حالها ألا ترى أن الياء في تضربين والنون في تضربن والواو في تضربون ، والألف في تضربان لا تتغير بوجه لأنها ضمائر</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ودلّ في موضع آخر على أن هذه الضمائر هي الفاعل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الألف في يفعلان اسم وهي ضمير 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في يضربان اسم وكذلك القول في واو يضربون ونحوه فإنها اسم وهو ضمير 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الياء في تضربين ضمير </w:t>
      </w:r>
    </w:p>
    <w:p>
      <w:pPr>
        <w:pStyle w:val="BookText"/>
        <w:rPr/>
      </w:pPr>
      <w:r>
        <w:rPr>
          <w:rFonts w:ascii="Amiri" w:hAnsi="Amiri" w:eastAsia="Amiri" w:cs="Amiri"/>
          <w:color w:val="111111"/>
          <w:sz w:val="28"/>
          <w:sz w:val="28"/>
          <w:szCs w:val="28"/>
          <w:rtl w:val="true"/>
          <w:lang w:bidi="ar-SA"/>
        </w:rPr>
        <w:t>الفاعل وهي اسم</w:t>
      </w:r>
      <w:r>
        <w:rPr>
          <w:rFonts w:eastAsia="Amiri" w:cs="Amiri" w:ascii="Amiri" w:hAnsi="Amiri"/>
          <w:color w:val="111111"/>
          <w:sz w:val="28"/>
          <w:szCs w:val="28"/>
          <w:rtl w:val="true"/>
          <w:lang w:bidi="ar-SA"/>
        </w:rPr>
        <w:t xml:space="preserve">» </w:t>
      </w:r>
      <w:r>
        <w:rPr>
          <w:rStyle w:val="FootnoteAnchor"/>
          <w:rtl w:val="true"/>
        </w:rPr>
        <w:footnoteReference w:id="139"/>
      </w:r>
      <w:r>
        <w:rPr>
          <w:rFonts w:ascii="Amiri" w:hAnsi="Amiri" w:eastAsia="Amiri" w:cs="Amiri"/>
          <w:color w:val="111111"/>
          <w:sz w:val="28"/>
          <w:sz w:val="28"/>
          <w:szCs w:val="28"/>
          <w:rtl w:val="true"/>
          <w:lang w:bidi="ar-SA"/>
        </w:rPr>
        <w:t xml:space="preserve">، وأفاد أن الفعل هو العامل في المفعول إذ ذكر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يحذف الفعل الناصب للمفعول به جوازا لقرينة تدل عليه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زيدا ، لمن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أضرب أي أضرب زيدا</w:t>
      </w:r>
      <w:r>
        <w:rPr>
          <w:rFonts w:eastAsia="Amiri" w:cs="Amiri" w:ascii="Amiri" w:hAnsi="Amiri"/>
          <w:color w:val="111111"/>
          <w:sz w:val="28"/>
          <w:szCs w:val="28"/>
          <w:rtl w:val="true"/>
          <w:lang w:bidi="ar-SA"/>
        </w:rPr>
        <w:t xml:space="preserve">» </w:t>
      </w:r>
      <w:r>
        <w:rPr>
          <w:rStyle w:val="FootnoteAnchor"/>
          <w:rtl w:val="true"/>
        </w:rPr>
        <w:footnoteReference w:id="140"/>
      </w:r>
      <w:r>
        <w:rPr>
          <w:rFonts w:ascii="Amiri" w:hAnsi="Amiri" w:eastAsia="Amiri" w:cs="Amiri"/>
          <w:color w:val="111111"/>
          <w:sz w:val="28"/>
          <w:sz w:val="28"/>
          <w:szCs w:val="28"/>
          <w:rtl w:val="true"/>
          <w:lang w:bidi="ar-SA"/>
        </w:rPr>
        <w:t xml:space="preserve">وأكد على ذلك في موضع آخر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يتقدم المفعول به على الفعل العامل فيه لأن الفعل قوي في العمل</w:t>
      </w:r>
      <w:r>
        <w:rPr>
          <w:rFonts w:eastAsia="Amiri" w:cs="Amiri" w:ascii="Amiri" w:hAnsi="Amiri"/>
          <w:color w:val="111111"/>
          <w:sz w:val="28"/>
          <w:szCs w:val="28"/>
          <w:rtl w:val="true"/>
          <w:lang w:bidi="ar-SA"/>
        </w:rPr>
        <w:t xml:space="preserve">» </w:t>
      </w:r>
      <w:r>
        <w:rPr>
          <w:rStyle w:val="FootnoteAnchor"/>
          <w:rtl w:val="true"/>
        </w:rPr>
        <w:footnoteReference w:id="141"/>
      </w:r>
      <w:r>
        <w:rPr>
          <w:rFonts w:ascii="Amiri" w:hAnsi="Amiri" w:eastAsia="Amiri" w:cs="Amiri"/>
          <w:color w:val="111111"/>
          <w:sz w:val="28"/>
          <w:sz w:val="28"/>
          <w:szCs w:val="28"/>
          <w:rtl w:val="true"/>
          <w:lang w:bidi="ar-SA"/>
        </w:rPr>
        <w:t xml:space="preserve">ومعلوم أن الكوفيين قد ذهب أكثرهم إلى أن العامل في المفعول به هو الفعل والفاعل جميعا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نصه على أن عامل الرفع في المبتدأ معنوي ، ذكر ذلك حين تحدث عن مواضع تعذر اتصال الضمير إذ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يكون العامل معنويا كالمبتدأ والخبر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زيد وأنا قائم لأنه إذا كان معنويا تعذر الاتصال به</w:t>
      </w:r>
      <w:r>
        <w:rPr>
          <w:rFonts w:eastAsia="Amiri" w:cs="Amiri" w:ascii="Amiri" w:hAnsi="Amiri"/>
          <w:color w:val="111111"/>
          <w:sz w:val="28"/>
          <w:szCs w:val="28"/>
          <w:rtl w:val="true"/>
          <w:lang w:bidi="ar-SA"/>
        </w:rPr>
        <w:t xml:space="preserve">» </w:t>
      </w:r>
      <w:r>
        <w:rPr>
          <w:rStyle w:val="FootnoteAnchor"/>
          <w:rtl w:val="true"/>
        </w:rPr>
        <w:footnoteReference w:id="143"/>
      </w:r>
      <w:r>
        <w:rPr>
          <w:rFonts w:ascii="Amiri" w:hAnsi="Amiri" w:eastAsia="Amiri" w:cs="Amiri"/>
          <w:color w:val="111111"/>
          <w:sz w:val="28"/>
          <w:sz w:val="28"/>
          <w:szCs w:val="28"/>
          <w:rtl w:val="true"/>
          <w:lang w:bidi="ar-SA"/>
        </w:rPr>
        <w:t xml:space="preserve">وما ذهب إليه أبو الفداء هو مذهب البصريين في حين ذهب الكوفيون إلى أن المبتدأ يرفع الخبر ، والخبر يرفع المبتدأ فهما يترافعان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أن عامل النصب في المفعول معه هو الفعل خلافا للكوفيين الذين رأوا أنه منصوب على الخلاف ، وخلافا للجرجاني القائل بأن ناصبه الواو ، وخلافا للزجاج القائل بأن ناصبه فعل مضمر بعد الواو </w:t>
      </w:r>
      <w:r>
        <w:rPr>
          <w:rStyle w:val="FootnoteAnchor"/>
          <w:rtl w:val="true"/>
        </w:rPr>
        <w:footnoteReference w:id="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الفداء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والفعل العامل في المفعول معه يكون لفظا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وزيدا ويكون معنى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وزيدا ، والمراد بالفعل لفظا الفعل وشبهه من أسماء الفاعل والصفة المشبهة والمصدر ونحوها والمراد بالفعل معنى أي تقديرا غير ما ذكر مما يستنبط فيه معنى الفعل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وزيدا وما شأنك وعمرا ، لأن التقدير ما تصنع وعمرا ، فأمّا إذا لم يكن في الكلام فعل ولا معنى فعل فلا يجوز النصب 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وعبد الله وكيف أنت وقصعة من ثريد فالوجه الرّفع لانتفاء الناصب</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السماع والقياس</w:t>
      </w:r>
    </w:p>
    <w:p>
      <w:pPr>
        <w:pStyle w:val="BookText"/>
        <w:rPr/>
      </w:pPr>
      <w:r>
        <w:rPr>
          <w:rFonts w:ascii="Amiri" w:hAnsi="Amiri" w:eastAsia="Amiri" w:cs="Amiri"/>
          <w:color w:val="111111"/>
          <w:sz w:val="28"/>
          <w:sz w:val="28"/>
          <w:szCs w:val="28"/>
          <w:rtl w:val="true"/>
          <w:lang w:bidi="ar-SA"/>
        </w:rPr>
        <w:t xml:space="preserve">وكلاهما حرص على بيانه أبو الفداء في كناشه ، وفق الأساس العام الذي وضعته مدرسة البصرة النحوية ، وقد ظهر حرصه وتشدّده فيهما في عدة صور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ذكره ومتابعته للمصطلحات التي جرى عليها البصريون فالمراد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بالمطرد جري الباب قياسا من غير حاجة إلى سماع في كلّ فرد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بالواجب ما لا يجوز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المطرد ما يتوقف كلّ فرد منه على السماع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بالجائز ما يجوز فيه الإبدال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وتركه</w:t>
      </w:r>
      <w:r>
        <w:rPr>
          <w:rFonts w:eastAsia="Amiri" w:cs="Amiri" w:ascii="Amiri" w:hAnsi="Amiri"/>
          <w:color w:val="111111"/>
          <w:sz w:val="28"/>
          <w:szCs w:val="28"/>
          <w:rtl w:val="true"/>
          <w:lang w:bidi="ar-SA"/>
        </w:rPr>
        <w:t xml:space="preserve">» </w:t>
      </w:r>
      <w:r>
        <w:rPr>
          <w:rStyle w:val="FootnoteAnchor"/>
          <w:rtl w:val="true"/>
        </w:rPr>
        <w:footnoteReference w:id="147"/>
      </w:r>
      <w:r>
        <w:rPr>
          <w:rFonts w:ascii="Amiri" w:hAnsi="Amiri" w:eastAsia="Amiri" w:cs="Amiri"/>
          <w:color w:val="111111"/>
          <w:sz w:val="28"/>
          <w:sz w:val="28"/>
          <w:szCs w:val="28"/>
          <w:rtl w:val="true"/>
          <w:lang w:bidi="ar-SA"/>
        </w:rPr>
        <w:t xml:space="preserve">والمراد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بالقياسي ما يعرف بقاعدة معلومة من استقراء كلامهم يرجع إليها فيه ، والسماعي ما ليس كذلك بل يفتقر كلّ اسم منه على سماع</w:t>
      </w:r>
      <w:r>
        <w:rPr>
          <w:rFonts w:eastAsia="Amiri" w:cs="Amiri" w:ascii="Amiri" w:hAnsi="Amiri"/>
          <w:color w:val="111111"/>
          <w:sz w:val="28"/>
          <w:szCs w:val="28"/>
          <w:rtl w:val="true"/>
          <w:lang w:bidi="ar-SA"/>
        </w:rPr>
        <w:t xml:space="preserve">» </w:t>
      </w:r>
      <w:r>
        <w:rPr>
          <w:rStyle w:val="FootnoteAnchor"/>
          <w:rtl w:val="true"/>
        </w:rPr>
        <w:footnoteReference w:id="148"/>
      </w:r>
      <w:r>
        <w:rPr>
          <w:rFonts w:ascii="Amiri" w:hAnsi="Amiri" w:eastAsia="Amiri" w:cs="Amiri"/>
          <w:color w:val="111111"/>
          <w:sz w:val="28"/>
          <w:sz w:val="28"/>
          <w:szCs w:val="28"/>
          <w:rtl w:val="true"/>
          <w:lang w:bidi="ar-SA"/>
        </w:rPr>
        <w:t xml:space="preserve">والشاذ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أبي الفداء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يعتدّ به </w:t>
      </w:r>
      <w:r>
        <w:rPr>
          <w:rStyle w:val="FootnoteAnchor"/>
          <w:rtl w:val="true"/>
        </w:rPr>
        <w:footnoteReference w:id="149"/>
      </w:r>
      <w:r>
        <w:rPr>
          <w:rFonts w:ascii="Amiri" w:hAnsi="Amiri" w:eastAsia="Amiri" w:cs="Amiri"/>
          <w:color w:val="111111"/>
          <w:sz w:val="28"/>
          <w:sz w:val="28"/>
          <w:szCs w:val="28"/>
          <w:rtl w:val="true"/>
          <w:lang w:bidi="ar-SA"/>
        </w:rPr>
        <w:t xml:space="preserve">أمّا النادر فهو كالمعدوم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ردّه على الفراء القائل بأن وزن أشياء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أصله أشيئاء على وزن أفعلاء جمع لشيّء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أن شيئا أصله شيّيء ثم خفّف كما خفّف ميت وجمع بحسب الأصل على أشيئاء ثم حذفت الهمزة التي بين الياء والألف وهي لام الكلمة فصار وزنه أفعاء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رده أبو الفداء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مردود بأنه لم يسمع شيّىء ، فلو كان هو الأصل لكان شائعا كميّت وبأنه حذف لام الفعل على غير قياس ، لأن الهمزتين إذا توسطهما الألف لا تحذف إحداهما ولا هما</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تأكيده أنه لا يجوز القياس على القليل والنادر فهو لا يجوّز القياس على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عبشمي وعبدري وعبقسي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نادر في كلامهم لا يقاس عليه</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العلة</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اهتم بها اهتماما كبيرا ، فأكثر من إيراد العلل لتفسير الأحكام النحوية ، </w:t>
      </w:r>
    </w:p>
    <w:p>
      <w:pPr>
        <w:pStyle w:val="BookText"/>
        <w:rPr/>
      </w:pPr>
      <w:r>
        <w:rPr>
          <w:rFonts w:ascii="Amiri" w:hAnsi="Amiri" w:eastAsia="Amiri" w:cs="Amiri"/>
          <w:color w:val="111111"/>
          <w:sz w:val="28"/>
          <w:sz w:val="28"/>
          <w:szCs w:val="28"/>
          <w:rtl w:val="true"/>
          <w:lang w:bidi="ar-SA"/>
        </w:rPr>
        <w:t xml:space="preserve">وللوقوف على الحكم الدقيقة من ورائها ، تلك التي أرادتها العرب من طرائق أساليبها وهذه العلل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علل البصريين ومن أيدهم من النحويين المتأخرين ، من ذلك تعليله لمنع ترخيم الاسم الثلاثي كزيد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لئلا يحصل الإجحاف بالحذف فيخرج عن أبنية الاسم</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ومثله تعليله لبناء المنادى المفرد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يرفع به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زيد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بني لشبهه بالمضمر ، لأنه لا ينفك في المعنى عن كونه مخاطبا معينا ، وحكم المخاطب أن يكون مضمرا</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آرائه الدالة على نزعته البصرية ما يأتي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نصّه على أن الجزم بكيفما شاذ ، وذلك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والجزم بكيفما شاذ خلافا للكوفيين فإنهم يجزمون بكيف مع ما</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تجويزه دخول ياء النداء على ما فيه أل ، واعتبار ما ورد من ذلك شاذا لا يعتدّ به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وأدخلوا حرف النداء على اللّام في اسم الله خاصة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ألله إما لكثرته وإمّا لأنّ اللّام ليست للتعريف وقد ورد في الشعر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أجلك يا التي تيّمت قلبي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شاذ لا يعتدّ به ولا بما يأتي من ذلك</w:t>
      </w:r>
      <w:r>
        <w:rPr>
          <w:rFonts w:eastAsia="Amiri" w:cs="Amiri" w:ascii="Amiri" w:hAnsi="Amiri"/>
          <w:color w:val="111111"/>
          <w:sz w:val="28"/>
          <w:szCs w:val="28"/>
          <w:rtl w:val="true"/>
          <w:lang w:bidi="ar-SA"/>
        </w:rPr>
        <w:t xml:space="preserve">» </w:t>
      </w:r>
      <w:r>
        <w:rPr>
          <w:rStyle w:val="FootnoteAnchor"/>
          <w:rtl w:val="true"/>
        </w:rPr>
        <w:footnoteReference w:id="156"/>
      </w:r>
      <w:r>
        <w:rPr>
          <w:rFonts w:ascii="Amiri" w:hAnsi="Amiri" w:eastAsia="Amiri" w:cs="Amiri"/>
          <w:color w:val="111111"/>
          <w:sz w:val="28"/>
          <w:sz w:val="28"/>
          <w:szCs w:val="28"/>
          <w:rtl w:val="true"/>
          <w:lang w:bidi="ar-SA"/>
        </w:rPr>
        <w:t xml:space="preserve">وقد ذهب الكوفيون إلى جواز نداء ما فيه الألف واللام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الرجل ويا الغلام ومنعه البصريون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تضعيفه مذهب الكوفيين المجيزي العطف بلكن بعد الإيجاب في المفردات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لكن فإن وقع بعدها مفرد كانت للاستدراك ، ولزم تقدّم النفي عليها نحو ما جاءني زيد لكن بكر وأجاز الكوفيون العطف بعد الإيجاب في المفردات وهو </w:t>
      </w:r>
    </w:p>
    <w:p>
      <w:pPr>
        <w:pStyle w:val="BookText"/>
        <w:rPr/>
      </w:pP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تأييده مذهب البصريين في كون من الزائدة لا تزاد إلّا بعد غير الموجب حيث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وتقع من زائدة وتعرف بأنك لو حذفتها لكان المعنى الأصلي على حاله ، ولا يفوت بحذفها سوى التأكيد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جاءني من أحد ، وهي مختصة عند البصريين بغير الموجب ، وجوّز الكوفيون والأخفش زيادتها في الواجب أيضا واستشهدوا بقولهم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من مطر ، وتأويله قد كان شيء من مطر فتكون للتبعيض ، واستدلوا أيضا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يَغْفِرْ لَكُمْ مِنْ ذُنُوبِكُمْ</w:t>
      </w:r>
      <w:r>
        <w:rPr>
          <w:rFonts w:eastAsia="Amiri" w:cs="Amiri" w:ascii="Amiri" w:hAnsi="Amiri"/>
          <w:color w:val="111111"/>
          <w:sz w:val="28"/>
          <w:szCs w:val="28"/>
          <w:rtl w:val="true"/>
          <w:lang w:bidi="ar-SA"/>
        </w:rPr>
        <w:t>)</w:t>
      </w:r>
      <w:r>
        <w:rPr>
          <w:rStyle w:val="FootnoteAnchor"/>
          <w:rtl w:val="true"/>
        </w:rPr>
        <w:footnoteReference w:id="159"/>
      </w:r>
      <w:r>
        <w:rPr>
          <w:rFonts w:ascii="Amiri" w:hAnsi="Amiri" w:eastAsia="Amiri" w:cs="Amiri"/>
          <w:color w:val="111111"/>
          <w:sz w:val="28"/>
          <w:sz w:val="28"/>
          <w:szCs w:val="28"/>
          <w:rtl w:val="true"/>
          <w:lang w:bidi="ar-SA"/>
        </w:rPr>
        <w:t xml:space="preserve">وقد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يَغْفِرُ الذُّنُوبَ جَمِيعاً</w:t>
      </w:r>
      <w:r>
        <w:rPr>
          <w:rFonts w:eastAsia="Amiri" w:cs="Amiri" w:ascii="Amiri" w:hAnsi="Amiri"/>
          <w:color w:val="111111"/>
          <w:sz w:val="28"/>
          <w:szCs w:val="28"/>
          <w:rtl w:val="true"/>
          <w:lang w:bidi="ar-SA"/>
        </w:rPr>
        <w:t>)</w:t>
      </w:r>
      <w:r>
        <w:rPr>
          <w:rStyle w:val="FootnoteAnchor"/>
          <w:rtl w:val="true"/>
        </w:rPr>
        <w:footnoteReference w:id="160"/>
      </w:r>
      <w:r>
        <w:rPr>
          <w:rFonts w:ascii="Amiri" w:hAnsi="Amiri" w:eastAsia="Amiri" w:cs="Amiri"/>
          <w:color w:val="111111"/>
          <w:sz w:val="28"/>
          <w:sz w:val="28"/>
          <w:szCs w:val="28"/>
          <w:rtl w:val="true"/>
          <w:lang w:bidi="ar-SA"/>
        </w:rPr>
        <w:t>والجواب أن من هاهنا أيضا للتبعيض أي يغفر لكم بعض ذنوبكم وهو خطاب لقوم نوح</w:t>
      </w:r>
      <w:r>
        <w:rPr>
          <w:rFonts w:eastAsia="Amiri" w:cs="Amiri" w:ascii="Amiri" w:hAnsi="Amiri"/>
          <w:color w:val="111111"/>
          <w:sz w:val="28"/>
          <w:szCs w:val="28"/>
          <w:rtl w:val="true"/>
          <w:lang w:bidi="ar-SA"/>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تقريره أنّ خبر كان نصب تشبيها له بالمفعول ، وأنّ اسمها رفع تشبيها له بالفاعل في حين ذهب الكوفيون إلى أن نصب خبرها جاء تشبيها له بالحال ، قال أبو الفداء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وإنما رفعت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لأنها تفتقر إلى اسم تسند إليه كسائر الأفعال فارتفع ما أسندت إليه تشبيها له بالفاعل فلما رفعت الأول وجب نصب الثاني على التشبيه بالمفعول</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منعه تقديم خبر ما أوّله ما من أخوات كان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ويجوز في الباب كله تقديم الخبر عليها أنفسها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قائما كان زيد ، إلّا ما أوّله ما ، فإنه لا يقدم عليها الخبر فلا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قائما ما فتىء زيد ، لأن ما إما نافية أو مصدرية ويمتنع تقديم ما في حيّز النفي عليه ، وتقديم معمول المصدر على المصدر</w:t>
      </w:r>
      <w:r>
        <w:rPr>
          <w:rFonts w:eastAsia="Amiri" w:cs="Amiri" w:ascii="Amiri" w:hAnsi="Amiri"/>
          <w:color w:val="111111"/>
          <w:sz w:val="28"/>
          <w:szCs w:val="28"/>
          <w:rtl w:val="true"/>
          <w:lang w:bidi="ar-SA"/>
        </w:rPr>
        <w:t xml:space="preserve">» </w:t>
      </w:r>
      <w:r>
        <w:rPr>
          <w:rStyle w:val="FootnoteAnchor"/>
          <w:rtl w:val="true"/>
        </w:rPr>
        <w:footnoteReference w:id="163"/>
      </w:r>
      <w:r>
        <w:rPr>
          <w:rFonts w:ascii="Amiri" w:hAnsi="Amiri" w:eastAsia="Amiri" w:cs="Amiri"/>
          <w:color w:val="111111"/>
          <w:sz w:val="28"/>
          <w:sz w:val="28"/>
          <w:szCs w:val="28"/>
          <w:rtl w:val="true"/>
          <w:lang w:bidi="ar-SA"/>
        </w:rPr>
        <w:t xml:space="preserve">وقد ذهب الكوفيون إلى جواز تقديم خبر ما زال عليها وما كان بمعناها ومنع ذلك البصريون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ذهابه إلى أن وزن سيّد وميّت فيعل بكسر العين لا فعيل كما ذهب إليه الكوفيون ولا فيعل بفتح العين كما ذهب إلى ذلك البغداديون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والصحيح أنّ وزن سيّد وميّت فيعل بكسر العين وهو بناء مختص بالمعتل لأنّ المعتلّ ضرب بذاته ولا حاجة إلى أن يقال إنه فيعل بفتح العين ثم نقل إلى كسرها لعدم فيعل بكسر العين لأنه إنما هو معدوم في الصحيح خاصة لا في المعتل</w:t>
      </w:r>
      <w:r>
        <w:rPr>
          <w:rFonts w:eastAsia="Amiri" w:cs="Amiri" w:ascii="Amiri" w:hAnsi="Amiri"/>
          <w:color w:val="111111"/>
          <w:sz w:val="28"/>
          <w:szCs w:val="28"/>
          <w:rtl w:val="true"/>
          <w:lang w:bidi="ar-SA"/>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تجويزه جمع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طلحة وحمزة وعلّامة ونسّابة مما فيه تاء التأنيث بالواو والنون في حين أجازه الكوفيون مطلقا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تجويزه ضم ما قبل الواو في حالة الرفع وكسر ما قبل الياء في حالتي النصب والجر في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مصطفون ومصطفين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كان آخره ألفا حذفت لالتقاء الساكنين وترك ما قبل الياء مفتوحا لتدل الفتحة على الألف المحذوفة فيقال في 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مصطفون بفتح الفاء وفي النصب والجر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مصطفين بفتحهما أيضا ، وأجاز الكوفيون ضمّ ما قبل الواو وكسر ما قبل الياء قياسا على المنقوص وهو ضعيف ، لأنّ النصّ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وَأَنْتُمُ الْأَعْلَوْنَ</w:t>
      </w:r>
      <w:r>
        <w:rPr>
          <w:rFonts w:eastAsia="Amiri" w:cs="Amiri" w:ascii="Amiri" w:hAnsi="Amiri"/>
          <w:color w:val="111111"/>
          <w:sz w:val="28"/>
          <w:szCs w:val="28"/>
          <w:rtl w:val="true"/>
          <w:lang w:bidi="ar-SA"/>
        </w:rPr>
        <w:t>)</w:t>
      </w:r>
      <w:r>
        <w:rPr>
          <w:rStyle w:val="FootnoteAnchor"/>
          <w:rtl w:val="true"/>
        </w:rPr>
        <w:footnoteReference w:id="1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وَإِنَّهُمْ عِنْدَنا لَمِنَ الْمُصْطَفَيْنَ</w:t>
      </w:r>
      <w:r>
        <w:rPr>
          <w:rFonts w:eastAsia="Amiri" w:cs="Amiri" w:ascii="Amiri" w:hAnsi="Amiri"/>
          <w:color w:val="111111"/>
          <w:sz w:val="28"/>
          <w:szCs w:val="28"/>
          <w:rtl w:val="true"/>
          <w:lang w:bidi="ar-SA"/>
        </w:rPr>
        <w:t>)</w:t>
      </w:r>
      <w:r>
        <w:rPr>
          <w:rStyle w:val="FootnoteAnchor"/>
          <w:rtl w:val="true"/>
        </w:rPr>
        <w:footnoteReference w:id="168"/>
      </w:r>
      <w:r>
        <w:rPr>
          <w:rFonts w:ascii="Amiri" w:hAnsi="Amiri" w:eastAsia="Amiri" w:cs="Amiri"/>
          <w:color w:val="111111"/>
          <w:sz w:val="28"/>
          <w:sz w:val="28"/>
          <w:szCs w:val="28"/>
          <w:rtl w:val="true"/>
          <w:lang w:bidi="ar-SA"/>
        </w:rPr>
        <w:t xml:space="preserve">على خلافه ، وأيضا فإن فتحة ما قبل الألف في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لم يتعذر بقاؤها ، فلم يجب التغيير فبقيت الفتحة على حالها</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نصّه على أن تعريف العدد المركب يكون بتعريف جزئه الأول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الأحد عشر رجلا في حين ذهب الكوفيون إلى جواز تعريف الجزأين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الأحد العشر رجلا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وبصريّة أبي الفداء هذه لم تمنع عقله المتحرر من أن يؤيد الكوفيين في بعض </w:t>
      </w:r>
    </w:p>
    <w:p>
      <w:pPr>
        <w:pStyle w:val="BookText"/>
        <w:rPr/>
      </w:pPr>
      <w:r>
        <w:rPr>
          <w:rFonts w:ascii="Amiri" w:hAnsi="Amiri" w:eastAsia="Amiri" w:cs="Amiri"/>
          <w:color w:val="111111"/>
          <w:sz w:val="28"/>
          <w:sz w:val="28"/>
          <w:szCs w:val="28"/>
          <w:rtl w:val="true"/>
          <w:lang w:bidi="ar-SA"/>
        </w:rPr>
        <w:t xml:space="preserve">آرائهم من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تجويزه النصب في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زيدا دراكه لأنه على تقدير الرفع يلزم وقوع الطلب خبرا عن المبتدأ وهو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أبو الفداء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وأجاز الرفع على تقدير زيد مقول فيه ، وعلى تقدير النصب لا يلزم إلا حذف الفعل وهو كثير غير بعيد </w:t>
      </w:r>
      <w:r>
        <w:rPr>
          <w:rStyle w:val="FootnoteAnchor"/>
          <w:rtl w:val="true"/>
        </w:rPr>
        <w:footnoteReference w:id="1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ذهب الكوفيون إلى جواز النصب ومنعه البصريون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تأييده مذهب الكوفيين تبعا لابن الحاجب في كون كي هي الناصبة للفعل المضارع وليست أن المضمرة كما ذهب إلى ذلك البصريون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وكي تنصب أبدا ومعناها أن ما قبلها سبب لما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ناصبة للفعل عند الكوفيين وهو اختيار ابن الحاجب ، وذهب بعضهم إلى أنّ كي حرف جرّ فلا تدخل على الفعل إلّا بتقدير أن بعدها ، وردّ بأنّها لو كانت حرف جر لما جاز الجمع بينهما وبين اللام في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قمت لكي تقوم</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واتجاه أبي الفداء العام نحو المذهب البصري رافقه اتجاه خاص نحو أعلام كثير من النحويين فقد توقف أبو الفداء أمام آرائهم عالما ملك أصول وأطراف هذه الصناعة فبرزت مواقفه من هذه الآراء على النحو الآتي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الخليل المتوفى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وسيبويه المتوفى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أبو الفداء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 بين الخليل وسيبويه من غير أن يرجّح رأيا على آخر من 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قولهم ها أنذا ونحوه ، فحرف التنبيه داخل على الاسم المضمر عند سيبويه لأنّ أنا في ها أنذا هو الذي يلي حرف التنبيه ، وأمّا عند الخليل فداخل على المبهم أعني ذا والتقدير أنا هذا ، ففصل بالمضمر بين حرف التنبيه وبين المبهم</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رجح أبو الفداء رأي سيبويه على رأي الخليل في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حرفا برأسه </w:t>
      </w:r>
    </w:p>
    <w:p>
      <w:pPr>
        <w:pStyle w:val="BookText"/>
        <w:rPr/>
      </w:pPr>
      <w:r>
        <w:rPr>
          <w:rFonts w:ascii="Amiri" w:hAnsi="Amiri" w:eastAsia="Amiri" w:cs="Amiri"/>
          <w:color w:val="111111"/>
          <w:sz w:val="28"/>
          <w:sz w:val="28"/>
          <w:szCs w:val="28"/>
          <w:rtl w:val="true"/>
          <w:lang w:bidi="ar-SA"/>
        </w:rPr>
        <w:t xml:space="preserve">وليس مركّبا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بذلك الخليل قال أبو الفداء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ولن لتأكيد ما تعطيه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نفي المستقبل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أبرح اليوم مكاني ، فإذا أكدت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أبرح ، والصحيح أنها حرف برأسها لا أنها من لا أن</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سيبويه ويونس المتوفى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أبو الفداء كثيرا من آراء يونس من غير أن يبدي رأيه فيها من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وحكى يونس إيمن بكسر الهمزة</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أبو الفداء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 بين سيبويه ويونس من غير أن يرجّح رأيا على آخر من ذلك قوله في النسب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نسبت إلى بنت وأخت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بنويّ وأخويّ عند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ويونس ينسب إليهما بغير تغيير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بنتيّ وأختيّ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سيبويه والأخفش المتوفى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 أبو الفداء سيبويه في ذهابه إلى أن كلّ ياء هي عين ساكنة مضموم ما قبلها ، حكمها أن تقلب الضمّة كسرة لتسلم الياء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بيض جمع بيضاء ، والأصل بيض بضمّ الفاء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حمر جمع حمراء ، انقلبت الضمّة كسرة لتصحّ الياء ، وذهب الأخفش إلى قلب الياء واوا فيقال على مذهبه بوض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وعلّق أبو الفداء بعد عرضه الخلاف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ومذهب سيبويه هو القياس لأنّ الضرورة ملجئة في اجتماع الياء والضمّة إلى تغيير إحداهما وتغيير الحركة أولى من تغيير الحرف ، لأنّ المحافظة على الحرف أولى من المحافظة على الحركة</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رجّح أبو الفداء مذهب الخليل وسيبويه على مذهب الأخفش في كون واو المفعول هي المحذوفة في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مقول وليس عينه كما ذهب إلى ذلك الأخفش قال </w:t>
      </w:r>
    </w:p>
    <w:p>
      <w:pPr>
        <w:pStyle w:val="BookText"/>
        <w:rPr/>
      </w:pPr>
      <w:r>
        <w:rPr>
          <w:rFonts w:ascii="Amiri" w:hAnsi="Amiri" w:eastAsia="Amiri" w:cs="Amiri"/>
          <w:color w:val="111111"/>
          <w:sz w:val="28"/>
          <w:sz w:val="28"/>
          <w:szCs w:val="28"/>
          <w:rtl w:val="true"/>
          <w:lang w:bidi="ar-SA"/>
        </w:rPr>
        <w:t xml:space="preserve">أبو الفداء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والمحذوف عند الخليل وسيبويه هو واو مفعول لزيادتها وأصالة العين ، ولقولهم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مبيع إذ لو كان المحذوف هو الياء لقالوا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مبوع ، وعند الأخفش أن المحذوف العين دون واو مفعول لمجيئها لمعنى وما كان لمعنى فهو أولى بالبقاء ، وأمّا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مبيع دون مبيوع فلأنّ الضمّة لمّا نقلت عن الواو والياء قلبت كسرة في باب مبيع إمّا للتنبيه على بنات الياء أو للياء التي سكّنت بعدها ثمّ حذفت فلما قلبت كسرة في باب مبيوع انقلبت واو مفعول ياء لسكونها وانكسار ما قبلها ، ورجّح مذهب الخليل وسيبويه لأنّه أقلّ تغييرا</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غير أن هذا التأييد لسيبويه لا يعني أنّ أبا الفداء لم يرجح رأيا للأخفش اقتنع به وارتضاه ، من ذلك أنّ سيبويه والمتقدّمين أجازوا اشتقاق اسم الفاعل من اسم العدد للدلالة على التصيير مما زاد على العشرة ، فأجازوا القول خامس أربعة عشر وردّ ذلك أبو الفداء مؤيدا رأي الأخفش المانع لذلك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ويشتقّ من اسم العدد اسم فاعل كقولك ثالث ورابع وخامس ونحوه وله معنيان فالأول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يشتقّ اسم الفاعل باعتبار التصيير بمعنى أن يكون زائدا على المذكور معه بواحد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 واحد وثالث اثنين إلى عاشر تسعة في المذكر وثانية واحدة وثالثة اثنين إلى عاشرة تسع في المؤنث أي هذا الذي صيّر الواحد بانضمام نفسه إلى اثنين وصيّر التسعة عشرة بنفسه بمعنى أنه ثنّى الواحد وعشّر التسعة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يتجاوز فيه عن العاشر والعاشرة فلا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خامس عشر أربعة عشرة ، وسيبويه والمتقدمون يجيزون خامس أربعة عشر ، والصحيح عدم جواز ذلك وهو مذهب الأخفش والمبرد والمتأخرين ، لأنه مأخوذ من الفعل والتقدير كان واحدا فثنيّته أو اثنين فثلّثتهما أو تسعة فعشّرتهم وليس لما بعد العشرة ما يمكن منه ذلك</w:t>
      </w:r>
      <w:r>
        <w:rPr>
          <w:rFonts w:eastAsia="Amiri" w:cs="Amiri" w:ascii="Amiri" w:hAnsi="Amiri"/>
          <w:color w:val="111111"/>
          <w:sz w:val="28"/>
          <w:szCs w:val="28"/>
          <w:rtl w:val="true"/>
          <w:lang w:bidi="ar-SA"/>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المازني المتوفى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أبو الفداء آراء المازني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تعليق ، من 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واعلم أنّ الألف الثالثة التي تكتب بالياء إن كانت تلك الألف في اسم منوّن نحو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رحى ، فالمختار عند ابن الحاجب أن يكتب بالياء في الأحوال كلها ، وهو قياس المبرد ، وأمّا قياس المازني فيكتب بالألف في الأحوال كلها أي في النصب والجر والرفع ، وقياس سيبويه أن يكتب المنصوب بالألف والمرفوع والمجرور بالياء</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خالف أبو الفداء المازنيّ حين ذهب إلى أنّ إبدال الهمزة من الواو المكسورة أولا هو إبدال مطرد في حين نصّ أبو الفداء على كونه غير مطرد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إبدال الهمزة من الواو التي هي غير مضمومة وهو أيضا إبدال غير مقيس عليه ، فقد أبدلوا الهمزة منها إذا وقعت أولا إبدالا غير مطرد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وشاح ووسادة فتقول إشاح وإسادة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بهمز ذلك كله ، وقد رأى المازني أنّ الإبدال من المكسورة خاصة مقيس مطرد</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سيبويه والمبرّد المتوفى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أبرز أبو الفداء مواقف المبرد من آراء سيبويه في الصور الآتية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يعرض خلافه مع سيبويه من غير أن يبدي رأيه ،من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الكوفيين والمبرّد قد ذهبوا إلى أن الجرّ بالواو لا بربّ في حين ذهب سيبويه وغالب البصريين إلى أنّ واو ربّ تجر بربّ المضمرة بعدها ، قال أبو الفداء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واو ربّ فهي التي يبتدأ بها في أول الكلام بمعنى ربّ ، ولهذا تدخل على النكرة الموصوفة وتحتاج إلى جواب مذكور أو محذوف ماض كما قيل في ربّ ، وهذا مذهب الكوفيين والمبرد فإن الجرّ عندهم بالواو لا بربّ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والمذهب الآخر مذهب سيبويه وغالب البصريين أن واو ربّ إنما تجر بربّ مضمرة بعدها</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عرضه لخلافهما حول حاشا ، قال أبو الفداء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وحاشا حرف جرّ وفيه معنى الاستثناء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مذهب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فعل عند المبرد</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لرأيهما حول عمل إن المكسورة الهمزة المخفّفة عمل ليس قال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يجوز إعمالها عمل ليس عند سيبويه وأجازه المبرد</w:t>
      </w:r>
      <w:r>
        <w:rPr>
          <w:rFonts w:eastAsia="Amiri" w:cs="Amiri" w:ascii="Amiri" w:hAnsi="Amiri"/>
          <w:color w:val="111111"/>
          <w:sz w:val="28"/>
          <w:szCs w:val="28"/>
          <w:rtl w:val="true"/>
          <w:lang w:bidi="ar-SA"/>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يخالف رأي المبرد ويؤيد رأي سيبويه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سيبويه أجاز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لأفعلنّ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على إرادة الحرف المحذوف وردّ ذلك المبرد لأنّ حرف الجر لا يعمل مضمرا ، وعلّق أبو الفداء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يجوز الجرّ في اسم الله تعالى خاصة لكثرة القسم به والنصب فيه وفي غيره</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المبرد أجاز دخول حتّى على المضمر فيقال على مذهبه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حتّاه ، ومنع ذلك سيبويه وأيده أبو الفداء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وحتّى لا تدخل إلا على اسم ظاهر فلا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حتّاه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خلافا للمبرد</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المبرد إلى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 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الدار نصب لأنّ دخل فعل متعدّ بنفسه والمنصوب بعده مفعول به وليس ظرفا ، في حين نصبها سيبويه على الظرفية لكونها في تقدير في وأضاف أبو الفداء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والصحيح أنّ دخل لازم لأنّ مصدره فعول وهو من المصادر اللازمة غالبا</w:t>
      </w:r>
      <w:r>
        <w:rPr>
          <w:rFonts w:eastAsia="Amiri" w:cs="Amiri" w:ascii="Amiri" w:hAnsi="Amiri"/>
          <w:color w:val="111111"/>
          <w:sz w:val="28"/>
          <w:szCs w:val="28"/>
          <w:rtl w:val="true"/>
          <w:lang w:bidi="ar-SA"/>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 أبو الفداء سيبويه في ذهابه إلى أن النسب إلى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قريش قريشي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بإثبات 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نصّ المبرد على أنّ النسب إليها يجوز أن يكون 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 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ذلك مطرد ينقاس عليه ، وقد عدّ أبو الفداء ذلك شاذا على خلاف القياس</w:t>
      </w:r>
      <w:r>
        <w:rPr>
          <w:rFonts w:eastAsia="Amiri" w:cs="Amiri" w:ascii="Amiri" w:hAnsi="Amiri"/>
          <w:color w:val="111111"/>
          <w:sz w:val="28"/>
          <w:szCs w:val="28"/>
          <w:rtl w:val="true"/>
          <w:lang w:bidi="ar-SA"/>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يوافق المبرد على رأيه ، من ذلك </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موافقته له في جواز الجمع بين الفاعل الظاهر وبين النكرة المميزة لهذا الفاعل في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الرجل رجلا زيد ، في حين أن سيبويه لا يجيز ذلك ، قال أبو الفداء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واعلم أنه يجوز الجمع بين الفاعل الظاهر وبين النكرة المميزة تأكيدا للفاعل </w:t>
      </w:r>
    </w:p>
    <w:p>
      <w:pPr>
        <w:pStyle w:val="BookText"/>
        <w:rPr/>
      </w:pPr>
      <w:r>
        <w:rPr>
          <w:rFonts w:ascii="Amiri" w:hAnsi="Amiri" w:eastAsia="Amiri" w:cs="Amiri"/>
          <w:color w:val="111111"/>
          <w:sz w:val="28"/>
          <w:sz w:val="28"/>
          <w:szCs w:val="28"/>
          <w:rtl w:val="true"/>
          <w:lang w:bidi="ar-SA"/>
        </w:rPr>
        <w:t xml:space="preserve">الظاهر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الرجل رجلا زيد ، وهو جمع بين المفسّر والمفسّر ، لكن جوّز لتأكيد الظاهر وللتنبيه على أنّ هذا هو الأصل</w:t>
      </w:r>
      <w:r>
        <w:rPr>
          <w:rFonts w:eastAsia="Amiri" w:cs="Amiri" w:ascii="Amiri" w:hAnsi="Amiri"/>
          <w:color w:val="111111"/>
          <w:sz w:val="28"/>
          <w:szCs w:val="28"/>
          <w:rtl w:val="true"/>
          <w:lang w:bidi="ar-SA"/>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كيسان المتوفى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قرر أبو الفداء أن ألفاظ التوكيد المعنوي تأتي تالية لأجمع ، وقد ذهب ابن كيسان إلى جواز الابتداء بكل واحد منها ، قال أبو الفداء عارضا رأي ابن كيسان في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وللمعنوي ألفاظ معدودة وهي نفسه وعينه وكلاهما وكلتاهما وكلّ وأجمع وأكتع وأبتع وأبصع وهي تالية لأجمع لأنها لا تتقدّم عليه لكونها توابع لها خلافا لابن كيسان ، فإنه جوّز الابتداء بكلّ واحد منها</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الزجاج المتوفى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خالف أبو الفداء الزجاج في رأيه القائل بأن زيدا منصوب على البدل من لفظ أحد في مثل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أحد في الدار إلا زيدا ، والجمهور على رفع زيد على البدل من المحلّ ، قال أبو الفداء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أحد في الدار إلا زيد ولا إله إلّا الله بالرفع على البدل من المحلّ ولا يجوز النصب على البدل من لفظ أحد وإله ، خلافا للزجاج ، وإنما تعيّن البدل من المحلّ دون اللفظ لأنّ العامل لفظا لما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إنما تعمل للنفي وما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 في سياق النفي كان مثبتا ، والبدل في حكم تكرير العامل ، فلو قدّرت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 الجمع بين المتناقضين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تقتضي نفي ما بعدها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تقتضي إثباته</w:t>
      </w:r>
      <w:r>
        <w:rPr>
          <w:rFonts w:eastAsia="Amiri" w:cs="Amiri" w:ascii="Amiri" w:hAnsi="Amiri"/>
          <w:color w:val="111111"/>
          <w:sz w:val="28"/>
          <w:szCs w:val="28"/>
          <w:rtl w:val="true"/>
          <w:lang w:bidi="ar-SA"/>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 على أبي الفداء عرض آراء الزجاج ، من ذلك نقله لرأيه المانع فيه تقديم حقا في نحو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 زيد قائم ، قال أبو الفداء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الزجاج ولا يجوز تقديم حقا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 زيد قائم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وسطته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حقا قائم جاز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سيبويه امتناع تقديمه</w:t>
      </w:r>
      <w:r>
        <w:rPr>
          <w:rFonts w:eastAsia="Amiri" w:cs="Amiri" w:ascii="Amiri" w:hAnsi="Amiri"/>
          <w:color w:val="111111"/>
          <w:sz w:val="28"/>
          <w:szCs w:val="28"/>
          <w:rtl w:val="true"/>
          <w:lang w:bidi="ar-SA"/>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السراج المتوفى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ذكره في موضع واحد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ابن السراج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زائد في كلام العرب لأن كلّ ما يحكم بزيادته فإنه يفيد التوكيد فهو داخل في قسم المؤكد </w:t>
      </w:r>
      <w:r>
        <w:rPr>
          <w:rStyle w:val="FootnoteAnchor"/>
          <w:rtl w:val="true"/>
        </w:rPr>
        <w:footnoteReference w:id="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 بعض الآراء التي ذكرها أبو الفداء في بعض المسائل هي في كتب النحو منسوبة إلى ابن السراج ، فبدت في الكناش على النحو الآتي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وافق أبو الفداء ابن السراج في إيجابه مجيء ربّ مختصة بنكرة موصوفة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واختصّت بالنكرة لعدم الاحتياج إلى المعرفة ووجب أن تكون النكرة موصوفة على الأصح ليتحقق التقليل الذي هو مدلول ربّ ، لأنه إذا وصف الشيء صار أخص مما لم يوصف</w:t>
      </w:r>
      <w:r>
        <w:rPr>
          <w:rFonts w:eastAsia="Amiri" w:cs="Amiri" w:ascii="Amiri" w:hAnsi="Amiri"/>
          <w:color w:val="111111"/>
          <w:sz w:val="28"/>
          <w:szCs w:val="28"/>
          <w:rtl w:val="true"/>
          <w:lang w:bidi="ar-SA"/>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وخالفه في ذهابه إلى حرفية ليس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ومذهب بعض النحاة أنها 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والصحيح أنها فعل لاتصال الضمائر بها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ولست وما أشبه ذلك ، وذلك من خواصّ الأفعال</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الزجاجي المتوفى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نقل أبو الفداء موافقة الزجاجي للكوفيين في تجويزهم الجزم بكيفما ، وحكم بشذوذ ذلك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جازى بها الكوفيون واختاره الزجاجي في الجمل فتقول كيفما تكن أكن</w:t>
      </w:r>
      <w:r>
        <w:rPr>
          <w:rFonts w:eastAsia="Amiri" w:cs="Amiri" w:ascii="Amiri" w:hAnsi="Amiri"/>
          <w:color w:val="111111"/>
          <w:sz w:val="28"/>
          <w:szCs w:val="28"/>
          <w:rtl w:val="true"/>
          <w:lang w:bidi="ar-SA"/>
        </w:rPr>
        <w:t xml:space="preserve">» </w:t>
      </w:r>
      <w:r>
        <w:rPr>
          <w:rStyle w:val="FootnoteAnchor"/>
          <w:rtl w:val="true"/>
        </w:rPr>
        <w:footnoteReference w:id="197"/>
      </w:r>
      <w:r>
        <w:rPr>
          <w:rFonts w:ascii="Amiri" w:hAnsi="Amiri" w:eastAsia="Amiri" w:cs="Amiri"/>
          <w:color w:val="111111"/>
          <w:sz w:val="28"/>
          <w:sz w:val="28"/>
          <w:szCs w:val="28"/>
          <w:rtl w:val="true"/>
          <w:lang w:bidi="ar-SA"/>
        </w:rPr>
        <w:t xml:space="preserve">وردّ أبو الفداء ذلك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والجزم بكيفما شاذ خلافا للكوفيين</w:t>
      </w:r>
      <w:r>
        <w:rPr>
          <w:rFonts w:eastAsia="Amiri" w:cs="Amiri" w:ascii="Amiri" w:hAnsi="Amiri"/>
          <w:color w:val="111111"/>
          <w:sz w:val="28"/>
          <w:szCs w:val="28"/>
          <w:rtl w:val="true"/>
          <w:lang w:bidi="ar-SA"/>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سعيد السيرافي المتوفى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يذكره صراحة ولعله أراده حين تحدث عن سبب إمالة خاف فقد ذهب السيرافي إلى أن السبب هو الكسرة العارضة في فاء الكلمة في حين نصّ أبو الفداء أن </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 أن يقال للكسرة التي كانت في عين الفعل إذ أصل خاف خوف</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علي الفارسي المتوفى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وافق أبو الفداء الفارسيّ في كون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منقلبة عن ياء وليست عن واو كما قال الأخفش قال أبو الفداء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ومنه أنّ الياء وقعت فاء ولاما معا نحو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يديت إليه يدا ومنه أنّ الياء وقعت فاء وعينا ولاما إلا في الواو على قول الأخفش إنّ ألفها منقلبة عن واو فهي على قوله موافقة للياء في ييت وقال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ألف واو منقلبة عن ياء فهي على قوله موافقة لها في يديت وهو أولى من قول الأخفش فإنه لم يسمع كلمة كلها من حرف واحد إلّا ييت وهو شاذ ، ولكون العربية ليس فيها كلمة فاؤها ولامها واو ، جعلوا كون الفاء واوا دليلا على أنّ اللام ياء واتفقوا على أنّ كلّ كلمة فاؤها واو إنما تكتب لامها ياء فلذلك كتبوا الوغى بالياء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جني المتوفى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أجاز ابن جني تقديم المفعول معه على الفاعل وقد منع ذلك أبو الفداء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يجوز تقديم المفعول معه على الفعل ولا على الفاعل خلافا لابن جني فإنه يجوز 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والطيالسة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البرد</w:t>
      </w:r>
      <w:r>
        <w:rPr>
          <w:rFonts w:eastAsia="Amiri" w:cs="Amiri" w:ascii="Amiri" w:hAnsi="Amiri"/>
          <w:color w:val="111111"/>
          <w:sz w:val="28"/>
          <w:szCs w:val="28"/>
          <w:rtl w:val="true"/>
          <w:lang w:bidi="ar-SA"/>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الزمخشري المتوفى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ذكرنا من قبل أبا الفداء قد جعل مفصل الزمخشري مادته الأولى في كناشه إذ شرح منه أجزاء كثيرة ، واعتمد عليه اعتمادا كبيرا في القسم 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أشار إلى ذلك ، وهذا الاعتماد جعل أبو الفداء ينقل كثيرا من المفصل ، وتكفي نظرة سريعة في إحالاتنا إلى المفصل </w:t>
      </w:r>
      <w:r>
        <w:rPr>
          <w:rStyle w:val="FootnoteAnchor"/>
          <w:rtl w:val="true"/>
        </w:rPr>
        <w:footnoteReference w:id="202"/>
      </w:r>
      <w:r>
        <w:rPr>
          <w:rFonts w:ascii="Amiri" w:hAnsi="Amiri" w:eastAsia="Amiri" w:cs="Amiri"/>
          <w:color w:val="111111"/>
          <w:sz w:val="28"/>
          <w:sz w:val="28"/>
          <w:szCs w:val="28"/>
          <w:rtl w:val="true"/>
          <w:lang w:bidi="ar-SA"/>
        </w:rPr>
        <w:t xml:space="preserve">، لتتضح هذه النقول وتظهر مواضع الشبه اللفظي بينهما ، وتبع ذلك أن أبا الفداء قد أيد الزمخشري في كثير من آرائه من ذلك موافقته له في مجيء بات بمعنى صار ، ولم يرتض الخالفون ذلك وقالوا لا حجة له على ذلك </w:t>
      </w:r>
    </w:p>
    <w:p>
      <w:pPr>
        <w:pStyle w:val="BookText"/>
        <w:rPr/>
      </w:pPr>
      <w:r>
        <w:rPr>
          <w:rFonts w:ascii="IRNazanin" w:hAnsi="IRNazanin" w:eastAsia="IRNazanin"/>
          <w:color w:val="111111"/>
          <w:sz w:val="28"/>
          <w:sz w:val="28"/>
          <w:szCs w:val="28"/>
          <w:rtl w:val="true"/>
          <w:lang w:bidi="fa-IR"/>
        </w:rPr>
        <w:t xml:space="preserve">ولا لمن وافقه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ذاك النقل للنصوص ، وهذا التأييد في الآراء لم يجعلا أبا الفداء أسير المفصل وصاحبه ، فخالفه في عدد من آرائه غير أن هذه المخالفات هي في حقيقتها مآخذ ابن الحاجب على الزمخشري ، فكان أبو الفداء بنقلها وتقريرها ، موافقا فيها ابن الحاجب من جهة ، ومخالفا الزمخشري من جهة ثانية ، من ذلك ردّه على قول الزمخشري في المفصل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اقرأ آية ثلاثة أوجه أن تقلب الأولى ألفا ، وأن تحذف الثانية وتلقى حركتها على الأولى ، وأن تجعل معا بين بين وهي حجازية</w:t>
      </w:r>
      <w:r>
        <w:rPr>
          <w:rFonts w:eastAsia="Amiri" w:cs="Amiri" w:ascii="Amiri" w:hAnsi="Amiri"/>
          <w:color w:val="111111"/>
          <w:sz w:val="28"/>
          <w:szCs w:val="28"/>
          <w:rtl w:val="true"/>
          <w:lang w:bidi="ar-SA"/>
        </w:rPr>
        <w:t xml:space="preserve">» </w:t>
      </w:r>
      <w:r>
        <w:rPr>
          <w:rStyle w:val="FootnoteAnchor"/>
          <w:rtl w:val="true"/>
        </w:rPr>
        <w:footnoteReference w:id="204"/>
      </w:r>
      <w:r>
        <w:rPr>
          <w:rFonts w:ascii="Amiri" w:hAnsi="Amiri" w:eastAsia="Amiri" w:cs="Amiri"/>
          <w:color w:val="111111"/>
          <w:sz w:val="28"/>
          <w:sz w:val="28"/>
          <w:szCs w:val="28"/>
          <w:rtl w:val="true"/>
          <w:lang w:bidi="ar-SA"/>
        </w:rPr>
        <w:t xml:space="preserve">فعلق أبو الفداء على الوجه الثالث ناقلا رأي ابن الحاجب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وسها في المفصل حيث قال وأن تجعلا معا بين بين ، لأن الأولى ساكنة ، والساكنة لا تجعل بين بين أصلا لأن الغرض من بين بين تقريبها من السكون فتقرب إلى الخفة وإذا كانت ساكنة فقد بلغت الغاية في الخفة فلا يصح أن تخفف حينئذ بالتقريب من السكون</w:t>
      </w:r>
      <w:r>
        <w:rPr>
          <w:rFonts w:eastAsia="Amiri" w:cs="Amiri" w:ascii="Amiri" w:hAnsi="Amiri"/>
          <w:color w:val="111111"/>
          <w:sz w:val="28"/>
          <w:szCs w:val="28"/>
          <w:rtl w:val="true"/>
          <w:lang w:bidi="ar-SA"/>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وفضّل أحيانا حدّ ابن الحاجب على حد الزمخشري ، فقد عرّف الزمخشري اسم الآلة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بها ما يعالج به وينقل</w:t>
      </w:r>
      <w:r>
        <w:rPr>
          <w:rFonts w:eastAsia="Amiri" w:cs="Amiri" w:ascii="Amiri" w:hAnsi="Amiri"/>
          <w:color w:val="111111"/>
          <w:sz w:val="28"/>
          <w:szCs w:val="28"/>
          <w:rtl w:val="true"/>
          <w:lang w:bidi="ar-SA"/>
        </w:rPr>
        <w:t xml:space="preserve">» </w:t>
      </w:r>
      <w:r>
        <w:rPr>
          <w:rStyle w:val="FootnoteAnchor"/>
          <w:rtl w:val="true"/>
        </w:rPr>
        <w:footnoteReference w:id="206"/>
      </w:r>
      <w:r>
        <w:rPr>
          <w:rFonts w:ascii="Amiri" w:hAnsi="Amiri" w:eastAsia="Amiri" w:cs="Amiri"/>
          <w:color w:val="111111"/>
          <w:sz w:val="28"/>
          <w:sz w:val="28"/>
          <w:szCs w:val="28"/>
          <w:rtl w:val="true"/>
          <w:lang w:bidi="ar-SA"/>
        </w:rPr>
        <w:t xml:space="preserve">وأضاف أبو الفداء بعد ذكره ذلك ما يدل على ترجيح حد ابن الحاجب لها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اسم مشتق من فعل لما يستعان به في ذلك الفعل</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السّخاوي المتوفى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اقتصر أبو الفداء في موقفه من السخاوي على نقل أقواله وآرائه مما يدلّ على موافقته له ، من ذلك ما نقله أبو الفداء تعليقا على قول الزمخشري في مفصله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وإدغام الراء في اللّام لحن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كذا قال في المفصل ، وهو مذهب سيبويه والخليل قال السخاوي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أدغم أبو عمرو الراء في اللام فيما يزيد عن ثمانين موضعا في القرآن </w:t>
      </w:r>
    </w:p>
    <w:p>
      <w:pPr>
        <w:pStyle w:val="BookText"/>
        <w:rPr/>
      </w:pPr>
      <w:r>
        <w:rPr>
          <w:rFonts w:ascii="Amiri" w:hAnsi="Amiri" w:eastAsia="Amiri" w:cs="Amiri"/>
          <w:color w:val="111111"/>
          <w:sz w:val="28"/>
          <w:sz w:val="28"/>
          <w:szCs w:val="28"/>
          <w:rtl w:val="true"/>
          <w:lang w:bidi="ar-SA"/>
        </w:rPr>
        <w:t>الكريم وأبو عمرو حجة فيما ينقل وفيما يقرأ فيجب الرجوع إليه في ذلك</w:t>
      </w:r>
      <w:r>
        <w:rPr>
          <w:rFonts w:eastAsia="Amiri" w:cs="Amiri" w:ascii="Amiri" w:hAnsi="Amiri"/>
          <w:color w:val="111111"/>
          <w:sz w:val="28"/>
          <w:szCs w:val="28"/>
          <w:rtl w:val="true"/>
          <w:lang w:bidi="ar-SA"/>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يعيش المتوفى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اعتمد أبو الفداء على شرح المفصل لابن يعيش اعتمادا كبيرا ، بدا ذلك 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إشارته إليه لتوثيق بعض الآراء وتقريرها من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وأجاز الأخفش إعماله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إعمال اسم 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اعتماد على شيء نصّ عليه السخاوي وابن يعيش</w:t>
      </w:r>
      <w:r>
        <w:rPr>
          <w:rFonts w:eastAsia="Amiri" w:cs="Amiri" w:ascii="Amiri" w:hAnsi="Amiri"/>
          <w:color w:val="111111"/>
          <w:sz w:val="28"/>
          <w:szCs w:val="28"/>
          <w:rtl w:val="true"/>
          <w:lang w:bidi="ar-SA"/>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ونقله نصوصا منه ، من 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ابن يعيش في شرحه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وكثرت هذه 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كلامهم حتى صارت عبارة عن كل ذكر وأنثى من الناس</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الحاجب المتوفى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 xml:space="preserve">تعدّ كتب ابن الحاجب من أهم المصادر التي اعتمد عليها أبو الفداء لتأليف كناشه ، فقد علّق أكثره منها ، وفق المنهج الذي رسمه لنفسه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بدا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النحو الآتي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الحدود والتعريفات من الكافية والشافية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نقل كثيرا من بقية كتب ابن الحاجب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الكافية وشرح الوافية وإيضاح المفصل</w:t>
      </w:r>
      <w:r>
        <w:rPr>
          <w:rFonts w:eastAsia="Amiri" w:cs="Amiri" w:ascii="Amiri" w:hAnsi="Amiri"/>
          <w:color w:val="111111"/>
          <w:sz w:val="28"/>
          <w:szCs w:val="28"/>
          <w:rtl w:val="true"/>
          <w:lang w:bidi="ar-SA"/>
        </w:rPr>
        <w:t xml:space="preserve">) </w:t>
      </w:r>
      <w:r>
        <w:rPr>
          <w:rStyle w:val="FootnoteAnchor"/>
          <w:rtl w:val="true"/>
        </w:rPr>
        <w:footnoteReference w:id="211"/>
      </w:r>
      <w:r>
        <w:rPr>
          <w:rFonts w:ascii="Amiri" w:hAnsi="Amiri" w:eastAsia="Amiri" w:cs="Amiri"/>
          <w:color w:val="111111"/>
          <w:sz w:val="28"/>
          <w:sz w:val="28"/>
          <w:szCs w:val="28"/>
          <w:rtl w:val="true"/>
          <w:lang w:bidi="ar-SA"/>
        </w:rPr>
        <w:t xml:space="preserve">وجاءت نقوله أحيانا نقلا حرفيا ، وأحيانا متصرّفا فيها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أيد ابن الحاجب في كثير من آرائه من ذلك نقله وتأييده تخريج ابن الحاجب لقراءة عاصم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ويخشى الله ويتقه </w:t>
      </w:r>
      <w:r>
        <w:rPr>
          <w:rStyle w:val="FootnoteAnchor"/>
          <w:rtl w:val="true"/>
        </w:rPr>
        <w:footnoteReference w:id="213"/>
      </w:r>
      <w:r>
        <w:rPr>
          <w:rFonts w:ascii="Amiri" w:hAnsi="Amiri" w:eastAsia="Amiri" w:cs="Amiri"/>
          <w:color w:val="111111"/>
          <w:sz w:val="28"/>
          <w:sz w:val="28"/>
          <w:szCs w:val="28"/>
          <w:rtl w:val="true"/>
          <w:lang w:bidi="ar-SA"/>
        </w:rPr>
        <w:t xml:space="preserve">بإسكان القاف وكسر </w:t>
      </w:r>
    </w:p>
    <w:p>
      <w:pPr>
        <w:pStyle w:val="BookText"/>
        <w:rPr/>
      </w:pPr>
      <w:r>
        <w:rPr>
          <w:rFonts w:ascii="Amiri" w:hAnsi="Amiri" w:eastAsia="Amiri" w:cs="Amiri"/>
          <w:color w:val="111111"/>
          <w:sz w:val="28"/>
          <w:sz w:val="28"/>
          <w:szCs w:val="28"/>
          <w:rtl w:val="true"/>
          <w:lang w:bidi="ar-SA"/>
        </w:rPr>
        <w:t xml:space="preserve">الهاء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وأصله يتّقي فحذفت الياء للجزم ثم ألحقت هاء السكت صار يتّقه ثم سكنت القاف تشبيها لتقه بكتف ، ثم حركت هاء السكت وهي الساكن الثاني لالتقاء الساكنين قال ابن الحاجب وفيه تعسف مع الاستغناء عنه والأولى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الهاء ضمير عائد على اسم الله وسكنت القاف على ما ذكر بقي ويتّقه من غير اجتماع ساكنين ومن غير تحريك هاء السكت وإثباتها في الوصل</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أخذ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تعريفاته عدم الدقة ، مثال ذلك تعليقه على قول ابن الحاجب في الكافية بأنه يجب تقديم المبتدأ إذا كان الخبر فعلا للمبتدأ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قام</w:t>
      </w:r>
      <w:r>
        <w:rPr>
          <w:rFonts w:eastAsia="Amiri" w:cs="Amiri" w:ascii="Amiri" w:hAnsi="Amiri"/>
          <w:color w:val="111111"/>
          <w:sz w:val="28"/>
          <w:szCs w:val="28"/>
          <w:rtl w:val="true"/>
          <w:lang w:bidi="ar-SA"/>
        </w:rPr>
        <w:t xml:space="preserve">» </w:t>
      </w:r>
      <w:r>
        <w:rPr>
          <w:rStyle w:val="FootnoteAnchor"/>
          <w:rtl w:val="true"/>
        </w:rPr>
        <w:footnoteReference w:id="215"/>
      </w:r>
      <w:r>
        <w:rPr>
          <w:rFonts w:ascii="Amiri" w:hAnsi="Amiri" w:eastAsia="Amiri" w:cs="Amiri"/>
          <w:color w:val="111111"/>
          <w:sz w:val="28"/>
          <w:sz w:val="28"/>
          <w:szCs w:val="28"/>
          <w:rtl w:val="true"/>
          <w:lang w:bidi="ar-SA"/>
        </w:rPr>
        <w:t xml:space="preserve">قال أبو الفداء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واعلم أنه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 له مفردا لكان أولى لئلا يرد عليه الزيدان قاما ، والزيدون قاموا ، فإنّ الفعل هنا للمبتدأ ولا يجب تقديم المبتدأ عليه بل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قاما الزيدان وقاموا الزيدون على أن قاما وقاموا ، خبران مقدّمان</w:t>
      </w:r>
      <w:r>
        <w:rPr>
          <w:rFonts w:eastAsia="Amiri" w:cs="Amiri" w:ascii="Amiri" w:hAnsi="Amiri"/>
          <w:color w:val="111111"/>
          <w:sz w:val="28"/>
          <w:szCs w:val="28"/>
          <w:rtl w:val="true"/>
          <w:lang w:bidi="ar-SA"/>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مالك المتوفى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 xml:space="preserve">نقل أبو الفداء رأي ابن مالك عقيب إيراده رأي ابن الحاجب القائل إن المفضل عليه في نحو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أفضل رجل محذوف وهو الجنس العام أي زيد أفضل رجل من جميع الرجال فأتبعه بالقول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واختيار ابن مالك أن المفضل عليه مذكور وهو النكرة المضاف أفعل إليها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أفضل من كل رجل قيس فضله بفضله فحذفت من وكلّ ، وأضيف أفعل إلى ما كان مضافا إليه كل</w:t>
      </w:r>
      <w:r>
        <w:rPr>
          <w:rFonts w:eastAsia="Amiri" w:cs="Amiri" w:ascii="Amiri" w:hAnsi="Amiri"/>
          <w:color w:val="111111"/>
          <w:sz w:val="28"/>
          <w:szCs w:val="28"/>
          <w:rtl w:val="true"/>
          <w:lang w:bidi="ar-SA"/>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تقي الدين النيلي من أهل القرن السابع</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 أبو الفداء رأي النيلي حول موضع أسماء الأفعال من الإعراب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بدّ لها من موضع من الإعراب لوجود التركيب ، واختيار ابن الحاجب أنّ موضعها رفع بالابتداء وفاعلها المستتر أغنى عن الخبر كما أغنى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أقائم الزيدان عن الخبر ، </w:t>
      </w:r>
    </w:p>
    <w:p>
      <w:pPr>
        <w:pStyle w:val="BookText"/>
        <w:rPr/>
      </w:pPr>
      <w:r>
        <w:rPr>
          <w:rFonts w:ascii="Amiri" w:hAnsi="Amiri" w:eastAsia="Amiri" w:cs="Amiri"/>
          <w:color w:val="111111"/>
          <w:sz w:val="28"/>
          <w:sz w:val="28"/>
          <w:szCs w:val="28"/>
          <w:rtl w:val="true"/>
          <w:lang w:bidi="ar-SA"/>
        </w:rPr>
        <w:t xml:space="preserve">واختيار تقي الدين النيلي أن موضعها نصب على المصدر كأنه قيل في رويد 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أرود إروادا زيدا</w:t>
      </w:r>
      <w:r>
        <w:rPr>
          <w:rFonts w:eastAsia="Amiri" w:cs="Amiri" w:ascii="Amiri" w:hAnsi="Amiri"/>
          <w:color w:val="111111"/>
          <w:sz w:val="28"/>
          <w:szCs w:val="28"/>
          <w:rtl w:val="true"/>
          <w:lang w:bidi="ar-SA"/>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استغرب أبو الفداء ما ذكره النيلي عن كاف الخطاب وأحوالها مع المخاطبين قال أبو الفداء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نقل النيلي جواز فتح كاف الخطاب في ذلك كلّه وهو غريب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نقله الثقات من غير إلحاق علامة تثنية ولا جمع ولا غير ذلك بل تفرد وتذكر على كلّ حال</w:t>
      </w:r>
      <w:r>
        <w:rPr>
          <w:rFonts w:eastAsia="Amiri" w:cs="Amiri" w:ascii="Amiri" w:hAnsi="Amiri"/>
          <w:color w:val="111111"/>
          <w:sz w:val="28"/>
          <w:szCs w:val="28"/>
          <w:rtl w:val="true"/>
          <w:lang w:bidi="ar-SA"/>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بن محمد الاستراباذي المتوفى </w:t>
      </w: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اكتفى أبو الفداء بنقل آراء السيد الاستراباذي من ذلك ما نقله عنه في المنادى المبني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والمراد بالمفرد ما لم يكن مضافا ولا مشابها له وقال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جملة أيضا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زيد ويا زيدان ويا زيدون</w:t>
      </w:r>
      <w:r>
        <w:rPr>
          <w:rFonts w:eastAsia="Amiri" w:cs="Amiri" w:ascii="Amiri" w:hAnsi="Amiri"/>
          <w:color w:val="111111"/>
          <w:sz w:val="28"/>
          <w:szCs w:val="28"/>
          <w:rtl w:val="true"/>
          <w:lang w:bidi="ar-SA"/>
        </w:rPr>
        <w:t xml:space="preserve">» </w:t>
      </w:r>
      <w:r>
        <w:rPr>
          <w:rStyle w:val="FootnoteAnchor"/>
          <w:rtl w:val="true"/>
        </w:rPr>
        <w:footnoteReference w:id="2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أيضا ما نقله عنه بأنهم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نقصوا الألف من الحارث علما ومن السلم عليكم وعبد السلم ومن ملائكة وسماوات وصالحين ونحوها مما لم يخش فيه لبس</w:t>
      </w:r>
      <w:r>
        <w:rPr>
          <w:rFonts w:eastAsia="Amiri" w:cs="Amiri" w:ascii="Amiri" w:hAnsi="Amiri"/>
          <w:color w:val="111111"/>
          <w:sz w:val="28"/>
          <w:szCs w:val="28"/>
          <w:rtl w:val="true"/>
          <w:lang w:bidi="ar-SA"/>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يخفى أن كل موافقة ومخالفة ينطوي تحتها حديث طويل للنحاة آثرنا عدم بسطه والخوض فيه ، لأن غايتنا بيان الاتجاه النحوي العام لأبي الفداء ، فرأيناه ناظرا في آراء النحويين نظرة العالم المتمكّن من هذه الصنعة المالك لأصولها الملمّ بطرقها ، يوجز أحيانا ويسهب أخرى ، ويحاور النحاة في أحايين أخر ، فيضعف ، ويقوي ، ويرفض ، ويؤيد ، ويختار ما يعتقد أنه الأولى بالأخذ ، والأجدى بالتمسّك به ، وكل ذلك وفق أصول هذه الصناعة ، وبما يتفق مع منهجه العام الذي اختطّه لكناشه وهو الجمع القائم على الاصطفاء والاختيار للاستذكار والتعليم ليغنيه عن كثير من كتب النحو والصرف المطولة</w:t>
      </w:r>
      <w:r>
        <w:rPr>
          <w:rFonts w:eastAsia="Amiri" w:cs="Amiri" w:ascii="Amiri" w:hAnsi="Amiri"/>
          <w:color w:val="111111"/>
          <w:sz w:val="28"/>
          <w:szCs w:val="28"/>
          <w:rtl w:val="true"/>
          <w:lang w:bidi="ar-SA"/>
        </w:rPr>
        <w:t xml:space="preserve">. </w:t>
      </w:r>
      <w:bookmarkStart w:id="42" w:name="pg14482_156025"/>
    </w:p>
    <w:p>
      <w:pPr>
        <w:pStyle w:val="Heading3"/>
        <w:numPr>
          <w:ilvl w:val="2"/>
          <w:numId w:val="1"/>
        </w:numPr>
        <w:rPr/>
      </w:pPr>
      <w:bookmarkStart w:id="43" w:name="__RefHeading___Toc716546_996550957"/>
      <w:bookmarkStart w:id="44" w:name="_Toc14"/>
      <w:bookmarkEnd w:id="42"/>
      <w:bookmarkEnd w:id="43"/>
      <w:r>
        <w:rPr>
          <w:rtl w:val="true"/>
        </w:rPr>
        <w:t>القسم الثاني</w:t>
      </w:r>
      <w:bookmarkEnd w:id="44"/>
    </w:p>
    <w:p>
      <w:pPr>
        <w:pStyle w:val="Heading4"/>
        <w:numPr>
          <w:ilvl w:val="3"/>
          <w:numId w:val="1"/>
        </w:numPr>
        <w:rPr/>
      </w:pPr>
      <w:bookmarkStart w:id="45" w:name="__RefHeading___Toc716548_996550957"/>
      <w:bookmarkStart w:id="46" w:name="_Toc15"/>
      <w:bookmarkEnd w:id="45"/>
      <w:r>
        <w:rPr>
          <w:rtl w:val="true"/>
        </w:rPr>
        <w:t>اشارة</w:t>
      </w:r>
      <w:bookmarkEnd w:id="4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التعريف بعنوان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الكناش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توثيق نسبة الكتاب إلى أبي الفداء</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النسخة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 التحقيق</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قطر والنخبة المتميزة من السّرّاق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 w:name="pg14482_156027"/>
      <w:bookmarkStart w:id="48" w:name="pg14482_156027"/>
      <w:bookmarkEnd w:id="48"/>
    </w:p>
    <w:p>
      <w:pPr>
        <w:pStyle w:val="Heading4"/>
        <w:numPr>
          <w:ilvl w:val="3"/>
          <w:numId w:val="1"/>
        </w:numPr>
        <w:rPr/>
      </w:pPr>
      <w:bookmarkStart w:id="49" w:name="pg14482_156027"/>
      <w:bookmarkStart w:id="50" w:name="__RefHeading___Toc716550_996550957"/>
      <w:bookmarkStart w:id="51" w:name="_Toc16"/>
      <w:bookmarkEnd w:id="49"/>
      <w:bookmarkEnd w:id="50"/>
      <w:r>
        <w:rPr>
          <w:rtl w:val="true"/>
        </w:rPr>
        <w:t xml:space="preserve">الفصل الأول </w:t>
      </w:r>
      <w:r>
        <w:rPr>
          <w:rtl w:val="true"/>
        </w:rPr>
        <w:t xml:space="preserve">: </w:t>
      </w:r>
      <w:r>
        <w:rPr>
          <w:rtl w:val="true"/>
        </w:rPr>
        <w:t xml:space="preserve">التعريف بعنوان الكتاب </w:t>
      </w:r>
      <w:r>
        <w:rPr>
          <w:rtl w:val="true"/>
        </w:rPr>
        <w:t>«</w:t>
      </w:r>
      <w:r>
        <w:rPr>
          <w:rtl w:val="true"/>
        </w:rPr>
        <w:t>الكنّاش</w:t>
      </w:r>
      <w:r>
        <w:rPr>
          <w:rtl w:val="true"/>
        </w:rPr>
        <w:t>»</w:t>
      </w:r>
      <w:bookmarkEnd w:id="51"/>
    </w:p>
    <w:p>
      <w:pPr>
        <w:pStyle w:val="BookText"/>
        <w:rPr/>
      </w:pPr>
      <w:r>
        <w:rPr>
          <w:rFonts w:ascii="Amiri" w:hAnsi="Amiri" w:eastAsia="Amiri" w:cs="Amiri"/>
          <w:color w:val="111111"/>
          <w:sz w:val="28"/>
          <w:sz w:val="28"/>
          <w:szCs w:val="28"/>
          <w:rtl w:val="true"/>
          <w:lang w:bidi="ar-SA"/>
        </w:rPr>
        <w:t xml:space="preserve">كثرت المؤلفات التي عنونها أصحابها بكناش أو كناشة </w:t>
      </w:r>
      <w:r>
        <w:rPr>
          <w:rStyle w:val="FootnoteAnchor"/>
          <w:rtl w:val="true"/>
        </w:rPr>
        <w:footnoteReference w:id="222"/>
      </w:r>
      <w:r>
        <w:rPr>
          <w:rFonts w:ascii="Amiri" w:hAnsi="Amiri" w:eastAsia="Amiri" w:cs="Amiri"/>
          <w:color w:val="111111"/>
          <w:sz w:val="28"/>
          <w:sz w:val="28"/>
          <w:szCs w:val="28"/>
          <w:rtl w:val="true"/>
          <w:lang w:bidi="ar-SA"/>
        </w:rPr>
        <w:t>في حين لم أجد أحدا قد تناول هذه اللفظة بدرس خاص بها يكشف لنا عن أصلها ومدلولها ، سوى شذرات متناثرة في بعض الكتب والمعجمات العربية ، لعلنا في عرضها نقدم مزيدا من البيان حولها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الدكتور العلامة عبد المجيد عابدين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كاشفا عن أصلها التاريخي ما نصه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لفظ كنش سامي الأصل لوروده في عدد من اللغات السامية دالا في أشهر معانيه على الجمع ، فقد ورد في اللغة الآرامية بالسين والشين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اللغة العربية بالسين كنس والشين كنش </w:t>
      </w:r>
      <w:r>
        <w:rPr>
          <w:rStyle w:val="FootnoteAnchor"/>
          <w:rtl w:val="true"/>
        </w:rPr>
        <w:footnoteReference w:id="223"/>
      </w:r>
      <w:r>
        <w:rPr>
          <w:rFonts w:ascii="Amiri" w:hAnsi="Amiri" w:eastAsia="Amiri" w:cs="Amiri"/>
          <w:color w:val="111111"/>
          <w:sz w:val="28"/>
          <w:sz w:val="28"/>
          <w:szCs w:val="28"/>
          <w:rtl w:val="true"/>
          <w:lang w:bidi="ar-SA"/>
        </w:rPr>
        <w:t xml:space="preserve">أيضا ، في حين ورد في اللغة العبرية والأثيوبية الجعزيّة بالسين فقط ،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وأحسب أن أول استخدام لهذه الكلمة لدى العلماء المشتغلين بعلوم العربية قد ورد في كتاب الخصائص على لسان أبي علي الفارسي المتوفى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قول ابن جني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وذاكرت يوما أبا علي بنوادره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بنوادر اللحياني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كناش</w:t>
      </w:r>
      <w:r>
        <w:rPr>
          <w:rFonts w:eastAsia="Amiri" w:cs="Amiri" w:ascii="Amiri" w:hAnsi="Amiri"/>
          <w:color w:val="111111"/>
          <w:sz w:val="28"/>
          <w:szCs w:val="28"/>
          <w:rtl w:val="true"/>
          <w:lang w:bidi="ar-SA"/>
        </w:rPr>
        <w:t xml:space="preserve">» </w:t>
      </w:r>
      <w:r>
        <w:rPr>
          <w:rStyle w:val="FootnoteAnchor"/>
          <w:rtl w:val="true"/>
        </w:rPr>
        <w:footnoteReference w:id="225"/>
      </w:r>
      <w:r>
        <w:rPr>
          <w:rFonts w:ascii="Amiri" w:hAnsi="Amiri" w:eastAsia="Amiri" w:cs="Amiri"/>
          <w:color w:val="111111"/>
          <w:sz w:val="28"/>
          <w:sz w:val="28"/>
          <w:szCs w:val="28"/>
          <w:rtl w:val="true"/>
          <w:lang w:bidi="ar-SA"/>
        </w:rPr>
        <w:t xml:space="preserve">وعلّق الأستاذ محمد علي النجار محقق الكتاب عليها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علي يريد أنه ليس فيه </w:t>
      </w:r>
    </w:p>
    <w:p>
      <w:pPr>
        <w:pStyle w:val="BookText"/>
        <w:rPr/>
      </w:pPr>
      <w:r>
        <w:rPr>
          <w:rFonts w:ascii="Amiri" w:hAnsi="Amiri" w:eastAsia="Amiri" w:cs="Amiri"/>
          <w:color w:val="111111"/>
          <w:sz w:val="28"/>
          <w:sz w:val="28"/>
          <w:szCs w:val="28"/>
          <w:rtl w:val="true"/>
          <w:lang w:bidi="ar-SA"/>
        </w:rPr>
        <w:t xml:space="preserve">مسكة التصنيف </w:t>
      </w:r>
      <w:r>
        <w:rPr>
          <w:rStyle w:val="FootnoteAnchor"/>
          <w:rtl w:val="true"/>
        </w:rPr>
        <w:footnoteReference w:id="226"/>
      </w:r>
      <w:r>
        <w:rPr>
          <w:rFonts w:ascii="Amiri" w:hAnsi="Amiri" w:eastAsia="Amiri" w:cs="Amiri"/>
          <w:color w:val="111111"/>
          <w:sz w:val="28"/>
          <w:sz w:val="28"/>
          <w:szCs w:val="28"/>
          <w:rtl w:val="true"/>
          <w:lang w:bidi="ar-SA"/>
        </w:rPr>
        <w:t xml:space="preserve">وعرّف الفيروزآبادي والزبيدي الكناشات بالقول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والكنّاشات بالضمّ والشدّ ، الأصول التي تتشعب منها الفروع ، ومنه الكناشة لأوراق تجعل كالدفتر يقيّد فيها الفوائد والشوارد للضبط</w:t>
      </w:r>
      <w:r>
        <w:rPr>
          <w:rFonts w:eastAsia="Amiri" w:cs="Amiri" w:ascii="Amiri" w:hAnsi="Amiri"/>
          <w:color w:val="111111"/>
          <w:sz w:val="28"/>
          <w:szCs w:val="28"/>
          <w:rtl w:val="true"/>
          <w:lang w:bidi="ar-SA"/>
        </w:rPr>
        <w:t xml:space="preserve">» </w:t>
      </w:r>
      <w:r>
        <w:rPr>
          <w:rStyle w:val="FootnoteAnchor"/>
          <w:rtl w:val="true"/>
        </w:rPr>
        <w:footnoteReference w:id="227"/>
      </w:r>
      <w:r>
        <w:rPr>
          <w:rFonts w:ascii="Amiri" w:hAnsi="Amiri" w:eastAsia="Amiri" w:cs="Amiri"/>
          <w:color w:val="111111"/>
          <w:sz w:val="28"/>
          <w:sz w:val="28"/>
          <w:szCs w:val="28"/>
          <w:rtl w:val="true"/>
          <w:lang w:bidi="ar-SA"/>
        </w:rPr>
        <w:t xml:space="preserve">ونص العنيسي على أن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كناشة وكناش في قانون ابن سينا مشتق من كنش الآرامي أي جمع ، والمراد به دفتر يدرج فيه ما يراد استذكاره</w:t>
      </w:r>
      <w:r>
        <w:rPr>
          <w:rFonts w:eastAsia="Amiri" w:cs="Amiri" w:ascii="Amiri" w:hAnsi="Amiri"/>
          <w:color w:val="111111"/>
          <w:sz w:val="28"/>
          <w:szCs w:val="28"/>
          <w:rtl w:val="true"/>
          <w:lang w:bidi="ar-SA"/>
        </w:rPr>
        <w:t xml:space="preserve">» </w:t>
      </w:r>
      <w:r>
        <w:rPr>
          <w:rStyle w:val="FootnoteAnchor"/>
          <w:rtl w:val="true"/>
        </w:rPr>
        <w:footnoteReference w:id="228"/>
      </w:r>
      <w:r>
        <w:rPr>
          <w:rFonts w:ascii="Amiri" w:hAnsi="Amiri" w:eastAsia="Amiri" w:cs="Amiri"/>
          <w:color w:val="111111"/>
          <w:sz w:val="28"/>
          <w:sz w:val="28"/>
          <w:szCs w:val="28"/>
          <w:rtl w:val="true"/>
          <w:lang w:bidi="ar-SA"/>
        </w:rPr>
        <w:t xml:space="preserve">ونخلص من هذه النصوص إلى ما يأتي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سامي الأصل ، والجمع من أكثر معانيه ، والغاية من هذا الجمع تقييد الشوارد والفوائد للضبط والاستذكار غير أن هذا الجمع ليس فيه مسكة التصنيف والتأليف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أطلق في العربية أيضا على الأصول التي تتشعب منها الفروع ، فإذا سحبنا ذلك على كناش أبي الفداء لحظنا أن سمات كناشه يتفق بعضها مع ما ذكرناه حول الدلالة العامة للكناشات ، وبعضها لا يتفق ، وبيان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التي تفيدها لفظة الكناش ، هي ظاهرة واضحة في كناش أبي الفداء ، وقد بدا هذا الجمع في صورتين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الفداء قد عزم على أن يجمع في كناشه عددا من العلوم والفنون وقد أشار إلى ذلك في خطبة الكناش حين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فهذا كناش مشتمل على عدة كتب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النحو والتصريف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الأخلاق والسياسة والزهد</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الأشعار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فنون مختلفة</w:t>
      </w:r>
      <w:r>
        <w:rPr>
          <w:rFonts w:eastAsia="Amiri" w:cs="Amiri" w:ascii="Amiri" w:hAnsi="Amiri"/>
          <w:color w:val="111111"/>
          <w:sz w:val="28"/>
          <w:szCs w:val="28"/>
          <w:rtl w:val="true"/>
          <w:lang w:bidi="ar-SA"/>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المادة العلمية ، بعد اختيارها ، ثم تبويبها وتنظيمها ، وهذا يعني من جانب آخر أن كتب الكناش تشارك غيرها من أنواع التأليف العلمي ، لأن كل من يريد أن يؤلف كتابا لا بد له من أن يعتمد على كتب سالفيه فينقل آراءهم ويجمع أقوالهم ، وقد ذكرنا من قبل مصادر أبي الفداء ومراجعه تلك التي أقام كناشه عليها فنقل منها ما يوافق منهجه ، واختار منها ما يتصل بموضوعاته ، وقد أشار إلى فكرة الاختيار والاصطفاء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أكثر النحاة في ذكر اللامات حتى صنف بعضهم فيها كتابا ، وقد أثبتنا منها ما اخترنا إثباته</w:t>
      </w:r>
      <w:r>
        <w:rPr>
          <w:rFonts w:eastAsia="Amiri" w:cs="Amiri" w:ascii="Amiri" w:hAnsi="Amiri"/>
          <w:color w:val="111111"/>
          <w:sz w:val="28"/>
          <w:szCs w:val="28"/>
          <w:rtl w:val="true"/>
          <w:lang w:bidi="ar-SA"/>
        </w:rPr>
        <w:t xml:space="preserve">» </w:t>
      </w:r>
      <w:r>
        <w:rPr>
          <w:rStyle w:val="FootnoteAnchor"/>
          <w:rtl w:val="true"/>
        </w:rPr>
        <w:footnoteReference w:id="230"/>
      </w:r>
      <w:r>
        <w:rPr>
          <w:rFonts w:ascii="Amiri" w:hAnsi="Amiri" w:eastAsia="Amiri" w:cs="Amiri"/>
          <w:color w:val="111111"/>
          <w:sz w:val="28"/>
          <w:sz w:val="28"/>
          <w:szCs w:val="28"/>
          <w:rtl w:val="true"/>
          <w:lang w:bidi="ar-SA"/>
        </w:rPr>
        <w:t xml:space="preserve">ثم لا شك أن قوله في القسم الرابع المشترك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ما التقطناه من المفصل</w:t>
      </w:r>
      <w:r>
        <w:rPr>
          <w:rFonts w:eastAsia="Amiri" w:cs="Amiri" w:ascii="Amiri" w:hAnsi="Amiri"/>
          <w:color w:val="111111"/>
          <w:sz w:val="28"/>
          <w:szCs w:val="28"/>
          <w:rtl w:val="true"/>
          <w:lang w:bidi="ar-SA"/>
        </w:rPr>
        <w:t xml:space="preserve">» </w:t>
      </w:r>
      <w:r>
        <w:rPr>
          <w:rStyle w:val="FootnoteAnchor"/>
          <w:rtl w:val="true"/>
        </w:rPr>
        <w:footnoteReference w:id="231"/>
      </w:r>
      <w:r>
        <w:rPr>
          <w:rFonts w:ascii="Amiri" w:hAnsi="Amiri" w:eastAsia="Amiri" w:cs="Amiri"/>
          <w:color w:val="111111"/>
          <w:sz w:val="28"/>
          <w:sz w:val="28"/>
          <w:szCs w:val="28"/>
          <w:rtl w:val="true"/>
          <w:lang w:bidi="ar-SA"/>
        </w:rPr>
        <w:t>، يفيد أن هذا الالتقاط قد تمّ بدقة وروية لأنه للضبط والاستذكار ، ولقد نظم أبو الفداء المادة العلمية المختارة تنظيما رائعا ، وفق منهج دقيق ، وخطة محكمة ، وتبويب رائع ، لا يستبعد ممن يضع الدوائر والجداول الهندسية لمسائل نحوية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فرأيناه يعنون موضوعاته ويربط بين فصوله وأقسامه فيكثر من الإحالات على مواضع في الكناش حتى لا نقع في التكرار ، فإن عدل عن منهجه المتلئب الواضح ، بيّن سبب ذلك معتذرا ، من ذلك حديثه عند ذكره إبدال الياء من النون إذ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وأبدلت الياء من النون في التضعيف أيضا وذكرناه هنا وإن كان التضعيف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في القسم الثاني ليجتمع الكلام في النون</w:t>
      </w:r>
      <w:r>
        <w:rPr>
          <w:rFonts w:eastAsia="Amiri" w:cs="Amiri" w:ascii="Amiri" w:hAnsi="Amiri"/>
          <w:color w:val="111111"/>
          <w:sz w:val="28"/>
          <w:szCs w:val="28"/>
          <w:rtl w:val="true"/>
          <w:lang w:bidi="ar-SA"/>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 ذلك اعتذاره عن عقد ذكر للامات إذ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وهي وإن كان تقدم ذكرها في </w:t>
      </w:r>
    </w:p>
    <w:p>
      <w:pPr>
        <w:pStyle w:val="BookText"/>
        <w:rPr/>
      </w:pPr>
      <w:r>
        <w:rPr>
          <w:rFonts w:ascii="Amiri" w:hAnsi="Amiri" w:eastAsia="Amiri" w:cs="Amiri"/>
          <w:color w:val="111111"/>
          <w:sz w:val="28"/>
          <w:sz w:val="28"/>
          <w:szCs w:val="28"/>
          <w:rtl w:val="true"/>
          <w:lang w:bidi="ar-SA"/>
        </w:rPr>
        <w:t>حروف الجر لكن إعادتها هنا لا تخلو من زيادة فائدة</w:t>
      </w:r>
      <w:r>
        <w:rPr>
          <w:rFonts w:eastAsia="Amiri" w:cs="Amiri" w:ascii="Amiri" w:hAnsi="Amiri"/>
          <w:color w:val="111111"/>
          <w:sz w:val="28"/>
          <w:szCs w:val="28"/>
          <w:rtl w:val="true"/>
          <w:lang w:bidi="ar-SA"/>
        </w:rPr>
        <w:t xml:space="preserve">» </w:t>
      </w:r>
      <w:r>
        <w:rPr>
          <w:rStyle w:val="FootnoteAnchor"/>
          <w:rtl w:val="true"/>
        </w:rPr>
        <w:footnoteReference w:id="233"/>
      </w:r>
      <w:r>
        <w:rPr>
          <w:rFonts w:ascii="Amiri" w:hAnsi="Amiri" w:eastAsia="Amiri" w:cs="Amiri"/>
          <w:color w:val="111111"/>
          <w:sz w:val="28"/>
          <w:sz w:val="28"/>
          <w:szCs w:val="28"/>
          <w:rtl w:val="true"/>
          <w:lang w:bidi="ar-SA"/>
        </w:rPr>
        <w:t xml:space="preserve">وكرّر هذا الاعتذار صراحة مع الواو حين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والاعتذار في إعادة ذكرها كما تقدم في اللام</w:t>
      </w:r>
      <w:r>
        <w:rPr>
          <w:rFonts w:eastAsia="Amiri" w:cs="Amiri" w:ascii="Amiri" w:hAnsi="Amiri"/>
          <w:color w:val="111111"/>
          <w:sz w:val="28"/>
          <w:szCs w:val="28"/>
          <w:rtl w:val="true"/>
          <w:lang w:bidi="ar-SA"/>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ووجدناه أحيانا ينقد النحويين في تبويباتهم فيقول مثلا عن باب الإخبار بالذي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في هذه الصور مبتدأ واجب التقديم ، والإسم المخبر عنه بالذي خبر واجب التأخير ، ومع ذلك لم يذكرا في مواضع وجوب تقديم المبتدأ ووجوب تأخير الخبر</w:t>
      </w:r>
      <w:r>
        <w:rPr>
          <w:rFonts w:eastAsia="Amiri" w:cs="Amiri" w:ascii="Amiri" w:hAnsi="Amiri"/>
          <w:color w:val="111111"/>
          <w:sz w:val="28"/>
          <w:szCs w:val="28"/>
          <w:rtl w:val="true"/>
          <w:lang w:bidi="ar-SA"/>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وألفيناه أيضا يخالف أحيانا الترتيب الداخلي لبعض المسائل في المفصل والكافية والشافية ، فيشير إلى ذلك ، قال تحت عنوان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الأسماء المتصلة بالأفعال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وهي ثمانية المصدر واسم الفاعل واسم المفعول والصفة المشبهة ، وأفعل التفضيل وهذه الخمسة هي المذكورة في كتب النحو لكونها تعمل ، وأما الثلاثة الباقية من اسم الزمان واسم المكان واسم الآلة وهذه الثلاثة من قسم التصريف لكونها لا تعمل وقد أثبتناها وغيرها من أبواب التصريف ، في كتابنا هذا لكونه من كتب الكناش فأجري مجرى الكناش</w:t>
      </w:r>
      <w:r>
        <w:rPr>
          <w:rFonts w:eastAsia="Amiri" w:cs="Amiri" w:ascii="Amiri" w:hAnsi="Amiri"/>
          <w:color w:val="111111"/>
          <w:sz w:val="28"/>
          <w:szCs w:val="28"/>
          <w:rtl w:val="true"/>
          <w:lang w:bidi="ar-SA"/>
        </w:rPr>
        <w:t xml:space="preserve">» </w:t>
      </w:r>
      <w:r>
        <w:rPr>
          <w:rStyle w:val="FootnoteAnchor"/>
          <w:rtl w:val="true"/>
        </w:rPr>
        <w:footnoteReference w:id="236"/>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فأجري مجرى الكناش ، يفيد أنه خالف المألوف ، وكأن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يبدو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يسير شارح المتن وفق تنظيم وترتيب المتن الذي تصدّى لشرحه ، وحين يعلن المؤلف أن كتابه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فيما أحسب يعفيه من الالتزام بترتيب المتن الذي يشرحه ، فنقله اسم الزمان والمكان والآلة إلى المشتقات العاملة فيه مخالفة يسيرة لترتيب بعض الموضوعات في المتون الثلاثة التي أدار كناشه عليها ، فصاحب المفصل ذكر هذه الموضوعات بعد المصغّر والمنسوب في حين أن أبا الفداء قدّمها عليها ، وصاحب الكافية لم يذكر هذه الموضوعات فيها لأنها موضوعات صرفية ، فجاء ذكرها في الشافية متقدمة أيضا على المضمر والمنسوب ، وكل ذلك يعني أن أبا الفداء حين جعل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وسّع على نفسه وتحرّر هنا من سلطان الترتيب المتبع في المتون الثلاثة ، ولعل هذا يفيد من جهة ثانية ، </w:t>
      </w:r>
    </w:p>
    <w:p>
      <w:pPr>
        <w:pStyle w:val="BookText"/>
        <w:rPr/>
      </w:pPr>
      <w:r>
        <w:rPr>
          <w:rFonts w:ascii="Amiri" w:hAnsi="Amiri" w:eastAsia="Amiri" w:cs="Amiri"/>
          <w:color w:val="111111"/>
          <w:sz w:val="28"/>
          <w:sz w:val="28"/>
          <w:szCs w:val="28"/>
          <w:rtl w:val="true"/>
          <w:lang w:bidi="ar-SA"/>
        </w:rPr>
        <w:t xml:space="preserve">أن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يلتزم فيها التقييد بترتيب ما ، وإدراك أبي الفداء لذلك لم يدفعه إلى الفوضى والإضطراب بل رأيناه ملتزما كما ذكرنا بمنهج دقيق وترتيب محكم ثم إن إشارته هنا إلى ما حصل في الترتيب تدل على مدى حرصه على ترتيب كناشه ، والتزامه بمنهجه الصارم الذي وضعه حين عزم على تأليف كناشه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ومؤدّى ذلك كله أن قول الأستاذ محمد علي النجار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 مسكة التصنيف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بعد إذا أريد سحبه على كناش أبي الفداء ، وذلك لأن هذا الكناش 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أقيم على أسس متينة ، وأركان ثابتة فعراه وثقى ، وأقسامه متصلة ، وفصوله محكمة ، كغيره من المؤلفات العلمية الأخرى ، خدم فيه أبو الفداء المفصل والكافية والشافية ، فجاء شرحا لأجزاء مختارة من ثلاثة متون معتبرة عند المشتغلين بعلوم العربية ، وهذا يعني أيضا أن قول الفيروزآبادي والزبيدي إن الكناشات 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237"/>
      </w:r>
      <w:r>
        <w:rPr>
          <w:rFonts w:ascii="Amiri" w:hAnsi="Amiri" w:eastAsia="Amiri" w:cs="Amiri"/>
          <w:color w:val="111111"/>
          <w:sz w:val="28"/>
          <w:sz w:val="28"/>
          <w:szCs w:val="28"/>
          <w:rtl w:val="true"/>
          <w:lang w:bidi="ar-SA"/>
        </w:rPr>
        <w:t xml:space="preserve">لا ينطبق على كناش أبي الفداء لأنه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يفهم من كلامهما ، كما لا ينطبق عليه أن هذا الجمع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للشوارد والفوائد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 لأنه حوى جميع المباحث النحوية والصرفية والإملائية فغدا شرحا لا تنقصه صفة من صفات الكتب العلمية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والغاية منه هو الاستذكار والمراجعة والضبط ويستغنى به عن مراجعة كثير من الكتب المطوّلة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هذه الغاية هي غاية عامة عند أبي الفداء هدف إليها في كثير من مؤلفاته ، فقد أشار الدكتور حسن الساعاتي وهو بصدد حديثه عن غاية أبي الفداء من كتابيه المختصر وتقويم البلدان إلى ذلك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إنما يكتب مختصرات تكون بمثابة مذكرات يكون فيها الغناء عن مطالعة الكتب الكبيرة في كل موضوع من الموضوعات التي عالجها</w:t>
      </w:r>
      <w:r>
        <w:rPr>
          <w:rFonts w:eastAsia="Amiri" w:cs="Amiri" w:ascii="Amiri" w:hAnsi="Amiri"/>
          <w:color w:val="111111"/>
          <w:sz w:val="28"/>
          <w:szCs w:val="28"/>
          <w:rtl w:val="true"/>
          <w:lang w:bidi="ar-SA"/>
        </w:rPr>
        <w:t xml:space="preserve">» </w:t>
      </w:r>
      <w:r>
        <w:rPr>
          <w:rStyle w:val="FootnoteAnchor"/>
          <w:rtl w:val="true"/>
        </w:rPr>
        <w:footnoteReference w:id="238"/>
      </w:r>
      <w:r>
        <w:rPr>
          <w:rFonts w:ascii="Amiri" w:hAnsi="Amiri" w:eastAsia="Amiri" w:cs="Amiri"/>
          <w:color w:val="111111"/>
          <w:sz w:val="28"/>
          <w:sz w:val="28"/>
          <w:szCs w:val="28"/>
          <w:rtl w:val="true"/>
          <w:lang w:bidi="ar-SA"/>
        </w:rPr>
        <w:t xml:space="preserve">واستدلّ على ذلك بما أورده أبو الفداء في مقدمتي الكتابين المذكورين فقد قال في مقدمة كتابه المختصر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سنح لي أن أورد في كتابي هذا شيئا من التواريخ القديمة والإسلامية يكون تذكرة لي يغنيني عن مراجعة الكتب </w:t>
      </w:r>
    </w:p>
    <w:p>
      <w:pPr>
        <w:pStyle w:val="BookText"/>
        <w:rPr/>
      </w:pPr>
      <w:r>
        <w:rPr>
          <w:rFonts w:ascii="Amiri" w:hAnsi="Amiri" w:eastAsia="Amiri" w:cs="Amiri"/>
          <w:color w:val="111111"/>
          <w:sz w:val="28"/>
          <w:sz w:val="28"/>
          <w:szCs w:val="28"/>
          <w:rtl w:val="true"/>
          <w:lang w:bidi="ar-SA"/>
        </w:rPr>
        <w:t xml:space="preserve">المطولة فاخترته واختصرته من الكامل </w:t>
      </w:r>
      <w:r>
        <w:rPr>
          <w:rFonts w:eastAsia="Amiri" w:cs="Amiri" w:ascii="Amiri" w:hAnsi="Amiri"/>
          <w:color w:val="111111"/>
          <w:sz w:val="28"/>
          <w:szCs w:val="28"/>
          <w:rtl w:val="true"/>
          <w:lang w:bidi="ar-SA"/>
        </w:rPr>
        <w:t xml:space="preserve">... </w:t>
      </w:r>
      <w:r>
        <w:rPr>
          <w:rStyle w:val="FootnoteAnchor"/>
          <w:rtl w:val="true"/>
        </w:rPr>
        <w:footnoteReference w:id="239"/>
      </w:r>
      <w:r>
        <w:rPr>
          <w:rFonts w:ascii="Amiri" w:hAnsi="Amiri" w:eastAsia="Amiri" w:cs="Amiri"/>
          <w:color w:val="111111"/>
          <w:sz w:val="28"/>
          <w:sz w:val="28"/>
          <w:szCs w:val="28"/>
          <w:rtl w:val="true"/>
          <w:lang w:bidi="ar-SA"/>
        </w:rPr>
        <w:t xml:space="preserve">وذكر في مقدمة تقويم البلدان ما نصه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وقفنا على ذلك وتأملناه جمعنا في هذا المختصر ما تفرق في الكتب المذكورة من غير أن ندّعي الإحاطة</w:t>
      </w:r>
      <w:r>
        <w:rPr>
          <w:rFonts w:eastAsia="Amiri" w:cs="Amiri" w:ascii="Amiri" w:hAnsi="Amiri"/>
          <w:color w:val="111111"/>
          <w:sz w:val="28"/>
          <w:szCs w:val="28"/>
          <w:rtl w:val="true"/>
          <w:lang w:bidi="ar-SA"/>
        </w:rPr>
        <w:t xml:space="preserve">» </w:t>
      </w:r>
      <w:r>
        <w:rPr>
          <w:rStyle w:val="FootnoteAnchor"/>
          <w:rtl w:val="true"/>
        </w:rPr>
        <w:footnoteReference w:id="2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وتلاقي الكتب الثلاثة في الغاية من تآليفها لا يعني الاتفاق في طريقة عرض المادة العلمية فيها ، كما ذهب إلى ذلك الدكتور الساعاتي فقد ذكر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أغراض أبي الفداء من تأليف ما كتب كانت معلومة سواء في ميدان الجغرافية ، أو ميدان التاريخ أو الميادين الأخرى التي طرقها</w:t>
      </w:r>
      <w:r>
        <w:rPr>
          <w:rFonts w:eastAsia="Amiri" w:cs="Amiri" w:ascii="Amiri" w:hAnsi="Amiri"/>
          <w:color w:val="111111"/>
          <w:sz w:val="28"/>
          <w:szCs w:val="28"/>
          <w:rtl w:val="true"/>
          <w:lang w:bidi="ar-SA"/>
        </w:rPr>
        <w:t xml:space="preserve">» </w:t>
      </w:r>
      <w:r>
        <w:rPr>
          <w:rStyle w:val="FootnoteAnchor"/>
          <w:rtl w:val="true"/>
        </w:rPr>
        <w:footnoteReference w:id="241"/>
      </w:r>
      <w:r>
        <w:rPr>
          <w:rFonts w:ascii="Amiri" w:hAnsi="Amiri" w:eastAsia="Amiri" w:cs="Amiri"/>
          <w:color w:val="111111"/>
          <w:sz w:val="28"/>
          <w:sz w:val="28"/>
          <w:szCs w:val="28"/>
          <w:rtl w:val="true"/>
          <w:lang w:bidi="ar-SA"/>
        </w:rPr>
        <w:t xml:space="preserve">ثم راح يعرض هدف أبي الفداء من كتبه التي وقف عليها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كان هدفه في ميدان الجغرافية وضع تقويم للبلدان في أقاليم شتى يمتاز بدقته ووضوحه من ناحية ، وخلوه من النقائص التي شابت ما ألفه الجغرافيون قبله في الموضوع نفسه من ناحية أخرى ، وكان هدفه في ميدان التاريخ جمع مادة تاريخية وفيرة ذات دلالة وعرضها في إيجاز ووضوح</w:t>
      </w:r>
      <w:r>
        <w:rPr>
          <w:rFonts w:eastAsia="Amiri" w:cs="Amiri" w:ascii="Amiri" w:hAnsi="Amiri"/>
          <w:color w:val="111111"/>
          <w:sz w:val="28"/>
          <w:szCs w:val="28"/>
          <w:rtl w:val="true"/>
          <w:lang w:bidi="ar-SA"/>
        </w:rPr>
        <w:t xml:space="preserve">» </w:t>
      </w:r>
      <w:r>
        <w:rPr>
          <w:rStyle w:val="FootnoteAnchor"/>
          <w:rtl w:val="true"/>
        </w:rPr>
        <w:footnoteReference w:id="242"/>
      </w:r>
      <w:r>
        <w:rPr>
          <w:rFonts w:ascii="Amiri" w:hAnsi="Amiri" w:eastAsia="Amiri" w:cs="Amiri"/>
          <w:color w:val="111111"/>
          <w:sz w:val="28"/>
          <w:sz w:val="28"/>
          <w:szCs w:val="28"/>
          <w:rtl w:val="true"/>
          <w:lang w:bidi="ar-SA"/>
        </w:rPr>
        <w:t xml:space="preserve">ثم عرّج إلى الكناش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غرضه من الكناش عرض مذكرات يجمل فيها أهم ما كان معروفا عن الموضوعات المختلفة التي تناولها دون الدخول في التفاصيل</w:t>
      </w:r>
      <w:r>
        <w:rPr>
          <w:rFonts w:eastAsia="Amiri" w:cs="Amiri" w:ascii="Amiri" w:hAnsi="Amiri"/>
          <w:color w:val="111111"/>
          <w:sz w:val="28"/>
          <w:szCs w:val="28"/>
          <w:rtl w:val="true"/>
          <w:lang w:bidi="ar-SA"/>
        </w:rPr>
        <w:t xml:space="preserve">» </w:t>
      </w:r>
      <w:r>
        <w:rPr>
          <w:rStyle w:val="FootnoteAnchor"/>
          <w:rtl w:val="true"/>
        </w:rPr>
        <w:footnoteReference w:id="2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وأنهى حديثه بالقول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هدفه من وضع نظم الحاوي ونظم الموازين تقديم المادة الأساسية في كل من الموضوعين ، في صورة ميسّرة لطلاب العلم تسهل عليهم الحفظ من ناحية ، وسرعة تذكرها من ناحية أخرى</w:t>
      </w:r>
      <w:r>
        <w:rPr>
          <w:rFonts w:eastAsia="Amiri" w:cs="Amiri" w:ascii="Amiri" w:hAnsi="Amiri"/>
          <w:color w:val="111111"/>
          <w:sz w:val="28"/>
          <w:szCs w:val="28"/>
          <w:rtl w:val="true"/>
          <w:lang w:bidi="ar-SA"/>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سلمنا للدكتور الساعاتي بما ذكره حول منهج أبي الفداء في غير كتاب الكناش فإنا لا نسلم له بأن غرض أبي الفداء من كناشه هو عرض مذكرات موجزة مختصرة سواء أراد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الساعاتي الكناش المتعدد العلوم الذي لم يتم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لأننا لم نقف عليه فنحكم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أراد الكتاب الأول من الكناش الذي نحن بصدده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كناش أبي الفداء هنا هو شرح لأجزاء مختارة من ثلاثة متون كما ذكرنا من قبل </w:t>
      </w:r>
    </w:p>
    <w:p>
      <w:pPr>
        <w:pStyle w:val="BookText"/>
        <w:rPr/>
      </w:pPr>
      <w:r>
        <w:rPr>
          <w:rFonts w:ascii="Amiri" w:hAnsi="Amiri" w:eastAsia="Amiri" w:cs="Amiri"/>
          <w:color w:val="111111"/>
          <w:sz w:val="28"/>
          <w:sz w:val="28"/>
          <w:szCs w:val="28"/>
          <w:rtl w:val="true"/>
          <w:lang w:bidi="ar-SA"/>
        </w:rPr>
        <w:t>وبضم هذه الأجزاء إلى بعضها استوفى أبو الفداء كل الأبواب النحوية والصرفية والإملائية ، وهو في شرحه يفصّل إذا لزم الأمر التفصيل ، ويوجز حين لا فائدة من التطويل ، وقد عرض كثيرا للخلافات النحوية وأدلى برأيه فيها لذا لا يمكننا القول إن هذه المذكرات موجزة وأنه لا يدخل في التفاصيل كما ذكر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الساعاتي </w:t>
      </w:r>
      <w:r>
        <w:rPr>
          <w:rStyle w:val="FootnoteAnchor"/>
          <w:rtl w:val="true"/>
        </w:rPr>
        <w:footnoteReference w:id="245"/>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الوفرة في جمع البيانات أي كثرة المصادر التي استقى منها مادة كل بحث من بحوثه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الدقة في تفسير البيانات وتفنيدها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الاختصار في العرض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الوضوح في تناول البيانات وعرضها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واستلهم هذه القواعد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المختصر وتقويم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بقية كتب أبي الفداء فقد ذكرها عرضا أحيانا ومن ضمنها الكناش مخطوطا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والبحث في ميدانه رائد نافع أفدنا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ومجمل القول بعد ذلك كله أن تصور أبي الفداء للكناش هو كونه كتاب معارف متنوعة يشبه الموسوعات العلمية في عصرنا ، يكتبه المرء لنفسه ، فيختار له المادة العلمية من كتب كثيرة ، ثم يصنفها ويرتبها ترتيبا جيدا ، والغاية منه هي المراجعة والضبط ، والاستذكار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ويبدو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الفداء كان عازما على ضم بعض مؤلفاته إلى بعض ليتكوّن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يدفعنا إلى هذا الزعم 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موضوعات الكتب التي ذكرها في خطبة الكناش قد ألّف أبو الفداء فيها ، ومن المقارنة السريعة بين مؤلفاته ، وخطبة الكناش يتضح ذلك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صاحب كشف الظنون قد صرّح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منظومة الكافية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علقه أبو الفداء من شرح ابن الحاجب ومن شروح الكافية وقد ألفيت أن أكثر اعتماد أبي الفداء في المباحث النحوية من كناشه كان على شرح ابن الحاجب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يستبعد أن يكون هذا الشرح نواة الكناش ثم أتبعه بالمسائل الصرفية</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محققي كتاب تقويم البلدان رينو والبارون ديسلان قد ذكرا في تصديرهما للكتاب أن أبا الفداء ألف مجموعة من عدة أجزاء في الطب بعنوان الكناش </w:t>
      </w:r>
      <w:r>
        <w:rPr>
          <w:rStyle w:val="FootnoteAnchor"/>
          <w:rtl w:val="true"/>
        </w:rPr>
        <w:footnoteReference w:id="246"/>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منها تلك القطعة التي ذكرها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ششن الموجودة في </w:t>
      </w:r>
    </w:p>
    <w:p>
      <w:pPr>
        <w:pStyle w:val="BookText"/>
        <w:rPr/>
      </w:pPr>
      <w:r>
        <w:rPr>
          <w:rFonts w:ascii="Amiri" w:hAnsi="Amiri" w:eastAsia="Amiri" w:cs="Amiri"/>
          <w:color w:val="111111"/>
          <w:sz w:val="28"/>
          <w:sz w:val="28"/>
          <w:szCs w:val="28"/>
          <w:rtl w:val="true"/>
          <w:lang w:bidi="ar-SA"/>
        </w:rPr>
        <w:t xml:space="preserve">مكتبة مغنيسا ، فقد فرغ أبو الفداء منها عام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الانتهاء من كناش النحو والصرف بعام واحد فقد انتهى منه عام </w:t>
      </w: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والمهم أن إطلاق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في هذا العام ، فلعل هذه القطع والأجزاء الطبية التي أطلق عليها الكناش هي من الكتب التي كان أبو الفداء سيجمعها في كناشه فيما 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لدى أبي الفداء إحساسا بأنه لن يعيش أكثر من ستين سنة ، قال الكتبي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الغريب أن السلطان رحمه‌الله كان يقول ما أظن أني أستكمل من العمر ستين سنة فما في أهلي يعني بيت تقي الدين من استكمله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وحقا لقد مات أبو الفداء وعمره ستون عاما فإذا كان أبو الفداء قد فرغ من كناش النحو والصرف عام </w:t>
      </w: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وتوفي سنة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فهل يعقل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دام لديه هذا الإحساس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يصرح بأنه عازم على تأليف سبعة كتب خلال خمس سنوات ، نعم يعقل إذا كانت هذه الكتب صغيرة الحجم ، ولا دليل على ذلك بل إن كبر حجم الكناش الذي نقوم بتحقيقه ، ما يدفع ذلك ، ثم يجب علينا أن لا ننسى أن أبا الفداء ملك على حماة ، وكثرة الصوارف والشواغل بشؤون الحكم لن تسمح له بتأليف مثل هذه الكتب خلال خمس سنوات ، زد على ذلك أنه فرغ من تأليف الكناش </w:t>
      </w: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وفرغ من تأليف المختصر </w:t>
      </w: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أي بعد سنتين من الكناش ، فإذا كان المختصر قد استغرق سنتين ، فكم ستستغرق بقية الكتب التي أشار إليها في خطبة الكناش ، كل ذلك يدفعنا إلى القول إنّ أبا الفداء كان عازما على ضم ما ألّف من كتب في هذا الكناش ، ولا أستبعد أن يكون المختصر واحدا منها لأنه قد انتهى منه كما ذكرنا </w:t>
      </w: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أي بعد إطلاق أبي الفداء للفظة الكناش بسنتين ، كما أني لا أستبعد أيضا أن أبا الفداء كان عازما بعد جمع مؤلفاته ، في هذا الكناش أن يكتب مقدمة عامة لهذا الكناش غير أن المنيّة قد حالت دون هذه الخطبة ، ودون هذا الجمع ، فبقيت هذه الكتب تحمل عناوينها ومقدماتها الخاصة بها مستقلة منفردة عما كان متوقعا لها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والسؤال الذي يتردّد في الذهن هو لم عزف النحويون الخالفون عن النقل من كناش أبي الفداء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النحو والصرف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الإشارة إليه مع كونه يتعلق بمتون مهمّة كثرت </w:t>
      </w:r>
    </w:p>
    <w:p>
      <w:pPr>
        <w:pStyle w:val="BookText"/>
        <w:rPr/>
      </w:pPr>
      <w:r>
        <w:rPr>
          <w:rFonts w:ascii="Amiri" w:hAnsi="Amiri" w:eastAsia="Amiri" w:cs="Amiri"/>
          <w:color w:val="111111"/>
          <w:sz w:val="28"/>
          <w:sz w:val="28"/>
          <w:szCs w:val="28"/>
          <w:rtl w:val="true"/>
          <w:lang w:bidi="ar-SA"/>
        </w:rPr>
        <w:t>الشروح والحواشي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يتضح مما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ندرة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الشيخ أحمد الصابوني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حماة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ذكره للكناش إنه نادر عزيز الوجود</w:t>
      </w:r>
      <w:r>
        <w:rPr>
          <w:rFonts w:eastAsia="Amiri" w:cs="Amiri" w:ascii="Amiri" w:hAnsi="Amiri"/>
          <w:color w:val="111111"/>
          <w:sz w:val="28"/>
          <w:szCs w:val="28"/>
          <w:rtl w:val="true"/>
          <w:lang w:bidi="ar-SA"/>
        </w:rPr>
        <w:t xml:space="preserve">» </w:t>
      </w:r>
      <w:r>
        <w:rPr>
          <w:rStyle w:val="FootnoteAnchor"/>
          <w:rtl w:val="true"/>
        </w:rPr>
        <w:footnoteReference w:id="2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يؤكد قوله أننا لم نعثر إلا على هذه النسخة الوحيدة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قد بات في أذهان النحويين فيما يبدو أن كتب الكناش للاستذكار الشخصي تسجل فيها الفوائد والشوارد ولا تتّسم بصفة التأليف العلمي لكون أصحابها يجمعون الآراء وينقلون الأفكار من غير مناقشة أو نسبة أو تعليق أو تفضيل رأي على آخر ، وهذا التصور مردود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الذي يكتب لنفسه لا شك أنه يطّلع على عدد كبير من كتب سالفيه ، فيصطفي منها ويختار ما يقتنع به ويرضاه ، ولا ريب أن في ذلك فوائد قيمة ، فهي من جهة تساعدنا على كشف جوانب كثيرة من ثقافة المصطفي ، وتغنينا أحيانا من جهة ثانية عن الاطّلاع على كتب قد لا يتاح لنا أن نطلع عليها نتيجة فقدها أو ندروها</w:t>
      </w:r>
      <w:r>
        <w:rPr>
          <w:rFonts w:eastAsia="Amiri" w:cs="Amiri" w:ascii="Amiri" w:hAnsi="Amiri"/>
          <w:color w:val="111111"/>
          <w:sz w:val="28"/>
          <w:szCs w:val="28"/>
          <w:rtl w:val="true"/>
          <w:lang w:bidi="ar-SA"/>
        </w:rPr>
        <w:t xml:space="preserve">. </w:t>
      </w:r>
      <w:bookmarkStart w:id="52" w:name="pg14482_156036"/>
    </w:p>
    <w:p>
      <w:pPr>
        <w:pStyle w:val="Heading4"/>
        <w:numPr>
          <w:ilvl w:val="3"/>
          <w:numId w:val="1"/>
        </w:numPr>
        <w:rPr/>
      </w:pPr>
      <w:bookmarkStart w:id="53" w:name="__RefHeading___Toc716552_996550957"/>
      <w:bookmarkStart w:id="54" w:name="_Toc17"/>
      <w:bookmarkEnd w:id="52"/>
      <w:bookmarkEnd w:id="53"/>
      <w:r>
        <w:rPr>
          <w:rtl w:val="true"/>
        </w:rPr>
        <w:t xml:space="preserve">الفصل الثاني </w:t>
      </w:r>
      <w:r>
        <w:rPr>
          <w:rtl w:val="true"/>
        </w:rPr>
        <w:t xml:space="preserve">: </w:t>
      </w:r>
      <w:r>
        <w:rPr>
          <w:rtl w:val="true"/>
        </w:rPr>
        <w:t>توثيق نسبة الكتاب إلى أبي الفداء</w:t>
      </w:r>
      <w:bookmarkEnd w:id="54"/>
    </w:p>
    <w:p>
      <w:pPr>
        <w:pStyle w:val="BookText"/>
        <w:rPr/>
      </w:pPr>
      <w:r>
        <w:rPr>
          <w:rFonts w:ascii="Amiri" w:hAnsi="Amiri" w:eastAsia="Amiri" w:cs="Amiri"/>
          <w:color w:val="111111"/>
          <w:sz w:val="28"/>
          <w:sz w:val="28"/>
          <w:szCs w:val="28"/>
          <w:rtl w:val="true"/>
          <w:lang w:bidi="ar-SA"/>
        </w:rPr>
        <w:t xml:space="preserve">ثمة عدة دلائل تدل على أن كتاب الكناش ألفه أبو الفداء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عددا من المصادر قد ذكرت أن أبا الفداء صنف كتاب الكناش ، ووصفت هذه المصادر الكتاب بأنه يقع في مجلدات كثيرة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قد كتب على الورقة الأولى من المخطوطة أن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الكناش للملك المؤيد عماد الدين أبي الفداء إسماعيل بن علي الشهير بصاحب حماة المتوفى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هناك تشابها واضحا بين كتابيه المختصر في أخبار البشر وتقويم البلدان من جهة ، وكتابه الكناش من جهة ثانية ، وذلك من حيث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استعماله الزائجات والجداول فقد استعملهما في كتابيه المذكورين </w:t>
      </w:r>
      <w:r>
        <w:rPr>
          <w:rStyle w:val="FootnoteAnchor"/>
          <w:rtl w:val="true"/>
        </w:rPr>
        <w:footnoteReference w:id="250"/>
      </w:r>
      <w:r>
        <w:rPr>
          <w:rFonts w:ascii="Amiri" w:hAnsi="Amiri" w:eastAsia="Amiri" w:cs="Amiri"/>
          <w:color w:val="111111"/>
          <w:sz w:val="28"/>
          <w:sz w:val="28"/>
          <w:szCs w:val="28"/>
          <w:rtl w:val="true"/>
          <w:lang w:bidi="ar-SA"/>
        </w:rPr>
        <w:t xml:space="preserve">كما استعملهما في كتابه الكناش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استخدامه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لعنونة بعض الموضوعات في كتابيه السالفين </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كما استخدمها أيضا في عنونة كثير من الموضوعات التي تحدث عنها في كتابه الكناش</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شك أن هذا التشابه يدل على أن المصنف واحد ، ومن هذه الدلائل مجتمعة نجزم بأن كتاب الكناش هو لأبي الفداء إسماعيل بن علي المتوفى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55" w:name="pg14482_156038"/>
    </w:p>
    <w:p>
      <w:pPr>
        <w:pStyle w:val="Heading4"/>
        <w:numPr>
          <w:ilvl w:val="3"/>
          <w:numId w:val="1"/>
        </w:numPr>
        <w:rPr/>
      </w:pPr>
      <w:bookmarkStart w:id="56" w:name="__RefHeading___Toc716554_996550957"/>
      <w:bookmarkStart w:id="57" w:name="_Toc18"/>
      <w:bookmarkEnd w:id="55"/>
      <w:bookmarkEnd w:id="56"/>
      <w:r>
        <w:rPr>
          <w:rtl w:val="true"/>
        </w:rPr>
        <w:t xml:space="preserve">الفصل الثالث </w:t>
      </w:r>
      <w:r>
        <w:rPr>
          <w:rtl w:val="true"/>
        </w:rPr>
        <w:t xml:space="preserve">: </w:t>
      </w:r>
      <w:r>
        <w:rPr>
          <w:rtl w:val="true"/>
        </w:rPr>
        <w:t>وصف النسخة</w:t>
      </w:r>
      <w:bookmarkEnd w:id="57"/>
    </w:p>
    <w:p>
      <w:pPr>
        <w:pStyle w:val="BookText"/>
        <w:rPr/>
      </w:pPr>
      <w:r>
        <w:rPr>
          <w:rFonts w:ascii="Amiri" w:hAnsi="Amiri" w:eastAsia="Amiri" w:cs="Amiri"/>
          <w:color w:val="111111"/>
          <w:sz w:val="28"/>
          <w:sz w:val="28"/>
          <w:szCs w:val="28"/>
          <w:rtl w:val="true"/>
          <w:lang w:bidi="ar-SA"/>
        </w:rPr>
        <w:t xml:space="preserve">المخطوطة التي بين أيدينا تقع في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من الحجم المتوسط ، وفي كلّ صفحة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سطرا وفي كل سطر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عثرت على هذه النسخة الوحيدة في دار الكتب المصرية تحت رقم </w:t>
      </w:r>
      <w:r>
        <w:rPr>
          <w:rFonts w:eastAsia="Amiri" w:cs="Amiri" w:ascii="Amiri" w:hAnsi="Amiri"/>
          <w:color w:val="111111"/>
          <w:sz w:val="28"/>
          <w:szCs w:val="28"/>
          <w:lang w:bidi="ar-SA"/>
        </w:rPr>
        <w:t>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 وقام بتصويرها معهد المخطوطات 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ميكرو فيلم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رقم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وحاولت جاهدا أن أعثر على نسخة ثانية فلم يتوفّر لي ذلك حتى هذا الوقت ، وأحسب أنه لا توجد لأني قد اطّلعت على أكثر الفهارس العامة والخاصة فلم أجد اسما لهذا الكتاب أو ما يشير إلى وجوده في أية مكتبة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كتبت هذه النسخة بيد ناسخ مجهول ، وبخطّ جميل أسود ، والعناوين بمداد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وضبط الناسخ بعض الكلمات والأوزان الصرفية بالشكل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ويبدو أن هذه النسخة كتبت في عهد المؤلف وعرضت عليه لأنه كتب عند رأس بعض العناوين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 مقابلة بين يدي مؤلفه أدام الله أيامه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يدل أن الناسخ كان يعرض على المؤلف ما كان ينسخه ، ويؤكد ذلك أن الناسخ استعمل أيضا علامة الإلحاق وهي عبارة عن سهم كان يثبته بين الكلمات للتنبيه على وجود كلمات ساقطة خارج سطور الكتاب وكان يسجل الكلمات الساقطة في الحاشية ويكتب بجانبها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وسبقت المخطوطة بورقتين أعطيت الأولى 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على وجهها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الكناش للملك المؤيد عماد الدين أبي الفداء إسماعيل بن الأفضل علي الأيوبي الشهير بصاحب حماة المتوفى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ذكره العلامة الكتبي </w:t>
      </w:r>
      <w:r>
        <w:rPr>
          <w:rStyle w:val="FootnoteAnchor"/>
          <w:rtl w:val="true"/>
        </w:rPr>
        <w:footnoteReference w:id="253"/>
      </w:r>
      <w:r>
        <w:rPr>
          <w:rFonts w:ascii="Amiri" w:hAnsi="Amiri" w:eastAsia="Amiri" w:cs="Amiri"/>
          <w:color w:val="111111"/>
          <w:sz w:val="28"/>
          <w:sz w:val="28"/>
          <w:szCs w:val="28"/>
          <w:rtl w:val="true"/>
          <w:lang w:bidi="ar-SA"/>
        </w:rPr>
        <w:t xml:space="preserve">في ذيل ابن خلكان في ترجمة الملك المذكور ، أما صاحب كشف الظنون فقد ذكره إلا أنه قال لم أقف على </w:t>
      </w:r>
    </w:p>
    <w:p>
      <w:pPr>
        <w:pStyle w:val="BookText"/>
        <w:rPr/>
      </w:pPr>
      <w:r>
        <w:rPr>
          <w:rFonts w:ascii="IRNazanin" w:hAnsi="IRNazanin" w:eastAsia="IRNazanin"/>
          <w:color w:val="111111"/>
          <w:sz w:val="28"/>
          <w:sz w:val="28"/>
          <w:szCs w:val="28"/>
          <w:rtl w:val="true"/>
          <w:lang w:bidi="fa-IR"/>
        </w:rPr>
        <w:t xml:space="preserve">مؤلفه </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 xml:space="preserve">وإيضاح المكنون ، للبغدادي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أنّ هذه النسخة كانت ملكا لصاحب الكشف المذكور كما يرشدنا إليه الخطّ الواقع عليها المشابه لخطه إذا قد عاينته في بعض مصنفاته بدار الخلافة العثمانية العلية ولتعلم أن هذه النسخة هي نسخة المصنف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وهي الكتاب الأول في فنّي النحو والصرف من الكتاب المشار إليه بما أنه مرتّب على سبعة كتب كما تراه في الخطبة ولست أدري إن كان المؤلف أتم الكتاب كله أو مات قبل ذلك والله أعلم ، غرة شعبان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كتبه الفقير إليه سبحانه وتعالى خيري بن عمر المصري عفي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يكتب شيء على ظهر هذه الورقة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الورقة الثانية فكان ظهرها ابتداء للكناش وكتب على وجهها من الأعلى ما يلي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كتب أحمد حمدي أحمدية </w:t>
      </w:r>
      <w:r>
        <w:rPr>
          <w:rFonts w:eastAsia="Amiri" w:cs="Amiri" w:ascii="Amiri" w:hAnsi="Amiri"/>
          <w:color w:val="111111"/>
          <w:sz w:val="28"/>
          <w:szCs w:val="28"/>
          <w:lang w:bidi="ar-SA"/>
        </w:rPr>
        <w:t>1244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مختار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وسطها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ملك أفقر الورى إليه سبحانه صالح مصطفى عفى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مشترى من علي أفندي خيري ، رمضان في أول أكتوبر </w:t>
      </w:r>
      <w:r>
        <w:rPr>
          <w:rFonts w:eastAsia="Amiri" w:cs="Amiri" w:ascii="Amiri" w:hAnsi="Amiri"/>
          <w:color w:val="111111"/>
          <w:sz w:val="28"/>
          <w:szCs w:val="28"/>
          <w:lang w:bidi="ar-SA"/>
        </w:rPr>
        <w:t>1889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نمرة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يومية </w:t>
      </w:r>
      <w:r>
        <w:rPr>
          <w:rFonts w:eastAsia="Amiri" w:cs="Amiri" w:ascii="Amiri" w:hAnsi="Amiri"/>
          <w:color w:val="111111"/>
          <w:sz w:val="28"/>
          <w:szCs w:val="28"/>
          <w:lang w:bidi="ar-SA"/>
        </w:rPr>
        <w:t>24157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عمومية </w:t>
      </w:r>
      <w:r>
        <w:rPr>
          <w:rFonts w:eastAsia="Amiri" w:cs="Amiri" w:ascii="Amiri" w:hAnsi="Amiri"/>
          <w:color w:val="111111"/>
          <w:sz w:val="28"/>
          <w:szCs w:val="28"/>
          <w:lang w:bidi="ar-SA"/>
        </w:rPr>
        <w:t>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خصوصية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في وسط الورقة أمام ذلك ما 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ساقه سائق التقدير إلى سلك ملك الفقير إليه سبحانه وتعالى مصطفى بن عبد الله الداخل في زمرة المدرجين الداخلين ، رب يسر مراده في الدنيا والآخرة آمين بحرمة رسولك الأمين ثم آمين عفي عنهما</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على الورقة الأخيرة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الفراغ من جمعه وتأليفه في العشر الأول من شهر شعبان سنة سبع وعشرين وسبع مائة هجرية نبوية على صاحبها أفضل الصلاة والسّلام بالمشيرفة من ظاهر حمص الشرقي الشمالي الحمد لله رب العالمين</w:t>
      </w:r>
      <w:r>
        <w:rPr>
          <w:rFonts w:eastAsia="Amiri" w:cs="Amiri" w:ascii="Amiri" w:hAnsi="Amiri"/>
          <w:color w:val="111111"/>
          <w:sz w:val="28"/>
          <w:szCs w:val="28"/>
          <w:rtl w:val="true"/>
          <w:lang w:bidi="ar-SA"/>
        </w:rPr>
        <w:t xml:space="preserve">. </w:t>
      </w:r>
      <w:bookmarkStart w:id="58" w:name="pg14482_156040"/>
    </w:p>
    <w:p>
      <w:pPr>
        <w:pStyle w:val="Heading4"/>
        <w:numPr>
          <w:ilvl w:val="3"/>
          <w:numId w:val="1"/>
        </w:numPr>
        <w:rPr/>
      </w:pPr>
      <w:bookmarkStart w:id="59" w:name="__RefHeading___Toc716556_996550957"/>
      <w:bookmarkStart w:id="60" w:name="_Toc19"/>
      <w:bookmarkEnd w:id="58"/>
      <w:bookmarkEnd w:id="59"/>
      <w:r>
        <w:rPr>
          <w:rtl w:val="true"/>
        </w:rPr>
        <w:t xml:space="preserve">الفصل الرابع </w:t>
      </w:r>
      <w:r>
        <w:rPr>
          <w:rtl w:val="true"/>
        </w:rPr>
        <w:t xml:space="preserve">: </w:t>
      </w:r>
      <w:r>
        <w:rPr>
          <w:rtl w:val="true"/>
        </w:rPr>
        <w:t>منهج التحقيق</w:t>
      </w:r>
      <w:bookmarkEnd w:id="60"/>
    </w:p>
    <w:p>
      <w:pPr>
        <w:pStyle w:val="BookText"/>
        <w:rPr/>
      </w:pPr>
      <w:r>
        <w:rPr>
          <w:rFonts w:ascii="Amiri" w:hAnsi="Amiri" w:eastAsia="Amiri" w:cs="Amiri"/>
          <w:color w:val="111111"/>
          <w:sz w:val="28"/>
          <w:sz w:val="28"/>
          <w:szCs w:val="28"/>
          <w:rtl w:val="true"/>
          <w:lang w:bidi="ar-SA"/>
        </w:rPr>
        <w:t xml:space="preserve">تلخّص عملي في تحقيق هذه المخطوطة بما يأتي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حرصت على إخلائها من التصحيف والتحريف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أشرت إلى مواضع ما شرحه أبو الفداء من المفصل أو الكافية أو الشافية وذلك بوضع رقم إزاء العناوين الرئيسة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وأحيانا ضمن 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وأحلت في الهامش إلى رقم الصفحة من كل متن ، مراعيا في هذه النسبة مدى التشابه الحرفي بين نصوص هذه المتون وكلام أبي الفداء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ذكرت من قبل أن الناسخ استعمل علامة الإلحاق للتنبيه على بعض العبارات أو الكلمات الساقطة من أصل النص ، وقد وضع بجانبها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ذلك من أصل النص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سجلت أرقام الآيات القرآنية ، واسم السورة ، وإذا كان ثمة آية وردت فيها قراءة فكنت أشير إلى كتب القراءات التي وردت فيها القراءة وأدلّ على صاحبها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قمت بتخريج الأحاديث النبوية الشريفة ، وبيّنت مكانها في كتب الحديث</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ضبطت الأبيات الشعرية بالشكل ، وأتممت أنصاف الأبيات في الهامش ونسبتها إلى أصحابها وعينت أماكن وجودها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في الديوان إن وقفت على ديوان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كتب اللغة والنحو والمعاجم ، محددا إن كانت هذه المراجع قد نسبت البيت لقائله أم 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واعتمدت في ذلك كله على كتاب معجم شواهد العربية للأستاذ محمد عبد السّلام هارون رحمه‌الله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خرّجت أقوال العرب وأمثالهم من الكتب المعنية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أحلت ما نقله أبو الفداء من نصوص نحوية أو صرفية أو لغوية إلى الكتب التي نقل عنها وحدّدت أماكن وجودها في تلك الكتب وأرقام صفحاتها ، وكنت أشير دائما إلى أسماء الكتب التي تتحدث عن المسألة التي يذكرها في كناشه ، وأسجل أرقام صفحاتها ليسهل الرجوع إليها لمن يريد التوسع في دراستها ، وأشرت إلى الكتب التي رأيت أن أبا الفداء ينقل عنها ، وأتممت أحيانا بعض النصوص التي نقلها أبو الفداء من هذه الكتب ، لأن الفائدة تكمل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عرّفت بالأعلام الواردة في النص وأشرت إلى أماكن ترجمتها وأخبارها في كتب التراجم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ضبطت النص كلّه بالشكل ، وقد ضبط المصنف بعض الألفاظ الغريبة وشرحها ، وأحيانا كان يقع التخالف بين ما ضبطه المؤلف وما ضبطته المعاجم فكنت أشير إلى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عيّنت ما ذكره المصنف من أسماء الأماكن والمواضع وحددت أماكن وجودها في معاجم البلدان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أنهيت التحقيق بصنع فهارس فنية للآيات القرآنية ، والأحاديث النبوية الشريفة ، والأمثال ، والأقوال ، والأشعار ، والأرجاز ، والألفاظ اللغوية ، والأعلام ، والقبائل والطوائف والأمم والبلدان ، والمواضع والكتب</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فهرس الموضوعات الواردة في الكناش فقد وضعت بجوار رقم الصفحة الحرف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ليدل على أن ما يشرحه أبو الفداء فيه هو من المفصل والحرف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ليدل على كافية ابن الحاجب ، والحرف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ليدل على الشافية ، وبذلك يسهل التمييز بين ما شرحه أبو الفداء من المفصل وما شرحه من الكافية والشافية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وختمت الفهارس بثبت للمصادر والمراجع التي اعتمدت عليها في دراسة وتحقيق كتاب الكناش</w:t>
      </w:r>
      <w:r>
        <w:rPr>
          <w:rFonts w:eastAsia="Amiri" w:cs="Amiri" w:ascii="Amiri" w:hAnsi="Amiri"/>
          <w:color w:val="111111"/>
          <w:sz w:val="28"/>
          <w:szCs w:val="28"/>
          <w:rtl w:val="true"/>
          <w:lang w:bidi="ar-SA"/>
        </w:rPr>
        <w:t xml:space="preserve">. </w:t>
      </w:r>
      <w:bookmarkStart w:id="61" w:name="pg14482_156043"/>
    </w:p>
    <w:p>
      <w:pPr>
        <w:pStyle w:val="Heading4"/>
        <w:numPr>
          <w:ilvl w:val="3"/>
          <w:numId w:val="1"/>
        </w:numPr>
        <w:rPr/>
      </w:pPr>
      <w:bookmarkStart w:id="62" w:name="__RefHeading___Toc716558_996550957"/>
      <w:bookmarkStart w:id="63" w:name="_Toc20"/>
      <w:bookmarkEnd w:id="61"/>
      <w:bookmarkEnd w:id="62"/>
      <w:r>
        <w:rPr>
          <w:rtl w:val="true"/>
        </w:rPr>
        <w:t xml:space="preserve">الفصل الخامس </w:t>
      </w:r>
      <w:r>
        <w:rPr>
          <w:rtl w:val="true"/>
        </w:rPr>
        <w:t xml:space="preserve">: </w:t>
      </w:r>
      <w:r>
        <w:rPr>
          <w:rtl w:val="true"/>
        </w:rPr>
        <w:t>طبعة قطر والنخبة المتميّزة من السّرّاق</w:t>
      </w:r>
      <w:bookmarkEnd w:id="63"/>
    </w:p>
    <w:p>
      <w:pPr>
        <w:pStyle w:val="Heading5"/>
        <w:numPr>
          <w:ilvl w:val="4"/>
          <w:numId w:val="1"/>
        </w:numPr>
        <w:rPr/>
      </w:pPr>
      <w:bookmarkStart w:id="64" w:name="__RefHeading___Toc716560_996550957"/>
      <w:bookmarkStart w:id="65" w:name="_Toc21"/>
      <w:bookmarkEnd w:id="64"/>
      <w:r>
        <w:rPr>
          <w:rtl w:val="true"/>
        </w:rPr>
        <w:t>اشارة</w:t>
      </w:r>
      <w:bookmarkEnd w:id="65"/>
    </w:p>
    <w:p>
      <w:pPr>
        <w:pStyle w:val="BookText"/>
        <w:rPr/>
      </w:pPr>
      <w:r>
        <w:rPr>
          <w:rFonts w:ascii="Amiri" w:hAnsi="Amiri" w:eastAsia="Amiri" w:cs="Amiri"/>
          <w:color w:val="111111"/>
          <w:sz w:val="28"/>
          <w:sz w:val="28"/>
          <w:szCs w:val="28"/>
          <w:rtl w:val="true"/>
          <w:lang w:bidi="ar-SA"/>
        </w:rPr>
        <w:t xml:space="preserve">وقع إلي كتاب الكنّاش في النحو والصرف لأبي الفداء المؤرخ إسماعيل بن علي المتوفى سنة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مطبوعا بتحقيق نخبة متميزة من الأساتذة كما ورد في المقدمة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الكبيسي ، 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صبري إبراهيم السيد ومراجعة 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الكتاب في الأصل مخطوط انتهيت من دراسته وتحقيقه عام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ونلت به درجة الدكتوراة بتقدير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الشرف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من جامعة الإسكندرية ، بإشراف الأستاذ الدكتور طاهر حمودة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حفظه الله ، ونوقشت الرسالة من قبل الأستاذ عبد السّلام هارون يرحمه‌الله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والأستاذ الدكتور عبده الراجحي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أمدّ الله في عمره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لنفسي حين قرأت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النخبة قد عثرت على نسخة أخرى غير النسخة الوحيدة التي اعتمدت عليها ، تلك التي عثرت عليها في دار الكتب المصرية ، مما دفعها إلى تحقيقه مرة ثانية ، وألفيت بعد المقارنة أن هذه النخبة قد اعتمدت على النسخة نفسها ، وقامت بالسطو على رسالتي بعجرها وبجرها وفق خطة محكمة حيكت بليل مظلم ، فأتت على أركان الرسالة العلمية دون وازع من دين أو خلق ، وقد بيّنت النخبة في المقدمة دور كل واحد منها ، فزعمت أن توزيع العمل قد تم على النحو الآتي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قام الدكتور علي الكبيسي بكتابة ترجمة للمؤلف ، ونبذة عن الكتاب ، وحقق المخطوطة من أولها إلى نهاية القسم الأول من أفعال المقاربة ، وصنع الفهرس الخاص بهذا القسم ، شواهد وموضوعات</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وقام الدكتور صبري إبراهيم السيد بنسخ المخطوطة كاملة ، وتحقيق الجزء </w:t>
      </w:r>
      <w:bookmarkStart w:id="66" w:name="pg14482_156044"/>
    </w:p>
    <w:p>
      <w:pPr>
        <w:pStyle w:val="BookText"/>
        <w:rPr/>
      </w:pPr>
      <w:bookmarkEnd w:id="66"/>
      <w:r>
        <w:rPr>
          <w:rFonts w:ascii="Amiri" w:hAnsi="Amiri" w:eastAsia="Amiri" w:cs="Amiri"/>
          <w:color w:val="111111"/>
          <w:sz w:val="28"/>
          <w:sz w:val="28"/>
          <w:szCs w:val="28"/>
          <w:rtl w:val="true"/>
          <w:lang w:bidi="ar-SA"/>
        </w:rPr>
        <w:t>الذي يبدأ من أفعال المقاربة ، إلى آخرها ، وصنع الفهرس الخاص بهذا القسم ، ونسقنا بين القسمين كما قالوا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قام الأستاذ الدكتور عبد العزيز مطر بمراجعة التحقيق والفهارس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وصلت إليه بعد اطلاعي على عملهم ، ومقارنته بصنعي في الرسالة هو أن الجميع مشترك في هذه الجريمة ، لأن أدلة السرقة تطولهم جميعا ، وتطوّق أعناقهم كلهم ، وقد نشرت هذه الأدلة موجزة في جريدة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 التراث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ثم تقدمت بها مفصّلة إلى دار المجد في الرياض ، التي عزمت على إنشاء موسوعة السرقات العلمية ، مرفقا معها نماذج مصورة ، ونسخة من رسالة الدكتوراه ، وصورة من الكتاب المطبوع في قطر ، وصورة من مخطوط الكناش ، وبعد عرض هذه الأدلة على أربعة محكمين </w:t>
      </w:r>
      <w:r>
        <w:rPr>
          <w:rStyle w:val="FootnoteAnchor"/>
          <w:rtl w:val="true"/>
        </w:rPr>
        <w:footnoteReference w:id="256"/>
      </w:r>
      <w:r>
        <w:rPr>
          <w:rFonts w:ascii="Amiri" w:hAnsi="Amiri" w:eastAsia="Amiri" w:cs="Amiri"/>
          <w:color w:val="111111"/>
          <w:sz w:val="28"/>
          <w:sz w:val="28"/>
          <w:szCs w:val="28"/>
          <w:rtl w:val="true"/>
          <w:lang w:bidi="ar-SA"/>
        </w:rPr>
        <w:t xml:space="preserve">، فازت بالجائزة الثانية ، وارتأيت أن أنشرها فاختصرتها </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 xml:space="preserve">أولهما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فضح السرّاق قد يخفف من وقوع السرقات العلمية التي باتت وباء خطيرا يهدد مجتمعاتنا العلمية بفروعها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غيري ممن قد يبتلى بسرّاق نهّاب ، قد يستفيد مما أذكره له إذ به قد يتهدّى إلى طرق السّرّاق ودروبهم وأحابيلهم الخبيثة ، خاصة أن سرّاقي قد وصلوا إلى الغاية في هذه الصنعة ، فهم يجيدون فنّ اللعب والغش ، وطرق الإغارة ، وأساليب الاستلاب ، ولقد استغرق جمع هذه الأدلة أكثر من سنة لكثرة حيلهم وتنوع طرقهم التي سلكوها تغطية على سرقتهم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وأبت الحقيقة إلا أن تظهر جلية واضحة كالشمس في رابعة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النحو الآتي </w:t>
      </w:r>
      <w:r>
        <w:rPr>
          <w:rFonts w:eastAsia="Amiri" w:cs="Amiri" w:ascii="Amiri" w:hAnsi="Amiri"/>
          <w:color w:val="111111"/>
          <w:sz w:val="28"/>
          <w:szCs w:val="28"/>
          <w:rtl w:val="true"/>
          <w:lang w:bidi="ar-SA"/>
        </w:rPr>
        <w:t>:</w:t>
      </w:r>
    </w:p>
    <w:p>
      <w:pPr>
        <w:pStyle w:val="Heading5"/>
        <w:numPr>
          <w:ilvl w:val="4"/>
          <w:numId w:val="1"/>
        </w:numPr>
        <w:rPr/>
      </w:pPr>
      <w:bookmarkStart w:id="67" w:name="__RefHeading___Toc716562_996550957"/>
      <w:bookmarkStart w:id="68" w:name="_Toc22"/>
      <w:bookmarkEnd w:id="67"/>
      <w:r>
        <w:rPr>
          <w:rtl w:val="true"/>
        </w:rPr>
        <w:t>الدليل الأول</w:t>
      </w:r>
      <w:bookmarkEnd w:id="68"/>
    </w:p>
    <w:p>
      <w:pPr>
        <w:pStyle w:val="BookText"/>
        <w:rPr/>
      </w:pPr>
      <w:r>
        <w:rPr>
          <w:rFonts w:ascii="Amiri" w:hAnsi="Amiri" w:eastAsia="Amiri" w:cs="Amiri"/>
          <w:color w:val="111111"/>
          <w:sz w:val="28"/>
          <w:sz w:val="28"/>
          <w:szCs w:val="28"/>
          <w:rtl w:val="true"/>
          <w:lang w:bidi="ar-SA"/>
        </w:rPr>
        <w:t xml:space="preserve">أن ثمة اتفاقا بيننا في أرقام الأجزاء والصفحات ، وذلك في المصادر التي اتفقنا في الإحالة إليها ، في حين أن طبعات هذه المصادر مختلفة ، 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أنني في الصفحة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الرسالة خرّجت بيت جرير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تعدون عقر النيب أفضل مجدكم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البيت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البيت في ديوانه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سردت بقية المصادر ، وفي الصفحة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bookmarkStart w:id="69" w:name="pg14482_156045"/>
    </w:p>
    <w:p>
      <w:pPr>
        <w:pStyle w:val="BookText"/>
        <w:rPr/>
      </w:pPr>
      <w:bookmarkEnd w:id="69"/>
      <w:r>
        <w:rPr>
          <w:rFonts w:ascii="Amiri" w:hAnsi="Amiri" w:eastAsia="Amiri" w:cs="Amiri"/>
          <w:color w:val="111111"/>
          <w:sz w:val="28"/>
          <w:sz w:val="28"/>
          <w:szCs w:val="28"/>
          <w:rtl w:val="true"/>
          <w:lang w:bidi="ar-SA"/>
        </w:rPr>
        <w:t xml:space="preserve">من الكتاب المطبوع قالوا بأنه روي في ديوانه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اتفقنا ، ومثل ذلك بيته المشهور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أقلّي اللوم عاذل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البيت فقد ذكرت في هامش الصفحة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قد ورد في ديوانه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فألفيت ذلك عندهم أيضا في الصفحة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نصوا على أنه في ديوانه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تتفق الأرقام مع أن الطبعتين مختلفتان ، فقد اعتمدت في عملي على طبعة الصاوي ، في حين أنكم اعتمدتم على الطبعة المحققة من قبل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نعمان محمد أمين 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 فهرس المصادر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الصفحة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الرسالة عرض أبو الفداء رأي الأخفش المجيز وقوع الفاء زائدة في الخبر ، فنقلت من المغني لابن هشام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نصه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وأجاز الأخفش زيادتها في الخبر مطلقا ، وحكي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أخوك فوجد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وقيد الفراء والأعلم وجماعة الجواز بكون الخبر أمرا أو نهيا ، قال ابن 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تزاد الفاء عند أصحابنا جميعا كقوله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تجزعي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البيت وفي الصفحة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كتابهم نقلوا النصّ الذي ذكرته إلى قول ابن هشام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نهيا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وأحالوا إلى المغني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يفيد أن الاتفاق قد حصل أيضا في رقم الجزء والصفحة ، وما فطن القوم أن الطبعتين مختلفتان ، فقد اعتمدت على طبعة الشيخ محمد محيي الدين عبد الحميد رحمه‌الله في حين أنهم اعتمدوا على طبعة الدكتور مازن المبارك وزميليه ، فكيف حصل هذا الاتفاق والطبعتان مختلفتان؟؟</w:t>
      </w:r>
    </w:p>
    <w:p>
      <w:pPr>
        <w:pStyle w:val="BookText"/>
        <w:rPr/>
      </w:pPr>
      <w:r>
        <w:rPr>
          <w:rFonts w:ascii="Amiri" w:hAnsi="Amiri" w:eastAsia="Amiri" w:cs="Amiri"/>
          <w:color w:val="111111"/>
          <w:sz w:val="28"/>
          <w:sz w:val="28"/>
          <w:szCs w:val="28"/>
          <w:rtl w:val="true"/>
          <w:lang w:bidi="ar-SA"/>
        </w:rPr>
        <w:t>هل ستزعمون أن طبعة الشيخ محمد محيي الدين عبد الحميد رحمه‌الله قد سقطت أيضا من قائمة مصادركم؟؟ لا أستبعد ذلك فذاك هو الملجأ الذي يفزع إليه السّراق حين تضيق بهم السبل</w:t>
      </w:r>
      <w:r>
        <w:rPr>
          <w:rFonts w:eastAsia="Amiri" w:cs="Amiri" w:ascii="Amiri" w:hAnsi="Amiri"/>
          <w:color w:val="111111"/>
          <w:sz w:val="28"/>
          <w:szCs w:val="28"/>
          <w:rtl w:val="true"/>
          <w:lang w:bidi="ar-SA"/>
        </w:rPr>
        <w:t>.</w:t>
      </w:r>
    </w:p>
    <w:p>
      <w:pPr>
        <w:pStyle w:val="Heading5"/>
        <w:numPr>
          <w:ilvl w:val="4"/>
          <w:numId w:val="1"/>
        </w:numPr>
        <w:rPr/>
      </w:pPr>
      <w:bookmarkStart w:id="70" w:name="__RefHeading___Toc716564_996550957"/>
      <w:bookmarkStart w:id="71" w:name="_Toc23"/>
      <w:bookmarkEnd w:id="70"/>
      <w:r>
        <w:rPr>
          <w:rtl w:val="true"/>
        </w:rPr>
        <w:t>الدليل الثاني</w:t>
      </w:r>
      <w:bookmarkEnd w:id="71"/>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في الهامش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الصفحة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ونقلت </w:t>
      </w:r>
      <w:bookmarkStart w:id="72" w:name="pg14482_156046"/>
    </w:p>
    <w:p>
      <w:pPr>
        <w:pStyle w:val="BookText"/>
        <w:rPr/>
      </w:pPr>
      <w:bookmarkEnd w:id="72"/>
      <w:r>
        <w:rPr>
          <w:rFonts w:ascii="Amiri" w:hAnsi="Amiri" w:eastAsia="Amiri" w:cs="Amiri"/>
          <w:color w:val="111111"/>
          <w:sz w:val="28"/>
          <w:sz w:val="28"/>
          <w:szCs w:val="28"/>
          <w:rtl w:val="true"/>
          <w:lang w:bidi="ar-SA"/>
        </w:rPr>
        <w:t xml:space="preserve">من لسان العرب مادتي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صعفق وخرب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نصه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الخرنوب والخرّوب بالتشديد نبت معروف ، والفصحاء يضمونه ويشددونه مع حذف النون ، وإنما يفتحه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كتابهم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الهامش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سجلوا ما يأتي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الخرنوب شجر ينبت في جبال الشام ، ويسمى القثاء الشامي ، وقد تحذف نونه وتضعف الراء 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وأحالوا إلى لسان العرب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في لسان العرب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إلى قولكم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القثاء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تتمة القول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تحذف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يذكره ابن منظور البتة ، فمن أين أتيتم بهذه التتمة؟؟</w:t>
      </w:r>
    </w:p>
    <w:p>
      <w:pPr>
        <w:pStyle w:val="BookText"/>
        <w:rPr/>
      </w:pPr>
      <w:r>
        <w:rPr>
          <w:rFonts w:ascii="Amiri" w:hAnsi="Amiri" w:eastAsia="Amiri" w:cs="Amiri"/>
          <w:color w:val="111111"/>
          <w:sz w:val="28"/>
          <w:sz w:val="28"/>
          <w:szCs w:val="28"/>
          <w:rtl w:val="true"/>
          <w:lang w:bidi="ar-SA"/>
        </w:rPr>
        <w:t xml:space="preserve">إنها من أدنى 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صياغة جديدة مزوّرة لما ذكرته في تعليقي ، ولم يفطن القوم أن تعليقي هو من مادتين ، وأن 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والفصحاء يضمونه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هو من مادة صعفق ، لقد حاولوا التغيير والإبهام فذهبوا إلى مادة خرنب ، غير أنهم وقعوا فيما فروا منه</w:t>
      </w:r>
      <w:r>
        <w:rPr>
          <w:rFonts w:eastAsia="Amiri" w:cs="Amiri" w:ascii="Amiri" w:hAnsi="Amiri"/>
          <w:color w:val="111111"/>
          <w:sz w:val="28"/>
          <w:szCs w:val="28"/>
          <w:rtl w:val="true"/>
          <w:lang w:bidi="ar-SA"/>
        </w:rPr>
        <w:t>.</w:t>
      </w:r>
    </w:p>
    <w:p>
      <w:pPr>
        <w:pStyle w:val="Heading5"/>
        <w:numPr>
          <w:ilvl w:val="4"/>
          <w:numId w:val="1"/>
        </w:numPr>
        <w:rPr/>
      </w:pPr>
      <w:bookmarkStart w:id="73" w:name="__RefHeading___Toc716566_996550957"/>
      <w:bookmarkStart w:id="74" w:name="_Toc24"/>
      <w:bookmarkEnd w:id="73"/>
      <w:r>
        <w:rPr>
          <w:rtl w:val="true"/>
        </w:rPr>
        <w:t>الدليل الثالث</w:t>
      </w:r>
      <w:bookmarkEnd w:id="74"/>
    </w:p>
    <w:p>
      <w:pPr>
        <w:pStyle w:val="BookText"/>
        <w:rPr/>
      </w:pPr>
      <w:r>
        <w:rPr>
          <w:rFonts w:ascii="Amiri" w:hAnsi="Amiri" w:eastAsia="Amiri" w:cs="Amiri"/>
          <w:color w:val="111111"/>
          <w:sz w:val="28"/>
          <w:sz w:val="28"/>
          <w:szCs w:val="28"/>
          <w:rtl w:val="true"/>
          <w:lang w:bidi="ar-SA"/>
        </w:rPr>
        <w:t xml:space="preserve">أحلت في الصفحة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الهامش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الرسالة إلى كتاب مجمع الأمثال ، وذلك لتوثيق المثل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البغاث بأرضنا يستنسر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وذكرت أنه 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الكتاب المطبوع 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الرقم نفسه وهو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والطبعة التي اعتمدت عليها هي من تحقيق الشيخ محمد محيي الدين عبد الحميد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نفسها التي اعتمدوا عليها ، ولو أنهم حقا رجعوا إلى المصدر المذكور لعلموا أن الرقم الصحيح هو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 يفسّرون ذلك؟؟</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ويندرج تحت هذا أنني في الهامش </w:t>
      </w:r>
      <w:r>
        <w:rPr>
          <w:rStyle w:val="FootnoteAnchor"/>
          <w:rtl w:val="true"/>
        </w:rPr>
        <w:footnoteReference w:id="258"/>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بيت ذي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وهيل يرجع التسليم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البيت فذكرت بأنه قد روي من غير نسبة في المقتضب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فاكتفوا </w:t>
      </w:r>
      <w:bookmarkStart w:id="75" w:name="pg14482_156047"/>
    </w:p>
    <w:p>
      <w:pPr>
        <w:pStyle w:val="BookText"/>
        <w:rPr/>
      </w:pPr>
      <w:bookmarkEnd w:id="75"/>
      <w:r>
        <w:rPr>
          <w:rFonts w:ascii="Amiri" w:hAnsi="Amiri" w:eastAsia="Amiri" w:cs="Amiri"/>
          <w:color w:val="111111"/>
          <w:sz w:val="28"/>
          <w:sz w:val="28"/>
          <w:szCs w:val="28"/>
          <w:rtl w:val="true"/>
          <w:lang w:bidi="ar-SA"/>
        </w:rPr>
        <w:t xml:space="preserve">في الصفحة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عادتهم حين أذكر موضعين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بالموضع الأول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وبلا نسبة في المقتضب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وتركوا الموضع الثاني ، ولو أنهم رجعوا فعلا إلى المقتضب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لألفوا أن المبرد قد نسبه إلى ذي الرمة في هذا الموضع ، ولم ينسبه إليه في الموضع الثاني الذي تركوه تمويها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يندرج في هذا الدليل ما التقطناه عندهم حول الدائرة التي صنعها أبو الفداء لأحكام الصفة المشبهة ، فقد جعل أبو الفداء نواتها دائرة صغيرة ، قسمها إلى قسمين بخط في وسطها ، ذكر في القسم الأعلى 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الصفة مجردة عن 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في القسم الأسفل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الصفة باللام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لكوني طالبا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بتصويرها من المخطوط مع تكبيرها ، ثم وضعتها في ورقة مستقلة ذات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حصل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للرسالة جعل عاليها سافلها ، فلم تفطن النخبة المتميزة إلى ذلك ، فرأيت هذا القلب عندهم أيضا وذلك في الصفحة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ريب أنهم سيزعمون أن المجلّد عندهم قد عكسها أيضا؟؟ ولم يفطنوا إلى ذلك</w:t>
      </w:r>
      <w:r>
        <w:rPr>
          <w:rFonts w:eastAsia="Amiri" w:cs="Amiri" w:ascii="Amiri" w:hAnsi="Amiri"/>
          <w:color w:val="111111"/>
          <w:sz w:val="28"/>
          <w:szCs w:val="28"/>
          <w:rtl w:val="true"/>
          <w:lang w:bidi="ar-SA"/>
        </w:rPr>
        <w:t>.</w:t>
      </w:r>
    </w:p>
    <w:p>
      <w:pPr>
        <w:pStyle w:val="Heading5"/>
        <w:numPr>
          <w:ilvl w:val="4"/>
          <w:numId w:val="1"/>
        </w:numPr>
        <w:rPr/>
      </w:pPr>
      <w:bookmarkStart w:id="76" w:name="__RefHeading___Toc716568_996550957"/>
      <w:bookmarkStart w:id="77" w:name="_Toc25"/>
      <w:bookmarkEnd w:id="76"/>
      <w:r>
        <w:rPr>
          <w:rtl w:val="true"/>
        </w:rPr>
        <w:t>الدليل الرابع</w:t>
      </w:r>
      <w:bookmarkEnd w:id="77"/>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ثمة أخطاء وقعت في عملي ، يرجع بعضها إلى قراءة غير سليمة لكلمات المخطوط ، وبعضها الآخر يعود إلى سرعة الضبط والتشكيل وثالثها يعود إلى سرعة الطابع ، بعضها تنبّهت إليه فأشرت إليه في الهامش ، وبعضها الآخر لم أتنبه إليه إلّا بعد مراجعتي للمخطوط ، ووجدت ذلك كله عندهم بغثّه وسمينه من غير أن يشيروا إليه في الهامش وهذا جدول مجتزأ من جدول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نتبين منه كل هذه الأنواع </w:t>
      </w:r>
      <w:r>
        <w:rPr>
          <w:rFonts w:eastAsia="Amiri" w:cs="Amiri" w:ascii="Amiri" w:hAnsi="Amiri"/>
          <w:color w:val="111111"/>
          <w:sz w:val="28"/>
          <w:szCs w:val="28"/>
          <w:rtl w:val="true"/>
          <w:lang w:bidi="ar-SA"/>
        </w:rPr>
        <w:t xml:space="preserve">: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5"/>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86" o:detectmouseclick="t"/>
                <v:stroke color="#3465a4" joinstyle="round" endcap="flat"/>
                <w10:wrap type="none"/>
              </v:shape>
            </w:pict>
          </mc:Fallback>
        </mc:AlternateContent>
      </w:r>
      <w:bookmarkStart w:id="78" w:name="pg14482_156049"/>
    </w:p>
    <w:p>
      <w:pPr>
        <w:pStyle w:val="BookText"/>
        <w:rPr/>
      </w:pPr>
      <w:bookmarkEnd w:id="78"/>
      <w:r>
        <w:rPr>
          <w:rFonts w:ascii="Amiri" w:hAnsi="Amiri" w:eastAsia="Amiri" w:cs="Amiri"/>
          <w:color w:val="111111"/>
          <w:sz w:val="28"/>
          <w:sz w:val="28"/>
          <w:szCs w:val="28"/>
          <w:rtl w:val="true"/>
          <w:lang w:bidi="ar-SA"/>
        </w:rPr>
        <w:t>فهل يزعم زاعم بعد وقوع هذا التشابه من تصحيف وتحريف وضبط غلط وزيادة حروف أو نقصها ، مع عدم الإشارة في الهامش إلى ما في الأصل أن ذلك قد ثمّ اتفاقا إن المحققين الأثبات يدركون بداهة من هذا التشابه أن إغارة قد حصلت على الرسالة ، وأن سرقة قد تمت ، وأن لا حقا قد أخذ عن سابق</w:t>
      </w:r>
      <w:r>
        <w:rPr>
          <w:rFonts w:eastAsia="Amiri" w:cs="Amiri" w:ascii="Amiri" w:hAnsi="Amiri"/>
          <w:color w:val="111111"/>
          <w:sz w:val="28"/>
          <w:szCs w:val="28"/>
          <w:rtl w:val="true"/>
          <w:lang w:bidi="ar-SA"/>
        </w:rPr>
        <w:t>.</w:t>
      </w:r>
    </w:p>
    <w:p>
      <w:pPr>
        <w:pStyle w:val="Heading5"/>
        <w:numPr>
          <w:ilvl w:val="4"/>
          <w:numId w:val="1"/>
        </w:numPr>
        <w:rPr/>
      </w:pPr>
      <w:bookmarkStart w:id="79" w:name="__RefHeading___Toc716570_996550957"/>
      <w:bookmarkStart w:id="80" w:name="_Toc26"/>
      <w:bookmarkEnd w:id="79"/>
      <w:r>
        <w:rPr>
          <w:rtl w:val="true"/>
        </w:rPr>
        <w:t>الدليل الخامس</w:t>
      </w:r>
      <w:bookmarkEnd w:id="80"/>
    </w:p>
    <w:p>
      <w:pPr>
        <w:pStyle w:val="BookText"/>
        <w:rPr/>
      </w:pPr>
      <w:r>
        <w:rPr>
          <w:rFonts w:ascii="Amiri" w:hAnsi="Amiri" w:eastAsia="Amiri" w:cs="Amiri"/>
          <w:color w:val="111111"/>
          <w:sz w:val="28"/>
          <w:sz w:val="28"/>
          <w:szCs w:val="28"/>
          <w:rtl w:val="true"/>
          <w:lang w:bidi="ar-SA"/>
        </w:rPr>
        <w:t xml:space="preserve">أنّ ثمة اتفاقا قد حصل بيننا في الكلمات التي وضعت عندها الإحالات إلى المصادر والمراجع وهذه المواضع التي سأسردها في الجدول ليست مما يجب أن يقع فيها التشابه ، إذ هي ليست آية قرآنية كريمة ، ولا حديثا نبويا شريفا ، ولا قولا أو مثلا للعرب ، ولا رأيا لعلم نحوي ذكره أبو الفداء فيراد توثيقه ، بل هي من نفل التحقيق إن ساغ هذا التعبير ، لأنّها توثيق آراء نحوية عامة ، ومع ذلك فقد تم الاتفاق بيننا في وضع أرقام الإحالات عند كلمات بعينها ، نتبين ذلك من جدولين اخترتهما من أربع جداول تفيد بمجملها مدى التوافق الكائن بيننا في مواضع الإحالات </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191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88"/>
                        <a:stretch/>
                      </pic:blipFill>
                      <pic:spPr>
                        <a:xfrm>
                          <a:off x="0" y="0"/>
                          <a:ext cx="5334120" cy="4191120"/>
                        </a:xfrm>
                        <a:prstGeom prst="rect">
                          <a:avLst/>
                        </a:prstGeom>
                        <a:ln w="0">
                          <a:noFill/>
                        </a:ln>
                      </pic:spPr>
                    </pic:pic>
                  </a:graphicData>
                </a:graphic>
              </wp:inline>
            </w:drawing>
          </mc:Choice>
          <mc:Fallback>
            <w:pict>
              <v:shape id="shape_0" stroked="f" o:allowincell="f" style="position:absolute;margin-left:0pt;margin-top:-330.05pt;width:419.95pt;height:329.95pt;mso-wrap-style:none;v-text-anchor:middle;mso-position-horizontal:left;mso-position-vertical:top" type="_x0000_t75">
                <v:imagedata r:id="rId89" o:detectmouseclick="t"/>
                <v:stroke color="#3465a4" joinstyle="round" endcap="flat"/>
                <w10:wrap type="none"/>
              </v:shape>
            </w:pict>
          </mc:Fallback>
        </mc:AlternateContent>
      </w:r>
    </w:p>
    <w:p>
      <w:pPr>
        <w:pStyle w:val="BookText"/>
        <w:rPr/>
      </w:pPr>
      <w:r>
        <w:rPr>
          <w:rtl w:val="true"/>
        </w:rPr>
        <mc:AlternateContent>
          <mc:Choice Requires="wps">
            <w:drawing>
              <wp:inline distT="0" distB="0" distL="0" distR="0">
                <wp:extent cx="5334000" cy="12446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91"/>
                        <a:stretch/>
                      </pic:blipFill>
                      <pic:spPr>
                        <a:xfrm>
                          <a:off x="0" y="0"/>
                          <a:ext cx="5334120" cy="1244520"/>
                        </a:xfrm>
                        <a:prstGeom prst="rect">
                          <a:avLst/>
                        </a:prstGeom>
                        <a:ln w="0">
                          <a:noFill/>
                        </a:ln>
                      </pic:spPr>
                    </pic:pic>
                  </a:graphicData>
                </a:graphic>
              </wp:inline>
            </w:drawing>
          </mc:Choice>
          <mc:Fallback>
            <w:pict>
              <v:shape id="shape_0" stroked="f" o:allowincell="f" style="position:absolute;margin-left:0pt;margin-top:-98.05pt;width:419.95pt;height:97.95pt;mso-wrap-style:none;v-text-anchor:middle;mso-position-horizontal:left;mso-position-vertical:top" type="_x0000_t75">
                <v:imagedata r:id="rId9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وهذا جدول ثان يؤكد ما ذكرناه </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32004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93"/>
                        <a:stretch/>
                      </pic:blipFill>
                      <pic:spPr>
                        <a:xfrm>
                          <a:off x="0" y="0"/>
                          <a:ext cx="5334120" cy="3200400"/>
                        </a:xfrm>
                        <a:prstGeom prst="rect">
                          <a:avLst/>
                        </a:prstGeom>
                        <a:ln w="0">
                          <a:noFill/>
                        </a:ln>
                      </pic:spPr>
                    </pic:pic>
                  </a:graphicData>
                </a:graphic>
              </wp:inline>
            </w:drawing>
          </mc:Choice>
          <mc:Fallback>
            <w:pict>
              <v:shape id="shape_0" stroked="f" o:allowincell="f" style="position:absolute;margin-left:0pt;margin-top:-252.05pt;width:419.95pt;height:251.95pt;mso-wrap-style:none;v-text-anchor:middle;mso-position-horizontal:left;mso-position-vertical:top" type="_x0000_t75">
                <v:imagedata r:id="rId9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وهكذا تتوالى مواضع الشبه في الإحالات ، فلا تكاد تجد صفحة خالية من تشابه ، فهل تمّ ذلك وفق قانون توارد الأفكار؟ أيتها النخبة المتميزة؟</w:t>
      </w:r>
    </w:p>
    <w:p>
      <w:pPr>
        <w:pStyle w:val="BookText"/>
        <w:rPr/>
      </w:pPr>
      <w:r>
        <w:rPr>
          <w:rFonts w:ascii="Amiri" w:hAnsi="Amiri" w:eastAsia="Amiri" w:cs="Amiri"/>
          <w:color w:val="111111"/>
          <w:sz w:val="28"/>
          <w:sz w:val="28"/>
          <w:szCs w:val="28"/>
          <w:rtl w:val="true"/>
          <w:lang w:bidi="ar-SA"/>
        </w:rPr>
        <w:t xml:space="preserve">ومن أعجب ما وقفت عليه من تشابه في الإحالات أنني في الصفحة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رسالتي وجدت إحالة عند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 سياق كلام أبي الفداء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فعلا فمذهب سيبويه أن لا يتقدم عليه التمييز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الطابع نتيجة سرعته قد وضع رقم الإحالة فوق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يضعها فوق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موضعها المناسب لأنها في آخر الجملة ، فرأيت ذلك عندهم تماما وذلك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ثمة وحي بين الطابعين أيضا؟ أم أن ذلك قد حدث اعتباطا أيضا؟</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يوجد مخطوط حقّق مرتين من قبل اثنين ، لم يطلع أحدهما على عمل آخر ، فوقع بينهما مثل هذا التشابه؟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أظن أن لدى النخبة المتميزة مثالا واحدا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ما نحن فيه</w:t>
      </w:r>
      <w:r>
        <w:rPr>
          <w:rFonts w:eastAsia="Amiri" w:cs="Amiri" w:ascii="Amiri" w:hAnsi="Amiri"/>
          <w:color w:val="111111"/>
          <w:sz w:val="28"/>
          <w:szCs w:val="28"/>
          <w:rtl w:val="true"/>
          <w:lang w:bidi="ar-SA"/>
        </w:rPr>
        <w:t xml:space="preserve">. </w:t>
      </w:r>
      <w:bookmarkStart w:id="81" w:name="pg14482_156051"/>
    </w:p>
    <w:p>
      <w:pPr>
        <w:pStyle w:val="Heading5"/>
        <w:numPr>
          <w:ilvl w:val="4"/>
          <w:numId w:val="1"/>
        </w:numPr>
        <w:rPr/>
      </w:pPr>
      <w:bookmarkStart w:id="82" w:name="__RefHeading___Toc716572_996550957"/>
      <w:bookmarkStart w:id="83" w:name="_Toc27"/>
      <w:bookmarkEnd w:id="81"/>
      <w:bookmarkEnd w:id="82"/>
      <w:r>
        <w:rPr>
          <w:rtl w:val="true"/>
        </w:rPr>
        <w:t>الدليل السادس</w:t>
      </w:r>
      <w:bookmarkEnd w:id="83"/>
    </w:p>
    <w:p>
      <w:pPr>
        <w:pStyle w:val="BookText"/>
        <w:rPr/>
      </w:pPr>
      <w:r>
        <w:rPr>
          <w:rFonts w:ascii="Amiri" w:hAnsi="Amiri" w:eastAsia="Amiri" w:cs="Amiri"/>
          <w:color w:val="111111"/>
          <w:sz w:val="28"/>
          <w:sz w:val="28"/>
          <w:szCs w:val="28"/>
          <w:rtl w:val="true"/>
          <w:lang w:bidi="ar-SA"/>
        </w:rPr>
        <w:t xml:space="preserve">اعتمدت في تخريج الشواهد الشعرية على معجم الشواهد العربية للأستاذ عبد السّلام هارون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ولكي أشعر القارىء بأني رجعت إلى موضع البيت في المصادر التي ذكرها الأستاذ عبد السّلام هارون ، قسمت هذه المصادر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ذكرت فيه المراجع التي نصت على اسم الشاعر ، وقسم ذكرت فيه المصادر التي ورد فيها البيت من غير نسبة لقائله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فكنت أذكر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البيت ورد منسوبا للشاعر في كل من الكتاب والمقتضب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 وورد من غير نسبة في كل من الهمع وشرح الأشموني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 هذا إن لم أقف على ديوانه ، فإن كان له ديوان وقفت عليه فكنت أحيل إلى الديوان ، أولا ثم أسير وفق المنهج الذي ذكرته وعلى هذا النحو سرت في تخريج الشواهد الشعرية ، وفوجئت بأنهم ساروا على هذا المنهج في القسم الذي زعموا أن محققه هو الدكتور كبيسي أي استغرق ذلك نصف الكتاب ، مثال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أنني في الهامش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الصفحة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الرجز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له ريح الصّبا قرقار</w:t>
      </w:r>
    </w:p>
    <w:p>
      <w:pPr>
        <w:pStyle w:val="BookText"/>
        <w:rPr/>
      </w:pPr>
      <w:r>
        <w:rPr>
          <w:rFonts w:ascii="Amiri" w:hAnsi="Amiri" w:eastAsia="Amiri" w:cs="Amiri"/>
          <w:color w:val="111111"/>
          <w:sz w:val="28"/>
          <w:sz w:val="28"/>
          <w:szCs w:val="28"/>
          <w:rtl w:val="true"/>
          <w:lang w:bidi="ar-SA"/>
        </w:rPr>
        <w:t xml:space="preserve">فذكرت ما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الرجز لأبي النجم ، وعجزه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واختلط المعروف بالإنكار</w:t>
      </w:r>
    </w:p>
    <w:p>
      <w:pPr>
        <w:pStyle w:val="BookText"/>
        <w:rPr/>
      </w:pPr>
      <w:r>
        <w:rPr>
          <w:rFonts w:ascii="Amiri" w:hAnsi="Amiri" w:eastAsia="Amiri" w:cs="Amiri"/>
          <w:color w:val="111111"/>
          <w:sz w:val="28"/>
          <w:sz w:val="28"/>
          <w:szCs w:val="28"/>
          <w:rtl w:val="true"/>
          <w:lang w:bidi="ar-SA"/>
        </w:rPr>
        <w:t xml:space="preserve">وروي منسوبا له في لسان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وخزانة الأدب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وروي من غير نسبة في الكتاب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وشرح المفصل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وشرح الكافية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وشرح الأشموني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وذكروا في الهامش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الصفحة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البيت من الرجز ، وتمامه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واختلط المعروف بالإنكار</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لأبي النجم العجلي ، في لسان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والخزانة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وبلا نسبة في الكتاب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والمفصل ،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 المفصل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وشرح الكافية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bookmarkStart w:id="84" w:name="pg14482_156052"/>
    </w:p>
    <w:p>
      <w:pPr>
        <w:pStyle w:val="BookText"/>
        <w:rPr/>
      </w:pPr>
      <w:bookmarkEnd w:id="84"/>
      <w:r>
        <w:rPr>
          <w:rFonts w:ascii="Amiri" w:hAnsi="Amiri" w:eastAsia="Amiri" w:cs="Amiri"/>
          <w:color w:val="111111"/>
          <w:sz w:val="28"/>
          <w:sz w:val="28"/>
          <w:szCs w:val="28"/>
          <w:rtl w:val="true"/>
          <w:lang w:bidi="ar-SA"/>
        </w:rPr>
        <w:t xml:space="preserve">ومن المقارنة يتضح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أنهم نهجوا منهجنا في تقسيم المصادر إلى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مصادر نسبت البيت إلى قائله ، ومصادر لم تنسبه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المصادر بيننا قد تزيد ، وقد تنقص وهو شيء طبيعي ، إذ لا يعقل أن يذكروا المصادر نفسها من غير زيادة أو نقصان ؛ لأن ذلك يدمغهم بالجهل وهم في الحقيقة حذّاق مهرة في هذا الفن ، وهي هنا متطابقة ما عدا نقصهم لشرح الأشموني غير أن النخبة المتميزة قد خالفت هذا المنهج من حيث تقسيم المصادر إلى قسمين ، وذلك في القسم الثاني الذي زعموا أن محققه هو الدكتور صبري ، فقد سردوا فيه المصادر في الهامش سردا بعد ذكرهم اسم قائل البيت ، والظاهر أن هذا الخلف بينهم في المنهج كان ضمن الخطة المحكمة التي وضعت لهم ، وهو لا قيمة له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يشوه عملهم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 فيه تغطية للسرقة ، وإتعاب لمن يريد الإمساك بهم ، غير أن هذا المنهج وهو نسبة البيت لقائله وتوثيقه من مصدر من هذه المصادر قد استهواهم ، فرجعوا إليه بأسلوب ماكر ، إذ راحوا في كثير من المواضع ينصّون على أن مصدرا من المصادر التي ذكروها قد نسبت البيت إلى قائله على نحو ما صنعنا ، وعلى نحو ما صنعوا في القسم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هذا يدلّ على مدى تأثرهم بالمنهج الذي سرنا عليه ، فهل حدث هذا التأثر وذاك التشابه اتفاقا من غير أن يطلعوا على عملنا؟ وما أكثر حدوث الاتفاق فيما بيننا ثم أليس من الواجب على المراجع أن يجعل منهج الاثنين واحدا؟ لم هذا التغاير؟</w:t>
      </w:r>
    </w:p>
    <w:p>
      <w:pPr>
        <w:pStyle w:val="BookText"/>
        <w:rPr/>
      </w:pPr>
      <w:r>
        <w:rPr>
          <w:rFonts w:ascii="IRNazanin" w:hAnsi="IRNazanin" w:eastAsia="IRNazanin"/>
          <w:color w:val="111111"/>
          <w:sz w:val="28"/>
          <w:sz w:val="28"/>
          <w:szCs w:val="28"/>
          <w:rtl w:val="true"/>
          <w:lang w:bidi="fa-IR"/>
        </w:rPr>
        <w:t>وما الهدف من هذا التخالف؟</w:t>
      </w:r>
    </w:p>
    <w:p>
      <w:pPr>
        <w:pStyle w:val="Heading5"/>
        <w:numPr>
          <w:ilvl w:val="4"/>
          <w:numId w:val="1"/>
        </w:numPr>
        <w:rPr/>
      </w:pPr>
      <w:bookmarkStart w:id="85" w:name="__RefHeading___Toc716574_996550957"/>
      <w:bookmarkStart w:id="86" w:name="_Toc28"/>
      <w:bookmarkEnd w:id="85"/>
      <w:r>
        <w:rPr>
          <w:rtl w:val="true"/>
        </w:rPr>
        <w:t xml:space="preserve">الدليل السابع </w:t>
      </w:r>
      <w:r>
        <w:rPr>
          <w:rtl w:val="true"/>
        </w:rPr>
        <w:t>(</w:t>
      </w:r>
      <w:r>
        <w:rPr>
          <w:rtl w:val="true"/>
        </w:rPr>
        <w:t>التعليقات النحوية</w:t>
      </w:r>
      <w:r>
        <w:rPr>
          <w:rtl w:val="true"/>
        </w:rPr>
        <w:t>)</w:t>
      </w:r>
      <w:bookmarkEnd w:id="86"/>
    </w:p>
    <w:p>
      <w:pPr>
        <w:pStyle w:val="BookText"/>
        <w:rPr/>
      </w:pPr>
      <w:r>
        <w:rPr>
          <w:rFonts w:ascii="Amiri" w:hAnsi="Amiri" w:eastAsia="Amiri" w:cs="Amiri"/>
          <w:color w:val="111111"/>
          <w:sz w:val="28"/>
          <w:sz w:val="28"/>
          <w:szCs w:val="28"/>
          <w:rtl w:val="true"/>
          <w:lang w:bidi="ar-SA"/>
        </w:rPr>
        <w:t xml:space="preserve">لم تسلم التعليقات النحوية بأشكالها المختلفة من السلب والنهب ، ولحذق النخبة المتميزة في هذا الفن ، فقد صاغوا هذه التعليقات صياغة جديدة هادفين تعمية السرقة ، غير أن الاتفاق في مواضعها ومحتواها ، والمراد منها ، يدل على سرقتهم لهذه التعليقات من الرسالة ، وهذه أمثلة توضح ذلك </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الرسالة ، نقل أبو الفداء حدّ اسم الآلة من المفصل إذ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والمراد بها ما يعالج به وينقل ، والأولى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اسم مشتق من فعل لما </w:t>
      </w:r>
    </w:p>
    <w:p>
      <w:pPr>
        <w:pStyle w:val="BookText"/>
        <w:rPr/>
      </w:pPr>
      <w:r>
        <w:rPr>
          <w:rFonts w:ascii="Amiri" w:hAnsi="Amiri" w:eastAsia="Amiri" w:cs="Amiri"/>
          <w:color w:val="111111"/>
          <w:sz w:val="28"/>
          <w:sz w:val="28"/>
          <w:szCs w:val="28"/>
          <w:rtl w:val="true"/>
          <w:lang w:bidi="ar-SA"/>
        </w:rPr>
        <w:t>يستعان به في ذلك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في الهامش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تفضيل حدّ ابن الحاجب على حدّ الزمخشري ، قال ابن الحاجب في الإيضاح الورقة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اسم الآلة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الصفحة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الكتاب المطبوع وضعوا إحالتين ، الأولى عند قول أبي الفداء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والثانية عند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الهامش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حدّ به الزمخشري اسم الآلة ، المفصل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الهامش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قول ابن الحاجب في تعريف اسم الآلة ، الإيضاح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ويستفاد من التعليقين ما يأتي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أنهم تأثروا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التي ذكرناها في تعليقنا ، وبكلمة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قلنا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ابن الحاجب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استعملوا اللفظتين من غير أن يشعروا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محتوى التعليقين واحد ، إذ المراد أن أبا الفداء يفضل حدّ ابن الحاجب على حدّ الزمخشري ، فانظر كيف صاغوا تعليقنا بأسلوب يتّسم بالحنكة والدهاء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نخبة مميزة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تغتر بذكرهم للمفصل لأني قد ذكرت نصّه بحروفه قبل هذا الهامش على نحو ما بينا في منهج عملنا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الفداء عن هاء السكت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منع صاحب المفصل من تحريكها في الوصل ، وأنكر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وضعت إحالة عند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في الهامش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المفصل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وتحريكها لحن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أنني سجلت في الهامش نص المفصل غير أنني أردت النص على عبارته في هذا الوضع ، فرأيت النخبة المتميزة في الصفحة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تضع إحالة عند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 وقالوا في الهامش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نصه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وتحريكها لحن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كيف قدّموا وأخّروا في عبارتنا وأتوا بالواو قبل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تأثرا بقولي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قال</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إذا كنتم دائما تحيلون إلى المفصل في كل موضع سجلت فيه أنا نص المفصل ، فلم حرصتم في هذا الموضع على ذكر عبارة 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أنكم رأيتموها في هامشنا فلم تستطيعوا الفرار منها ، فصغتموها صياغة لعلها تنأى بكم عن الظن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وثمة مثال آخر يدل على مدى احتراف هذه النخبة لهذه الصنعة موضعه 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الرسالة وذلك في حديث أبي الفداء عن 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أفعل التفضيل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يحذف إذا كان معلوما 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فزدت حرف الجر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وصار الكلام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يحذف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في الهامش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يتضح بها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اصطادت النخبة المتميزة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فوضعوا إحالة عند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وذكروا في الهامش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الصفحة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نصه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 الجار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الجر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اهتدوا إلى هذا الموضع وتلقّفوه ، ووصلوا إلى الغاية التي أردناها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نماذج من سرقاتهم لتعليقاتنا النحوية التي تتصل بالنص المحقق ، فما من تعليق إلا نهبوه ولاكوه ، ثم أعادوه بصياغة جديدة ، فهل يعقل أن يتم ذلك اتفاقا من غير نظر في رسالتنا؟؟</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الفداء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وينبغي أن يعلم أن الهمزة والنون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الاسم عند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وضعت إحالة عند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وقلت في الهامش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نصه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مذهب البصريين ، وأصل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عندهم أن بفتح النون ، ولكون النون مفتوحة زيدت فيها الألف في الوقف لبيان الحركة كهاء السكت ، ولذلك تعاقبها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 وإذا وصلت حذفتها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المفصل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الهامش من الصفحة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اختصروا ذلك بعد وضعهم إحالة في الموضع الذي وضعناها فقالوا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نسب إلى البصريين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وأحالوا إلى الهمع بدلا من شرح المفصل</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الرسالة قال أبو الفداء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 هو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وضعت إحالة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عند قوله الاسم وفي الهامش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مذهب الكوفيين ، واختاره ابن مالك في التسهيل ، واحتجوا بإثبات الألف وصلا في لغة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الهاء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تسهيل الفوائد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وهمع الهوامع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الصفحة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وضعوا إحالتهم عند كلمة قوم أي قدموها على موضع إحالتنا بكلمتين ثم ذكروا في الهامش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نسب إلى الكوفيين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وأحالوا إلى الهمع ، وكأنهم في هذين الموضعين حاولوا اختصار ما ذكرناه ، ولكن لم يستطيعوا الإفلات </w:t>
      </w:r>
    </w:p>
    <w:p>
      <w:pPr>
        <w:pStyle w:val="BookText"/>
        <w:rPr/>
      </w:pPr>
      <w:r>
        <w:rPr>
          <w:rFonts w:ascii="Amiri" w:hAnsi="Amiri" w:eastAsia="Amiri" w:cs="Amiri"/>
          <w:color w:val="111111"/>
          <w:sz w:val="28"/>
          <w:sz w:val="28"/>
          <w:szCs w:val="28"/>
          <w:rtl w:val="true"/>
          <w:lang w:bidi="ar-SA"/>
        </w:rPr>
        <w:t>من أسر هذه التعليقات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أبو الفداء أن النسب إلى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كريم وقريش وعجول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كريميّ وقريشيّ وعجوليّ ، وما جاء بخلاف ذلك فهو شاذ كقولهم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قرشيّ على خلاف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وضعت إحالة عند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عند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الهامش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أحلت إلى الكتاب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الهامش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ما نصه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اعتبر المبرد ذلك مطردا يجوز القياس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المقتضب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والخصائص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وشرح المفصل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فماذا فعل السراق؟ في الصفحة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وضعوا إحالة عند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قدموها بمقدار ثلاث كلمات على موضع إحالتي ، وفي الهامش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وأجازه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المقتضب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وانظر الخصائص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ومضمون صنيعهم أنهم جعلوا إحالتيّ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إحالة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ذكروا المصادر التي أحلت إليها ، وخطفوا التعليق الذي سجلته حول رأي المبرد في المسألة ، وجعلوه ضمن سردهم للمصادر؟ وكم هي رائعة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وانظر الخصائص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تشعر بسرعة الخطفة التي خطفوها ، وكأنهم خافوا من أن يفوتهم هذا المصدر ، فأمسكوا به ، وأحالوا إليه تاركين شرح المفصل الذي أشاروا إليه في الهامش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الصفحة نفسها ، وهم يعلمون جيدا أنهم حين يريدون الإحالة إلى مصدر ما ، لا يستعملون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ما استعملناها في منهجنا ، فلم حرصوا عليها في هذا الموضع؟ هل لأني صدرت بها مصادري بعد ذكري للتعليق ، أم أنهم خافوا من أن يفوتهم هذا المصدر فأمسكوا به ، وأحالوا إليه تاركين شرح المفصل وهو المصدر الثالث عندي ؛ لأنهم سردوه في الهامش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الصفحة نفسها؟ أم إيهاما لنا؟؟</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الرسالة قال أبو الفداء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وشرط الحال أن يكون نكرة وصاحبها 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وضعت إحالة عند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وذكرت في الهامش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نصه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شرح المفصل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السيوطي في همع الهوامع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جوز يونس والبغداديون تعريفها مطلقا ، وقال الكوفيون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في الحال معنى الشرط ، جاز أن يأتي على صورة المعرفة ، وهي مع ذلك نكرة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المحسن أفضل </w:t>
      </w:r>
    </w:p>
    <w:p>
      <w:pPr>
        <w:pStyle w:val="BookText"/>
        <w:rPr/>
      </w:pPr>
      <w:r>
        <w:rPr>
          <w:rFonts w:ascii="Amiri" w:hAnsi="Amiri" w:eastAsia="Amiri" w:cs="Amiri"/>
          <w:color w:val="111111"/>
          <w:sz w:val="28"/>
          <w:sz w:val="28"/>
          <w:szCs w:val="28"/>
          <w:rtl w:val="true"/>
          <w:lang w:bidi="ar-SA"/>
        </w:rPr>
        <w:t>منه المسيء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الكتاب المطبوع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السراق إحالة عند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قبل موضع إحالتنا بكلمتين ، وذكروا في الهامش ما نصه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جوّز يونس والبغداديون تعريفها ، والكوفيون إذا كان فيها معنى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وأحالوا إلى الهمع أيضا ، تلقفوا ما ذكرناه مصدرا ونصا مع بعض الإيجاز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الرسالة قال أبو الفداء عند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سَنُقْرِئُكَ فَلا تَنْسى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نصه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فيحتمل أن تكون لا نافية ، فيكون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نقرئك قراءة لا تنساها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وضعت إحالة عند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تنساها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وذكرت في الهامش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العكبري في التبيان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نافية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تنسى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للنهي ، ولم تجزم لتوافق رؤوس الآي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 ناشئة عن إشباع الفتحة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فوجدت ذلك كله عندهم في الصفحة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وضعهم الإحالة في الموضع الذي وضعناه ، هل كل ذلك تمّ من غير نظر في رسالتنا ، لا أستبعد أن تزعم النخبة الممتازة ذلك؟</w:t>
      </w:r>
    </w:p>
    <w:p>
      <w:pPr>
        <w:pStyle w:val="BookText"/>
        <w:rPr/>
      </w:pPr>
      <w:r>
        <w:rPr>
          <w:rFonts w:ascii="Amiri" w:hAnsi="Amiri" w:eastAsia="Amiri" w:cs="Amiri"/>
          <w:color w:val="111111"/>
          <w:sz w:val="28"/>
          <w:sz w:val="28"/>
          <w:szCs w:val="28"/>
          <w:rtl w:val="true"/>
          <w:lang w:bidi="ar-SA"/>
        </w:rPr>
        <w:t xml:space="preserve">ولبيان مزيد من نهب النخبة المتميزة للتعليقات والهوامش ننتقل إلى الألفاظ اللغوية وشرحها ، لقد اعتمدت كثيرا في شرحي للألفاظ اللغوية على معجم لسان العرب لابن منظور ، وعلى القاموس المحيط للفيروزأبادي ، فاعتمد المحققون كثيرا على هذين المعجمين ، فالأمر الطبيعي حينئذ أن يقع التشابه الحرفي في النصوص المنقولة على نحو ما حصل في شرحنا للعلاقة ، إذ نقلت 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الهامش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المعلاق الذي يعلق به الإناء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والشرح بحروفه عندهم في الصفحة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الهامش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وانظر على سبيل المثال الأفعوان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الهامش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الرسالة ، و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الهامش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الكتاب المطبوع ، وكذا الحبارج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الهامش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الرسالة ،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الهامش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الكتاب المطبوع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هذا النوع من التشابه كثير يصعب حصره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الأمر غير الطبعي المفيد أنهم معتمدون على هوامشنا فقد بدا مما يأتي </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التشابه الحرفي في شرح بعض الألفاظ من غير أن يشيروا إلى المصدر الذي نقلوا منه من 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أنني 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الهامش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نقلت من القاموس المحيط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نصه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والخنفقيق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السريعة جدا من النوق والظلمان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فوجدتهم في الصفحة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الهامش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ينقلون الشرح بحروفه من غير أن يشيروا إلى المعجم والمادة ، ولعل مما يؤكد أنهم ناقلون من الرسالة أن النص في القاموس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الخنفقيق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كقندفير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فأسقطت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القندفير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اعتمادا على ضبطها بالشكل ، فرأيت القوم قد أسقطوها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كانوا يحذفون من النص الموجود في الرسالة ، مع إشارتهم إلى المصدر حينا وإغفاله أحيانا ، ومن أمثلة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أنني 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الهامش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نقلت من اللسان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يأتي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الأصمعي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بغى الرجل حاجته أو ضالّته يبغيها بغاء وبغية وبغاية إذا طلبها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فحذف المحققون في الصفحة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الهامش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وسردوا بقية النص بحروفه ، وأحالوا إلى اللسان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 العلم أن ابن منظور في المادة نفسها قد ذكر قبل سوقه لقول الأصمعي ما يفيد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للفعل الثلاثي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وبغى ضالته بغاء بالضم والمد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وبغاية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لم يقع اختيارهم إلا على النص الذي نقلناه عن الأصمعي ، ولقد ظن القوم أن حذفهم 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تشعر أنهم غير ناظرين في النص الذي سجلناه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وانظر أمثلة لذلك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الهامش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الرسالة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الهامش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الكتاب أترج</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الهامش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الرسالة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الهامش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الكتاب ذرحرح</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الهامش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الرسالة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الهامش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الكتاب إضحيان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الهامش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الرسالة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الهامش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الكتاب عبوثران</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هامش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نقلت من القاموس المحيط أيضا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w:t>
      </w:r>
      <w:r>
        <w:rPr>
          <w:rFonts w:eastAsia="Amiri" w:cs="Amiri" w:ascii="Amiri" w:hAnsi="Amiri"/>
          <w:color w:val="111111"/>
          <w:sz w:val="28"/>
          <w:szCs w:val="28"/>
          <w:rtl w:val="true"/>
          <w:lang w:bidi="ar-SA"/>
        </w:rPr>
        <w:t>)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معظم البحر أو موجه ، ومنعطف الوادي ، والنهر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وإذ بهم في الصفحة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الهامش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يكتفون بالقول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معظم البحر أو موجه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تاركين تتمة المعاني ، ولم يشيروا إلى المصدر الذي نقلوا منه ، والطريف أنهم بعد هذا الموضع </w:t>
      </w:r>
    </w:p>
    <w:p>
      <w:pPr>
        <w:pStyle w:val="BookText"/>
        <w:rPr/>
      </w:pPr>
      <w:r>
        <w:rPr>
          <w:rFonts w:ascii="Amiri" w:hAnsi="Amiri" w:eastAsia="Amiri" w:cs="Amiri"/>
          <w:color w:val="111111"/>
          <w:sz w:val="28"/>
          <w:sz w:val="28"/>
          <w:szCs w:val="28"/>
          <w:rtl w:val="true"/>
          <w:lang w:bidi="ar-SA"/>
        </w:rPr>
        <w:t xml:space="preserve">بثلاث صفحات أي في الصفحة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شرحوا معنى شنباء ، وأحالوا إلى القاموس المحيط ، فلم لم يذكروا المصدر في شرحهم للعاقول؟؟</w:t>
      </w:r>
    </w:p>
    <w:p>
      <w:pPr>
        <w:pStyle w:val="BookText"/>
        <w:rPr/>
      </w:pPr>
      <w:r>
        <w:rPr>
          <w:rFonts w:ascii="Amiri" w:hAnsi="Amiri" w:eastAsia="Amiri" w:cs="Amiri"/>
          <w:color w:val="111111"/>
          <w:sz w:val="28"/>
          <w:sz w:val="28"/>
          <w:szCs w:val="28"/>
          <w:rtl w:val="true"/>
          <w:lang w:bidi="ar-SA"/>
        </w:rPr>
        <w:t xml:space="preserve">ومن حذقهم لفن السرقة أنني 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الهامش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نقلت من اللسان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نصه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الحاذق الماهر العاقل المجرّب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الصفحة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هامش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الحاذق في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وأحالوا إلى لسان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رجوعي إلى اللسان لم أجد فيه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الحاذق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بحروفه بل وجدت هذا الشرح في المعجم الوسيط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خطأ طباعي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كانوا يصوغون التعليقات اللغوية التي سجلناها حول بعض الألفاظ ، صياغة جديدة ، ومحتواها هو ما ذكرناه ، من أمثلة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أنني 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الهامش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عن هندبى ما نصه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هكذا ضبطها المصنف بالفتح ، وهي في الكتاب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والممتع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فعللى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الهامش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نقلت من اللسان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الهندب والهندبا والهندباء والهندباء كل ذلك بقلة من أحرار البقول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ذكرته ضمن الهامشين سردوه تقريبا في هامش واحد ، إذ قالوا في كتابهم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الهامش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نصه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بقلة من أحرار البقول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ووردت في كتاب سيبويه على مثال فعللى هندبى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وبذلك وصلوا إلى ما ذكرناه ، والعجيب أن الناسخ قبلها بأسطر قد ضبط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الصاد ، فلم يعلقوا عليها ؛ لأنهم لم يجدوا عندي تعليقا حولها</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وقبل أن أنتهي من هذا الجانب أود أن أشير إلى ظاهرة لجأوا إليها لتعبئة هوامشهم ، تتمثل هذه الظاهرة في أنني كنت أشير في الهامش إلى المصدر الذي تناول مسألة ما ، من المسائل التي ذكرها أبو الفداء ، فكانوا يرجعون إلى المصدر نفسه ، وينقلون منه النص ، فكأني بذلك أرشدهم إليه ، مثال ذلك أنني 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أحلت في الهامش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الكتاب لسيبويه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بعد وضع إحالة عند قول أبي الفداء عند صيغتي التعجب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يبنيان إلا من فعل ثلاثي ليس بلون ولا 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فوجدتهم في الصفحة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وضعوا إحالة عند موضع إحالتنا ، وفي الهامش نقلوا نص سيبويه من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حرفيا ، وهذا جدول صغير يتضح منه أن نصوصهم المنقولة هي من المصادر الذي ذكرناها </w:t>
      </w:r>
      <w:r>
        <w:rPr>
          <w:rFonts w:eastAsia="Amiri" w:cs="Amiri" w:ascii="Amiri" w:hAnsi="Amiri"/>
          <w:color w:val="111111"/>
          <w:sz w:val="28"/>
          <w:szCs w:val="28"/>
          <w:rtl w:val="true"/>
          <w:lang w:bidi="ar-SA"/>
        </w:rPr>
        <w:t xml:space="preserve">: </w:t>
      </w:r>
      <w:bookmarkStart w:id="87" w:name="pg14482_156059"/>
    </w:p>
    <w:p>
      <w:pPr>
        <w:pStyle w:val="BookText"/>
        <w:rPr/>
      </w:pPr>
      <w:bookmarkEnd w:id="87"/>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42672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04"/>
                        <a:stretch/>
                      </pic:blipFill>
                      <pic:spPr>
                        <a:xfrm>
                          <a:off x="0" y="0"/>
                          <a:ext cx="5334120" cy="4267080"/>
                        </a:xfrm>
                        <a:prstGeom prst="rect">
                          <a:avLst/>
                        </a:prstGeom>
                        <a:ln w="0">
                          <a:noFill/>
                        </a:ln>
                      </pic:spPr>
                    </pic:pic>
                  </a:graphicData>
                </a:graphic>
              </wp:inline>
            </w:drawing>
          </mc:Choice>
          <mc:Fallback>
            <w:pict>
              <v:shape id="shape_0" stroked="f" o:allowincell="f" style="position:absolute;margin-left:0pt;margin-top:-336.05pt;width:419.95pt;height:335.95pt;mso-wrap-style:none;v-text-anchor:middle;mso-position-horizontal:left;mso-position-vertical:top" type="_x0000_t75">
                <v:imagedata r:id="rId105" o:detectmouseclick="t"/>
                <v:stroke color="#3465a4" joinstyle="round" endcap="flat"/>
                <w10:wrap type="none"/>
              </v:shape>
            </w:pict>
          </mc:Fallback>
        </mc:AlternateContent>
      </w:r>
    </w:p>
    <w:p>
      <w:pPr>
        <w:pStyle w:val="Heading5"/>
        <w:numPr>
          <w:ilvl w:val="4"/>
          <w:numId w:val="1"/>
        </w:numPr>
        <w:rPr/>
      </w:pPr>
      <w:bookmarkStart w:id="88" w:name="__RefHeading___Toc716576_996550957"/>
      <w:bookmarkStart w:id="89" w:name="_Toc29"/>
      <w:bookmarkEnd w:id="88"/>
      <w:r>
        <w:rPr>
          <w:rtl w:val="true"/>
        </w:rPr>
        <w:t>الدليل الثامن</w:t>
      </w:r>
      <w:bookmarkEnd w:id="89"/>
    </w:p>
    <w:p>
      <w:pPr>
        <w:pStyle w:val="BookText"/>
        <w:rPr/>
      </w:pPr>
      <w:r>
        <w:rPr>
          <w:rFonts w:ascii="Amiri" w:hAnsi="Amiri" w:eastAsia="Amiri" w:cs="Amiri"/>
          <w:color w:val="111111"/>
          <w:sz w:val="28"/>
          <w:sz w:val="28"/>
          <w:szCs w:val="28"/>
          <w:rtl w:val="true"/>
          <w:lang w:bidi="ar-SA"/>
        </w:rPr>
        <w:t xml:space="preserve">وتشتمله الدراسة ، وأكتفي هنا ببيان المنهج العام الذي سلكوه في سرقتهم لهذه الدراسة وقد جاء على النحو الآتي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ما وزعناه على فصول جعلوه في فصل واحد ، فتحت عنوان ترجمة المؤلف سردوا فيه فصلين من فصول دراستنا أولهما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ونسبه 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حياته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يؤكد ذلك أن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عندهم قد جعلوه خليطا من أكثر من فصل عندي ، كتوثيق نسبة الكتاب إلى صاحبه ، والتعريف بلفظ الكناش ، والعجب منهم أنهم لم يجعلوا لتوثيق نسبة الكتاب إلى صاحبه فصلا خاصا ، في حين أن طالب الدراسات العليا المبتدىء يعلم أن ذلك يلزمه فصل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اللف والدوران</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المصادر التي اعتمدت عليها في الدراسة هي التي اعتمدوا عليها أيضا ، وما دام الأمر كذلك فالنصوص المنقولة من هذه المصادر متشابهة أيضا ، والسؤال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جاءت المصادر في ترجمة المؤلف متشابهة لم تنسوا منها مصدرا ، ولم سرتم مع فقراتنا لم تفارقوها قيد أنملة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توجد لديكم فكرة يمكن أن تضيفوها إلى ما ذكرناه؟ لماذا هذا الالتزام الواضح بما هو أمامكم من نصوص منقولة؟؟ فأنتم نخبة </w:t>
      </w:r>
    </w:p>
    <w:p>
      <w:pPr>
        <w:pStyle w:val="BookText"/>
        <w:rPr/>
      </w:pPr>
      <w:r>
        <w:rPr>
          <w:rFonts w:ascii="Amiri" w:hAnsi="Amiri" w:eastAsia="Amiri" w:cs="Amiri"/>
          <w:color w:val="111111"/>
          <w:sz w:val="28"/>
          <w:sz w:val="28"/>
          <w:szCs w:val="28"/>
          <w:rtl w:val="true"/>
          <w:lang w:bidi="ar-SA"/>
        </w:rPr>
        <w:t xml:space="preserve">متميزة ، والمتوقع منكم أن تضيفوا جديدا إلى ما ذكرناه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المنهج الذي سرنا عليه في ترتيب الفقرات الداخلية قد رأيناه عندهم ، على أن ذلك لم يطرد في جميع دراستهم ، فقد رأيتهم في بعض المواضع يقدمون ويؤخرون في ترتيبها ، لونا من الغش والتزوير ليس 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اعتمادهم على إيجاز ما نفصّله على نحو ما رأيته عندهم حين راحوا يسردون أعلام النحويين الذين لهم آراء في الكناش ، في حين أنني عقدت لذلك فصلا خاصا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أنهم يسرقون الفكرة ، ثم يعيدونها بثوب جديد ، ولا نعدم في دراستهم تشابها يكاد يكون حرفيا ، وتشابها باستعمالهم مرادفات للألفاظ التي كنت أستعملها في صياغتي للأفكار ، يبدو ذلك ويؤكد ما ذكرناه سابقا مما يأتي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الصفحة الثانية من الرسالة عرضت إلى حياته العسكرية ، وذكرت في الهامش ما نصّه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المختصر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ولمعرفة معاركه التي خاضها مذ كان صغيرا حتى وفاته انظر المختصر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الصفحة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الهامش ذكروا أربعة من هذه المواضع فقط وتركوا البقية ، فهل هناك وحي نزل عليكم فأوحى إليكم بسلوك هذا الطريق الذي سلكته حتى في استقرائي لهذه المواضع ، هل لو كنتم خاليّ الذهن ، غير مطلعين على الرسالة لكنتم قد سرتم على المنهج نفسه الذي سرت عليه حتى في الرجوع إلى المختصر ، وتتبع المواضع التي تدل على معاركه؟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والنكتة أن ثمة مصدرا هنا سقط عندنا سهوا فظنّت النخبة المتميزة أن هذا مما تفرّدنا به في حين أن خمسة من الباحثين المحدثين قد أشاروا في هذا المصدر إلى نحو ذلك ، هذا المصدر هو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الفداء صاحب حماه في ذكرى مرور سبعمائة عام على ولادته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سلسلة من البحوث العلمية التي تناولت حياة أبي الفداء الشخصية والعلمية</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الفصل الذي عقدته لمنهج أبي الفداء ما نصه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سار أبو الفداء في كناشه وراء تقسيم الزمخشري لمفصله ، فقسم الكناش إلى أربعة أقسام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الفعل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الحرف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المشترك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فذكروا في صفحة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عنوان الكناش ما نصه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رتبه مؤلفه على نحو ترتيب المفصل للزمخشري ، فجعله أربعة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 في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والقسم الثاني في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والقسم الثالث في الحرف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والقسم الرابع في المشترك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وواضح من المقارنة أن مضمون الفكرة واحد ، غير أن الصياغة اختلفت يسيرا مع استعمال بعض المترادفات التي استعملناها فقد قلنا سار أبو الفداء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رتبه مؤلفه ،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وراء تقسيم الزمخشري لمفصله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ترتيب المفصل للزمخشري ،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فقسم الكناش إلى أربعة أقسام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 أربعة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تفعل النخبة الممتازة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الفصل نفسه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اهتم أبو الفداء بصنع دوائر وجداول لتوضيح بعض الأحكام النحوية والصرفية ، من ذلك الدائرة التي رسمها للبدل ، والجدول الذي ضمنه جميع أمثلة نون التأكيد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وأحلت في الهامش إلى مواضع الدوائر والجداول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في الصفحة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يتميز هذا الكتاب بما فيه من دوائر وجداول توضيحية لما تكثر فيه الأحكام كأمثلة البدل ، وأقسام الضمير ، ومسائل الصفة المشبهة ، وأمثلة نون التوكيد</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يغتر القارىء بعد وقوفه على هذا الموضع من سردهم لمواضع الدوائر والجداول في هامشهم ، فقد ذكرناها في هامش الصفحة التي عرضنا فيها الفكرة كما ذكرنا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رسالتي في فصل التعريف بالكتاب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ونخلص من ذلك إلى أن كناش أبي الفداء يقوم على الجمع والاصطفاء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الكتاب شاملا لجميع الأبواب النحوية والصرفية والإملائية</w:t>
      </w:r>
      <w:r>
        <w:rPr>
          <w:rFonts w:eastAsia="Amiri" w:cs="Amiri" w:ascii="Amiri" w:hAnsi="Amiri"/>
          <w:color w:val="111111"/>
          <w:sz w:val="28"/>
          <w:szCs w:val="28"/>
          <w:rtl w:val="true"/>
          <w:lang w:bidi="ar-SA"/>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وذكروا في الصفحة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نصه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وبهذا كله تتضح أهمية الكناش في النحو والصرف من كونه جامعا مسائل النحو والصرف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والعجيب أنه في الصفحة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استطاع الملك المؤيد أن يجمع في هذا الكتاب أهم مسائل النحو والتصريف وفرق كبير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غير واعين لما يكتبون ، لأن ما يهمهم هو كيف يعيدون كلامنا بأسلوب مغاير لتراكيبنا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في توثيق نسبة الكتاب إلى أبي الفداء وذلك عند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عددا من المصادر قد ذكرت أن أبا الفداء صنف كتاب الكناش ، ووصفت هذه المصادر هذا الكتاب بأنه يقع في مجلدات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وسردت في الهامش المصادر التي ذكرت ذلك ، فقالوا في صفحة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ابتداء بلا مقدمة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أجمع أكثر الذين ترجموا للملك المؤيد على أن له كتابا في مجلدات كثيرة اسمه الكناش في العلوم من النحو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وسردوا في الهامش المصادر التي ذكرتها ، وقلت بعد ذلك عند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أنه قد كتب على الورقة الأولى من المخطوطة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الكتاب الكناش للملك المؤيد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 فقالوا أيضا بعد ذلك في الصفحة نفسها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كتب على غلافه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الكناش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كل ما قدمناه نتبين كيف نهبت الفئة الباغية هذه الرسالة ، فالأدلّة كما يرى القارىء كثيرة وكل دليل يحمل في طياته أدلة تنبىء أن القوم أغاروا على الرسالة سلبا ونهبا ، ونسوا أن حقوق العباد لا تغتفر فليتمتّعوا بمجد زائف وظلّ زائل وعند الله لا تضيع الودائع</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يؤسف له أنهم أساتذة في جامعات معتبرة لها شهرة طيبة ومكانة بارزة بين الجامعات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وننتقل الآن إلى بيان بعض الطرق التي انتهجوها لتغطية سرقتهم ،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معنا أن الفئة الباغية قد تأكدت أن هذه النسخة قد قوبلت على المؤلف ، وأنه قد كتب بإزاء بعض العناوين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 مقابلة على يدي مؤلفه أدام الله أيامه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ونقلت الفئة الباغية ما ذكره خيري بن عمر المصري من القول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ولتعلم أن هذه النسخة هي نسخة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كنتم على دراية بذلك كله فلماذا أثبتم في متن المخطوط ما شطب عليه الناسخ ، وجعلتموه من الأصل ، مع أنه لا توجد أية إشارة تفيد أن المؤلف يريده على أن منهجهم هذا لم يطرد فقد تركوا كثيرا مما شطب عليه الناسخ ولم يثبتوه ، ولينظروا على سبيل المثال اللوحات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 إذ فيها ما هو مشطوب ، ولم يثبتوه ، هذا التذبذب له دلالة واحدة وهي إشعاري بأنهم قد نظروا في المخطوطة ونسخوها؟؟</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حقا نظرتم في المخطوطة ، غير أن نظركم إليها جاء بعد نسخ رسالتنا ، فأردتم بعد ذلك إظهار المغايرة فلجأتم إلى إثبات بعض ما شطب ، وإلا فبم نفسر الأدلة الدالة على هذه السرقة تلك التي ذكرناها؟؟ ثم هل هذه هي الأمانة العلمية نشوه المخطوطة لنخفي السرقة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الفئة الباغية اكتفت بذلك بل رأيناها تضع في الهامش ما كتب بجواره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وجود علامة إلحاقية تدل على أنه من الأصل ، من ذلك حديث أبي الفداء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المخطوطة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الكتاب ، فقد سجلوه في الهامش مع أن العلامة الإلحاقية واضحة ، وكتب الناسخ في نهاية الحاشية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 واضحتين</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يثير الدهش والاستغراب أيضا ، ويدل على دجل هذه الفئة أنهم صوّروا الورقة الأولى من المخطوطة ، ووضعوها في الكتاب قبل تحقيق النص ، وظهرت في النص العلامة الإلحاقية الموجودة عند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عبارة أبي الفداء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فهذا الكناش مشتمل على عدة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الحاشية ذكر أبو الفداء الكتب السبعة التي ينوي تأليفها ونفاجأ بالقوم أنهم قد شطبوا هذه الحاشية من الصورة فلم تظهر البتّة ، وفي النص المحقق رأيتهم يثبتون هذه الحاشية في الهامش بلا تعليق ، مع أنهم قرأوا في </w:t>
      </w:r>
    </w:p>
    <w:p>
      <w:pPr>
        <w:pStyle w:val="BookText"/>
        <w:rPr/>
      </w:pPr>
      <w:r>
        <w:rPr>
          <w:rFonts w:ascii="Amiri" w:hAnsi="Amiri" w:eastAsia="Amiri" w:cs="Amiri"/>
          <w:color w:val="111111"/>
          <w:sz w:val="28"/>
          <w:sz w:val="28"/>
          <w:szCs w:val="28"/>
          <w:rtl w:val="true"/>
          <w:lang w:bidi="ar-SA"/>
        </w:rPr>
        <w:t xml:space="preserve">صفحة الغلاف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كتبه خيري بن عمر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ولتعلم أن هذه النسخة هي نسخة المصنف ، وهي الكتاب الأول في فنّي النحو والصرف من الكتاب المشار إليه ، بما أنه رتّبه على سبعة كتب كما تراه في الخطبة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هذه هي خطبة الكتاب أيتها النخبة المتميزة ، فلم وضعت في الهامش؟؟</w:t>
      </w:r>
    </w:p>
    <w:p>
      <w:pPr>
        <w:pStyle w:val="BookText"/>
        <w:rPr/>
      </w:pPr>
      <w:r>
        <w:rPr>
          <w:rFonts w:ascii="Amiri" w:hAnsi="Amiri" w:eastAsia="Amiri" w:cs="Amiri"/>
          <w:color w:val="111111"/>
          <w:sz w:val="28"/>
          <w:sz w:val="28"/>
          <w:szCs w:val="28"/>
          <w:rtl w:val="true"/>
          <w:lang w:bidi="ar-SA"/>
        </w:rPr>
        <w:t xml:space="preserve">يضاف إلى ذلك أنكم في صفحة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ذكرتم في الهامش حين قلتم في أعلى الصفحة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مشتمل على عدة كتب ،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ذكرتم في الهامش ما نصّه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عددها سبعة كما يظهر على الحاشية في خطبة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أنتم تعترفون بأنها خطبة الكتاب ، وما دامت خطبة الكتاب ، فلم لم توضع في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والأنكى من ذلك كله أنهم في الهامش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الصفحة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أشاروا إلى سطرين أثبتوهما في المتن ، وقالوا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من هامش المخطوط ، وبرجوعي إلى المخطوط الورقة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أن السطرين في متن المخطوط ، وقد شطب الناسخ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بعد ذلك غشّ أكثر من هذا؟ وهل يستغرب شيء بعد كل ما عرفناه من طرائق خبيثة لجأتم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الأفاعيل من نحو إثبات ما شطب ، وترك ما هو مثبت ، وتسجيل ما هو من المتن في الحاشية ، والإشارة إلى ما هو مشطوب عليه على أنه من الهامش هي طرق سلكتموها ومنهج دأبتم عليه لتغطية سرقتكم ولا يعني هذا أنكم لم تنظروا في المخطوط فالحق أنكم قد نظرتم في المخطوط ، غير أن نظركم فيه كان لأجل المخالفة ، أو لتلقّف بعض الأخطاء التي ستتّكئون عليها للاستدلال على أنكم غير ناظرين في الرسالة وأقول لكم ابتداء إن هذا الأمر لا يزحزح الحقيقة الثابتة وهي أنكم سرّاق ، فالأدلة دامغة ، والحقائق واضحة ، ومن المفيد هنا ، ما دمنا قد ذكرنا المقدّمة ، أن نشير إلى أن كتابهم قد خلا من مقدّمة يوضحون فيها سبب اختيارهم لهذا المخطوط؟ ولم اختير دون غيره من مخطوطات يمتلىء بها مركزهم ، أو يستطيعون الحصول عليها ، هل هذا منهج نخبة متميزة؟ أو هو منهج نخبة من السراق؟؟</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وضعت بإزاء العناوين رسم المستطيل للدلالة على أن أبا الفداء يشرح متن المفصل ، ورسم النجمة للدلالة على أنه يشرح من كافية ابن الحاجب أو من شافيته </w:t>
      </w:r>
      <w:r>
        <w:rPr>
          <w:rStyle w:val="FootnoteAnchor"/>
          <w:rtl w:val="true"/>
        </w:rPr>
        <w:footnoteReference w:id="260"/>
      </w:r>
      <w:r>
        <w:rPr>
          <w:rFonts w:ascii="Amiri" w:hAnsi="Amiri" w:eastAsia="Amiri" w:cs="Amiri"/>
          <w:color w:val="111111"/>
          <w:sz w:val="28"/>
          <w:sz w:val="28"/>
          <w:szCs w:val="28"/>
          <w:rtl w:val="true"/>
          <w:lang w:bidi="ar-SA"/>
        </w:rPr>
        <w:t xml:space="preserve">، وكنت أسجل في الهامش نصّ المتن الذي يقوم أبو الفداء بشرحه ، معتمدا </w:t>
      </w:r>
    </w:p>
    <w:p>
      <w:pPr>
        <w:pStyle w:val="BookText"/>
        <w:rPr/>
      </w:pPr>
      <w:r>
        <w:rPr>
          <w:rFonts w:ascii="Amiri" w:hAnsi="Amiri" w:eastAsia="Amiri" w:cs="Amiri"/>
          <w:color w:val="111111"/>
          <w:sz w:val="28"/>
          <w:sz w:val="28"/>
          <w:szCs w:val="28"/>
          <w:rtl w:val="true"/>
          <w:lang w:bidi="ar-SA"/>
        </w:rPr>
        <w:t xml:space="preserve">في ذلك على مدى التشابه الحاصل بين المتن وكلام أبي الفداء على نحو ما ذكرت سابقا في منهج التحقيق فقام السراق بتغيير رسم المستطيل والنجمة وجعلوهما أرقاما ، وأحالوا إلى شرح الكافية للرضي ، أو إلى شرح الوافية لابن الحاجب ، بدلا من نص الكافية لابن الحاجب الذي كنت أسجل نصه في الهامش ، وكذا الحال مع المستطيل والمفصل ، والإحالة إلى شرح الرضي للكافية بدلا من الكافية هو ضرب من الخداع أيضا ، خاصة إذا علمنا أنهم في الدراسة الصفحة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أشاروا إلى أن حدود أبي الفداء قد اعتمد فيها على الكافية ، إذن لم لم ترجعوا إلى الكافية بدلا من شرحها للرضي؟؟ ولم لم تعتمدوا على شرح الكافية المحقق بدلا من المصورة؟؟ ثم لم اعتمدتم إذن على المفصل ، ولم تعتمدوا على شرح المفصل لابن يعيش؟؟</w:t>
      </w:r>
    </w:p>
    <w:p>
      <w:pPr>
        <w:pStyle w:val="BookText"/>
        <w:rPr/>
      </w:pPr>
      <w:r>
        <w:rPr>
          <w:rFonts w:ascii="Amiri" w:hAnsi="Amiri" w:eastAsia="Amiri" w:cs="Amiri"/>
          <w:color w:val="111111"/>
          <w:sz w:val="28"/>
          <w:sz w:val="28"/>
          <w:szCs w:val="28"/>
          <w:rtl w:val="true"/>
          <w:lang w:bidi="ar-SA"/>
        </w:rPr>
        <w:t>أليس من الأحسن أن يظهر عملكم وفق منهج واحد ، بدلا من أن يسلك كل واحد منكم طريقا يختلف عن الآخر؟ هل هذا هو شأن فئة متميزة ينتظر الناس عملها بشغف؟؟</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وضعت العناوين الداخلية في الجانب الأيمن من الصفحة ، وتحتها خط ، فرأيتهم في القسم الأول يضعون العناوين وسط الصفحة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القسم الثاني اضطربوا ، فحاولوا السير على المنهج الأول أحيانا حيث وضعوا بعضها في وسط الصفحة ، ثم شدّتهم السرقة فرأيتهم يضعون العناوين في الجانب الأيمن كما فعلنا ، وذلك من الصفحة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نهاية الرسالة أي إلى صفحة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التذبذب أيضا في وضع العناوين يدل على تأثرهم من حيث لا يشعرون بعملنا ، لأن من ينسخ مخطوطا ، إن كان خالي الذهن من نسخ آخر ، فالواجب عليه أن يسير على منهج واحد حسب خطة يعتقد أنها الأنسب والأيسر للقارىء ، فلم تغير الحال معكم؟ ولم فقد المنهج عندكم في كثير من أركان التحقيق؟</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فكثيرا ما تسيرون وفق منهجنا ، وأحيانا تتخالفون فيما بينكم وتخالفوننا أيضا ، أو تظنون أن في ذلك تغطية لسرقتكم ، وسترا لقبيح صنعكم؟؟ السارق مهما أوتي من حنكة ودهاء لا بد أن يقع في يد الغفلات ، هكذا اقتضت الحكمة الإلهية أيتها الفئة الباغية؟؟ </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عددا من المظاهر الدالة على سرقتهم من شرح المفردات ، وأشرت إلى أن هناك مظهرا قد سلكوه محاولين تغطية هذه السرقة أيضا ، يتمثل هذا المظهر بأنهم كانوا يزيدون على الشرح اللغوي لكلمة ما ، قمنا بشرحها ، من ذلك أنني نقلت في الهامش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الصفحة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لسان العرب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كلمة الصعفوق ، وسجلت ما نصه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الصعفوق اللئيم من الرجال ، ولم يجىء على فعلول شيء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فرأيتهم بعد أن ذكروا هذا المعنى أوردوا معنيين آخرين للصعفوق ، وليس لذلك تفسير إلا الإدّعاء بأنهم زادوا على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كانوا يتلاعبون بالمصادر التي أذكرها ، فيذكرون مثلا الجمل للزجاجي ، وشرحه لابن عصفور بدل كتاب الحلل للبطليوسي </w:t>
      </w:r>
      <w:r>
        <w:rPr>
          <w:rStyle w:val="FootnoteAnchor"/>
          <w:rtl w:val="true"/>
        </w:rPr>
        <w:footnoteReference w:id="261"/>
      </w:r>
      <w:r>
        <w:rPr>
          <w:rFonts w:ascii="Amiri" w:hAnsi="Amiri" w:eastAsia="Amiri" w:cs="Amiri"/>
          <w:color w:val="111111"/>
          <w:sz w:val="28"/>
          <w:sz w:val="28"/>
          <w:szCs w:val="28"/>
          <w:rtl w:val="true"/>
          <w:lang w:bidi="ar-SA"/>
        </w:rPr>
        <w:t>، وهو الذي نذكره في التخريج ، ويذكرون المفصل إلى جانب شرح المفصل لابن يعيش ، ويكتفون بموضع واحد إذا ذكرنا للشاهد في المصدر موضعين ، 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أنني في الصفحة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الهامش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في تخريج بيت ذي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يرجع التسليم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البيت ما نصه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البيت في ديوانه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ويروى منسوبا له في كتاب الحلل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وشرح المفصل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وروي من غير نسبة في المقتضب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وهمع الهوامع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وشرح الأشموني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الهامش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الصفحة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الكتاب المطبوع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لذي الرمة في ديوانه ،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والجمل للزجاجي ،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والمفصل ،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وشرح المفصل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والخزانة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وبلا نسبة في المقتضب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وشرح الجمل لابن عصفور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والهمع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المقارنة بين التخريجين نتبين ما ذكرناه آنفا ، وكنا قد ذكرنا من قبل أن المبرد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البيت إلى ذي الرمة ، وأنه في الموضع الثاني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ينسبه ، فاكتفوا بموضع واحد مما ذكرناه ، ووقعوا في الغلط الذي وقعنا فيه من قبل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ومما يدخل في هذه التغطية أنهم في أول الكتاب قد اتبعوا طريقة مع بعض المصادر ، توهم أن عملهم بعيد عن عملي ، فكانوا لا يحيلون إلى ديوان الشاعر في أول الكتاب ، ثم بعد ذلك يحيلون إليه ، مثال ذلك ذو الرمة ، ففي الهامش </w:t>
      </w:r>
      <w:r>
        <w:rPr>
          <w:rStyle w:val="FootnoteAnchor"/>
          <w:rtl w:val="true"/>
        </w:rPr>
        <w:footnoteReference w:id="262"/>
      </w:r>
      <w:r>
        <w:rPr>
          <w:rFonts w:ascii="Amiri" w:hAnsi="Amiri" w:eastAsia="Amiri" w:cs="Amiri"/>
          <w:color w:val="111111"/>
          <w:sz w:val="28"/>
          <w:sz w:val="28"/>
          <w:szCs w:val="28"/>
          <w:rtl w:val="true"/>
          <w:lang w:bidi="ar-SA"/>
        </w:rPr>
        <w:t xml:space="preserve">من الصفحة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خرجوا بيت ذي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ديار مية إذ ميّ تساعفنا</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لذي الرمة ، في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 ولم يرجعوا إلى الديوان ، ثم وجدتهم بعد ذلك الموضع الذي ذكرناه يرجعون إليه انظر كتابهم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ذلك فعلوا مع الأخطل ففي الصفحة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يرجعوا إلى ديوانه في حين أنهم في الصفحة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أحالوا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بعض طرقهم التي سلكوها ذرّا للرماد في العيون ، ولقد مر معنا حين سردنا الأدلة الكثير من الحيل التي استخدموها في السرقة ، غير أن هذه الطرق التي أفردناها قد حملت في تضاعيفها أدلّة تنبىء على أنهم سرّاق أيضا ، وتوضح أن عملهم قائم على الكذب والدجل والضلال ، وهم يحسبون أنهم بهذه السبل يسترون عوراتهم ، ويغطون سوآتهم ، وتأبى الحقيقة إلا أن تظهر مهما حاول المرجفون والموتورون سترها بمثل هذه الألاعيب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القائل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الحر من انتمى لمن أفاده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عساه يقول فيمن سرق رسالة علمية تقرب من ألف 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شاهت وجوههم ، وخسرت تجارتهم ، والله ولينا وهو القادر المنتقم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الأخطاء العلمية</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 معنا عدد كبير من الأخطاء التي أفدنا منها أيضا أن القوم نخبة من مدرسة شظاظ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وبقي لدينا عدد آخر من الأخطاء نود أن نعرضها على القارىء ليرى مدى الخراب الذي ألحقوه بهذا المخطوط ، وينظر إلى آثار الفساد الذي خلفوه من إغارتهم على الرسالة ، وليدرك أن عملهم هو عمل نخبة من الكذبة الدجالين الذين أضلّهم </w:t>
      </w:r>
    </w:p>
    <w:p>
      <w:pPr>
        <w:pStyle w:val="BookText"/>
        <w:rPr/>
      </w:pPr>
      <w:r>
        <w:rPr>
          <w:rFonts w:ascii="Amiri" w:hAnsi="Amiri" w:eastAsia="Amiri" w:cs="Amiri"/>
          <w:color w:val="111111"/>
          <w:sz w:val="28"/>
          <w:sz w:val="28"/>
          <w:szCs w:val="28"/>
          <w:rtl w:val="true"/>
          <w:lang w:bidi="ar-SA"/>
        </w:rPr>
        <w:t xml:space="preserve">الشيطان فعميت بصائرهم حتى باتوا لا يفرّقون بين ما هو آية قرآنية كريمة ، وما هو كلام نثري بشري ، وارتأيت أن أقسم أخطاءهم </w:t>
      </w:r>
      <w:r>
        <w:rPr>
          <w:rStyle w:val="FootnoteAnchor"/>
          <w:rtl w:val="true"/>
        </w:rPr>
        <w:footnoteReference w:id="263"/>
      </w:r>
      <w:r>
        <w:rPr>
          <w:rFonts w:ascii="Amiri" w:hAnsi="Amiri" w:eastAsia="Amiri" w:cs="Amiri"/>
          <w:color w:val="111111"/>
          <w:sz w:val="28"/>
          <w:sz w:val="28"/>
          <w:szCs w:val="28"/>
          <w:rtl w:val="true"/>
          <w:lang w:bidi="ar-SA"/>
        </w:rPr>
        <w:t xml:space="preserve">إلى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يتصل بالنص المحقق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يتصل بالخدمة التي كان من الواجب أن تقدّم إلى النص المحقق من نحو عزو الآيات القرآنية إلى سورها ، وتخريج الأشعار من مصادرها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ما تعارف عليه المحققون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بدت أخطاؤهم في النص المحقق على النحو الآتي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أقدموا على تغيير بعض كلمات المخطوطة من غير حاجة تدعو إلى ذلك ولم يشيروا في الهامش إلى ما في الأصل ، ولا إلى هذا التغيير ، من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أبو الفداء في الورقة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لي ولمن سمع حاشا الشيطان وابن الإصبغ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الصفحة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كتابهم المطبوع جعلوها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الإصبغ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نعلم سببا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الورقة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سجل أبو الفداء العنوان الآتي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جمع المؤنث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ووجدتهم في الصفحة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يجعلونه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جمع المؤنث السالم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هذا التغيير أيتها النخبة المتميزة من المزوّرين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الورقة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تحدث أبو الفداء فيها عن إبدال الياء من الباء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ديباج ، الأصل دباج عند من جمعه على دبابيج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الصفحة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ألفيتهم يسجلون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والأصل دباج لجمعه على دبابيج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تدفع إلى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داعي لإسقاط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القوم الخرّاب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الورقة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الفداء عن نون الوقاية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هي لازمة في المضارع المعرّى عن نون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الصفحة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عرّاهم الله من كل فضيلة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امتد فسادهم ، فوضعوا في الهامش ما هو من أصل المخطوط ومن قبل </w:t>
      </w:r>
    </w:p>
    <w:p>
      <w:pPr>
        <w:pStyle w:val="BookText"/>
        <w:rPr/>
      </w:pPr>
      <w:r>
        <w:rPr>
          <w:rFonts w:ascii="Amiri" w:hAnsi="Amiri" w:eastAsia="Amiri" w:cs="Amiri"/>
          <w:color w:val="111111"/>
          <w:sz w:val="28"/>
          <w:sz w:val="28"/>
          <w:szCs w:val="28"/>
          <w:rtl w:val="true"/>
          <w:lang w:bidi="ar-SA"/>
        </w:rPr>
        <w:t xml:space="preserve">أوردنا عددا من الأمثلة ، وتركنا هذا المثال ، ففي الورقة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 أبو الفداء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أطرقا باليات الخيام</w:t>
      </w:r>
    </w:p>
    <w:p>
      <w:pPr>
        <w:pStyle w:val="BookText"/>
        <w:rPr/>
      </w:pPr>
      <w:r>
        <w:rPr>
          <w:rFonts w:ascii="Amiri" w:hAnsi="Amiri" w:eastAsia="Amiri" w:cs="Amiri"/>
          <w:color w:val="111111"/>
          <w:sz w:val="28"/>
          <w:sz w:val="28"/>
          <w:szCs w:val="28"/>
          <w:rtl w:val="true"/>
          <w:lang w:bidi="ar-SA"/>
        </w:rPr>
        <w:t>إلا الثمام وإلا العصي</w:t>
      </w:r>
    </w:p>
    <w:p>
      <w:pPr>
        <w:pStyle w:val="BookText"/>
        <w:rPr/>
      </w:pPr>
      <w:r>
        <w:rPr>
          <w:rFonts w:ascii="Amiri" w:hAnsi="Amiri" w:eastAsia="Amiri" w:cs="Amiri"/>
          <w:color w:val="111111"/>
          <w:sz w:val="28"/>
          <w:sz w:val="28"/>
          <w:szCs w:val="28"/>
          <w:rtl w:val="true"/>
          <w:lang w:bidi="ar-SA"/>
        </w:rPr>
        <w:t xml:space="preserve">فوجدتهم في الصفحة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يسقطون الشطر الثاني ويضعونه في الهامش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وصدروه بالقول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المتقارب وتمامه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الثمام وإلا العصي</w:t>
      </w:r>
    </w:p>
    <w:p>
      <w:pPr>
        <w:pStyle w:val="BookText"/>
        <w:rPr/>
      </w:pPr>
      <w:r>
        <w:rPr>
          <w:rFonts w:ascii="Amiri" w:hAnsi="Amiri" w:eastAsia="Amiri" w:cs="Amiri"/>
          <w:color w:val="111111"/>
          <w:sz w:val="28"/>
          <w:sz w:val="28"/>
          <w:szCs w:val="28"/>
          <w:rtl w:val="true"/>
          <w:lang w:bidi="ar-SA"/>
        </w:rPr>
        <w:t>لأبي ذؤيب الهذلي ما تفسير ذلك؟ لعل الناسخ المستأجر قد غشهم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وتطاول هذا الفساد فراحوا يزيدون كلمات من عندهم ليست في أصل المخطوط ، ولا حاجة تدعو إليها ، ولم يشيروا أيضا في الهامش إلى ما في الأصل ، من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الورقة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عن إعلال اسم المفعول نصه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يبنى على صيغة مفعول من ثلاثي متعدّ نحو مقول ومبيع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فزادوا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وأدخلوا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مفعول ، وذلك في الصفحة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فعلوه لا يفتقر إليه النص لوضوحه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الفداء ، في الورقة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الظرف المنصوب بعامل مضمر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وقام زيد واليوم سرت فيه ، وما اليوم سرت فيه ، واليوم سر فيه فيختار 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الصفحة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ألفيتهم يضيفون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سر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داعي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وتوّج ذلك كله بكثرة الأسقاط التي رأيناها عندهم من أمثلة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في الصفحة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المطبوع ونصه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لا رجل ظريف لأن الموصوف كالشيء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المخطوط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الموصوف والصفة كالشيء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يتم المعنى</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الصفحة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الحديث عن قطّ ما يأتي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 ما أفعله قطّ ، وهي من القطّ ، الذي هو القطع ، لأن الماضي منقطع من المستقبل ، لأن من لغاتها قط بتخفيف الطاء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المخطوط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وبنيت لأن من لغاتها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يستقيم الكلام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في الصفحة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المطبوع ، تعليق أبي الفداء على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خشيت أن أرى جدبا</w:t>
      </w:r>
    </w:p>
    <w:p>
      <w:pPr>
        <w:pStyle w:val="BookText"/>
        <w:rPr/>
      </w:pPr>
      <w:r>
        <w:rPr>
          <w:rFonts w:ascii="Amiri" w:hAnsi="Amiri" w:eastAsia="Amiri" w:cs="Amiri"/>
          <w:color w:val="111111"/>
          <w:sz w:val="28"/>
          <w:sz w:val="28"/>
          <w:szCs w:val="28"/>
          <w:rtl w:val="true"/>
          <w:lang w:bidi="ar-SA"/>
        </w:rPr>
        <w:t>في عامنا ذا بعد ما أخصبا</w:t>
      </w:r>
    </w:p>
    <w:p>
      <w:pPr>
        <w:pStyle w:val="BookText"/>
        <w:rPr/>
      </w:pPr>
      <w:r>
        <w:rPr>
          <w:rFonts w:ascii="Amiri" w:hAnsi="Amiri" w:eastAsia="Amiri" w:cs="Amiri"/>
          <w:color w:val="111111"/>
          <w:sz w:val="28"/>
          <w:sz w:val="28"/>
          <w:szCs w:val="28"/>
          <w:rtl w:val="true"/>
          <w:lang w:bidi="ar-SA"/>
        </w:rPr>
        <w:t xml:space="preserve">ونصه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فشدد الشاعر أخصبا في الوصل تشبها بالوقف فإنه يقال في ألف الوصل ، فجمع في أخصبابين الحركة والتشديد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والنص فيه سقط صوابه في 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يقال في الوقف اخصبا بغير ألف الوصل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الصفحة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المطبوع في باب الإدغام عند حديث أبي الفداء عن حذف نون في بلعنبر ، وعدم حذفها في نحو بني النمر ما نصه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فإنهم لا يحذفون النون لأنهم لو حذفوها لجمعوا على الكلمة إعلالين حذف النون ، ومنها أنهم قالوا نزل بنو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وسقط الإعلال الثاني المسجل في المخطوط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أبو الفداء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لجمعوا على الكلمة إعلالين ؛ حذف النون ، وإدغام 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الصفحة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لمواضع زيادة التاء جاء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التاء فيما سوى هذه المواضع أصل لها ، في نحو ترتب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والصواب كما في حاشية 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في نحو ترتب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والعجيب أنهم وضعوا إحالة عند ترتب ، إلى المفصل وإلى الكتاب وفي المفصل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نحو ترتب وتولج وسنبتة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رجعتم حقا إلى المفصل أم أنكم تلقّفتم رقم صفحة المفصل من هوامشنا من غير قراءة متأنّية لنصّ المفصل المذكور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ولسرعة غارتهم ، واعتمادهم التغيير تغطية لسرقتهم ، وقعوا في أخطاء كثيرة ، غمض ببعضها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أحيانا وفسد الكلام ببعضها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وجدناه في الصفحة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المطبوع ، ففيها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تقول زيد نفسه والزيدان نفساهما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والهندان نفساهم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والهندان نفساهما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الصفحة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المطبوع ، ذكرت مواضع كسر الهمزة 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ألا وأيا من حروف التنبيه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وأما</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الصفحة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عن أوزان ألف التأنيث المقصورة والممدودة ، نصه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فعلى بضم الفاء وفتح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 ، بدليل تمثيله بنفساء وعشراء ومثلها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بفتح الفاء وسكون العين وفتح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بدليل تمثيله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في الصفحة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أبي الفداء عن إبدال الميم من النون إبدالا غير مطرد كما في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الشنب والعنب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النون تقوى بالحركة فلا يبدل منها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في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هال ذات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والصواب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جاء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بدليل أنه قال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وجاء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طامه الله على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الصفحة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اعتلال ديار ورياح 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الجمع يعل لاعتلال الواو كما يعل المصدر لاعتلال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الجمع يعل لاعتلال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الصفحة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لنون إذن نصه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تجر نون غزوان مجراها في ذلك لكون إذن مشابهة للاسم دونهما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نون عن 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الصفحة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عن زيادة الواو ، نصه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 أنهم زادوا في أولئك واوا للفرق بينه وبين إليك وأجرى أولا على أولئك في زيادة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وأجرى أولاء على 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بعض من الأخطاء التي تتصل بالنص المحقق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ولننتقل إلى النوع الثاني من الأخطاء تلك التي وقفنا عليها في خدمتهم لهذا النص ، وهي أخطاء لا يقع فيها صغار الطلبة 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نخبة متميزة من الباحثين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تتصل بالآيات القرآنية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تتعلق بالأشعار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الآيات القرآنية فقد أهملوا نسبة بعضها إلى سورها ، وأغفلوا تحديد أرقامها في هذه السور وهذا جدول صغير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w:t>
      </w:r>
    </w:p>
    <w:p>
      <w:pPr>
        <w:pStyle w:val="BookText"/>
        <w:rPr/>
      </w:pPr>
      <w:r>
        <w:rPr>
          <w:rFonts w:ascii="Amiri" w:hAnsi="Amiri" w:eastAsia="Amiri" w:cs="Amiri"/>
          <w:color w:val="111111"/>
          <w:sz w:val="28"/>
          <w:sz w:val="28"/>
          <w:szCs w:val="28"/>
          <w:rtl w:val="true"/>
          <w:lang w:bidi="ar-SA"/>
        </w:rPr>
        <w:t>رقم الصفحة في الكتاب المطبوع في قطر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قِسْمَةٌ</w:t>
      </w:r>
    </w:p>
    <w:p>
      <w:pPr>
        <w:pStyle w:val="BookText"/>
        <w:rPr/>
      </w:pPr>
      <w:r>
        <w:rPr>
          <w:rFonts w:ascii="Amiri" w:hAnsi="Amiri" w:eastAsia="Amiri" w:cs="Amiri"/>
          <w:color w:val="111111"/>
          <w:sz w:val="28"/>
          <w:sz w:val="28"/>
          <w:szCs w:val="28"/>
          <w:rtl w:val="true"/>
          <w:lang w:bidi="ar-SA"/>
        </w:rPr>
        <w:t>ضِيزى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وَعَتَوْا</w:t>
      </w:r>
    </w:p>
    <w:p>
      <w:pPr>
        <w:pStyle w:val="BookText"/>
        <w:rPr/>
      </w:pPr>
      <w:r>
        <w:rPr>
          <w:rFonts w:ascii="Amiri" w:hAnsi="Amiri" w:eastAsia="Amiri" w:cs="Amiri"/>
          <w:color w:val="111111"/>
          <w:sz w:val="28"/>
          <w:sz w:val="28"/>
          <w:szCs w:val="28"/>
          <w:rtl w:val="true"/>
          <w:lang w:bidi="ar-SA"/>
        </w:rPr>
        <w:t>عُتُوًّا كَبِيراً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وَجَبَتْ</w:t>
      </w:r>
    </w:p>
    <w:p>
      <w:pPr>
        <w:pStyle w:val="BookText"/>
        <w:rPr/>
      </w:pPr>
      <w:r>
        <w:rPr>
          <w:rFonts w:ascii="Amiri" w:hAnsi="Amiri" w:eastAsia="Amiri" w:cs="Amiri"/>
          <w:color w:val="111111"/>
          <w:sz w:val="28"/>
          <w:sz w:val="28"/>
          <w:szCs w:val="28"/>
          <w:rtl w:val="true"/>
          <w:lang w:bidi="ar-SA"/>
        </w:rPr>
        <w:t>جُنُوبُها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p>
    <w:p>
      <w:pPr>
        <w:pStyle w:val="BookText"/>
        <w:rPr/>
      </w:pPr>
      <w:r>
        <w:rPr>
          <w:rFonts w:ascii="Amiri" w:hAnsi="Amiri" w:eastAsia="Amiri" w:cs="Amiri"/>
          <w:color w:val="111111"/>
          <w:sz w:val="28"/>
          <w:sz w:val="28"/>
          <w:szCs w:val="28"/>
          <w:rtl w:val="true"/>
          <w:lang w:bidi="ar-SA"/>
        </w:rPr>
        <w:t>جاؤُكُمْ</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546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p>
    <w:p>
      <w:pPr>
        <w:pStyle w:val="BookText"/>
        <w:rPr/>
      </w:pPr>
      <w:r>
        <w:rPr>
          <w:rFonts w:ascii="Amiri" w:hAnsi="Amiri" w:eastAsia="Amiri" w:cs="Amiri"/>
          <w:color w:val="111111"/>
          <w:sz w:val="28"/>
          <w:sz w:val="28"/>
          <w:szCs w:val="28"/>
          <w:rtl w:val="true"/>
          <w:lang w:bidi="ar-SA"/>
        </w:rPr>
        <w:t>إِلهُكُمُ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أَصْطَفَى</w:t>
      </w:r>
    </w:p>
    <w:p>
      <w:pPr>
        <w:pStyle w:val="BookText"/>
        <w:rPr/>
      </w:pPr>
      <w:r>
        <w:rPr>
          <w:rFonts w:ascii="Amiri" w:hAnsi="Amiri" w:eastAsia="Amiri" w:cs="Amiri"/>
          <w:color w:val="111111"/>
          <w:sz w:val="28"/>
          <w:sz w:val="28"/>
          <w:szCs w:val="28"/>
          <w:rtl w:val="true"/>
          <w:lang w:bidi="ar-SA"/>
        </w:rPr>
        <w:t>الْبَناتِ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573</w:t>
      </w:r>
    </w:p>
    <w:p>
      <w:pPr>
        <w:pStyle w:val="BookText"/>
        <w:rPr/>
      </w:pPr>
      <w:r>
        <w:rPr>
          <w:rFonts w:ascii="Amiri" w:hAnsi="Amiri" w:eastAsia="Amiri" w:cs="Amiri"/>
          <w:color w:val="111111"/>
          <w:sz w:val="28"/>
          <w:sz w:val="28"/>
          <w:szCs w:val="28"/>
          <w:rtl w:val="true"/>
          <w:lang w:bidi="ar-SA"/>
        </w:rPr>
        <w:t xml:space="preserve">ومما يتصل بهذا الجانب ما وقفت عليه في الصفحة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أبو الفداء ما لفظه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قرأ بعضهم مردفين بضم الراء إتباعا لضمة الميم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فأغفل المحققون عزو الآية إلى سورتها ، وتوثيق قراءتها ولأنهم مشغولون بالسرقة ، وما يتبعها من لفّ ودوران جعلوا الآية الواحدة ، آيتين من سورتين مختلفتين ، ففي الصفحة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هو وهي إذا اتصلتا بالواو أو 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إسكانهما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فمثال التسكين مع الواو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بِكُلِّ شَيْءٍ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الفاء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يُخْلِفُهُ وَهُوَ خَيْرُ الرَّازِقِينَ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الهامش جعلوا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يُخْلِفُهُ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الآية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سبأ ، وجعلوا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خَيْرُ الرَّازِقِينَ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الآية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المؤمنون ، لم وزعتم الآية على سورتين ، ألم تروها كلها في سبأ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إنكم شطار في لعبة السرقات ، ومهرة في توزيع الأدوار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الأشعار وما يتصل بها من تخريج وتوثيق فقد وقفنا منها على ما يأتي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أنهم في الصفحة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الهامش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في تخريج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رابني 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هناه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قائله مجهول ثم ذكروا لتخريجه مصدرا واحدا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المفصل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رجوعي إلى المصدر المذكور وجدت أن ابن يعيش قد نسبه إلى امرىء القيس ،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النخبة قد خطفته من معجم الشواهد العربية للأستاذ عبد السّلام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وفوجئت بأن الرجل يرحمه‌الله في الصفحة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نسبه إلى امرىء القيس أيضا ، مما يدل على أن الفئة لا تتورّع عن الكذب والغش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الصفحة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أبو الفداء رأي الأخفش في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وأجازه الأخفش متمسكا بدئل اسم قبيلة ، وضعت النخبة المتميزة إحالة وقالوا في الهامش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نصه وأنشد الأخفش لكعب بن مالك الأنصاري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جاؤوا بجيش لو قيس معرسه</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كان إلا كمعرس الدّئل </w:t>
      </w:r>
    </w:p>
    <w:p>
      <w:pPr>
        <w:pStyle w:val="BookText"/>
        <w:rPr/>
      </w:pPr>
      <w:r>
        <w:rPr>
          <w:rFonts w:ascii="Amiri" w:hAnsi="Amiri" w:eastAsia="Amiri" w:cs="Amiri"/>
          <w:color w:val="111111"/>
          <w:sz w:val="28"/>
          <w:sz w:val="28"/>
          <w:szCs w:val="28"/>
          <w:rtl w:val="true"/>
          <w:lang w:bidi="ar-SA"/>
        </w:rPr>
        <w:t xml:space="preserve">انظر شرح الأشموني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نظرنا في هذا المرجع وفق الطبعة المثبتة عندهم في قائمة المصادر فلم نظفر بالبيت ، ولم نجد إشارة إلى إنشاد الأخفش ، بل إن رقم الصفحة في المصدر المذكور لم يصل إلى </w:t>
      </w:r>
      <w:r>
        <w:rPr>
          <w:rFonts w:eastAsia="Amiri" w:cs="Amiri" w:ascii="Amiri" w:hAnsi="Amiri"/>
          <w:color w:val="111111"/>
          <w:sz w:val="28"/>
          <w:szCs w:val="28"/>
          <w:lang w:bidi="ar-SA"/>
        </w:rPr>
        <w:t>546</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الصفحة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خرجوا الرجز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تنحي على الشوك جرازا مقضبا</w:t>
      </w:r>
    </w:p>
    <w:p>
      <w:pPr>
        <w:pStyle w:val="BookText"/>
        <w:rPr/>
      </w:pPr>
      <w:r>
        <w:rPr>
          <w:rFonts w:ascii="Amiri" w:hAnsi="Amiri" w:eastAsia="Amiri" w:cs="Amiri"/>
          <w:color w:val="111111"/>
          <w:sz w:val="28"/>
          <w:sz w:val="28"/>
          <w:szCs w:val="28"/>
          <w:rtl w:val="true"/>
          <w:lang w:bidi="ar-SA"/>
        </w:rPr>
        <w:t xml:space="preserve">وسجلوا في الهامش ما نصه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قائله أبو حكاك ، ونسبه لأبي حكاك ابن يعيش في شرح المفصل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أن ابن يعيش لم ينسبه أيّها المدلّسون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في الصفحة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خرجوا بيت النابغة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إن أتيت بشيء أنت تكرهه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البيت فقالوا في الهامش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البيت في البحر البسيط ، وروي في الخصائص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المختار من شعر بشار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ورجعت إلى الخصائص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أجد البيت ، بل وجدت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ودّعته بدموعي يوم فارقني</w:t>
      </w:r>
    </w:p>
    <w:p>
      <w:pPr>
        <w:pStyle w:val="BookText"/>
        <w:rPr/>
      </w:pPr>
      <w:r>
        <w:rPr>
          <w:rFonts w:ascii="Amiri" w:hAnsi="Amiri" w:eastAsia="Amiri" w:cs="Amiri"/>
          <w:color w:val="111111"/>
          <w:sz w:val="28"/>
          <w:sz w:val="28"/>
          <w:szCs w:val="28"/>
          <w:rtl w:val="true"/>
          <w:lang w:bidi="ar-SA"/>
        </w:rPr>
        <w:t>ولم أطق جزعا للبين مدّ يدي</w:t>
      </w:r>
    </w:p>
    <w:p>
      <w:pPr>
        <w:pStyle w:val="BookText"/>
        <w:rPr/>
      </w:pPr>
      <w:r>
        <w:rPr>
          <w:rFonts w:ascii="Amiri" w:hAnsi="Amiri" w:eastAsia="Amiri" w:cs="Amiri"/>
          <w:color w:val="111111"/>
          <w:sz w:val="28"/>
          <w:sz w:val="28"/>
          <w:szCs w:val="28"/>
          <w:rtl w:val="true"/>
          <w:lang w:bidi="ar-SA"/>
        </w:rPr>
        <w:t xml:space="preserve">وفي الهامش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الأستاذ النجار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البيت أول ثلاثة أبيات في المختار من شعر بشار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علمت حينئذ أن القوم نظروا في فهرس الخصائص ، فوجدوا في قافية الدال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فخطفوها ، ثم أعمى الله بصيرتهم فنقلوا من هامش الخصائص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المختار من شعر بشار ، وسقط المختار من ثبت مصادرهم ، ولم يرجعوا إلى ديوان النابغة مع أنه مثبت في قائمة مصادرهم فنعم صنيع النخبة المتميزة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الصفحة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خرجوا بيت امرىء القيس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يمين الله مالك حيلة</w:t>
      </w:r>
    </w:p>
    <w:p>
      <w:pPr>
        <w:pStyle w:val="BookText"/>
        <w:rPr/>
      </w:pPr>
      <w:r>
        <w:rPr>
          <w:rFonts w:ascii="Amiri" w:hAnsi="Amiri" w:eastAsia="Amiri" w:cs="Amiri"/>
          <w:color w:val="111111"/>
          <w:sz w:val="28"/>
          <w:sz w:val="28"/>
          <w:szCs w:val="28"/>
          <w:rtl w:val="true"/>
          <w:lang w:bidi="ar-SA"/>
        </w:rPr>
        <w:t xml:space="preserve">وسجلوا في الهامش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البيت من البحر الطويل ، وروي في ديوانه 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والمقتضب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وتمامه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إن أرى عنك العماية تنجلي</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هكذا ذكروا المقتضب من غير جزء ، فرجعت إلى فهارس الشيخ عضيمة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للمقتضب فلم أجد هذا البيت البتّة ، ثم نظرت في معجم الشواهد فوجدت أن الأستاذ عبد السّلام هارون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رمز له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فتبينت من ذلك أنهم قد ظنوا أن الرمز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المقتضب ، ولم يفطنوا أن المراد منه هو المقرب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 في المقرب والنكتة أن الأستاذ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اعتمد على مخطوطة في دار الكتب ، في حين أنهم اعتمدوا على المطبوعة المحققة من قبل الجواري والجبوري والظاهر أن المحقّق أجنبي ، والمراجع نائم ، وهم بعد ذلك كله نخبة متميزة من الأساتذة الباحثين كما ورد في مقدمتهم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خرجوا في الهامش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الصفحة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يأتيك والأنباء تنمي</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إلى قيس بن 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المغني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أن صاحب المغني لم ينسبه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الهامش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الصفحة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عن بيتي المثقب العبدي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أدري إذا يممت أرضا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أألخير الذي أنا أبتغيه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نصه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البيتين مرويان في المغني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يجد القارىء هذين البيتين في المغني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الصفحة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خرجوا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حزق إذا ما القوم أبدوا فكاهة</w:t>
      </w:r>
    </w:p>
    <w:p>
      <w:pPr>
        <w:pStyle w:val="BookText"/>
        <w:rPr/>
      </w:pPr>
      <w:r>
        <w:rPr>
          <w:rFonts w:ascii="Amiri" w:hAnsi="Amiri" w:eastAsia="Amiri" w:cs="Amiri"/>
          <w:color w:val="111111"/>
          <w:sz w:val="28"/>
          <w:sz w:val="28"/>
          <w:szCs w:val="28"/>
          <w:rtl w:val="true"/>
          <w:lang w:bidi="ar-SA"/>
        </w:rPr>
        <w:t xml:space="preserve">فنصوا في الهامش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لجامع بن عمرو ، وسردوا في الهامش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مصدرين فقط روي البيت فيهما هما شرح المفصل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والهمع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وهذان المصدران لم ينسبا البيت إلى قائله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الصفحة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ما نصه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ومما أبدلت فيه التاء من السين قول الشاعر عمرو بن يربوع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شرار النات</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الهامش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ويروى أيضا لعلباء بن أرقم اليشكري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الذي </w:t>
      </w:r>
    </w:p>
    <w:p>
      <w:pPr>
        <w:pStyle w:val="BookText"/>
        <w:rPr/>
      </w:pPr>
      <w:r>
        <w:rPr>
          <w:rFonts w:ascii="Amiri" w:hAnsi="Amiri" w:eastAsia="Amiri" w:cs="Amiri"/>
          <w:color w:val="111111"/>
          <w:sz w:val="28"/>
          <w:sz w:val="28"/>
          <w:szCs w:val="28"/>
          <w:rtl w:val="true"/>
          <w:lang w:bidi="ar-SA"/>
        </w:rPr>
        <w:t xml:space="preserve">استأجروه جاهل ، جعل الشاعر هو عمرو بن يربوع ، وهو متأكد من ذلك ، لذلك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أيضا أن المراجع قد فطن إلى هذا الخلط العجيب فحاول استدراك ذلك فقال في الهامش نقلا عن شرح شواهد الشافية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هجاء لبني عمرو بن يربوع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نعلم فلعل المراجع يريد أن الشاعر هو عمرو ، والرجل يهجو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نستبعد شيئا يخطر بالبال من كثرة ما رأينا من فساد وخلط واضطراب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النخبة المتميزة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غير أن المراجع قد وقع في غفلة أخرى حين لم يذكر لنا رقم الجزء ورقم الصفحة في شرح الشواهد ، وأحسب أن هذا المصدر قد سقط من قائمة مصادرهم ، لذا أعتقد أنه استدرك استدراكا أرادوا أن يقوموا ميلا واضحا ويستروا سوأة مكشوفة ، ولكن هيهات هيهات فقد اتسع الخرق على الراقع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الصفحة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جعلوا بيتا شعريا كلاما نثريا ، وهو بيت تعليمي في أوائله الحروف التي تدغم فيها التاء وهو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سرى طيف دعد زائرا ذا ضنى</w:t>
      </w:r>
    </w:p>
    <w:p>
      <w:pPr>
        <w:pStyle w:val="BookText"/>
        <w:rPr/>
      </w:pPr>
      <w:r>
        <w:rPr>
          <w:rFonts w:ascii="IRNazanin" w:hAnsi="IRNazanin" w:eastAsia="IRNazanin"/>
          <w:color w:val="111111"/>
          <w:sz w:val="28"/>
          <w:sz w:val="28"/>
          <w:szCs w:val="28"/>
          <w:rtl w:val="true"/>
          <w:lang w:bidi="fa-IR"/>
        </w:rPr>
        <w:t>ثوى شفى ظمأ جودا صفا فتعطفا</w:t>
      </w:r>
    </w:p>
    <w:p>
      <w:pPr>
        <w:pStyle w:val="BookText"/>
        <w:rPr/>
      </w:pPr>
      <w:r>
        <w:rPr>
          <w:rFonts w:ascii="Amiri" w:hAnsi="Amiri" w:eastAsia="Amiri" w:cs="Amiri"/>
          <w:color w:val="111111"/>
          <w:sz w:val="28"/>
          <w:sz w:val="28"/>
          <w:szCs w:val="28"/>
          <w:rtl w:val="true"/>
          <w:lang w:bidi="ar-SA"/>
        </w:rPr>
        <w:t xml:space="preserve">فذكر عندهم على أنه كلام نثري ، والعجيب أن أبا الفداء صدّره بالقول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وتجمعها أوائل كلام هذا البيت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ذكر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الهامش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نسبوا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لعزة موحشا طلل</w:t>
      </w:r>
    </w:p>
    <w:p>
      <w:pPr>
        <w:pStyle w:val="BookText"/>
        <w:rPr/>
      </w:pPr>
      <w:r>
        <w:rPr>
          <w:rFonts w:ascii="Amiri" w:hAnsi="Amiri" w:eastAsia="Amiri" w:cs="Amiri"/>
          <w:color w:val="111111"/>
          <w:sz w:val="28"/>
          <w:sz w:val="28"/>
          <w:szCs w:val="28"/>
          <w:rtl w:val="true"/>
          <w:lang w:bidi="ar-SA"/>
        </w:rPr>
        <w:t>يلوح كأنه خلل</w:t>
      </w:r>
    </w:p>
    <w:p>
      <w:pPr>
        <w:pStyle w:val="BookText"/>
        <w:rPr/>
      </w:pPr>
      <w:r>
        <w:rPr>
          <w:rFonts w:ascii="Amiri" w:hAnsi="Amiri" w:eastAsia="Amiri" w:cs="Amiri"/>
          <w:color w:val="111111"/>
          <w:sz w:val="28"/>
          <w:sz w:val="28"/>
          <w:szCs w:val="28"/>
          <w:rtl w:val="true"/>
          <w:lang w:bidi="ar-SA"/>
        </w:rPr>
        <w:t xml:space="preserve">لكثير عزة ، ولم يرجعوا إلى ديوانه مع أنه مثبت في قائمة مصادرهم وفي الهامش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الصفحة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يخرجوا الرجز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وقاتم الأعماق خاوي المخترق</w:t>
      </w:r>
    </w:p>
    <w:p>
      <w:pPr>
        <w:pStyle w:val="BookText"/>
        <w:rPr/>
      </w:pPr>
      <w:r>
        <w:rPr>
          <w:rFonts w:ascii="Amiri" w:hAnsi="Amiri" w:eastAsia="Amiri" w:cs="Amiri"/>
          <w:color w:val="111111"/>
          <w:sz w:val="28"/>
          <w:sz w:val="28"/>
          <w:szCs w:val="28"/>
          <w:rtl w:val="true"/>
          <w:lang w:bidi="ar-SA"/>
        </w:rPr>
        <w:t>من ديوان رؤبة مع ذكرهم له في المصادر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وأخيرا فقد أحصيت لهم أكثر من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مصدرا سقطت من قائمة مصادرهم أذكر بعضا منها مع مكان ورودها في كتابهم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الأغاني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إرتشاف الضرب </w:t>
      </w:r>
      <w:r>
        <w:rPr>
          <w:rFonts w:eastAsia="IRNazanin" w:cs="IRNazanin"/>
          <w:color w:val="111111"/>
          <w:sz w:val="28"/>
          <w:szCs w:val="28"/>
          <w:lang w:bidi="fa-IR"/>
        </w:rPr>
        <w:t>113</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إصلاح المنطق </w:t>
      </w:r>
      <w:r>
        <w:rPr>
          <w:rFonts w:eastAsia="IRNazanin" w:cs="IRNazanin"/>
          <w:color w:val="111111"/>
          <w:sz w:val="28"/>
          <w:szCs w:val="28"/>
          <w:lang w:bidi="fa-IR"/>
        </w:rPr>
        <w:t>378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التذييل والتكميل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ديوان ابن أحمر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ديوان أبي نواس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ديوان القطامي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وأترك البقية لأنهم لا يستحقون هذه الخدمة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صنيع نخبة من السراق المفضوحين </w:t>
      </w:r>
      <w:r>
        <w:rPr>
          <w:rStyle w:val="FootnoteAnchor"/>
          <w:rtl w:val="true"/>
        </w:rPr>
        <w:footnoteReference w:id="264"/>
      </w:r>
      <w:r>
        <w:rPr>
          <w:rFonts w:ascii="Amiri" w:hAnsi="Amiri" w:eastAsia="Amiri" w:cs="Amiri"/>
          <w:color w:val="111111"/>
          <w:sz w:val="28"/>
          <w:sz w:val="28"/>
          <w:szCs w:val="28"/>
          <w:rtl w:val="true"/>
          <w:lang w:bidi="ar-SA"/>
        </w:rPr>
        <w:t xml:space="preserve">الذين باتوا يطلبون السّترة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خَتَمَ اللهُ عَلى قُلُوبِهِمْ وَعَلى سَمْعِهِمْ وَعَلى أَبْصارِهِمْ غِشاوَةٌ وَتَرَكَهُمْ فِي ظُلُماتٍ لا يُبْصِرُونَ إِنْ هُمْ إِلَّا كَالْأَنْعامِ بَلْ هُمْ أَضَلُّ سَبِيلاً عَلَيْهِمْ دائِرَةُ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فِي الْأَذَلِّينَ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مَعِي رَبِّي سَيَهْدِينِ وَأُفَوِّضُ أَمْرِي إِلَى اللهِ وَكَفى بِاللهِ وَلِيًّا وَكَفى بِاللهِ نَصِيراً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العظيم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799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124"/>
                        <a:stretch/>
                      </pic:blipFill>
                      <pic:spPr>
                        <a:xfrm>
                          <a:off x="0" y="0"/>
                          <a:ext cx="4280040" cy="6985080"/>
                        </a:xfrm>
                        <a:prstGeom prst="rect">
                          <a:avLst/>
                        </a:prstGeom>
                        <a:ln w="0">
                          <a:noFill/>
                        </a:ln>
                      </pic:spPr>
                    </pic:pic>
                  </a:graphicData>
                </a:graphic>
              </wp:inline>
            </w:drawing>
          </mc:Choice>
          <mc:Fallback>
            <w:pict>
              <v:shape id="shape_0" stroked="f" o:allowincell="f" style="position:absolute;margin-left:0pt;margin-top:-550.05pt;width:336.95pt;height:549.95pt;mso-wrap-style:none;v-text-anchor:middle;mso-position-horizontal:left;mso-position-vertical:top" type="_x0000_t75">
                <v:imagedata r:id="rId12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054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127"/>
                        <a:stretch/>
                      </pic:blipFill>
                      <pic:spPr>
                        <a:xfrm>
                          <a:off x="0" y="0"/>
                          <a:ext cx="5105520" cy="6985080"/>
                        </a:xfrm>
                        <a:prstGeom prst="rect">
                          <a:avLst/>
                        </a:prstGeom>
                        <a:ln w="0">
                          <a:noFill/>
                        </a:ln>
                      </pic:spPr>
                    </pic:pic>
                  </a:graphicData>
                </a:graphic>
              </wp:inline>
            </w:drawing>
          </mc:Choice>
          <mc:Fallback>
            <w:pict>
              <v:shape id="shape_0" stroked="f" o:allowincell="f" style="position:absolute;margin-left:0pt;margin-top:-550.05pt;width:401.95pt;height:549.95pt;mso-wrap-style:none;v-text-anchor:middle;mso-position-horizontal:left;mso-position-vertical:top" type="_x0000_t75">
                <v:imagedata r:id="rId12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130"/>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13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561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133"/>
                        <a:stretch/>
                      </pic:blipFill>
                      <pic:spPr>
                        <a:xfrm>
                          <a:off x="0" y="0"/>
                          <a:ext cx="4356000" cy="6985080"/>
                        </a:xfrm>
                        <a:prstGeom prst="rect">
                          <a:avLst/>
                        </a:prstGeom>
                        <a:ln w="0">
                          <a:noFill/>
                        </a:ln>
                      </pic:spPr>
                    </pic:pic>
                  </a:graphicData>
                </a:graphic>
              </wp:inline>
            </w:drawing>
          </mc:Choice>
          <mc:Fallback>
            <w:pict>
              <v:shape id="shape_0" stroked="f" o:allowincell="f" style="position:absolute;margin-left:0pt;margin-top:-550.05pt;width:342.95pt;height:549.95pt;mso-wrap-style:none;v-text-anchor:middle;mso-position-horizontal:left;mso-position-vertical:top" type="_x0000_t75">
                <v:imagedata r:id="rId13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الذي ليس لعلمه غاية ، ولا لجوده نهاية </w:t>
      </w:r>
      <w:r>
        <w:rPr>
          <w:rStyle w:val="FootnoteAnchor"/>
          <w:rtl w:val="true"/>
        </w:rPr>
        <w:footnoteReference w:id="265"/>
      </w:r>
      <w:r>
        <w:rPr>
          <w:rFonts w:ascii="Amiri" w:hAnsi="Amiri" w:eastAsia="Amiri" w:cs="Amiri"/>
          <w:color w:val="111111"/>
          <w:sz w:val="28"/>
          <w:sz w:val="28"/>
          <w:szCs w:val="28"/>
          <w:rtl w:val="true"/>
          <w:lang w:bidi="ar-SA"/>
        </w:rPr>
        <w:t xml:space="preserve">وصلّى الله على سيّدنا محمّد المبعوث بالهداية وعلى آله وصحبه ، صلاة تنجي من الضّلالة </w:t>
      </w:r>
      <w:r>
        <w:rPr>
          <w:rStyle w:val="FootnoteAnchor"/>
          <w:rtl w:val="true"/>
        </w:rPr>
        <w:footnoteReference w:id="266"/>
      </w:r>
      <w:r>
        <w:rPr>
          <w:rFonts w:ascii="Amiri" w:hAnsi="Amiri" w:eastAsia="Amiri" w:cs="Amiri"/>
          <w:color w:val="111111"/>
          <w:sz w:val="28"/>
          <w:sz w:val="28"/>
          <w:szCs w:val="28"/>
          <w:rtl w:val="true"/>
          <w:lang w:bidi="ar-SA"/>
        </w:rPr>
        <w:t xml:space="preserve">والغواية </w:t>
      </w:r>
      <w:r>
        <w:rPr>
          <w:rStyle w:val="FootnoteAnchor"/>
          <w:rtl w:val="true"/>
        </w:rPr>
        <w:footnoteReference w:id="267"/>
      </w:r>
      <w:r>
        <w:rPr>
          <w:rFonts w:ascii="IRNazanin" w:hAnsi="IRNazanin" w:eastAsia="IRNazanin"/>
          <w:color w:val="111111"/>
          <w:sz w:val="28"/>
          <w:sz w:val="28"/>
          <w:szCs w:val="28"/>
          <w:rtl w:val="true"/>
          <w:lang w:bidi="fa-IR"/>
        </w:rPr>
        <w:t xml:space="preserve">وبعد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كنّاش مشتمل على عدّة كتب ،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النحو والتصريف ،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الطب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التاريخ ،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الأخلاق والسّياسة والزهد ،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الأشعار ،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فنون مختلفة</w:t>
      </w:r>
      <w:r>
        <w:rPr>
          <w:rFonts w:eastAsia="Amiri" w:cs="Amiri" w:ascii="Amiri" w:hAnsi="Amiri"/>
          <w:color w:val="111111"/>
          <w:sz w:val="28"/>
          <w:szCs w:val="28"/>
          <w:rtl w:val="true"/>
          <w:lang w:bidi="ar-SA"/>
        </w:rPr>
        <w:t xml:space="preserve">. </w:t>
      </w:r>
      <w:bookmarkStart w:id="90" w:name="pg14482_156082"/>
    </w:p>
    <w:p>
      <w:pPr>
        <w:pStyle w:val="Heading2"/>
        <w:numPr>
          <w:ilvl w:val="1"/>
          <w:numId w:val="1"/>
        </w:numPr>
        <w:rPr/>
      </w:pPr>
      <w:bookmarkStart w:id="91" w:name="__RefHeading___Toc716578_996550957"/>
      <w:bookmarkStart w:id="92" w:name="_Toc30"/>
      <w:bookmarkEnd w:id="90"/>
      <w:bookmarkEnd w:id="91"/>
      <w:r>
        <w:rPr>
          <w:rtl w:val="true"/>
        </w:rPr>
        <w:t xml:space="preserve">الكتاب الأوّل في النحو </w:t>
      </w:r>
      <w:r>
        <w:rPr>
          <w:rtl w:val="true"/>
        </w:rPr>
        <w:t xml:space="preserve">: </w:t>
      </w:r>
      <w:r>
        <w:rPr>
          <w:rtl w:val="true"/>
        </w:rPr>
        <w:t>ذكر الكلمة وأنواعها</w:t>
      </w:r>
      <w:bookmarkEnd w:id="92"/>
    </w:p>
    <w:p>
      <w:pPr>
        <w:pStyle w:val="Heading3"/>
        <w:numPr>
          <w:ilvl w:val="2"/>
          <w:numId w:val="1"/>
        </w:numPr>
        <w:rPr/>
      </w:pPr>
      <w:bookmarkStart w:id="93" w:name="__RefHeading___Toc716580_996550957"/>
      <w:bookmarkStart w:id="94" w:name="_Toc31"/>
      <w:bookmarkEnd w:id="93"/>
      <w:r>
        <w:rPr>
          <w:rtl w:val="true"/>
        </w:rPr>
        <w:t>اشارة</w:t>
      </w:r>
      <w:bookmarkEnd w:id="94"/>
    </w:p>
    <w:p>
      <w:pPr>
        <w:pStyle w:val="BookText"/>
        <w:rPr/>
      </w:pPr>
      <w:r>
        <w:rPr>
          <w:rStyle w:val="FootnoteAnchor"/>
          <w:rtl w:val="true"/>
        </w:rPr>
        <w:footnoteReference w:id="2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الكلمة لفظ موضوع مفرد ، والمراد باللفظ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خرج من الفم حقيقة كاضرب أو حكما ، كالمستكن في اضرب حرفا أو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لفظ بمعنى كرجل بمذكّر 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يقصد بجزء لفظه الدلالة على جزء معناه كزيد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والكلمة جنس تحته ثلاثة أنواع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وفعل وحرف ، لأنّها إن لم تدلّ على معنى في نفسها أي لا تستقل الكلمة بالدلالة على معناها الإفرادي إلا بانضمام متعلقها إليها فهي الحرف كقد وهل ، وإن دلّت على معنى في نفسها مقترن بأحد الأزمنة الثلاثة فهي الفعل كقام يقوم ، وإن دلّت على معنى في نفسها غير مقترن بأحد الأزمنة الثلاثة فهي الاسم ، كالصّبوح والغبوق </w:t>
      </w:r>
      <w:r>
        <w:rPr>
          <w:rStyle w:val="FootnoteAnchor"/>
          <w:rtl w:val="true"/>
        </w:rPr>
        <w:footnoteReference w:id="269"/>
      </w:r>
      <w:r>
        <w:rPr>
          <w:rFonts w:ascii="Amiri" w:hAnsi="Amiri" w:eastAsia="Amiri" w:cs="Amiri"/>
          <w:color w:val="111111"/>
          <w:sz w:val="28"/>
          <w:sz w:val="28"/>
          <w:szCs w:val="28"/>
          <w:rtl w:val="true"/>
          <w:lang w:bidi="ar-SA"/>
        </w:rPr>
        <w:t xml:space="preserve">، فإنّه وإن دلّ على زمان لكنّه غير معيّن من الثّلاثة ، لأنّ الشرب بكرة مثلا ليس بماض ولا حال ولا مستقبل </w:t>
      </w:r>
      <w:r>
        <w:rPr>
          <w:rStyle w:val="FootnoteAnchor"/>
          <w:rtl w:val="true"/>
        </w:rPr>
        <w:footnoteReference w:id="270"/>
      </w:r>
      <w:r>
        <w:rPr>
          <w:rFonts w:ascii="Amiri" w:hAnsi="Amiri" w:eastAsia="Amiri" w:cs="Amiri"/>
          <w:color w:val="111111"/>
          <w:sz w:val="28"/>
          <w:sz w:val="28"/>
          <w:szCs w:val="28"/>
          <w:rtl w:val="true"/>
          <w:lang w:bidi="ar-SA"/>
        </w:rPr>
        <w:t>والاسم يكون مسندا ومسندا إليه ، والفعل يكون مسندا ولا يكون مسندا إليه ، والحرف لا يكون مسندا ولا مسندا إليه</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 شامل لكلّ فرد من أفراد المعرّف فقط </w:t>
      </w:r>
      <w:r>
        <w:rPr>
          <w:rStyle w:val="FootnoteAnchor"/>
          <w:rtl w:val="true"/>
        </w:rPr>
        <w:footnoteReference w:id="271"/>
      </w:r>
      <w:r>
        <w:rPr>
          <w:rFonts w:ascii="Amiri" w:hAnsi="Amiri" w:eastAsia="Amiri" w:cs="Amiri"/>
          <w:color w:val="111111"/>
          <w:sz w:val="28"/>
          <w:sz w:val="28"/>
          <w:szCs w:val="28"/>
          <w:rtl w:val="true"/>
          <w:lang w:bidi="ar-SA"/>
        </w:rPr>
        <w:t xml:space="preserve">والحدود في النحو </w:t>
      </w:r>
      <w:bookmarkStart w:id="95" w:name="pg14482_156083"/>
    </w:p>
    <w:p>
      <w:pPr>
        <w:pStyle w:val="BookText"/>
        <w:rPr/>
      </w:pPr>
      <w:bookmarkEnd w:id="95"/>
      <w:r>
        <w:rPr>
          <w:rFonts w:ascii="Amiri" w:hAnsi="Amiri" w:eastAsia="Amiri" w:cs="Amiri"/>
          <w:color w:val="111111"/>
          <w:sz w:val="28"/>
          <w:sz w:val="28"/>
          <w:szCs w:val="28"/>
          <w:rtl w:val="true"/>
          <w:lang w:bidi="ar-SA"/>
        </w:rPr>
        <w:t xml:space="preserve">إنّما هي للألفاظ باعتبار معناها الحقيقي ، وماهيات الكلم اعتبارية </w:t>
      </w:r>
      <w:r>
        <w:rPr>
          <w:rStyle w:val="FootnoteAnchor"/>
          <w:rtl w:val="true"/>
        </w:rPr>
        <w:footnoteReference w:id="272"/>
      </w:r>
      <w:r>
        <w:rPr>
          <w:rFonts w:ascii="Amiri" w:hAnsi="Amiri" w:eastAsia="Amiri" w:cs="Amiri"/>
          <w:color w:val="111111"/>
          <w:sz w:val="28"/>
          <w:sz w:val="28"/>
          <w:szCs w:val="28"/>
          <w:rtl w:val="true"/>
          <w:lang w:bidi="ar-SA"/>
        </w:rPr>
        <w:t>ولذلك جاز أن تكون فصولها عدمية</w:t>
      </w:r>
      <w:r>
        <w:rPr>
          <w:rFonts w:eastAsia="Amiri" w:cs="Amiri" w:ascii="Amiri" w:hAnsi="Amiri"/>
          <w:color w:val="111111"/>
          <w:sz w:val="28"/>
          <w:szCs w:val="28"/>
          <w:rtl w:val="true"/>
          <w:lang w:bidi="ar-SA"/>
        </w:rPr>
        <w:t>.</w:t>
      </w:r>
    </w:p>
    <w:p>
      <w:pPr>
        <w:pStyle w:val="Heading3"/>
        <w:numPr>
          <w:ilvl w:val="2"/>
          <w:numId w:val="1"/>
        </w:numPr>
        <w:rPr/>
      </w:pPr>
      <w:bookmarkStart w:id="96" w:name="__RefHeading___Toc716582_996550957"/>
      <w:bookmarkStart w:id="97" w:name="_Toc32"/>
      <w:bookmarkEnd w:id="96"/>
      <w:r>
        <w:rPr>
          <w:rtl w:val="true"/>
        </w:rPr>
        <w:t>ذكر الكلام</w:t>
      </w:r>
      <w:bookmarkEnd w:id="97"/>
    </w:p>
    <w:p>
      <w:pPr>
        <w:pStyle w:val="BookText"/>
        <w:rPr/>
      </w:pPr>
      <w:r>
        <w:rPr>
          <w:rStyle w:val="FootnoteAnchor"/>
          <w:rtl w:val="true"/>
        </w:rPr>
        <w:footnoteReference w:id="2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ما تضمّن كلمتين أسندت إحداهما إلى الأخرى وقد خرج بقولنا أسندت إحداهما إلى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ليس كذلك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زيد ، فإنه كلمتان وليس بكلام لعدم الإسناد ، إذ الإسناد نسبة أحد الجزأين إلى الآخر على وجه يحسن السكوت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والكلام قسمان </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إلّا اسم واسم ، واسم وفعل </w:t>
      </w:r>
      <w:r>
        <w:rPr>
          <w:rStyle w:val="FootnoteAnchor"/>
          <w:rtl w:val="true"/>
        </w:rPr>
        <w:footnoteReference w:id="274"/>
      </w:r>
      <w:r>
        <w:rPr>
          <w:rFonts w:ascii="Amiri" w:hAnsi="Amiri" w:eastAsia="Amiri" w:cs="Amiri"/>
          <w:color w:val="111111"/>
          <w:sz w:val="28"/>
          <w:sz w:val="28"/>
          <w:szCs w:val="28"/>
          <w:rtl w:val="true"/>
          <w:lang w:bidi="ar-SA"/>
        </w:rPr>
        <w:t xml:space="preserve">وأمّا الاسم والحرف فلا يكون كلاما ، لأنّ الحرف لا يكون حكما ولا محكوما عليه ، وكذلك لا يكون الفعل والفعل كلاما لفقد المحكوم عليه ، والفعل والحرف أبعد </w:t>
      </w:r>
      <w:r>
        <w:rPr>
          <w:rStyle w:val="FootnoteAnchor"/>
          <w:rtl w:val="true"/>
        </w:rPr>
        <w:footnoteReference w:id="275"/>
      </w:r>
      <w:r>
        <w:rPr>
          <w:rFonts w:ascii="Amiri" w:hAnsi="Amiri" w:eastAsia="Amiri" w:cs="Amiri"/>
          <w:color w:val="111111"/>
          <w:sz w:val="28"/>
          <w:sz w:val="28"/>
          <w:szCs w:val="28"/>
          <w:rtl w:val="true"/>
          <w:lang w:bidi="ar-SA"/>
        </w:rPr>
        <w:t xml:space="preserve">، والحرف والحرف أبعد وأما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زيد ، فإنّه مؤوّل بأدعو أو أريد ، والكلام المركّب من اسمين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الجملة الاسميّة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كاتب ، والمركّب من فعل واسم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الجملة الفعليّة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زيد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 xml:space="preserve">. </w:t>
      </w:r>
      <w:bookmarkStart w:id="98" w:name="pg14482_156084"/>
    </w:p>
    <w:p>
      <w:pPr>
        <w:pStyle w:val="Heading3"/>
        <w:numPr>
          <w:ilvl w:val="2"/>
          <w:numId w:val="1"/>
        </w:numPr>
        <w:rPr/>
      </w:pPr>
      <w:bookmarkStart w:id="99" w:name="__RefHeading___Toc716584_996550957"/>
      <w:bookmarkStart w:id="100" w:name="_Toc33"/>
      <w:bookmarkEnd w:id="98"/>
      <w:bookmarkEnd w:id="99"/>
      <w:r>
        <w:rPr>
          <w:rtl w:val="true"/>
        </w:rPr>
        <w:t xml:space="preserve">القسم الأول </w:t>
      </w:r>
      <w:r>
        <w:rPr>
          <w:rtl w:val="true"/>
        </w:rPr>
        <w:t xml:space="preserve">: </w:t>
      </w:r>
      <w:r>
        <w:rPr>
          <w:rtl w:val="true"/>
        </w:rPr>
        <w:t>في الاسم</w:t>
      </w:r>
      <w:bookmarkEnd w:id="100"/>
    </w:p>
    <w:p>
      <w:pPr>
        <w:pStyle w:val="Heading4"/>
        <w:numPr>
          <w:ilvl w:val="3"/>
          <w:numId w:val="1"/>
        </w:numPr>
        <w:rPr/>
      </w:pPr>
      <w:bookmarkStart w:id="101" w:name="__RefHeading___Toc716586_996550957"/>
      <w:bookmarkStart w:id="102" w:name="_Toc34"/>
      <w:bookmarkEnd w:id="101"/>
      <w:r>
        <w:rPr>
          <w:rtl w:val="true"/>
        </w:rPr>
        <w:t>اشارة</w:t>
      </w:r>
      <w:bookmarkEnd w:id="102"/>
    </w:p>
    <w:p>
      <w:pPr>
        <w:pStyle w:val="BookText"/>
        <w:rPr/>
      </w:pPr>
      <w:r>
        <w:rPr>
          <w:rStyle w:val="FootnoteAnchor"/>
          <w:rtl w:val="true"/>
        </w:rPr>
        <w:footnoteReference w:id="2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دلّ على معنى في نفسه غير مقترن بأحد الأزمنة الثلاثة وله خصائص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النّعت لأنّه </w:t>
      </w:r>
      <w:r>
        <w:rPr>
          <w:rStyle w:val="FootnoteAnchor"/>
          <w:rtl w:val="true"/>
        </w:rPr>
        <w:footnoteReference w:id="278"/>
      </w:r>
      <w:r>
        <w:rPr>
          <w:rFonts w:ascii="Amiri" w:hAnsi="Amiri" w:eastAsia="Amiri" w:cs="Amiri"/>
          <w:color w:val="111111"/>
          <w:sz w:val="28"/>
          <w:sz w:val="28"/>
          <w:szCs w:val="28"/>
          <w:rtl w:val="true"/>
          <w:lang w:bidi="ar-SA"/>
        </w:rPr>
        <w:t xml:space="preserve">حكم في المعنى على المنعوت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التصغير لأنّه في معنى النّعت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تنوين التمكين ، والتنكير ، لدلالة الأوّل على أنّ المنوّن به غير مشبّه بالفعل ، ولا يكون إلّا في الاسم ، 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الفعل وضعه للتنكير فلا يحتاج إلى تنوين تنكير فوجب اختصاصه بالاسم </w:t>
      </w:r>
      <w:r>
        <w:rPr>
          <w:rStyle w:val="FootnoteAnchor"/>
          <w:rtl w:val="true"/>
        </w:rPr>
        <w:footnoteReference w:id="279"/>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التثنية والجمع لأنّ الفعل لا يثنّى ولا يجمع على ما سنذكره إن شاء الله عند ذكر الفعل المضارع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الاسم يكون ، علما ، ومتواطئا ، ومشتركا ، ومشكّكا ومنقولا وحقيقة ، ومجازا ، أما العلم فسيذكر في بابه </w:t>
      </w:r>
      <w:r>
        <w:rPr>
          <w:rStyle w:val="FootnoteAnchor"/>
          <w:rtl w:val="true"/>
        </w:rPr>
        <w:footnoteReference w:id="280"/>
      </w:r>
      <w:r>
        <w:rPr>
          <w:rFonts w:ascii="Amiri" w:hAnsi="Amiri" w:eastAsia="Amiri" w:cs="Amiri"/>
          <w:color w:val="111111"/>
          <w:sz w:val="28"/>
          <w:sz w:val="28"/>
          <w:szCs w:val="28"/>
          <w:rtl w:val="true"/>
          <w:lang w:bidi="ar-SA"/>
        </w:rPr>
        <w:t xml:space="preserve">وأمّا المتواطىء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الذي يكون معناه واحدا كلّيا حاصلا في الأفراد الذّهنية والخارجيّة على السّويّة كالحيوان الواقع على الإنسان والفرس ، وكالإنسان الواقع على زيد وعمرو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المشترك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الذي يكون معناه أكثر من واحد ووضعه بإزاء تلك المعاني على السويّة كالعين بالقياس إلى الفوارة والباصرة </w:t>
      </w:r>
      <w:r>
        <w:rPr>
          <w:rStyle w:val="FootnoteAnchor"/>
          <w:rtl w:val="true"/>
        </w:rPr>
        <w:footnoteReference w:id="282"/>
      </w:r>
      <w:r>
        <w:rPr>
          <w:rFonts w:ascii="Amiri" w:hAnsi="Amiri" w:eastAsia="Amiri" w:cs="Amiri"/>
          <w:color w:val="111111"/>
          <w:sz w:val="28"/>
          <w:sz w:val="28"/>
          <w:szCs w:val="28"/>
          <w:rtl w:val="true"/>
          <w:lang w:bidi="ar-SA"/>
        </w:rPr>
        <w:t xml:space="preserve">وقد يطلق على الضّدين كالقرء للطهر والحيض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 xml:space="preserve">. </w:t>
      </w:r>
      <w:bookmarkStart w:id="103" w:name="pg14482_156085"/>
    </w:p>
    <w:p>
      <w:pPr>
        <w:pStyle w:val="BookText"/>
        <w:rPr/>
      </w:pPr>
      <w:bookmarkEnd w:id="103"/>
      <w:r>
        <w:rPr>
          <w:rFonts w:ascii="Amiri" w:hAnsi="Amiri" w:eastAsia="Amiri" w:cs="Amiri"/>
          <w:color w:val="111111"/>
          <w:sz w:val="28"/>
          <w:sz w:val="28"/>
          <w:szCs w:val="28"/>
          <w:rtl w:val="true"/>
          <w:lang w:bidi="ar-SA"/>
        </w:rPr>
        <w:t xml:space="preserve">وأمّا المشكّك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الذي معناه واحد ، لكنّ حصوله في بعض أفراده أولى وأقدم من البعض الآخر ، كالموجود بالقياس إلى الواجب لذاته ، والممكن لذاته ، فإنّ إطلاقه على الواجب لذاته أولى وأقدم وكالبياض بالقياس إلى الثلج والعاج ، فإنّ إطلاقه على الثّلج أولى ؛ لأنّ البياض فيه أقوى </w:t>
      </w:r>
      <w:r>
        <w:rPr>
          <w:rStyle w:val="FootnoteAnchor"/>
          <w:rtl w:val="true"/>
        </w:rPr>
        <w:footnoteReference w:id="284"/>
      </w:r>
      <w:r>
        <w:rPr>
          <w:rFonts w:ascii="Amiri" w:hAnsi="Amiri" w:eastAsia="Amiri" w:cs="Amiri"/>
          <w:color w:val="111111"/>
          <w:sz w:val="28"/>
          <w:sz w:val="28"/>
          <w:szCs w:val="28"/>
          <w:rtl w:val="true"/>
          <w:lang w:bidi="ar-SA"/>
        </w:rPr>
        <w:t>وسميّ مشكّكا لمشابهته المتواطىء من وجه وهو كونه موضوعا لمعنى واحد كليّ ، والمشترك من وجه وهو كون حصوله في أفراده على وجه الاختلاف فيشكّك الناظر في أنه متواطىء أو مشترك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أن يكون وضع لشيء ثمّ نقل إلى غيره بسبب اشتراك المعنيين أو مناسبة أخرى بحيث يترك استعماله فيما وضع له أولا كالدّابة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وضعت لكلّ ما يدبّ على الأرض ثمّ نقلها العرف العامّ إلى الفرس والحمار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وكالصّلاة فإنّها وضعت للدّعاء ثمّ نقلها الشّرع إلى هذه العبادة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الحقيقة والمجاز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 أنّ الاسم متى وضع لشيء ثمّ نقل لغيره بسبب اشتراك بين المعنيين أو مناسبة أخرى ولم يترك استعماله فيما وضع له أولا ، فإنّه بالنسبة إلى المنقول عنه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وبالنسبة إلى المنقول إليه مجاز ؛ كالأسد بالقياس إلى الحيوان المفترس ، والرجل الشجاع ، فإنه وضع للحيوان المفترس فهو حقيقة بالنسبة إليه ثمّ نقل إلى الرجل الشجاع لاشتراكهما في الشجاعة فهو مجاز بالنسبة إليه </w:t>
      </w:r>
      <w:r>
        <w:rPr>
          <w:rStyle w:val="FootnoteAnchor"/>
          <w:rtl w:val="true"/>
        </w:rPr>
        <w:footnoteReference w:id="286"/>
      </w:r>
      <w:r>
        <w:rPr>
          <w:rFonts w:ascii="Amiri" w:hAnsi="Amiri" w:eastAsia="Amiri" w:cs="Amiri"/>
          <w:color w:val="111111"/>
          <w:sz w:val="28"/>
          <w:sz w:val="28"/>
          <w:szCs w:val="28"/>
          <w:rtl w:val="true"/>
          <w:lang w:bidi="ar-SA"/>
        </w:rPr>
        <w:t xml:space="preserve">، وأمّا الأسماء المترادفة فهي المتفقة حدا المختلفة لفظا ، كالخمر والعقار والليث والأسد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4" w:name="__RefHeading___Toc716588_996550957"/>
      <w:bookmarkStart w:id="105" w:name="_Toc35"/>
      <w:bookmarkEnd w:id="104"/>
      <w:r>
        <w:rPr>
          <w:rtl w:val="true"/>
        </w:rPr>
        <w:t>ذكر تقسيم آخر للاسم</w:t>
      </w:r>
      <w:bookmarkEnd w:id="105"/>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ينقسم أيضا إلى معرب ومبنيّ ، وأصل الأسماء أن تكون معربة ولذلك </w:t>
      </w:r>
    </w:p>
    <w:p>
      <w:pPr>
        <w:pStyle w:val="BookText"/>
        <w:rPr/>
      </w:pPr>
      <w:r>
        <w:rPr>
          <w:rFonts w:ascii="Amiri" w:hAnsi="Amiri" w:eastAsia="Amiri" w:cs="Amiri"/>
          <w:color w:val="111111"/>
          <w:sz w:val="28"/>
          <w:sz w:val="28"/>
          <w:szCs w:val="28"/>
          <w:rtl w:val="true"/>
          <w:lang w:bidi="ar-SA"/>
        </w:rPr>
        <w:t xml:space="preserve">يقال في الاسم المبني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بني؟ ولا يقال في المعرب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أعرب </w:t>
      </w:r>
      <w:r>
        <w:rPr>
          <w:rStyle w:val="FootnoteAnchor"/>
          <w:rtl w:val="true"/>
        </w:rPr>
        <w:footnoteReference w:id="289"/>
      </w:r>
      <w:r>
        <w:rPr>
          <w:rFonts w:ascii="Amiri" w:hAnsi="Amiri" w:eastAsia="Amiri" w:cs="Amiri"/>
          <w:color w:val="111111"/>
          <w:sz w:val="28"/>
          <w:sz w:val="28"/>
          <w:szCs w:val="28"/>
          <w:rtl w:val="true"/>
          <w:lang w:bidi="ar-SA"/>
        </w:rPr>
        <w:t>ومن هنا نذكر الاسم المعرب حتى ينتهي ثم نذكر المبني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والمعرب هو الاسم المركّب الّذي لم يشبه مبنيّ الأصل لأنّه لا يستحق الاسم الإعراب إلّا بعد التركيب لتتبيّن المعاني الحاصلة فيه بالتركيب ، وهي الفاعلية ، والمفعولية والإضافة ، لأنّك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 زيد ، ورفعت علمت الفاعلية ، وإن نصبت علمت المفعولية ، وإن خفضت علمت </w:t>
      </w:r>
      <w:r>
        <w:rPr>
          <w:rStyle w:val="FootnoteAnchor"/>
          <w:rtl w:val="true"/>
        </w:rPr>
        <w:footnoteReference w:id="290"/>
      </w:r>
      <w:r>
        <w:rPr>
          <w:rFonts w:ascii="Amiri" w:hAnsi="Amiri" w:eastAsia="Amiri" w:cs="Amiri"/>
          <w:color w:val="111111"/>
          <w:sz w:val="28"/>
          <w:sz w:val="28"/>
          <w:szCs w:val="28"/>
          <w:rtl w:val="true"/>
          <w:lang w:bidi="ar-SA"/>
        </w:rPr>
        <w:t xml:space="preserve">الإضافة ، فتكون في الفاعل منفيا ، وفي المفعول مثبتا له الحسن ، وفي الخفض مع رفع أحسن مستخبرا عن الأحسن منه ، ولو ذكرت الكلمات من غير تركيب لم يكن إعراب </w:t>
      </w:r>
      <w:r>
        <w:rPr>
          <w:rStyle w:val="FootnoteAnchor"/>
          <w:rtl w:val="true"/>
        </w:rPr>
        <w:footnoteReference w:id="291"/>
      </w:r>
      <w:r>
        <w:rPr>
          <w:rFonts w:ascii="Amiri" w:hAnsi="Amiri" w:eastAsia="Amiri" w:cs="Amiri"/>
          <w:color w:val="111111"/>
          <w:sz w:val="28"/>
          <w:sz w:val="28"/>
          <w:szCs w:val="28"/>
          <w:rtl w:val="true"/>
          <w:lang w:bidi="ar-SA"/>
        </w:rPr>
        <w:t xml:space="preserve">،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 اثنان ، ونحو ذلك مما تعدّده تعديدا من غير إسناد </w:t>
      </w:r>
      <w:r>
        <w:rPr>
          <w:rStyle w:val="FootnoteAnchor"/>
          <w:rtl w:val="true"/>
        </w:rPr>
        <w:footnoteReference w:id="292"/>
      </w:r>
      <w:r>
        <w:rPr>
          <w:rFonts w:ascii="Amiri" w:hAnsi="Amiri" w:eastAsia="Amiri" w:cs="Amiri"/>
          <w:color w:val="111111"/>
          <w:sz w:val="28"/>
          <w:sz w:val="28"/>
          <w:szCs w:val="28"/>
          <w:rtl w:val="true"/>
          <w:lang w:bidi="ar-SA"/>
        </w:rPr>
        <w:t xml:space="preserve">، وأمّا إذا عطفت أسماء الأعداد بعضها على بعض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واثنان وثلاثة ، فإنّها تكون حينئذ مركّبة معربة واحترز بقوله لم يشبه مبنيّ الأصل </w:t>
      </w:r>
      <w:r>
        <w:rPr>
          <w:rStyle w:val="FootnoteAnchor"/>
          <w:rtl w:val="true"/>
        </w:rPr>
        <w:footnoteReference w:id="293"/>
      </w:r>
      <w:r>
        <w:rPr>
          <w:rFonts w:ascii="Amiri" w:hAnsi="Amiri" w:eastAsia="Amiri" w:cs="Amiri"/>
          <w:color w:val="111111"/>
          <w:sz w:val="28"/>
          <w:sz w:val="28"/>
          <w:szCs w:val="28"/>
          <w:rtl w:val="true"/>
          <w:lang w:bidi="ar-SA"/>
        </w:rPr>
        <w:t xml:space="preserve">عن المانع من الإعراب مع وجود سببه الذي هو التركيب فإنّ مشابهة مبني الأصل تمنع من الإعراب وإن وجد التركيب </w:t>
      </w:r>
      <w:r>
        <w:rPr>
          <w:rStyle w:val="FootnoteAnchor"/>
          <w:rtl w:val="true"/>
        </w:rPr>
        <w:footnoteReference w:id="294"/>
      </w:r>
      <w:r>
        <w:rPr>
          <w:rFonts w:ascii="Amiri" w:hAnsi="Amiri" w:eastAsia="Amiri" w:cs="Amiri"/>
          <w:color w:val="111111"/>
          <w:sz w:val="28"/>
          <w:sz w:val="28"/>
          <w:szCs w:val="28"/>
          <w:rtl w:val="true"/>
          <w:lang w:bidi="ar-SA"/>
        </w:rPr>
        <w:t xml:space="preserve">، والمراد بمبنيّ الأصل ، الحرف والفعل الماضي ، وفعل الأمر للمخاطب ، فإنّ الاسم إذا شابه أحدها بني ، فمشابهة الحرف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أبوك؟ ومشابهة الفعل الماضي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 ، أي تضجّرت ، ومشابهة فعل الأمر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أي أقبل ، والاسم المعرب المذكور يختلف آخره لفظا أو تقديرا لاختلاف العوامل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والإعراب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الحركات والحروف التي يختلف الآخر بها من الضمة والفتحة والكسرة ، والألف والواو والياء</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وأنواع الإعراب ثلاثة </w:t>
      </w:r>
      <w:r>
        <w:rPr>
          <w:rFonts w:eastAsia="Amiri" w:cs="Amiri" w:ascii="Amiri" w:hAnsi="Amiri"/>
          <w:color w:val="111111"/>
          <w:sz w:val="28"/>
          <w:szCs w:val="28"/>
          <w:rtl w:val="true"/>
          <w:lang w:bidi="ar-SA"/>
        </w:rPr>
        <w:t xml:space="preserve">: </w:t>
      </w:r>
      <w:r>
        <w:rPr>
          <w:rStyle w:val="FootnoteAnchor"/>
          <w:rtl w:val="true"/>
        </w:rPr>
        <w:footnoteReference w:id="296"/>
      </w:r>
      <w:r>
        <w:rPr>
          <w:rFonts w:ascii="Amiri" w:hAnsi="Amiri" w:eastAsia="Amiri" w:cs="Amiri"/>
          <w:color w:val="111111"/>
          <w:sz w:val="28"/>
          <w:sz w:val="28"/>
          <w:szCs w:val="28"/>
          <w:rtl w:val="true"/>
          <w:lang w:bidi="ar-SA"/>
        </w:rPr>
        <w:t xml:space="preserve">رفع ونصب وجرّ ، فالرّفع علم الفاعلية ، أي للفاعل </w:t>
      </w:r>
      <w:bookmarkStart w:id="106" w:name="pg14482_156087"/>
    </w:p>
    <w:p>
      <w:pPr>
        <w:pStyle w:val="BookText"/>
        <w:rPr/>
      </w:pPr>
      <w:bookmarkEnd w:id="106"/>
      <w:r>
        <w:rPr>
          <w:rFonts w:ascii="Amiri" w:hAnsi="Amiri" w:eastAsia="Amiri" w:cs="Amiri"/>
          <w:color w:val="111111"/>
          <w:sz w:val="28"/>
          <w:sz w:val="28"/>
          <w:szCs w:val="28"/>
          <w:rtl w:val="true"/>
          <w:lang w:bidi="ar-SA"/>
        </w:rPr>
        <w:t xml:space="preserve">وما أشبه الفاعل ، والنصب علم المفعوليّة أي للمفعول وما أشبه المفعول ، والجرّ لا يكون إلّا علم الإضافة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7" w:name="__RefHeading___Toc716590_996550957"/>
      <w:bookmarkStart w:id="108" w:name="_Toc36"/>
      <w:bookmarkEnd w:id="107"/>
      <w:r>
        <w:rPr>
          <w:rtl w:val="true"/>
        </w:rPr>
        <w:t>ذكر تقسيم آخر للمعرب</w:t>
      </w:r>
      <w:bookmarkEnd w:id="108"/>
    </w:p>
    <w:p>
      <w:pPr>
        <w:pStyle w:val="Heading5"/>
        <w:numPr>
          <w:ilvl w:val="4"/>
          <w:numId w:val="1"/>
        </w:numPr>
        <w:rPr/>
      </w:pPr>
      <w:bookmarkStart w:id="109" w:name="__RefHeading___Toc716592_996550957"/>
      <w:bookmarkStart w:id="110" w:name="_Toc37"/>
      <w:bookmarkEnd w:id="109"/>
      <w:r>
        <w:rPr>
          <w:rtl w:val="true"/>
        </w:rPr>
        <w:t>اشارة</w:t>
      </w:r>
      <w:bookmarkEnd w:id="110"/>
    </w:p>
    <w:p>
      <w:pPr>
        <w:pStyle w:val="BookText"/>
        <w:rPr/>
      </w:pPr>
      <w:r>
        <w:rPr>
          <w:rFonts w:ascii="Amiri" w:hAnsi="Amiri" w:eastAsia="Amiri" w:cs="Amiri"/>
          <w:color w:val="111111"/>
          <w:sz w:val="28"/>
          <w:sz w:val="28"/>
          <w:szCs w:val="28"/>
          <w:rtl w:val="true"/>
          <w:lang w:bidi="ar-SA"/>
        </w:rPr>
        <w:t xml:space="preserve">والمعرب ستة أقسام ، ثلاثة بالحركات وثلاثة بالحروف ، أمّا الثلاثة الّتي بالحركات فالأوّل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المفرد ، والجمع المكسّر المنصرفان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المؤنّث السالم ، 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الاسم الذي هو غير منصرف ، وأمّا الثّلاثة التي هي بالحروف ، فالأوّل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الأسماء الستة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المثنّى ، 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المذكّر السالم</w:t>
      </w:r>
      <w:r>
        <w:rPr>
          <w:rFonts w:eastAsia="Amiri" w:cs="Amiri" w:ascii="Amiri" w:hAnsi="Amiri"/>
          <w:color w:val="111111"/>
          <w:sz w:val="28"/>
          <w:szCs w:val="28"/>
          <w:rtl w:val="true"/>
          <w:lang w:bidi="ar-SA"/>
        </w:rPr>
        <w:t>.</w:t>
      </w:r>
    </w:p>
    <w:p>
      <w:pPr>
        <w:pStyle w:val="Heading5"/>
        <w:numPr>
          <w:ilvl w:val="4"/>
          <w:numId w:val="1"/>
        </w:numPr>
        <w:rPr/>
      </w:pPr>
      <w:bookmarkStart w:id="111" w:name="__RefHeading___Toc716594_996550957"/>
      <w:bookmarkStart w:id="112" w:name="_Toc38"/>
      <w:bookmarkEnd w:id="111"/>
      <w:r>
        <w:rPr/>
        <w:t>1</w:t>
      </w:r>
      <w:r>
        <w:rPr>
          <w:rtl w:val="true"/>
        </w:rPr>
        <w:t xml:space="preserve">- </w:t>
      </w:r>
      <w:r>
        <w:rPr>
          <w:rtl w:val="true"/>
        </w:rPr>
        <w:t>ذكر إعراب الاسم المفرد ، والجمع المكسّر المنصرفين</w:t>
      </w:r>
      <w:bookmarkEnd w:id="112"/>
    </w:p>
    <w:p>
      <w:pPr>
        <w:pStyle w:val="BookText"/>
        <w:rPr/>
      </w:pPr>
      <w:r>
        <w:rPr>
          <w:rStyle w:val="FootnoteAnchor"/>
          <w:rtl w:val="true"/>
        </w:rPr>
        <w:footnoteReference w:id="2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اسم مفرد منصرف وجمع مكسّر منصرف ، فرفعه بالضمّة ونصبه بالفتحة وخفضه بالكسرة ، وإنّما أعرب هذا القسم بالحركات الثلاث لأنّه الأصل في الإعراب ولم يمنع مانع منه</w:t>
      </w:r>
      <w:r>
        <w:rPr>
          <w:rFonts w:eastAsia="Amiri" w:cs="Amiri" w:ascii="Amiri" w:hAnsi="Amiri"/>
          <w:color w:val="111111"/>
          <w:sz w:val="28"/>
          <w:szCs w:val="28"/>
          <w:rtl w:val="true"/>
          <w:lang w:bidi="ar-SA"/>
        </w:rPr>
        <w:t>.</w:t>
      </w:r>
    </w:p>
    <w:p>
      <w:pPr>
        <w:pStyle w:val="Heading5"/>
        <w:numPr>
          <w:ilvl w:val="4"/>
          <w:numId w:val="1"/>
        </w:numPr>
        <w:rPr/>
      </w:pPr>
      <w:bookmarkStart w:id="113" w:name="__RefHeading___Toc716596_996550957"/>
      <w:bookmarkStart w:id="114" w:name="_Toc39"/>
      <w:bookmarkEnd w:id="113"/>
      <w:r>
        <w:rPr/>
        <w:t>2</w:t>
      </w:r>
      <w:r>
        <w:rPr>
          <w:rtl w:val="true"/>
        </w:rPr>
        <w:t xml:space="preserve">- </w:t>
      </w:r>
      <w:r>
        <w:rPr>
          <w:rtl w:val="true"/>
        </w:rPr>
        <w:t>ذكر إعراب جمع المؤنّث الصحيح</w:t>
      </w:r>
      <w:bookmarkEnd w:id="114"/>
    </w:p>
    <w:p>
      <w:pPr>
        <w:pStyle w:val="BookText"/>
        <w:rPr/>
      </w:pPr>
      <w:r>
        <w:rPr>
          <w:rStyle w:val="FootnoteAnchor"/>
          <w:rtl w:val="true"/>
        </w:rPr>
        <w:footnoteReference w:id="2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جمع مؤنّث سالم فرفعه بالضمّة ، ونصبه وخفضه بالكسرة ، وإنّما أعرب بالكسر في النّصب والجر معا لأنّ جمع المذكّر السّالم حمل فيه النّصب على الجرّ ، فلم يجعل للمؤنّث على المذكّر مزيّة ، فحمل فيه النّصب على الجرّ</w:t>
      </w:r>
      <w:r>
        <w:rPr>
          <w:rFonts w:eastAsia="Amiri" w:cs="Amiri" w:ascii="Amiri" w:hAnsi="Amiri"/>
          <w:color w:val="111111"/>
          <w:sz w:val="28"/>
          <w:szCs w:val="28"/>
          <w:rtl w:val="true"/>
          <w:lang w:bidi="ar-SA"/>
        </w:rPr>
        <w:t>.</w:t>
      </w:r>
    </w:p>
    <w:p>
      <w:pPr>
        <w:pStyle w:val="Heading5"/>
        <w:numPr>
          <w:ilvl w:val="4"/>
          <w:numId w:val="1"/>
        </w:numPr>
        <w:rPr/>
      </w:pPr>
      <w:bookmarkStart w:id="115" w:name="__RefHeading___Toc716598_996550957"/>
      <w:bookmarkStart w:id="116" w:name="_Toc40"/>
      <w:bookmarkEnd w:id="115"/>
      <w:r>
        <w:rPr/>
        <w:t>3</w:t>
      </w:r>
      <w:r>
        <w:rPr>
          <w:rtl w:val="true"/>
        </w:rPr>
        <w:t xml:space="preserve">- </w:t>
      </w:r>
      <w:r>
        <w:rPr>
          <w:rtl w:val="true"/>
        </w:rPr>
        <w:t>ذكر إعراب الاسم الغير</w:t>
      </w:r>
      <w:bookmarkEnd w:id="116"/>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00"/>
      </w:r>
      <w:r>
        <w:rPr>
          <w:rFonts w:ascii="IRNazanin" w:hAnsi="IRNazanin" w:eastAsia="IRNazanin"/>
          <w:color w:val="111111"/>
          <w:sz w:val="28"/>
          <w:sz w:val="28"/>
          <w:szCs w:val="28"/>
          <w:rtl w:val="true"/>
          <w:lang w:bidi="fa-IR"/>
        </w:rPr>
        <w:t xml:space="preserve">المنصرف </w:t>
      </w:r>
      <w:r>
        <w:rPr>
          <w:rStyle w:val="FootnoteAnchor"/>
          <w:rtl w:val="true"/>
        </w:rPr>
        <w:footnoteReference w:id="301"/>
      </w:r>
      <w:r>
        <w:rPr>
          <w:rFonts w:ascii="Amiri" w:hAnsi="Amiri" w:eastAsia="Amiri" w:cs="Amiri"/>
          <w:color w:val="111111"/>
          <w:sz w:val="28"/>
          <w:sz w:val="28"/>
          <w:szCs w:val="28"/>
          <w:rtl w:val="true"/>
          <w:lang w:bidi="ar-SA"/>
        </w:rPr>
        <w:t xml:space="preserve"> كلّ اسم غير منصرف مفردا كان أو مجموعا جمع تكسير ، فرفعه بالضّمة ونصبه </w:t>
      </w:r>
      <w:bookmarkStart w:id="117" w:name="pg14482_156088"/>
    </w:p>
    <w:p>
      <w:pPr>
        <w:pStyle w:val="BookText"/>
        <w:rPr/>
      </w:pPr>
      <w:bookmarkEnd w:id="117"/>
      <w:r>
        <w:rPr>
          <w:rFonts w:ascii="Amiri" w:hAnsi="Amiri" w:eastAsia="Amiri" w:cs="Amiri"/>
          <w:color w:val="111111"/>
          <w:sz w:val="28"/>
          <w:sz w:val="28"/>
          <w:szCs w:val="28"/>
          <w:rtl w:val="true"/>
          <w:lang w:bidi="ar-SA"/>
        </w:rPr>
        <w:t>وخفضه بالفتحة ، وإنّما نقص الكسرة لأنّه أشبه الفعل بالعلّتين الفرعيتين على ما سنذكره ، فقطع عمّا ليس في الفعل وأعرب بالفتح في موضع الجرّ</w:t>
      </w:r>
      <w:r>
        <w:rPr>
          <w:rFonts w:eastAsia="Amiri" w:cs="Amiri" w:ascii="Amiri" w:hAnsi="Amiri"/>
          <w:color w:val="111111"/>
          <w:sz w:val="28"/>
          <w:szCs w:val="28"/>
          <w:rtl w:val="true"/>
          <w:lang w:bidi="ar-SA"/>
        </w:rPr>
        <w:t>.</w:t>
      </w:r>
    </w:p>
    <w:p>
      <w:pPr>
        <w:pStyle w:val="Heading5"/>
        <w:numPr>
          <w:ilvl w:val="4"/>
          <w:numId w:val="1"/>
        </w:numPr>
        <w:rPr/>
      </w:pPr>
      <w:bookmarkStart w:id="118" w:name="__RefHeading___Toc716600_996550957"/>
      <w:bookmarkStart w:id="119" w:name="_Toc41"/>
      <w:bookmarkEnd w:id="118"/>
      <w:r>
        <w:rPr/>
        <w:t>4</w:t>
      </w:r>
      <w:r>
        <w:rPr>
          <w:rtl w:val="true"/>
        </w:rPr>
        <w:t xml:space="preserve">- </w:t>
      </w:r>
      <w:r>
        <w:rPr>
          <w:rtl w:val="true"/>
        </w:rPr>
        <w:t>ذكر إعراب الأسماء الستة</w:t>
      </w:r>
      <w:bookmarkEnd w:id="119"/>
    </w:p>
    <w:p>
      <w:pPr>
        <w:pStyle w:val="BookText"/>
        <w:rPr/>
      </w:pPr>
      <w:r>
        <w:rPr>
          <w:rStyle w:val="FootnoteAnchor"/>
          <w:rtl w:val="true"/>
        </w:rPr>
        <w:footnoteReference w:id="3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أخوك وأبوك وحموك وذو مال ، وفوك وهنوك ، إذا أضيفت إلى غير ياء المتكلّم فرفعها بالواو ونصبها بالألف وخفضها بالياء </w:t>
      </w:r>
      <w:r>
        <w:rPr>
          <w:rStyle w:val="FootnoteAnchor"/>
          <w:rtl w:val="true"/>
        </w:rPr>
        <w:footnoteReference w:id="303"/>
      </w:r>
      <w:r>
        <w:rPr>
          <w:rFonts w:ascii="Amiri" w:hAnsi="Amiri" w:eastAsia="Amiri" w:cs="Amiri"/>
          <w:color w:val="111111"/>
          <w:sz w:val="28"/>
          <w:sz w:val="28"/>
          <w:szCs w:val="28"/>
          <w:rtl w:val="true"/>
          <w:lang w:bidi="ar-SA"/>
        </w:rPr>
        <w:t xml:space="preserve">، بشرط أن لا تكون مصغّرة ، ولا مكسّرة </w:t>
      </w:r>
      <w:r>
        <w:rPr>
          <w:rStyle w:val="FootnoteAnchor"/>
          <w:rtl w:val="true"/>
        </w:rPr>
        <w:footnoteReference w:id="304"/>
      </w:r>
      <w:r>
        <w:rPr>
          <w:rFonts w:ascii="Amiri" w:hAnsi="Amiri" w:eastAsia="Amiri" w:cs="Amiri"/>
          <w:color w:val="111111"/>
          <w:sz w:val="28"/>
          <w:sz w:val="28"/>
          <w:szCs w:val="28"/>
          <w:rtl w:val="true"/>
          <w:lang w:bidi="ar-SA"/>
        </w:rPr>
        <w:t xml:space="preserve">وإنّما أعربت هذه الأسماء بالحروف لأنّها لمّا كانت أمورا إضافية نسبية يتوقّف فهم معناها على غيرها ، أشبهت التثنية والجمع في الكثرة فكانت فرعا على الواحد ، فجعل إعرابها فرعا على إعراب الواحد </w:t>
      </w:r>
      <w:r>
        <w:rPr>
          <w:rStyle w:val="FootnoteAnchor"/>
          <w:rtl w:val="true"/>
        </w:rPr>
        <w:footnoteReference w:id="305"/>
      </w:r>
      <w:r>
        <w:rPr>
          <w:rFonts w:ascii="Amiri" w:hAnsi="Amiri" w:eastAsia="Amiri" w:cs="Amiri"/>
          <w:color w:val="111111"/>
          <w:sz w:val="28"/>
          <w:sz w:val="28"/>
          <w:szCs w:val="28"/>
          <w:rtl w:val="true"/>
          <w:lang w:bidi="ar-SA"/>
        </w:rPr>
        <w:t xml:space="preserve">والأصل في إعراب الواحد أن يكون بالحركات ، والإعراب بالحروف فرع عليه ، فجعل إعراب هذه الأسماء بالحروف مع أنّ أواخرها حروف تقبل أن تتغيّر بتغيّر العامل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0" w:name="__RefHeading___Toc716602_996550957"/>
      <w:bookmarkStart w:id="121" w:name="_Toc42"/>
      <w:bookmarkEnd w:id="120"/>
      <w:r>
        <w:rPr/>
        <w:t>5</w:t>
      </w:r>
      <w:r>
        <w:rPr>
          <w:rtl w:val="true"/>
        </w:rPr>
        <w:t xml:space="preserve">- </w:t>
      </w:r>
      <w:r>
        <w:rPr>
          <w:rtl w:val="true"/>
        </w:rPr>
        <w:t>ذكر إعراب المثنّى</w:t>
      </w:r>
      <w:bookmarkEnd w:id="121"/>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المثنّى رفعه بالألف ونصبه وخفضه بالياء ، وكذلك إعراب اثنين وكلا ، إذا أضيف إلى مضمر ، وإنّما خصّصناهما بالذكر لأنّ المثنّى ، اسم زيد عليه ألف ونون أو ياء ونون ، ليدلّ على أنّ معه مثله من جنسه ، وليس اثنان كذلك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موضوعا لشيء ، بل اثنان اسم موضوع لمفردين فأعرب كالمثنّى لموافقته إيّاه في المعنى </w:t>
      </w:r>
      <w:r>
        <w:rPr>
          <w:rStyle w:val="FootnoteAnchor"/>
          <w:rtl w:val="true"/>
        </w:rPr>
        <w:footnoteReference w:id="308"/>
      </w:r>
      <w:r>
        <w:rPr>
          <w:rFonts w:ascii="Amiri" w:hAnsi="Amiri" w:eastAsia="Amiri" w:cs="Amiri"/>
          <w:color w:val="111111"/>
          <w:sz w:val="28"/>
          <w:sz w:val="28"/>
          <w:szCs w:val="28"/>
          <w:rtl w:val="true"/>
          <w:lang w:bidi="ar-SA"/>
        </w:rPr>
        <w:t xml:space="preserve">ولا يعرب كلا إعراب المثنّى إلّا إذا أضيف إلى مضمر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كلاهما ، ورأيت كليهما ، ومررت بكليهما ومن العرب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كلاهما في الأحوال </w:t>
      </w:r>
      <w:bookmarkStart w:id="122" w:name="pg14482_156089"/>
    </w:p>
    <w:p>
      <w:pPr>
        <w:pStyle w:val="BookText"/>
        <w:rPr/>
      </w:pPr>
      <w:bookmarkEnd w:id="122"/>
      <w:r>
        <w:rPr>
          <w:rFonts w:ascii="Amiri" w:hAnsi="Amiri" w:eastAsia="Amiri" w:cs="Amiri"/>
          <w:color w:val="111111"/>
          <w:sz w:val="28"/>
          <w:sz w:val="28"/>
          <w:szCs w:val="28"/>
          <w:rtl w:val="true"/>
          <w:lang w:bidi="ar-SA"/>
        </w:rPr>
        <w:t xml:space="preserve">الثلاثة </w:t>
      </w:r>
      <w:r>
        <w:rPr>
          <w:rStyle w:val="FootnoteAnchor"/>
          <w:rtl w:val="true"/>
        </w:rPr>
        <w:footnoteReference w:id="309"/>
      </w:r>
      <w:r>
        <w:rPr>
          <w:rFonts w:ascii="Amiri" w:hAnsi="Amiri" w:eastAsia="Amiri" w:cs="Amiri"/>
          <w:color w:val="111111"/>
          <w:sz w:val="28"/>
          <w:sz w:val="28"/>
          <w:szCs w:val="28"/>
          <w:rtl w:val="true"/>
          <w:lang w:bidi="ar-SA"/>
        </w:rPr>
        <w:t xml:space="preserve">، وأمّا إذا لم يضف إلى مضمر فهو كعصا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كلا الرّجلين ورأيت كلا الرجلين ، ومررت بكلا الرّجلين</w:t>
      </w:r>
      <w:r>
        <w:rPr>
          <w:rFonts w:eastAsia="Amiri" w:cs="Amiri" w:ascii="Amiri" w:hAnsi="Amiri"/>
          <w:color w:val="111111"/>
          <w:sz w:val="28"/>
          <w:szCs w:val="28"/>
          <w:rtl w:val="true"/>
          <w:lang w:bidi="ar-SA"/>
        </w:rPr>
        <w:t>.</w:t>
      </w:r>
    </w:p>
    <w:p>
      <w:pPr>
        <w:pStyle w:val="Heading5"/>
        <w:numPr>
          <w:ilvl w:val="4"/>
          <w:numId w:val="1"/>
        </w:numPr>
        <w:rPr/>
      </w:pPr>
      <w:bookmarkStart w:id="123" w:name="__RefHeading___Toc716604_996550957"/>
      <w:bookmarkStart w:id="124" w:name="_Toc43"/>
      <w:bookmarkEnd w:id="123"/>
      <w:r>
        <w:rPr/>
        <w:t>6</w:t>
      </w:r>
      <w:r>
        <w:rPr>
          <w:rtl w:val="true"/>
        </w:rPr>
        <w:t xml:space="preserve">- </w:t>
      </w:r>
      <w:r>
        <w:rPr>
          <w:rtl w:val="true"/>
        </w:rPr>
        <w:t>ذكر إعراب الجمع السّالم</w:t>
      </w:r>
      <w:bookmarkEnd w:id="124"/>
    </w:p>
    <w:p>
      <w:pPr>
        <w:pStyle w:val="BookText"/>
        <w:rPr/>
      </w:pPr>
      <w:r>
        <w:rPr>
          <w:rStyle w:val="FootnoteAnchor"/>
          <w:rtl w:val="true"/>
        </w:rPr>
        <w:footnoteReference w:id="3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جمع مذكّر سالم فرفعه بالواو ونصبه وخفضه بالياء وكذلك إعراب عشرين وأخواته ، وأولو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 العلم ، وإنما أعرب المثنّى والجمع بالحروف ، إمّا لما قيل في الأسماء الستّة ، أو لأنّهما أكثر من الواحد </w:t>
      </w:r>
      <w:r>
        <w:rPr>
          <w:rStyle w:val="FootnoteAnchor"/>
          <w:rtl w:val="true"/>
        </w:rPr>
        <w:footnoteReference w:id="311"/>
      </w:r>
      <w:r>
        <w:rPr>
          <w:rFonts w:ascii="Amiri" w:hAnsi="Amiri" w:eastAsia="Amiri" w:cs="Amiri"/>
          <w:color w:val="111111"/>
          <w:sz w:val="28"/>
          <w:sz w:val="28"/>
          <w:szCs w:val="28"/>
          <w:rtl w:val="true"/>
          <w:lang w:bidi="ar-SA"/>
        </w:rPr>
        <w:t xml:space="preserve">فجعل إعرابهما بشيء أكثر من إعراب الواحد ، والحرف أكثر من الحركة فجعل إعرابهما بالحرف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5" w:name="__RefHeading___Toc716606_996550957"/>
      <w:bookmarkStart w:id="126" w:name="_Toc44"/>
      <w:bookmarkEnd w:id="125"/>
      <w:r>
        <w:rPr>
          <w:rtl w:val="true"/>
        </w:rPr>
        <w:t>ذكر الإعراب التقديري</w:t>
      </w:r>
      <w:bookmarkEnd w:id="126"/>
    </w:p>
    <w:p>
      <w:pPr>
        <w:pStyle w:val="BookText"/>
        <w:rPr/>
      </w:pPr>
      <w:r>
        <w:rPr>
          <w:rStyle w:val="FootnoteAnchor"/>
          <w:rtl w:val="true"/>
        </w:rPr>
        <w:footnoteReference w:id="3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الإعراب التقديريّ في كلّ ما آخره ألف ، وفي كلّ ما أضيف إلى ياء المتكلّم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 ، وغلامي ، في الرفع والنّصب والجرّ ، وفي كلّ اسم منقوص في حال رفعه وجره خاصة</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والمنقوص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في آخره ياء خفيفة قبلها كسرة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 واحترز بالخفيفة </w:t>
      </w:r>
      <w:r>
        <w:rPr>
          <w:rStyle w:val="FootnoteAnchor"/>
          <w:rtl w:val="true"/>
        </w:rPr>
        <w:footnoteReference w:id="314"/>
      </w:r>
      <w:r>
        <w:rPr>
          <w:rFonts w:ascii="Amiri" w:hAnsi="Amiri" w:eastAsia="Amiri" w:cs="Amiri"/>
          <w:color w:val="111111"/>
          <w:sz w:val="28"/>
          <w:sz w:val="28"/>
          <w:szCs w:val="28"/>
          <w:rtl w:val="true"/>
          <w:lang w:bidi="ar-SA"/>
        </w:rPr>
        <w:t xml:space="preserve">، عن الياء الثقيلة في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كرسيّ ، وبقوله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قبلها كسرة ، من الياء التي قبلها ساكن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ظبي ، فإنّ هذين القسمين من المعرب بالحركات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أعرب المنقوص في الرفع والجرّ تقديرا لاستثقال الضمة والكسرة على الياء </w:t>
      </w:r>
      <w:r>
        <w:rPr>
          <w:rStyle w:val="FootnoteAnchor"/>
          <w:rtl w:val="true"/>
        </w:rPr>
        <w:footnoteReference w:id="315"/>
      </w:r>
      <w:r>
        <w:rPr>
          <w:rFonts w:ascii="Amiri" w:hAnsi="Amiri" w:eastAsia="Amiri" w:cs="Amiri"/>
          <w:color w:val="111111"/>
          <w:sz w:val="28"/>
          <w:sz w:val="28"/>
          <w:szCs w:val="28"/>
          <w:rtl w:val="true"/>
          <w:lang w:bidi="ar-SA"/>
        </w:rPr>
        <w:t xml:space="preserve">فإن كان المنقوص منوّنا حذفت الياء لالتقاء الساكنين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 ، وإلّا ثبتت </w:t>
      </w:r>
      <w:r>
        <w:rPr>
          <w:rStyle w:val="FootnoteAnchor"/>
          <w:rtl w:val="true"/>
        </w:rPr>
        <w:footnoteReference w:id="316"/>
      </w:r>
      <w:r>
        <w:rPr>
          <w:rFonts w:ascii="Amiri" w:hAnsi="Amiri" w:eastAsia="Amiri" w:cs="Amiri"/>
          <w:color w:val="111111"/>
          <w:sz w:val="28"/>
          <w:sz w:val="28"/>
          <w:szCs w:val="28"/>
          <w:rtl w:val="true"/>
          <w:lang w:bidi="ar-SA"/>
        </w:rPr>
        <w:t xml:space="preserve">ساكنة </w:t>
      </w:r>
      <w:bookmarkStart w:id="127" w:name="pg14482_156090"/>
    </w:p>
    <w:p>
      <w:pPr>
        <w:pStyle w:val="BookText"/>
        <w:rPr/>
      </w:pPr>
      <w:bookmarkEnd w:id="127"/>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 ويعرب في النصب لفظا بالفتحة لخفّتها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قاض ، ومررت بقاض ، ورأيت قاضيا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مسلميّ ، وهو كلّ جمع لمذكر سالم أضيف إلى ياء المتكلّم فإنه يعرب في الرفع تقديرا بالواو ، فإنّك حذفت نون مسلمون للإضافة بقي مسلموي ، اجتمعت الواو والياء وسبقت إحداهما بالسكون فقلبت الواو ياء ، وأدغمت الياء في الياء ، وكسر ما قبل الياء ، حيث كان مضموما ، بقي مسلميّ ، ومصطفيّ ، كذلك إلّا أنّ ما قبل الياء بقي مفتوحا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8" w:name="__RefHeading___Toc716608_996550957"/>
      <w:bookmarkStart w:id="129" w:name="_Toc45"/>
      <w:bookmarkEnd w:id="128"/>
      <w:r>
        <w:rPr>
          <w:rtl w:val="true"/>
        </w:rPr>
        <w:t>ذكر ما لا ينصرف</w:t>
      </w:r>
      <w:bookmarkEnd w:id="129"/>
    </w:p>
    <w:p>
      <w:pPr>
        <w:pStyle w:val="Heading5"/>
        <w:numPr>
          <w:ilvl w:val="4"/>
          <w:numId w:val="1"/>
        </w:numPr>
        <w:rPr/>
      </w:pPr>
      <w:bookmarkStart w:id="130" w:name="__RefHeading___Toc716610_996550957"/>
      <w:bookmarkStart w:id="131" w:name="_Toc46"/>
      <w:bookmarkEnd w:id="130"/>
      <w:r>
        <w:rPr>
          <w:rtl w:val="true"/>
        </w:rPr>
        <w:t>اشارة</w:t>
      </w:r>
      <w:bookmarkEnd w:id="131"/>
    </w:p>
    <w:p>
      <w:pPr>
        <w:pStyle w:val="BookText"/>
        <w:rPr/>
      </w:pPr>
      <w:r>
        <w:rPr>
          <w:rStyle w:val="FootnoteAnchor"/>
          <w:rtl w:val="true"/>
        </w:rPr>
        <w:footnoteReference w:id="3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المنصرف ما فيه علتان من تسع أو واحدة منها تقوم مقامها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والتأنيث والجمع والمعرفة والعجمة ووزن </w:t>
      </w:r>
      <w:r>
        <w:rPr>
          <w:rStyle w:val="FootnoteAnchor"/>
          <w:rtl w:val="true"/>
        </w:rPr>
        <w:footnoteReference w:id="319"/>
      </w:r>
      <w:r>
        <w:rPr>
          <w:rFonts w:ascii="Amiri" w:hAnsi="Amiri" w:eastAsia="Amiri" w:cs="Amiri"/>
          <w:color w:val="111111"/>
          <w:sz w:val="28"/>
          <w:sz w:val="28"/>
          <w:szCs w:val="28"/>
          <w:rtl w:val="true"/>
          <w:lang w:bidi="ar-SA"/>
        </w:rPr>
        <w:t xml:space="preserve">الفعل والصفة والألف والنون الزائدتان ، والتركيب ، والذي يقوم منها مقام علّتين </w:t>
      </w:r>
      <w:r>
        <w:rPr>
          <w:rStyle w:val="FootnoteAnchor"/>
          <w:rtl w:val="true"/>
        </w:rPr>
        <w:footnoteReference w:id="3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وألفا التأنيث ، وإنّما يكون الجمع كذلك إذا كان على صيغة منتهى الجموع على ما سيأتي ، وأمّا ألفا التأنيث فلأنّهما لمّا كانتا </w:t>
      </w:r>
      <w:r>
        <w:rPr>
          <w:rStyle w:val="FootnoteAnchor"/>
          <w:rtl w:val="true"/>
        </w:rPr>
        <w:footnoteReference w:id="321"/>
      </w:r>
      <w:r>
        <w:rPr>
          <w:rFonts w:ascii="Amiri" w:hAnsi="Amiri" w:eastAsia="Amiri" w:cs="Amiri"/>
          <w:color w:val="111111"/>
          <w:sz w:val="28"/>
          <w:sz w:val="28"/>
          <w:szCs w:val="28"/>
          <w:rtl w:val="true"/>
          <w:lang w:bidi="ar-SA"/>
        </w:rPr>
        <w:t xml:space="preserve">لا تنفكان عن الاسم نزّل لزومهما منزلة تأنيث ثان ، وإنّما كانت هذه الأسباب فروعا لأنّ أصل الاسم أن يكون مفردا مذكرا نكرة عربيّ الوضع غير وصف ولا مزيد فيه ولا معدول ولا خارج عن أوزان الآحاد ولا مواطىء للفعل في وزنه ، فنقائض هذه التسعة فروع ، ولنذكر </w:t>
      </w:r>
      <w:r>
        <w:rPr>
          <w:rStyle w:val="FootnoteAnchor"/>
          <w:rtl w:val="true"/>
        </w:rPr>
        <w:footnoteReference w:id="322"/>
      </w:r>
      <w:r>
        <w:rPr>
          <w:rFonts w:ascii="Amiri" w:hAnsi="Amiri" w:eastAsia="Amiri" w:cs="Amiri"/>
          <w:color w:val="111111"/>
          <w:sz w:val="28"/>
          <w:sz w:val="28"/>
          <w:szCs w:val="28"/>
          <w:rtl w:val="true"/>
          <w:lang w:bidi="ar-SA"/>
        </w:rPr>
        <w:t>لفرعيتها زيادة شرح</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كون التعريف فرعا فلأنّ التنكير سابق عليه ، فالنكرة كالعام ، والمعرفة كالخاص ، والعامّ سابق على الخاص لأنّ الخاصّ يتميّز عن العام بأمر زائد ، والزيادة فرع </w:t>
      </w:r>
      <w:r>
        <w:rPr>
          <w:rStyle w:val="FootnoteAnchor"/>
          <w:rtl w:val="true"/>
        </w:rPr>
        <w:footnoteReference w:id="323"/>
      </w:r>
      <w:r>
        <w:rPr>
          <w:rFonts w:ascii="Amiri" w:hAnsi="Amiri" w:eastAsia="Amiri" w:cs="Amiri"/>
          <w:color w:val="111111"/>
          <w:sz w:val="28"/>
          <w:sz w:val="28"/>
          <w:szCs w:val="28"/>
          <w:rtl w:val="true"/>
          <w:lang w:bidi="ar-SA"/>
        </w:rPr>
        <w:t xml:space="preserve">وأمّا التأنيث ، ففرع على التذكير إذ كلّ معيّن يصدق عليه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ومعلوم </w:t>
      </w:r>
    </w:p>
    <w:p>
      <w:pPr>
        <w:pStyle w:val="BookText"/>
        <w:rPr/>
      </w:pPr>
      <w:r>
        <w:rPr>
          <w:rFonts w:ascii="Amiri" w:hAnsi="Amiri" w:eastAsia="Amiri" w:cs="Amiri"/>
          <w:color w:val="111111"/>
          <w:sz w:val="28"/>
          <w:sz w:val="28"/>
          <w:szCs w:val="28"/>
          <w:rtl w:val="true"/>
          <w:lang w:bidi="ar-SA"/>
        </w:rPr>
        <w:t xml:space="preserve">ومذكور ، وهذه أسماء مذكرة فإذا عرف أنّ مسمّياتها مؤنثة وضع لها أسماء أو علامات دالّة على تأنيثها </w:t>
      </w:r>
      <w:r>
        <w:rPr>
          <w:rStyle w:val="FootnoteAnchor"/>
          <w:rtl w:val="true"/>
        </w:rPr>
        <w:footnoteReference w:id="324"/>
      </w:r>
      <w:r>
        <w:rPr>
          <w:rFonts w:ascii="Amiri" w:hAnsi="Amiri" w:eastAsia="Amiri" w:cs="Amiri"/>
          <w:color w:val="111111"/>
          <w:sz w:val="28"/>
          <w:sz w:val="28"/>
          <w:szCs w:val="28"/>
          <w:rtl w:val="true"/>
          <w:lang w:bidi="ar-SA"/>
        </w:rPr>
        <w:t xml:space="preserve">، وأمّا العدل ففرع على المعدول عنه لتوقّفه عليه ، وأمّا العجمة ففرع على العربي إذ هي دخيلة في كلامهم ، وأمّا التركيب ففرع على الإفراد لتوقّفه على المفردين ، وأمّا وزن الفعل ففرع على وزن الاسم في الاسم ، وأما الألف والنون المزيدتان ففرع على المزيد عليه ، لأنّ الزائد يتوقّف على تحقق المزيد عليه ، وأمّا الوصف ففرع على الموصوف لأنّه تابع للموصوف ، وأمّا الجمع ففرع على الواحد لتوقّفه على الإفراد </w:t>
      </w:r>
      <w:r>
        <w:rPr>
          <w:rStyle w:val="FootnoteAnchor"/>
          <w:rtl w:val="true"/>
        </w:rPr>
        <w:footnoteReference w:id="3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تبيّن أنّ هذه العلل فروع فإذا اجتمع منها في الاسم سببان مؤثّران صار جانب الاسميّة مغلوبا بجانب الفرعية ، لأنّ الاثنين يغلبان الواحد كما قيل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فضعيفان يغلبان قويّا </w:t>
      </w:r>
      <w:r>
        <w:rPr>
          <w:rStyle w:val="FootnoteAnchor"/>
          <w:rtl w:val="true"/>
        </w:rPr>
        <w:footnoteReference w:id="326"/>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فيشبه الاسم بهما الفعل الذي هو فرع على الاسم من جهتين ، وأمّا كون الفعل فرعا على الاسم من جهتين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مشتق من المصدر </w:t>
      </w:r>
      <w:r>
        <w:rPr>
          <w:rStyle w:val="FootnoteAnchor"/>
          <w:rtl w:val="true"/>
        </w:rPr>
        <w:footnoteReference w:id="327"/>
      </w:r>
      <w:r>
        <w:rPr>
          <w:rFonts w:ascii="Amiri" w:hAnsi="Amiri" w:eastAsia="Amiri" w:cs="Amiri"/>
          <w:color w:val="111111"/>
          <w:sz w:val="28"/>
          <w:sz w:val="28"/>
          <w:szCs w:val="28"/>
          <w:rtl w:val="true"/>
          <w:lang w:bidi="ar-SA"/>
        </w:rPr>
        <w:t xml:space="preserve">والمشتقّ فرع على المشتقّ منه ، ولأنّ الاسم مستغن عن الفعل ، والفعل غير مستغن عنه </w:t>
      </w:r>
      <w:r>
        <w:rPr>
          <w:rStyle w:val="FootnoteAnchor"/>
          <w:rtl w:val="true"/>
        </w:rPr>
        <w:footnoteReference w:id="328"/>
      </w:r>
      <w:r>
        <w:rPr>
          <w:rFonts w:ascii="Amiri" w:hAnsi="Amiri" w:eastAsia="Amiri" w:cs="Amiri"/>
          <w:color w:val="111111"/>
          <w:sz w:val="28"/>
          <w:sz w:val="28"/>
          <w:szCs w:val="28"/>
          <w:rtl w:val="true"/>
          <w:lang w:bidi="ar-SA"/>
        </w:rPr>
        <w:t xml:space="preserve">فلما أشبه الاسم بهما الفعل قطع عمّا قطع عنه الفعل وهو تنوين الصّرف ، والجرّ تابع ذهابه لذهاب التنوين عند الأكثر </w:t>
      </w:r>
      <w:r>
        <w:rPr>
          <w:rStyle w:val="FootnoteAnchor"/>
          <w:rtl w:val="true"/>
        </w:rPr>
        <w:footnoteReference w:id="329"/>
      </w:r>
      <w:r>
        <w:rPr>
          <w:rFonts w:ascii="Amiri" w:hAnsi="Amiri" w:eastAsia="Amiri" w:cs="Amiri"/>
          <w:color w:val="111111"/>
          <w:sz w:val="28"/>
          <w:sz w:val="28"/>
          <w:szCs w:val="28"/>
          <w:rtl w:val="true"/>
          <w:lang w:bidi="ar-SA"/>
        </w:rPr>
        <w:t>ويكون في موضع الجرّ مفتوحا إذا كان الكسر في الاسم مخصوصا بالجر لو كان منصرفا ، فمن ثمّ لو سمّيت امرأة قائمات كان غير منصرف وهو على ما كان عليه قبل العلّتين ، لأنّ الكسر ليس مخصوصا فيه بالجر لأنه لا يقبل الفتح ، وكذلك لو سمّي مؤنّث بضاربان أو ضاربون</w:t>
      </w:r>
      <w:r>
        <w:rPr>
          <w:rFonts w:eastAsia="Amiri" w:cs="Amiri" w:ascii="Amiri" w:hAnsi="Amiri"/>
          <w:color w:val="111111"/>
          <w:sz w:val="28"/>
          <w:szCs w:val="28"/>
          <w:rtl w:val="true"/>
          <w:lang w:bidi="ar-SA"/>
        </w:rPr>
        <w:t xml:space="preserve">. </w:t>
      </w:r>
      <w:bookmarkStart w:id="132" w:name="pg14482_156092"/>
    </w:p>
    <w:p>
      <w:pPr>
        <w:pStyle w:val="BookText"/>
        <w:rPr/>
      </w:pPr>
      <w:bookmarkEnd w:id="132"/>
      <w:r>
        <w:rPr>
          <w:rFonts w:ascii="Amiri" w:hAnsi="Amiri" w:eastAsia="Amiri" w:cs="Amiri"/>
          <w:color w:val="111111"/>
          <w:sz w:val="28"/>
          <w:sz w:val="28"/>
          <w:szCs w:val="28"/>
          <w:rtl w:val="true"/>
          <w:lang w:bidi="ar-SA"/>
        </w:rPr>
        <w:t xml:space="preserve">ويجوز صرف ما لا ينصرف لضرورة الشعر وللتناسب </w:t>
      </w:r>
      <w:r>
        <w:rPr>
          <w:rStyle w:val="FootnoteAnchor"/>
          <w:rtl w:val="true"/>
        </w:rPr>
        <w:footnoteReference w:id="330"/>
      </w:r>
      <w:r>
        <w:rPr>
          <w:rFonts w:ascii="Amiri" w:hAnsi="Amiri" w:eastAsia="Amiri" w:cs="Amiri"/>
          <w:color w:val="111111"/>
          <w:sz w:val="28"/>
          <w:sz w:val="28"/>
          <w:szCs w:val="28"/>
          <w:rtl w:val="true"/>
          <w:lang w:bidi="ar-SA"/>
        </w:rPr>
        <w:t xml:space="preserve">، والتناسب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رؤوس الآي 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قَوارِيرَا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فإنه إذا صرفه نوّنه فوقف عليه بالألف ، فيتناسب مع بقية رؤوس الآي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تناسب لكلمات منصرفة انضمّت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قَوارِيرَا</w:t>
      </w:r>
      <w:r>
        <w:rPr>
          <w:rFonts w:eastAsia="Amiri" w:cs="Amiri" w:ascii="Amiri" w:hAnsi="Amiri"/>
          <w:color w:val="111111"/>
          <w:sz w:val="28"/>
          <w:szCs w:val="28"/>
          <w:rtl w:val="true"/>
          <w:lang w:bidi="ar-SA"/>
        </w:rPr>
        <w:t>)</w:t>
      </w:r>
      <w:r>
        <w:rPr>
          <w:rStyle w:val="FootnoteAnchor"/>
          <w:rtl w:val="true"/>
        </w:rPr>
        <w:footnoteReference w:id="331"/>
      </w:r>
      <w:r>
        <w:rPr>
          <w:rFonts w:ascii="Amiri" w:hAnsi="Amiri" w:eastAsia="Amiri" w:cs="Amiri"/>
          <w:color w:val="111111"/>
          <w:sz w:val="28"/>
          <w:sz w:val="28"/>
          <w:szCs w:val="28"/>
          <w:rtl w:val="true"/>
          <w:lang w:bidi="ar-SA"/>
        </w:rPr>
        <w:t xml:space="preserve">الثاني ، 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لانضمامها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أَغْلالاً وَسَعِيراً</w:t>
      </w:r>
      <w:r>
        <w:rPr>
          <w:rFonts w:eastAsia="Amiri" w:cs="Amiri" w:ascii="Amiri" w:hAnsi="Amiri"/>
          <w:color w:val="111111"/>
          <w:sz w:val="28"/>
          <w:szCs w:val="28"/>
          <w:rtl w:val="true"/>
          <w:lang w:bidi="ar-SA"/>
        </w:rPr>
        <w:t>)</w:t>
      </w:r>
      <w:r>
        <w:rPr>
          <w:rStyle w:val="FootnoteAnchor"/>
          <w:rtl w:val="true"/>
        </w:rPr>
        <w:footnoteReference w:id="332"/>
      </w:r>
      <w:r>
        <w:rPr>
          <w:rFonts w:ascii="Amiri" w:hAnsi="Amiri" w:eastAsia="Amiri" w:cs="Amiri"/>
          <w:color w:val="111111"/>
          <w:sz w:val="28"/>
          <w:sz w:val="28"/>
          <w:szCs w:val="28"/>
          <w:rtl w:val="true"/>
          <w:lang w:bidi="ar-SA"/>
        </w:rPr>
        <w:t xml:space="preserve">وكثر صرف هذا الجمع للتناسب حتّى ظنّ قوم </w:t>
      </w:r>
      <w:r>
        <w:rPr>
          <w:rStyle w:val="FootnoteAnchor"/>
          <w:rtl w:val="true"/>
        </w:rPr>
        <w:footnoteReference w:id="333"/>
      </w:r>
      <w:r>
        <w:rPr>
          <w:rFonts w:ascii="Amiri" w:hAnsi="Amiri" w:eastAsia="Amiri" w:cs="Amiri"/>
          <w:color w:val="111111"/>
          <w:sz w:val="28"/>
          <w:sz w:val="28"/>
          <w:szCs w:val="28"/>
          <w:rtl w:val="true"/>
          <w:lang w:bidi="ar-SA"/>
        </w:rPr>
        <w:t xml:space="preserve">أنّ صرفه جائز في سعة الكلام ، وليس بسديد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3" w:name="__RefHeading___Toc716612_996550957"/>
      <w:bookmarkStart w:id="134" w:name="_Toc47"/>
      <w:bookmarkEnd w:id="133"/>
      <w:r>
        <w:rPr/>
        <w:t>1</w:t>
      </w:r>
      <w:r>
        <w:rPr>
          <w:rtl w:val="true"/>
        </w:rPr>
        <w:t xml:space="preserve">- </w:t>
      </w:r>
      <w:r>
        <w:rPr>
          <w:rtl w:val="true"/>
        </w:rPr>
        <w:t>ذكر العدل</w:t>
      </w:r>
      <w:bookmarkEnd w:id="134"/>
    </w:p>
    <w:p>
      <w:pPr>
        <w:pStyle w:val="BookText"/>
        <w:rPr/>
      </w:pPr>
      <w:r>
        <w:rPr>
          <w:rStyle w:val="FootnoteAnchor"/>
          <w:rtl w:val="true"/>
        </w:rPr>
        <w:footnoteReference w:id="3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ضربان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حقيقيّ وتقديريّ</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ثبتت معرفته كأحاد وموحد ، وثلاث ومثلث ، وهو خروج </w:t>
      </w:r>
      <w:bookmarkStart w:id="135" w:name="pg14482_156093"/>
    </w:p>
    <w:p>
      <w:pPr>
        <w:pStyle w:val="BookText"/>
        <w:rPr/>
      </w:pPr>
      <w:bookmarkEnd w:id="135"/>
      <w:r>
        <w:rPr>
          <w:rFonts w:ascii="Amiri" w:hAnsi="Amiri" w:eastAsia="Amiri" w:cs="Amiri"/>
          <w:color w:val="111111"/>
          <w:sz w:val="28"/>
          <w:sz w:val="28"/>
          <w:szCs w:val="28"/>
          <w:rtl w:val="true"/>
          <w:lang w:bidi="ar-SA"/>
        </w:rPr>
        <w:t>عن اللّفظ والمعنى الأصليين ، لأنّ معنى أحاد وموحد وثلاث ومثلث ، جاء القوم واحدا واحدا ، وثلاثة ثلاثة ، فعدل بثلاث عن لفظ ثلاثة وعن معناه الأصلي في العدد ، إلى معنى انقسام الجملة إلى هذه الصفة من الثلاثية ونحوها ، والمتّفق عليه استعمال هاتين الصيغتين ، إلى رباع ومربع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بعد ذلك إلى تساع ومتسع ففيه خلاف </w:t>
      </w:r>
      <w:r>
        <w:rPr>
          <w:rStyle w:val="FootnoteAnchor"/>
          <w:rtl w:val="true"/>
        </w:rPr>
        <w:footnoteReference w:id="336"/>
      </w:r>
      <w:r>
        <w:rPr>
          <w:rFonts w:ascii="Amiri" w:hAnsi="Amiri" w:eastAsia="Amiri" w:cs="Amiri"/>
          <w:color w:val="111111"/>
          <w:sz w:val="28"/>
          <w:sz w:val="28"/>
          <w:szCs w:val="28"/>
          <w:rtl w:val="true"/>
          <w:lang w:bidi="ar-SA"/>
        </w:rPr>
        <w:t xml:space="preserve">، ومن العدل الحقيقي أخر جمع أخرى وأخرى تأنيث آخر ، وهو من باب أفعل التفضيل ، وقياسه إذا قطع عن من والإضافة أن يستعمل باللّام فهو معدول عن الآخر وعن معناه الأصلي في التأخّر الوجودي حتى صار المذكور ثانيا </w:t>
      </w:r>
      <w:r>
        <w:rPr>
          <w:rStyle w:val="FootnoteAnchor"/>
          <w:rtl w:val="true"/>
        </w:rPr>
        <w:footnoteReference w:id="337"/>
      </w:r>
      <w:r>
        <w:rPr>
          <w:rFonts w:ascii="Amiri" w:hAnsi="Amiri" w:eastAsia="Amiri" w:cs="Amiri"/>
          <w:color w:val="111111"/>
          <w:sz w:val="28"/>
          <w:sz w:val="28"/>
          <w:szCs w:val="28"/>
          <w:rtl w:val="true"/>
          <w:lang w:bidi="ar-SA"/>
        </w:rPr>
        <w:t xml:space="preserve">متقدّما كان في الوجود أو متأخرا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العدل التقديري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ما تتوقّف معرفته على منع صرفه فيقدّر العدل لئلا تنخرم قاعدة معلومة ، وهو منع الصّرف من غير علّتين ، وذلك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فإنّه ليس فيه علّة ظاهرة غير العلميّة ، فوجب تقدير العدل على استبعاده لئلا تنخرم القاعدة ، فقدّر كأنهم عدلوه في اللفظ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 وفي المعنى عن اسم الجنس إلى العلميّة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6" w:name="__RefHeading___Toc716614_996550957"/>
      <w:bookmarkStart w:id="137" w:name="_Toc48"/>
      <w:bookmarkEnd w:id="136"/>
      <w:r>
        <w:rPr/>
        <w:t>2</w:t>
      </w:r>
      <w:r>
        <w:rPr>
          <w:rtl w:val="true"/>
        </w:rPr>
        <w:t xml:space="preserve">- </w:t>
      </w:r>
      <w:r>
        <w:rPr>
          <w:rtl w:val="true"/>
        </w:rPr>
        <w:t>ذكر التأنيث</w:t>
      </w:r>
      <w:bookmarkEnd w:id="137"/>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لفظيّ ومعنويّ ، أمّا اللفظيّ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ما فيه ألف التأنيث أو تاء التأنيث ، أمّا الذي فيه ألف التأنيث فنحو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سكرى وحمراء وحبلى وصحراء ، وامتنع من الصّرف للتأنيث ، ولزوم التأنيث والمراد بلزوم التأنيث ، أن ألفي التأنيث المقصورة والممدودة لا تفارقان الكلمة في جميع تصاريفها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حبلى وحبالى ، وصحراء وصحارى ، وفي جمع السّلامة أيضا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حبليات وصحراوات ، وفي النّسب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حبلويّ </w:t>
      </w:r>
    </w:p>
    <w:p>
      <w:pPr>
        <w:pStyle w:val="BookText"/>
        <w:rPr/>
      </w:pPr>
      <w:r>
        <w:rPr>
          <w:rFonts w:ascii="Amiri" w:hAnsi="Amiri" w:eastAsia="Amiri" w:cs="Amiri"/>
          <w:color w:val="111111"/>
          <w:sz w:val="28"/>
          <w:sz w:val="28"/>
          <w:szCs w:val="28"/>
          <w:rtl w:val="true"/>
          <w:lang w:bidi="ar-SA"/>
        </w:rPr>
        <w:t xml:space="preserve">وصحراويّ ، فصار مطلق التأنيث سببا </w:t>
      </w:r>
      <w:r>
        <w:rPr>
          <w:rStyle w:val="FootnoteAnchor"/>
          <w:rtl w:val="true"/>
        </w:rPr>
        <w:footnoteReference w:id="341"/>
      </w:r>
      <w:r>
        <w:rPr>
          <w:rFonts w:ascii="Amiri" w:hAnsi="Amiri" w:eastAsia="Amiri" w:cs="Amiri"/>
          <w:color w:val="111111"/>
          <w:sz w:val="28"/>
          <w:sz w:val="28"/>
          <w:szCs w:val="28"/>
          <w:rtl w:val="true"/>
          <w:lang w:bidi="ar-SA"/>
        </w:rPr>
        <w:t xml:space="preserve">لثقله ، وصار لزومه بمنزلة سبب آخر ، لثقل اللزوم أيضا فصار كأن فيه تأنيثين ، وأمّا الذي فيه تاء التأنيث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فشرطه العلمية لأنّ التأنيث بالعلمية يصير لازما ، وتصير تاء التأنيث منه كالجزء</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التأنيث المعنويّ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فحكمه حكم التأنيث بالتاء في كون تأثيره في منع الصّرف مشروطا بالعلميّة </w:t>
      </w:r>
      <w:r>
        <w:rPr>
          <w:rStyle w:val="FootnoteAnchor"/>
          <w:rtl w:val="true"/>
        </w:rPr>
        <w:footnoteReference w:id="342"/>
      </w:r>
      <w:r>
        <w:rPr>
          <w:rFonts w:ascii="Amiri" w:hAnsi="Amiri" w:eastAsia="Amiri" w:cs="Amiri"/>
          <w:color w:val="111111"/>
          <w:sz w:val="28"/>
          <w:sz w:val="28"/>
          <w:szCs w:val="28"/>
          <w:rtl w:val="true"/>
          <w:lang w:bidi="ar-SA"/>
        </w:rPr>
        <w:t xml:space="preserve">ولذلك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بامرأة صبور وحائض ، فيصرفونه لفوات العلمية ، ومعنى التأنيث المعنوي ، أنّ الاسم لم يوضع إلّا للمؤنّث في الأصل وشرط تحتّم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تأثير المعنوي في منع الصرف ، الزيادة على ثلاثة أحرف كزينب ، أو تحرك الوسط كسقر ، أو العجمة كماه </w:t>
      </w:r>
      <w:r>
        <w:rPr>
          <w:rStyle w:val="FootnoteAnchor"/>
          <w:rtl w:val="true"/>
        </w:rPr>
        <w:footnoteReference w:id="343"/>
      </w:r>
      <w:r>
        <w:rPr>
          <w:rFonts w:ascii="IRNazanin" w:hAnsi="IRNazanin" w:eastAsia="IRNazanin"/>
          <w:color w:val="111111"/>
          <w:sz w:val="28"/>
          <w:sz w:val="28"/>
          <w:szCs w:val="28"/>
          <w:rtl w:val="true"/>
          <w:lang w:bidi="fa-IR"/>
        </w:rPr>
        <w:t xml:space="preserve">وجور </w:t>
      </w:r>
      <w:r>
        <w:rPr>
          <w:rStyle w:val="FootnoteAnchor"/>
          <w:rtl w:val="true"/>
        </w:rPr>
        <w:footnoteReference w:id="344"/>
      </w:r>
      <w:r>
        <w:rPr>
          <w:rFonts w:ascii="Amiri" w:hAnsi="Amiri" w:eastAsia="Amiri" w:cs="Amiri"/>
          <w:color w:val="111111"/>
          <w:sz w:val="28"/>
          <w:sz w:val="28"/>
          <w:szCs w:val="28"/>
          <w:rtl w:val="true"/>
          <w:lang w:bidi="ar-SA"/>
        </w:rPr>
        <w:t xml:space="preserve">، وإنّما كان تحتّم تأثيره مشروطا بهذه الأمور ، لأنّه أخفّ من المؤنث بالتاء ، فيجري الحرف الرابع مجرى التاء ، وسقر كذلك لتنزّل الحركة في وسطه منزلة الحرف الرابع </w:t>
      </w:r>
      <w:r>
        <w:rPr>
          <w:rStyle w:val="FootnoteAnchor"/>
          <w:rtl w:val="true"/>
        </w:rPr>
        <w:footnoteReference w:id="345"/>
      </w:r>
      <w:r>
        <w:rPr>
          <w:rFonts w:ascii="Amiri" w:hAnsi="Amiri" w:eastAsia="Amiri" w:cs="Amiri"/>
          <w:color w:val="111111"/>
          <w:sz w:val="28"/>
          <w:sz w:val="28"/>
          <w:szCs w:val="28"/>
          <w:rtl w:val="true"/>
          <w:lang w:bidi="ar-SA"/>
        </w:rPr>
        <w:t xml:space="preserve">فإن كان المؤنّث المعنويّ ثلاثيا ساكن الحشو كهند ودعد ، لم يجب منع صرفه ، وجاز فيه الصّرف ومنع الصّرف </w:t>
      </w:r>
      <w:r>
        <w:rPr>
          <w:rStyle w:val="FootnoteAnchor"/>
          <w:rtl w:val="true"/>
        </w:rPr>
        <w:footnoteReference w:id="346"/>
      </w:r>
      <w:r>
        <w:rPr>
          <w:rFonts w:ascii="Amiri" w:hAnsi="Amiri" w:eastAsia="Amiri" w:cs="Amiri"/>
          <w:color w:val="111111"/>
          <w:sz w:val="28"/>
          <w:sz w:val="28"/>
          <w:szCs w:val="28"/>
          <w:rtl w:val="true"/>
          <w:lang w:bidi="ar-SA"/>
        </w:rPr>
        <w:t xml:space="preserve">لمقاومة خفة السكون ثقل أحد السببين فإن انضمّ إلى ساكن الوسط المذكور العجمة ، وجب منع صرفه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 وجور وحمص </w:t>
      </w:r>
      <w:r>
        <w:rPr>
          <w:rStyle w:val="FootnoteAnchor"/>
          <w:rtl w:val="true"/>
        </w:rPr>
        <w:footnoteReference w:id="347"/>
      </w:r>
      <w:r>
        <w:rPr>
          <w:rFonts w:ascii="IRNazanin" w:hAnsi="IRNazanin" w:eastAsia="IRNazanin"/>
          <w:color w:val="111111"/>
          <w:sz w:val="28"/>
          <w:sz w:val="28"/>
          <w:szCs w:val="28"/>
          <w:rtl w:val="true"/>
          <w:lang w:bidi="fa-IR"/>
        </w:rPr>
        <w:t xml:space="preserve">وبلخ </w:t>
      </w:r>
      <w:r>
        <w:rPr>
          <w:rStyle w:val="FootnoteAnchor"/>
          <w:rtl w:val="true"/>
        </w:rPr>
        <w:footnoteReference w:id="348"/>
      </w:r>
      <w:r>
        <w:rPr>
          <w:rFonts w:ascii="Amiri" w:hAnsi="Amiri" w:eastAsia="Amiri" w:cs="Amiri"/>
          <w:color w:val="111111"/>
          <w:sz w:val="28"/>
          <w:sz w:val="28"/>
          <w:szCs w:val="28"/>
          <w:rtl w:val="true"/>
          <w:lang w:bidi="ar-SA"/>
        </w:rPr>
        <w:t xml:space="preserve">لمقاومة التأنيث أو العجمة السكون ، فيبقى سببان لا معارض لواحد منهما فيمتنع للعلميّة والتأنيث المقوّى بالعجمة </w:t>
      </w:r>
      <w:r>
        <w:rPr>
          <w:rStyle w:val="FootnoteAnchor"/>
          <w:rtl w:val="true"/>
        </w:rPr>
        <w:footnoteReference w:id="349"/>
      </w:r>
      <w:r>
        <w:rPr>
          <w:rFonts w:ascii="Amiri" w:hAnsi="Amiri" w:eastAsia="Amiri" w:cs="Amiri"/>
          <w:color w:val="111111"/>
          <w:sz w:val="28"/>
          <w:sz w:val="28"/>
          <w:szCs w:val="28"/>
          <w:rtl w:val="true"/>
          <w:lang w:bidi="ar-SA"/>
        </w:rPr>
        <w:t xml:space="preserve">والمؤنّث المعنويّ إذا سمّيت به مذكرا فإن لم يكن على أكثر من ثلاثة أحرف صرفته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سقر ، وإن كان على أكثر من ثلاثة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عقرب امتنع من الصّرف لأنّ الحرف الزائد على ثلاثة ينزّل منزلة تاء التأنيث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 xml:space="preserve">. </w:t>
      </w:r>
      <w:bookmarkStart w:id="138" w:name="pg14482_156095"/>
    </w:p>
    <w:p>
      <w:pPr>
        <w:pStyle w:val="Heading5"/>
        <w:numPr>
          <w:ilvl w:val="4"/>
          <w:numId w:val="1"/>
        </w:numPr>
        <w:rPr/>
      </w:pPr>
      <w:bookmarkStart w:id="139" w:name="__RefHeading___Toc716616_996550957"/>
      <w:bookmarkStart w:id="140" w:name="_Toc49"/>
      <w:bookmarkEnd w:id="138"/>
      <w:bookmarkEnd w:id="139"/>
      <w:r>
        <w:rPr/>
        <w:t>3</w:t>
      </w:r>
      <w:r>
        <w:rPr>
          <w:rtl w:val="true"/>
        </w:rPr>
        <w:t xml:space="preserve">- </w:t>
      </w:r>
      <w:r>
        <w:rPr>
          <w:rtl w:val="true"/>
        </w:rPr>
        <w:t>ذكر الجمع</w:t>
      </w:r>
      <w:bookmarkEnd w:id="140"/>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الجمع أن يكون على صيغة منتهى الجموع بغير تاء التأنيث ، وهو كلّ جمع ثالثه ألف بعدها إمّا حرفان ؛ كمساجد أو ثلاثة أوسطها ساكن كمصابيح ، أو حرف مشدّد كدوابّ ، وأمّا إذا كان فيه الهاء كفرازنة فإنّه يخرج عن صيغة منتهى الجموع ويصير على زنة المفرد ، ككراهية وطواعية </w:t>
      </w:r>
      <w:r>
        <w:rPr>
          <w:rStyle w:val="FootnoteAnchor"/>
          <w:rtl w:val="true"/>
        </w:rPr>
        <w:footnoteReference w:id="352"/>
      </w:r>
      <w:r>
        <w:rPr>
          <w:rFonts w:ascii="Amiri" w:hAnsi="Amiri" w:eastAsia="Amiri" w:cs="Amiri"/>
          <w:color w:val="111111"/>
          <w:sz w:val="28"/>
          <w:sz w:val="28"/>
          <w:szCs w:val="28"/>
          <w:rtl w:val="true"/>
          <w:lang w:bidi="ar-SA"/>
        </w:rPr>
        <w:t xml:space="preserve">، فإذا جعل هذا الجمع علما كحضاجر علما للضّبع </w:t>
      </w:r>
      <w:r>
        <w:rPr>
          <w:rStyle w:val="FootnoteAnchor"/>
          <w:rtl w:val="true"/>
        </w:rPr>
        <w:footnoteReference w:id="353"/>
      </w:r>
      <w:r>
        <w:rPr>
          <w:rFonts w:ascii="Amiri" w:hAnsi="Amiri" w:eastAsia="Amiri" w:cs="Amiri"/>
          <w:color w:val="111111"/>
          <w:sz w:val="28"/>
          <w:sz w:val="28"/>
          <w:szCs w:val="28"/>
          <w:rtl w:val="true"/>
          <w:lang w:bidi="ar-SA"/>
        </w:rPr>
        <w:t xml:space="preserve">فالأكثر يمنعونه الصّرف اعتبارا لصيغة منتهى الجموع وبعضهم لا يعتبر ذلك فيصرفه </w:t>
      </w:r>
      <w:r>
        <w:rPr>
          <w:rStyle w:val="FootnoteAnchor"/>
          <w:rtl w:val="true"/>
        </w:rPr>
        <w:footnoteReference w:id="354"/>
      </w:r>
      <w:r>
        <w:rPr>
          <w:rFonts w:ascii="Amiri" w:hAnsi="Amiri" w:eastAsia="Amiri" w:cs="Amiri"/>
          <w:color w:val="111111"/>
          <w:sz w:val="28"/>
          <w:sz w:val="28"/>
          <w:szCs w:val="28"/>
          <w:rtl w:val="true"/>
          <w:lang w:bidi="ar-SA"/>
        </w:rPr>
        <w:t xml:space="preserve">وأمّا سراويل وهو اسم جنس ، إذا لم يصرف وهو الأكثر ، فإنّه لا يسوغ أن يقال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منقول عن الجمع كما يقال في حضاجر علما للضّبع لأنّ النّقل كثر في الأعلام بخلاف أسماء الأجناس ، ولكن يقدّر جمعا لسروالة ثمّ نقل اسما لمفرده فبقي على ما كان عليه من منع الصرف كما قيل في حضاجر </w:t>
      </w:r>
      <w:r>
        <w:rPr>
          <w:rStyle w:val="FootnoteAnchor"/>
          <w:rtl w:val="true"/>
        </w:rPr>
        <w:footnoteReference w:id="355"/>
      </w:r>
      <w:r>
        <w:rPr>
          <w:rFonts w:ascii="Amiri" w:hAnsi="Amiri" w:eastAsia="Amiri" w:cs="Amiri"/>
          <w:color w:val="111111"/>
          <w:sz w:val="28"/>
          <w:sz w:val="28"/>
          <w:szCs w:val="28"/>
          <w:rtl w:val="true"/>
          <w:lang w:bidi="ar-SA"/>
        </w:rPr>
        <w:t xml:space="preserve">، وأمّا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جوار وغواش من الجمع الذي آخره ياء قبلها كسرة فإنّ سيبويه </w:t>
      </w:r>
      <w:r>
        <w:rPr>
          <w:rStyle w:val="FootnoteAnchor"/>
          <w:rtl w:val="true"/>
        </w:rPr>
        <w:footnoteReference w:id="356"/>
      </w:r>
      <w:r>
        <w:rPr>
          <w:rFonts w:ascii="Amiri" w:hAnsi="Amiri" w:eastAsia="Amiri" w:cs="Amiri"/>
          <w:color w:val="111111"/>
          <w:sz w:val="28"/>
          <w:sz w:val="28"/>
          <w:szCs w:val="28"/>
          <w:rtl w:val="true"/>
          <w:lang w:bidi="ar-SA"/>
        </w:rPr>
        <w:t xml:space="preserve">والخليل </w:t>
      </w:r>
      <w:r>
        <w:rPr>
          <w:rStyle w:val="FootnoteAnchor"/>
          <w:rtl w:val="true"/>
        </w:rPr>
        <w:footnoteReference w:id="357"/>
      </w:r>
      <w:r>
        <w:rPr>
          <w:rFonts w:ascii="IRNazanin" w:hAnsi="IRNazanin" w:eastAsia="IRNazanin"/>
          <w:color w:val="111111"/>
          <w:sz w:val="28"/>
          <w:sz w:val="28"/>
          <w:szCs w:val="28"/>
          <w:rtl w:val="true"/>
          <w:lang w:bidi="fa-IR"/>
        </w:rPr>
        <w:t xml:space="preserve">قالا </w:t>
      </w:r>
      <w:r>
        <w:rPr>
          <w:rFonts w:eastAsia="IRNazanin" w:cs="IRNazanin"/>
          <w:color w:val="111111"/>
          <w:sz w:val="28"/>
          <w:szCs w:val="28"/>
          <w:rtl w:val="true"/>
          <w:lang w:bidi="fa-IR"/>
        </w:rPr>
        <w:t xml:space="preserve">: </w:t>
      </w:r>
      <w:r>
        <w:rPr>
          <w:rStyle w:val="FootnoteAnchor"/>
          <w:rtl w:val="true"/>
        </w:rPr>
        <w:footnoteReference w:id="358"/>
      </w:r>
      <w:r>
        <w:rPr>
          <w:rFonts w:ascii="Amiri" w:hAnsi="Amiri" w:eastAsia="Amiri" w:cs="Amiri"/>
          <w:color w:val="111111"/>
          <w:sz w:val="28"/>
          <w:sz w:val="28"/>
          <w:szCs w:val="28"/>
          <w:rtl w:val="true"/>
          <w:lang w:bidi="ar-SA"/>
        </w:rPr>
        <w:t xml:space="preserve">إنّ هذا الجمع ثقّل فلزم فيه حذف الياء في حالتي الرفع والجرّ لأنّ ذلك موضع الإعلال </w:t>
      </w:r>
      <w:r>
        <w:rPr>
          <w:rStyle w:val="FootnoteAnchor"/>
          <w:rtl w:val="true"/>
        </w:rPr>
        <w:footnoteReference w:id="359"/>
      </w:r>
      <w:r>
        <w:rPr>
          <w:rFonts w:ascii="Amiri" w:hAnsi="Amiri" w:eastAsia="Amiri" w:cs="Amiri"/>
          <w:color w:val="111111"/>
          <w:sz w:val="28"/>
          <w:sz w:val="28"/>
          <w:szCs w:val="28"/>
          <w:rtl w:val="true"/>
          <w:lang w:bidi="ar-SA"/>
        </w:rPr>
        <w:t xml:space="preserve">وجرى في حال الفتح مجرى الصحيح لخفّة الفتح ، فلمّا حذفت الياء نقصت الكلمة عن المثال الممنوع من الصرف فجاء التنوين فكان بدلا من </w:t>
      </w:r>
    </w:p>
    <w:p>
      <w:pPr>
        <w:pStyle w:val="BookText"/>
        <w:rPr/>
      </w:pPr>
      <w:r>
        <w:rPr>
          <w:rFonts w:ascii="Amiri" w:hAnsi="Amiri" w:eastAsia="Amiri" w:cs="Amiri"/>
          <w:color w:val="111111"/>
          <w:sz w:val="28"/>
          <w:sz w:val="28"/>
          <w:szCs w:val="28"/>
          <w:rtl w:val="true"/>
          <w:lang w:bidi="ar-SA"/>
        </w:rPr>
        <w:t xml:space="preserve">الياء ، وقال المبرد </w:t>
      </w:r>
      <w:r>
        <w:rPr>
          <w:rFonts w:eastAsia="Amiri" w:cs="Amiri" w:ascii="Amiri" w:hAnsi="Amiri"/>
          <w:color w:val="111111"/>
          <w:sz w:val="28"/>
          <w:szCs w:val="28"/>
          <w:rtl w:val="true"/>
          <w:lang w:bidi="ar-SA"/>
        </w:rPr>
        <w:t xml:space="preserve">: </w:t>
      </w:r>
      <w:r>
        <w:rPr>
          <w:rStyle w:val="FootnoteAnchor"/>
          <w:rtl w:val="true"/>
        </w:rPr>
        <w:footnoteReference w:id="360"/>
      </w:r>
      <w:r>
        <w:rPr>
          <w:rFonts w:ascii="Amiri" w:hAnsi="Amiri" w:eastAsia="Amiri" w:cs="Amiri"/>
          <w:color w:val="111111"/>
          <w:sz w:val="28"/>
          <w:sz w:val="28"/>
          <w:szCs w:val="28"/>
          <w:rtl w:val="true"/>
          <w:lang w:bidi="ar-SA"/>
        </w:rPr>
        <w:t xml:space="preserve">إنّ التنوين جاء </w:t>
      </w:r>
      <w:r>
        <w:rPr>
          <w:rStyle w:val="FootnoteAnchor"/>
          <w:rtl w:val="true"/>
        </w:rPr>
        <w:footnoteReference w:id="361"/>
      </w:r>
      <w:r>
        <w:rPr>
          <w:rFonts w:ascii="Amiri" w:hAnsi="Amiri" w:eastAsia="Amiri" w:cs="Amiri"/>
          <w:color w:val="111111"/>
          <w:sz w:val="28"/>
          <w:sz w:val="28"/>
          <w:szCs w:val="28"/>
          <w:rtl w:val="true"/>
          <w:lang w:bidi="ar-SA"/>
        </w:rPr>
        <w:t xml:space="preserve">بدلا من الحركة التي كانت على الياء وعوضا منها ، وليس بعلم للصرف فلما جاء كذلك حذفت الياء لالتقاء الساكنين ، كما حذفت في قاض </w:t>
      </w:r>
      <w:r>
        <w:rPr>
          <w:rStyle w:val="FootnoteAnchor"/>
          <w:rtl w:val="true"/>
        </w:rPr>
        <w:footnoteReference w:id="362"/>
      </w:r>
      <w:r>
        <w:rPr>
          <w:rFonts w:ascii="Amiri" w:hAnsi="Amiri" w:eastAsia="Amiri" w:cs="Amiri"/>
          <w:color w:val="111111"/>
          <w:sz w:val="28"/>
          <w:sz w:val="28"/>
          <w:szCs w:val="28"/>
          <w:rtl w:val="true"/>
          <w:lang w:bidi="ar-SA"/>
        </w:rPr>
        <w:t xml:space="preserve">والتنوين على المذهبين للعوض لا للصّرف ، فلا يقال 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منصرف في حال الرفع والجر </w:t>
      </w:r>
      <w:r>
        <w:rPr>
          <w:rStyle w:val="FootnoteAnchor"/>
          <w:rtl w:val="true"/>
        </w:rPr>
        <w:footnoteReference w:id="363"/>
      </w:r>
      <w:r>
        <w:rPr>
          <w:rFonts w:ascii="Amiri" w:hAnsi="Amiri" w:eastAsia="Amiri" w:cs="Amiri"/>
          <w:color w:val="111111"/>
          <w:sz w:val="28"/>
          <w:sz w:val="28"/>
          <w:szCs w:val="28"/>
          <w:rtl w:val="true"/>
          <w:lang w:bidi="ar-SA"/>
        </w:rPr>
        <w:t xml:space="preserve">وقوله في المفصّل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في الرفع والجر كقاض </w:t>
      </w:r>
      <w:r>
        <w:rPr>
          <w:rStyle w:val="FootnoteAnchor"/>
          <w:rtl w:val="true"/>
        </w:rPr>
        <w:footnoteReference w:id="3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مذهب المبرّد ، وهو أنّ الياء استثقلت عليها حركة الرفع والجر فحذفت الحركة فبقى جواري ساكن الياء ثمّ دخل التنوين عوضا من الحركة فالتقى ساكنان الياء والتنوين فحذفت الياء وقال يونس </w:t>
      </w:r>
      <w:r>
        <w:rPr>
          <w:rStyle w:val="FootnoteAnchor"/>
          <w:rtl w:val="true"/>
        </w:rPr>
        <w:footnoteReference w:id="365"/>
      </w:r>
      <w:r>
        <w:rPr>
          <w:rFonts w:ascii="Amiri" w:hAnsi="Amiri" w:eastAsia="Amiri" w:cs="Amiri"/>
          <w:color w:val="111111"/>
          <w:sz w:val="28"/>
          <w:sz w:val="28"/>
          <w:szCs w:val="28"/>
          <w:rtl w:val="true"/>
          <w:lang w:bidi="ar-SA"/>
        </w:rPr>
        <w:t xml:space="preserve">، وأبو زيد </w:t>
      </w:r>
      <w:r>
        <w:rPr>
          <w:rStyle w:val="FootnoteAnchor"/>
          <w:rtl w:val="true"/>
        </w:rPr>
        <w:footnoteReference w:id="366"/>
      </w:r>
      <w:r>
        <w:rPr>
          <w:rFonts w:ascii="Amiri" w:hAnsi="Amiri" w:eastAsia="Amiri" w:cs="Amiri"/>
          <w:color w:val="111111"/>
          <w:sz w:val="28"/>
          <w:sz w:val="28"/>
          <w:szCs w:val="28"/>
          <w:rtl w:val="true"/>
          <w:lang w:bidi="ar-SA"/>
        </w:rPr>
        <w:t xml:space="preserve">والكسائيّ </w:t>
      </w:r>
      <w:r>
        <w:rPr>
          <w:rStyle w:val="FootnoteAnchor"/>
          <w:rtl w:val="true"/>
        </w:rPr>
        <w:footnoteReference w:id="367"/>
      </w:r>
      <w:r>
        <w:rPr>
          <w:rFonts w:ascii="Amiri" w:hAnsi="Amiri" w:eastAsia="Amiri" w:cs="Amiri"/>
          <w:color w:val="111111"/>
          <w:sz w:val="28"/>
          <w:sz w:val="28"/>
          <w:szCs w:val="28"/>
          <w:rtl w:val="true"/>
          <w:lang w:bidi="ar-SA"/>
        </w:rPr>
        <w:t xml:space="preserve">، بالفتح في جواري في حال الجر </w:t>
      </w:r>
      <w:r>
        <w:rPr>
          <w:rStyle w:val="FootnoteAnchor"/>
          <w:rtl w:val="true"/>
        </w:rPr>
        <w:footnoteReference w:id="368"/>
      </w:r>
      <w:r>
        <w:rPr>
          <w:rFonts w:ascii="Amiri" w:hAnsi="Amiri" w:eastAsia="Amiri" w:cs="Amiri"/>
          <w:color w:val="111111"/>
          <w:sz w:val="28"/>
          <w:sz w:val="28"/>
          <w:szCs w:val="28"/>
          <w:rtl w:val="true"/>
          <w:lang w:bidi="ar-SA"/>
        </w:rPr>
        <w:t xml:space="preserve">،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بجواري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جواري من أجل أنّ المجرور في باب ما لا ينصرف إنّما يكون مفتوحا قالوا وإلى هذا ذهب الفرزدق </w:t>
      </w:r>
      <w:r>
        <w:rPr>
          <w:rStyle w:val="FootnoteAnchor"/>
          <w:rtl w:val="true"/>
        </w:rPr>
        <w:footnoteReference w:id="369"/>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 xml:space="preserve">فلو كان عبد الله </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مولى هجوته</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عبد الله مولى مواليا </w:t>
      </w:r>
      <w:bookmarkStart w:id="141" w:name="pg14482_156097"/>
    </w:p>
    <w:p>
      <w:pPr>
        <w:pStyle w:val="BookText"/>
        <w:rPr/>
      </w:pPr>
      <w:bookmarkEnd w:id="141"/>
      <w:r>
        <w:rPr>
          <w:rFonts w:ascii="Amiri" w:hAnsi="Amiri" w:eastAsia="Amiri" w:cs="Amiri"/>
          <w:color w:val="111111"/>
          <w:sz w:val="28"/>
          <w:sz w:val="28"/>
          <w:szCs w:val="28"/>
          <w:rtl w:val="true"/>
          <w:lang w:bidi="ar-SA"/>
        </w:rPr>
        <w:t xml:space="preserve">وهذا البيت عند من تقدّم ذكره محمول على الضرورة ، وذلك أنّه اضطر إلى الحركة فأجراه مجرى الصحيح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بمساجد ، وذهب بعض النحاة </w:t>
      </w:r>
      <w:r>
        <w:rPr>
          <w:rStyle w:val="FootnoteAnchor"/>
          <w:rtl w:val="true"/>
        </w:rPr>
        <w:footnoteReference w:id="372"/>
      </w:r>
      <w:r>
        <w:rPr>
          <w:rFonts w:ascii="Amiri" w:hAnsi="Amiri" w:eastAsia="Amiri" w:cs="Amiri"/>
          <w:color w:val="111111"/>
          <w:sz w:val="28"/>
          <w:sz w:val="28"/>
          <w:szCs w:val="28"/>
          <w:rtl w:val="true"/>
          <w:lang w:bidi="ar-SA"/>
        </w:rPr>
        <w:t>إلى أنّ التنوين في جوار ونحوه للصّرف لأنّه للحذف الذي نابه في الحالين نقص عن بناء ما لا ينصرف وصار بمنزلة رباع</w:t>
      </w:r>
      <w:r>
        <w:rPr>
          <w:rFonts w:eastAsia="Amiri" w:cs="Amiri" w:ascii="Amiri" w:hAnsi="Amiri"/>
          <w:color w:val="111111"/>
          <w:sz w:val="28"/>
          <w:szCs w:val="28"/>
          <w:rtl w:val="true"/>
          <w:lang w:bidi="ar-SA"/>
        </w:rPr>
        <w:t>.</w:t>
      </w:r>
    </w:p>
    <w:p>
      <w:pPr>
        <w:pStyle w:val="Heading5"/>
        <w:numPr>
          <w:ilvl w:val="4"/>
          <w:numId w:val="1"/>
        </w:numPr>
        <w:rPr/>
      </w:pPr>
      <w:bookmarkStart w:id="142" w:name="__RefHeading___Toc716618_996550957"/>
      <w:bookmarkStart w:id="143" w:name="_Toc50"/>
      <w:bookmarkEnd w:id="142"/>
      <w:r>
        <w:rPr/>
        <w:t>4</w:t>
      </w:r>
      <w:r>
        <w:rPr>
          <w:rtl w:val="true"/>
        </w:rPr>
        <w:t xml:space="preserve">- </w:t>
      </w:r>
      <w:r>
        <w:rPr>
          <w:rtl w:val="true"/>
        </w:rPr>
        <w:t>ذكر المعرفة</w:t>
      </w:r>
      <w:bookmarkEnd w:id="143"/>
    </w:p>
    <w:p>
      <w:pPr>
        <w:pStyle w:val="BookText"/>
        <w:rPr/>
      </w:pPr>
      <w:r>
        <w:rPr>
          <w:rStyle w:val="FootnoteAnchor"/>
          <w:rtl w:val="true"/>
        </w:rPr>
        <w:footnoteReference w:id="3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المعرفة العلميّة للزومها الاسم بسبب </w:t>
      </w:r>
      <w:r>
        <w:rPr>
          <w:rStyle w:val="FootnoteAnchor"/>
          <w:rtl w:val="true"/>
        </w:rPr>
        <w:footnoteReference w:id="374"/>
      </w:r>
      <w:r>
        <w:rPr>
          <w:rFonts w:ascii="Amiri" w:hAnsi="Amiri" w:eastAsia="Amiri" w:cs="Amiri"/>
          <w:color w:val="111111"/>
          <w:sz w:val="28"/>
          <w:sz w:val="28"/>
          <w:szCs w:val="28"/>
          <w:rtl w:val="true"/>
          <w:lang w:bidi="ar-SA"/>
        </w:rPr>
        <w:t xml:space="preserve">الوضع ، ولأنّ المعارف خمس اثنان منها مبنيان ، وهما المضمرات والمبهمات واثنان منها باللام والإضافة وهما لا يلزمان الاسم ، وأيضا يجعلان الاسم منصرفا ، أو في حكم المنصرف </w:t>
      </w:r>
      <w:r>
        <w:rPr>
          <w:rStyle w:val="FootnoteAnchor"/>
          <w:rtl w:val="true"/>
        </w:rPr>
        <w:footnoteReference w:id="375"/>
      </w:r>
      <w:r>
        <w:rPr>
          <w:rFonts w:ascii="Amiri" w:hAnsi="Amiri" w:eastAsia="Amiri" w:cs="Amiri"/>
          <w:color w:val="111111"/>
          <w:sz w:val="28"/>
          <w:sz w:val="28"/>
          <w:szCs w:val="28"/>
          <w:rtl w:val="true"/>
          <w:lang w:bidi="ar-SA"/>
        </w:rPr>
        <w:t xml:space="preserve">فتعيّن التعريف العلميّ ، وقد اعتبر قوم التعريف باللام المقدّرة في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سحر بعينه فإنّه لا ينصرف للتعريف والعدل عن السحر ، فتعريفه ليس إلّا باللام التي عدل عنها كأخر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4" w:name="__RefHeading___Toc716620_996550957"/>
      <w:bookmarkStart w:id="145" w:name="_Toc51"/>
      <w:bookmarkEnd w:id="144"/>
      <w:r>
        <w:rPr/>
        <w:t>5</w:t>
      </w:r>
      <w:r>
        <w:rPr>
          <w:rtl w:val="true"/>
        </w:rPr>
        <w:t xml:space="preserve">- </w:t>
      </w:r>
      <w:r>
        <w:rPr>
          <w:rtl w:val="true"/>
        </w:rPr>
        <w:t>ذكر العجمة</w:t>
      </w:r>
      <w:bookmarkEnd w:id="145"/>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العجمة العلميّة في كلام العجم حتى لو جعل العجميّ غير العلم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ديباج ، علما في كلام العرب لم يعتدّ بعجمته وكان منصرفا ، لأنّ العجميّ الذي هو اسم جنس يتوغل في كلام العرب بقبول </w:t>
      </w:r>
      <w:r>
        <w:rPr>
          <w:rStyle w:val="FootnoteAnchor"/>
          <w:rtl w:val="true"/>
        </w:rPr>
        <w:footnoteReference w:id="378"/>
      </w:r>
      <w:r>
        <w:rPr>
          <w:rFonts w:ascii="Amiri" w:hAnsi="Amiri" w:eastAsia="Amiri" w:cs="Amiri"/>
          <w:color w:val="111111"/>
          <w:sz w:val="28"/>
          <w:sz w:val="28"/>
          <w:szCs w:val="28"/>
          <w:rtl w:val="true"/>
          <w:lang w:bidi="ar-SA"/>
        </w:rPr>
        <w:t xml:space="preserve">لام التعريف وغيرها ، فتضعف عجمته بخلاف العلم في العجميّة ، ويشترط للعلم الأعجميّ في منع الصّرف أن يكون أكثر من ثلاثة أحرف عند سيبويه </w:t>
      </w:r>
      <w:r>
        <w:rPr>
          <w:rStyle w:val="FootnoteAnchor"/>
          <w:rtl w:val="true"/>
        </w:rPr>
        <w:footnoteReference w:id="379"/>
      </w:r>
      <w:r>
        <w:rPr>
          <w:rFonts w:ascii="Amiri" w:hAnsi="Amiri" w:eastAsia="Amiri" w:cs="Amiri"/>
          <w:color w:val="111111"/>
          <w:sz w:val="28"/>
          <w:sz w:val="28"/>
          <w:szCs w:val="28"/>
          <w:rtl w:val="true"/>
          <w:lang w:bidi="ar-SA"/>
        </w:rPr>
        <w:t xml:space="preserve">، وقال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شرطه إمّا الزيادة على الثلاثة أو تحرّك </w:t>
      </w:r>
      <w:bookmarkStart w:id="146" w:name="pg14482_156098"/>
    </w:p>
    <w:p>
      <w:pPr>
        <w:pStyle w:val="BookText"/>
        <w:rPr/>
      </w:pPr>
      <w:bookmarkEnd w:id="146"/>
      <w:r>
        <w:rPr>
          <w:rFonts w:ascii="IRNazanin" w:hAnsi="IRNazanin" w:eastAsia="IRNazanin"/>
          <w:color w:val="111111"/>
          <w:sz w:val="28"/>
          <w:sz w:val="28"/>
          <w:szCs w:val="28"/>
          <w:rtl w:val="true"/>
          <w:lang w:bidi="fa-IR"/>
        </w:rPr>
        <w:t xml:space="preserve">الوسط </w:t>
      </w:r>
      <w:r>
        <w:rPr>
          <w:rStyle w:val="FootnoteAnchor"/>
          <w:rtl w:val="true"/>
        </w:rPr>
        <w:footnoteReference w:id="380"/>
      </w:r>
      <w:r>
        <w:rPr>
          <w:rFonts w:ascii="Amiri" w:hAnsi="Amiri" w:eastAsia="Amiri" w:cs="Amiri"/>
          <w:color w:val="111111"/>
          <w:sz w:val="28"/>
          <w:sz w:val="28"/>
          <w:szCs w:val="28"/>
          <w:rtl w:val="true"/>
          <w:lang w:bidi="ar-SA"/>
        </w:rPr>
        <w:t xml:space="preserve">، فنوح ولوط منصرفان ، لفقد شرط منع الصرف ، لأنّ عجمتهما غير مؤثّرة ، لانتفاء شرطها ، وهو الزيادة على ثلاثة ، أو تحرّك الوسط فتبقى العلميّة وحدها فلا تؤثّر بخلاف ماه وجور للعلميّة والتأنيث المقوّى بالعجمة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7" w:name="__RefHeading___Toc716622_996550957"/>
      <w:bookmarkStart w:id="148" w:name="_Toc52"/>
      <w:bookmarkEnd w:id="147"/>
      <w:r>
        <w:rPr/>
        <w:t>6</w:t>
      </w:r>
      <w:r>
        <w:rPr>
          <w:rtl w:val="true"/>
        </w:rPr>
        <w:t xml:space="preserve">- </w:t>
      </w:r>
      <w:r>
        <w:rPr>
          <w:rtl w:val="true"/>
        </w:rPr>
        <w:t>ذكر وزن الفعل</w:t>
      </w:r>
      <w:bookmarkEnd w:id="148"/>
    </w:p>
    <w:p>
      <w:pPr>
        <w:pStyle w:val="BookText"/>
        <w:rPr/>
      </w:pPr>
      <w:r>
        <w:rPr>
          <w:rStyle w:val="FootnoteAnchor"/>
          <w:rtl w:val="true"/>
        </w:rPr>
        <w:footnoteReference w:id="3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وزن الفعل المانع من الصرف أحد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يختصّ بالفعل ولا يوجد في الاسم ، إلّا أن يكون منقولا إلى الاسم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كضرب وشمّر واحمرّ واستخرج واخشوشن وما أشبه ذلك ، أو يكون أعجميا كبقّم </w:t>
      </w:r>
      <w:r>
        <w:rPr>
          <w:rStyle w:val="FootnoteAnchor"/>
          <w:rtl w:val="true"/>
        </w:rPr>
        <w:footnoteReference w:id="383"/>
      </w:r>
      <w:r>
        <w:rPr>
          <w:rFonts w:ascii="Amiri" w:hAnsi="Amiri" w:eastAsia="Amiri" w:cs="Amiri"/>
          <w:color w:val="111111"/>
          <w:sz w:val="28"/>
          <w:sz w:val="28"/>
          <w:szCs w:val="28"/>
          <w:rtl w:val="true"/>
          <w:lang w:bidi="ar-SA"/>
        </w:rPr>
        <w:t>ولا يؤثّر هذا الضرب في منع الصرف إلا مع العلمية</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في أوله زيادة كزيادة الفعل ، أي يكون أوله حرفا من حروف نأيت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 ونفعل وتفعل ويفعل ثمّ هذا الضرب الثاني ، إمّا أن يكون صفة أو غير صفة ، فإن كان صفة فشرطه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غير قابل </w:t>
      </w:r>
      <w:r>
        <w:rPr>
          <w:rStyle w:val="FootnoteAnchor"/>
          <w:rtl w:val="true"/>
        </w:rPr>
        <w:footnoteReference w:id="384"/>
      </w:r>
      <w:r>
        <w:rPr>
          <w:rFonts w:ascii="Amiri" w:hAnsi="Amiri" w:eastAsia="Amiri" w:cs="Amiri"/>
          <w:color w:val="111111"/>
          <w:sz w:val="28"/>
          <w:sz w:val="28"/>
          <w:szCs w:val="28"/>
          <w:rtl w:val="true"/>
          <w:lang w:bidi="ar-SA"/>
        </w:rPr>
        <w:t xml:space="preserve">للتاء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أحمر فإنّه لا يقال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أحمرة فيمتنع من الصّرف للصفة ووزن الفعل ، وينصرف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يعمل ، إذا لم يكن علما ، لقبوله تاء التأنيث الحقيقي ، لقولهم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ناقة يعملة </w:t>
      </w:r>
      <w:r>
        <w:rPr>
          <w:rStyle w:val="FootnoteAnchor"/>
          <w:rtl w:val="true"/>
        </w:rPr>
        <w:footnoteReference w:id="385"/>
      </w:r>
      <w:r>
        <w:rPr>
          <w:rFonts w:ascii="Amiri" w:hAnsi="Amiri" w:eastAsia="Amiri" w:cs="Amiri"/>
          <w:color w:val="111111"/>
          <w:sz w:val="28"/>
          <w:sz w:val="28"/>
          <w:szCs w:val="28"/>
          <w:rtl w:val="true"/>
          <w:lang w:bidi="ar-SA"/>
        </w:rPr>
        <w:t xml:space="preserve">فإن سمّي به لم ينصرف لأنه حينئذ غير قابل للتاء </w:t>
      </w:r>
      <w:r>
        <w:rPr>
          <w:rStyle w:val="FootnoteAnchor"/>
          <w:rtl w:val="true"/>
        </w:rPr>
        <w:footnoteReference w:id="386"/>
      </w:r>
      <w:r>
        <w:rPr>
          <w:rFonts w:ascii="Amiri" w:hAnsi="Amiri" w:eastAsia="Amiri" w:cs="Amiri"/>
          <w:color w:val="111111"/>
          <w:sz w:val="28"/>
          <w:sz w:val="28"/>
          <w:szCs w:val="28"/>
          <w:rtl w:val="true"/>
          <w:lang w:bidi="ar-SA"/>
        </w:rPr>
        <w:t xml:space="preserve">وإن كان غير صفة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أرنب وأفكل ، فشرطه العلميّة ، وأمّا أفكل على وزن أفعل ، اسم للرّعدة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أخذه أفكل ، إذا ارتعد </w:t>
      </w:r>
      <w:r>
        <w:rPr>
          <w:rStyle w:val="FootnoteAnchor"/>
          <w:rtl w:val="true"/>
        </w:rPr>
        <w:footnoteReference w:id="387"/>
      </w:r>
      <w:r>
        <w:rPr>
          <w:rFonts w:ascii="Amiri" w:hAnsi="Amiri" w:eastAsia="Amiri" w:cs="Amiri"/>
          <w:color w:val="111111"/>
          <w:sz w:val="28"/>
          <w:sz w:val="28"/>
          <w:szCs w:val="28"/>
          <w:rtl w:val="true"/>
          <w:lang w:bidi="ar-SA"/>
        </w:rPr>
        <w:t xml:space="preserve">فحينئذ ، وزن الفعل الذي هو صفة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أحمر ، ممتنع لوزن الفعل والصّفة ، ووزن الفعل غير الصّفة ممتنع للعلميّة ووزن الفعل </w:t>
      </w:r>
      <w:r>
        <w:rPr>
          <w:rStyle w:val="FootnoteAnchor"/>
          <w:rtl w:val="true"/>
        </w:rPr>
        <w:footnoteReference w:id="388"/>
      </w:r>
      <w:r>
        <w:rPr>
          <w:rFonts w:ascii="Amiri" w:hAnsi="Amiri" w:eastAsia="Amiri" w:cs="Amiri"/>
          <w:color w:val="111111"/>
          <w:sz w:val="28"/>
          <w:sz w:val="28"/>
          <w:szCs w:val="28"/>
          <w:rtl w:val="true"/>
          <w:lang w:bidi="ar-SA"/>
        </w:rPr>
        <w:t xml:space="preserve">واعلم أنّه يشترط في الضّرب الأول ؛ </w:t>
      </w:r>
      <w:bookmarkStart w:id="149" w:name="pg14482_156099"/>
    </w:p>
    <w:p>
      <w:pPr>
        <w:pStyle w:val="BookText"/>
        <w:rPr/>
      </w:pPr>
      <w:bookmarkEnd w:id="149"/>
      <w:r>
        <w:rPr>
          <w:rFonts w:ascii="Amiri" w:hAnsi="Amiri" w:eastAsia="Amiri" w:cs="Amiri"/>
          <w:color w:val="111111"/>
          <w:sz w:val="28"/>
          <w:sz w:val="28"/>
          <w:szCs w:val="28"/>
          <w:rtl w:val="true"/>
          <w:lang w:bidi="ar-SA"/>
        </w:rPr>
        <w:t xml:space="preserve">أعني الوزن المختصّ بالفعل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وشمّر ، أن لا يعلّ </w:t>
      </w:r>
      <w:r>
        <w:rPr>
          <w:rStyle w:val="FootnoteAnchor"/>
          <w:rtl w:val="true"/>
        </w:rPr>
        <w:footnoteReference w:id="389"/>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 ولا يدغم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 فإنّ ذلك منصرف ، ولو كان علما لوجود نظير وزنه في الاسم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 ومدّ </w:t>
      </w:r>
      <w:r>
        <w:rPr>
          <w:rStyle w:val="FootnoteAnchor"/>
          <w:rtl w:val="true"/>
        </w:rPr>
        <w:footnoteReference w:id="390"/>
      </w:r>
      <w:r>
        <w:rPr>
          <w:rFonts w:ascii="Amiri" w:hAnsi="Amiri" w:eastAsia="Amiri" w:cs="Amiri"/>
          <w:color w:val="111111"/>
          <w:sz w:val="28"/>
          <w:sz w:val="28"/>
          <w:szCs w:val="28"/>
          <w:rtl w:val="true"/>
          <w:lang w:bidi="ar-SA"/>
        </w:rPr>
        <w:t>ومما يمنع للصفة ووزن الفعل ، أفعل التفضيل ، كأفضل منك فإنّه يمنع من الصّرف لما قيل في أحمر</w:t>
      </w:r>
      <w:r>
        <w:rPr>
          <w:rFonts w:eastAsia="Amiri" w:cs="Amiri" w:ascii="Amiri" w:hAnsi="Amiri"/>
          <w:color w:val="111111"/>
          <w:sz w:val="28"/>
          <w:szCs w:val="28"/>
          <w:rtl w:val="true"/>
          <w:lang w:bidi="ar-SA"/>
        </w:rPr>
        <w:t>.</w:t>
      </w:r>
    </w:p>
    <w:p>
      <w:pPr>
        <w:pStyle w:val="Heading5"/>
        <w:numPr>
          <w:ilvl w:val="4"/>
          <w:numId w:val="1"/>
        </w:numPr>
        <w:rPr/>
      </w:pPr>
      <w:bookmarkStart w:id="150" w:name="__RefHeading___Toc716624_996550957"/>
      <w:bookmarkStart w:id="151" w:name="_Toc53"/>
      <w:bookmarkEnd w:id="150"/>
      <w:r>
        <w:rPr/>
        <w:t>7</w:t>
      </w:r>
      <w:r>
        <w:rPr>
          <w:rtl w:val="true"/>
        </w:rPr>
        <w:t xml:space="preserve">- </w:t>
      </w:r>
      <w:r>
        <w:rPr>
          <w:rtl w:val="true"/>
        </w:rPr>
        <w:t>ذكر الوصف</w:t>
      </w:r>
      <w:bookmarkEnd w:id="151"/>
    </w:p>
    <w:p>
      <w:pPr>
        <w:pStyle w:val="BookText"/>
        <w:rPr/>
      </w:pPr>
      <w:r>
        <w:rPr>
          <w:rStyle w:val="FootnoteAnchor"/>
          <w:rtl w:val="true"/>
        </w:rPr>
        <w:footnoteReference w:id="3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الوصف أن يكون صفة في الأصل بمعنى أنه وضع للوصف ، واستعمل فيه فلا يضرّ إن صار اسما وخرج عن الوصفية ، ولذلك امتنع أسود </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اللسان ، 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وأرقم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اسما للحيّة ، وأدهم للقيد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فإنّها لمّا كانت في الأصل صفة ثم خرجت عن الصفة وصارت اسما لما ذكر لم يضرّ ذلك ، وامتنع صرفها للصّفة الأصليّة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وأمّا إذا لم يكن في الأصل صفة ثم طرأت عليه الوصفيّة فلا اعتبار به في منع الصّرف ، ولذلك انصرف أربع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بنسوة أربع ، لأنّ أربعا من أسماء الأعداد ، وليس بصفة في الأصل ، فلمّا استعمل صفة للنسوة لم تعتبر الوصفية في منع الصرف ، وأمّا أفعى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للحيّة ، وأخيل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لطائر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وأجدل للصقر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فمنصرف عند الفصحاء لأنها ليست في الأصل صفة ، وممتنع من الصّرف عند غيرهم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لتوهّم الوصفية فيها حيث كان أخيل اسما لطائر فيه خيلان ، وحيث كان الجدل القوّة ، والصّقر من الطيور</w:t>
      </w:r>
      <w:bookmarkStart w:id="152" w:name="pg14482_156100"/>
    </w:p>
    <w:p>
      <w:pPr>
        <w:pStyle w:val="BookText"/>
        <w:rPr/>
      </w:pPr>
      <w:bookmarkEnd w:id="152"/>
      <w:r>
        <w:rPr>
          <w:rFonts w:ascii="Amiri" w:hAnsi="Amiri" w:eastAsia="Amiri" w:cs="Amiri"/>
          <w:color w:val="111111"/>
          <w:sz w:val="28"/>
          <w:sz w:val="28"/>
          <w:szCs w:val="28"/>
          <w:rtl w:val="true"/>
          <w:lang w:bidi="ar-SA"/>
        </w:rPr>
        <w:t xml:space="preserve">القوية ، وحيث توهّم الخبث في أفعى ، لأنّه الحيّة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3" w:name="__RefHeading___Toc716626_996550957"/>
      <w:bookmarkStart w:id="154" w:name="_Toc54"/>
      <w:bookmarkEnd w:id="153"/>
      <w:r>
        <w:rPr/>
        <w:t>8</w:t>
      </w:r>
      <w:r>
        <w:rPr>
          <w:rtl w:val="true"/>
        </w:rPr>
        <w:t xml:space="preserve">- </w:t>
      </w:r>
      <w:r>
        <w:rPr>
          <w:rtl w:val="true"/>
        </w:rPr>
        <w:t>ذكر الألف والنون</w:t>
      </w:r>
      <w:bookmarkEnd w:id="154"/>
    </w:p>
    <w:p>
      <w:pPr>
        <w:pStyle w:val="BookText"/>
        <w:rPr/>
      </w:pPr>
      <w:r>
        <w:rPr>
          <w:rStyle w:val="FootnoteAnchor"/>
          <w:rtl w:val="true"/>
        </w:rPr>
        <w:footnoteReference w:id="3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الألف والنون إن كانت في اسم غير صفة فشرطها العلميّة لأنه إذا كان علما امتنع من قبول التاء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 وإنما اعتبرت </w:t>
      </w:r>
      <w:r>
        <w:rPr>
          <w:rStyle w:val="FootnoteAnchor"/>
          <w:rtl w:val="true"/>
        </w:rPr>
        <w:footnoteReference w:id="395"/>
      </w:r>
      <w:r>
        <w:rPr>
          <w:rFonts w:ascii="Amiri" w:hAnsi="Amiri" w:eastAsia="Amiri" w:cs="Amiri"/>
          <w:color w:val="111111"/>
          <w:sz w:val="28"/>
          <w:sz w:val="28"/>
          <w:szCs w:val="28"/>
          <w:rtl w:val="true"/>
          <w:lang w:bidi="ar-SA"/>
        </w:rPr>
        <w:t xml:space="preserve">من العلل لشبهها بألفي التأنيث وإن كانت الألف والنون في اسم هو صفة ، فالمعتبر فيه أن لا يكون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قبوله التاء يبعده عن شبه ألفي التأنيث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المعتبر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فمن شرط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لا يقال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شرط انتفاء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منعه من الصّرف لحصول الشّرط وهو انتفاء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وسكران ممتنع على القولين 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وندمان منصرف على القولين </w:t>
      </w:r>
      <w:r>
        <w:rPr>
          <w:rStyle w:val="FootnoteAnchor"/>
          <w:rtl w:val="true"/>
        </w:rPr>
        <w:footnoteReference w:id="396"/>
      </w:r>
      <w:r>
        <w:rPr>
          <w:rFonts w:ascii="Amiri" w:hAnsi="Amiri" w:eastAsia="Amiri" w:cs="Amiri"/>
          <w:color w:val="111111"/>
          <w:sz w:val="28"/>
          <w:sz w:val="28"/>
          <w:szCs w:val="28"/>
          <w:rtl w:val="true"/>
          <w:lang w:bidi="ar-SA"/>
        </w:rPr>
        <w:t>لوجود ندمانة وعدم ندمى</w:t>
      </w:r>
      <w:r>
        <w:rPr>
          <w:rFonts w:eastAsia="Amiri" w:cs="Amiri" w:ascii="Amiri" w:hAnsi="Amiri"/>
          <w:color w:val="111111"/>
          <w:sz w:val="28"/>
          <w:szCs w:val="28"/>
          <w:rtl w:val="true"/>
          <w:lang w:bidi="ar-SA"/>
        </w:rPr>
        <w:t>.</w:t>
      </w:r>
    </w:p>
    <w:p>
      <w:pPr>
        <w:pStyle w:val="Heading5"/>
        <w:numPr>
          <w:ilvl w:val="4"/>
          <w:numId w:val="1"/>
        </w:numPr>
        <w:rPr/>
      </w:pPr>
      <w:bookmarkStart w:id="155" w:name="__RefHeading___Toc716628_996550957"/>
      <w:bookmarkStart w:id="156" w:name="_Toc55"/>
      <w:bookmarkEnd w:id="155"/>
      <w:r>
        <w:rPr/>
        <w:t>9</w:t>
      </w:r>
      <w:r>
        <w:rPr>
          <w:rtl w:val="true"/>
        </w:rPr>
        <w:t xml:space="preserve">- </w:t>
      </w:r>
      <w:r>
        <w:rPr>
          <w:rtl w:val="true"/>
        </w:rPr>
        <w:t>ذكر التركيب</w:t>
      </w:r>
      <w:bookmarkEnd w:id="156"/>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التركيب في الأعلام أنواع ، والمعتبر منها ، جعل الاسمين واحدا كبعلبك لا على جهة الإضافة كأبي بكر إذا سمّي به ، ولا على جهة الإسناد كتأبّط شرّا ، ولا بأن يكون الثاني صوتا أو متضمنا حرفا في الأصل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سيبويه ، وخمسة عشر ، إذا جعل علما ، أمّا الإضافة فإنها تجعل غير المنصرف في حكم المنصرف ، وأما الإسناد أو كون الثاني صوتا أو متضمنا حرفا ، فلأنّه موجب للبناء وغير المنصرف نوع من المعرب ، فلا يستقيم أن يكون التركيب بهما مانعا من الصّرف ، وشرط التركيب المعتبر العلميّة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 xml:space="preserve">. </w:t>
      </w:r>
      <w:bookmarkStart w:id="157" w:name="pg14482_156101"/>
    </w:p>
    <w:p>
      <w:pPr>
        <w:pStyle w:val="Heading5"/>
        <w:numPr>
          <w:ilvl w:val="4"/>
          <w:numId w:val="1"/>
        </w:numPr>
        <w:rPr/>
      </w:pPr>
      <w:bookmarkStart w:id="158" w:name="__RefHeading___Toc716630_996550957"/>
      <w:bookmarkStart w:id="159" w:name="_Toc56"/>
      <w:bookmarkEnd w:id="157"/>
      <w:bookmarkEnd w:id="158"/>
      <w:r>
        <w:rPr>
          <w:rtl w:val="true"/>
        </w:rPr>
        <w:t>ذكر بقيّة الكلام على ما لا ينصرف</w:t>
      </w:r>
      <w:bookmarkEnd w:id="159"/>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فيه علميّة مؤثّرة إذا نكّر صرف ، واحترز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مؤثّرة ، عن صيغة منتهى الجموع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مساجد ، وعن ألفي التأنيث المقصورة والممدودة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سكرى وصحراء علما ، فإنّ المذكورات لم تمتنع من الصّرف للعلميّة بل لاستقلال كلّ من صيغة منتهى الجموع وألفي التأنيث بمنع الصرف </w:t>
      </w:r>
      <w:r>
        <w:rPr>
          <w:rStyle w:val="FootnoteAnchor"/>
          <w:rtl w:val="true"/>
        </w:rPr>
        <w:footnoteReference w:id="400"/>
      </w:r>
      <w:r>
        <w:rPr>
          <w:rFonts w:ascii="Amiri" w:hAnsi="Amiri" w:eastAsia="Amiri" w:cs="Amiri"/>
          <w:color w:val="111111"/>
          <w:sz w:val="28"/>
          <w:sz w:val="28"/>
          <w:szCs w:val="28"/>
          <w:rtl w:val="true"/>
          <w:lang w:bidi="ar-SA"/>
        </w:rPr>
        <w:t xml:space="preserve">، والعلميّة المؤثّرة تارة تكون شرطا لما جامعته وهو التأنيث بالتاء ، والمعنويّ والعجمة والتركيب والألف والنون في اسم غير صفة ، وما في أوله زيادة من حروف نأيت كأحمد ويزيد ، وتارة تكون مؤثّرة وليست شرطا وذلك في العدل ووزن الفعل ، فإذا نكّر بقي الذي العلميّة شرط فيه بلا سبب ، وبقي الذي ليست فيه شرطا أعني العدل ووزن الفعل على سبب واحد </w:t>
      </w:r>
      <w:r>
        <w:rPr>
          <w:rStyle w:val="FootnoteAnchor"/>
          <w:rtl w:val="true"/>
        </w:rPr>
        <w:footnoteReference w:id="401"/>
      </w:r>
      <w:r>
        <w:rPr>
          <w:rFonts w:ascii="IRNazanin" w:hAnsi="IRNazanin" w:eastAsia="IRNazanin"/>
          <w:color w:val="111111"/>
          <w:sz w:val="28"/>
          <w:sz w:val="28"/>
          <w:szCs w:val="28"/>
          <w:rtl w:val="true"/>
          <w:lang w:bidi="fa-IR"/>
        </w:rPr>
        <w:t xml:space="preserve">وأمّا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أحمر فممتنع من الصّرف </w:t>
      </w:r>
      <w:r>
        <w:rPr>
          <w:rStyle w:val="FootnoteAnchor"/>
          <w:rtl w:val="true"/>
        </w:rPr>
        <w:footnoteReference w:id="402"/>
      </w:r>
      <w:r>
        <w:rPr>
          <w:rFonts w:ascii="Amiri" w:hAnsi="Amiri" w:eastAsia="Amiri" w:cs="Amiri"/>
          <w:color w:val="111111"/>
          <w:sz w:val="28"/>
          <w:sz w:val="28"/>
          <w:szCs w:val="28"/>
          <w:rtl w:val="true"/>
          <w:lang w:bidi="ar-SA"/>
        </w:rPr>
        <w:t xml:space="preserve">للصفة ووزن الفعل ، فإذا جعل علما كان المعتبر العلميّة ووزن الفعل ، فإذا نكّر فالأخفش </w:t>
      </w:r>
      <w:r>
        <w:rPr>
          <w:rStyle w:val="FootnoteAnchor"/>
          <w:rtl w:val="true"/>
        </w:rPr>
        <w:footnoteReference w:id="403"/>
      </w:r>
      <w:r>
        <w:rPr>
          <w:rFonts w:ascii="Amiri" w:hAnsi="Amiri" w:eastAsia="Amiri" w:cs="Amiri"/>
          <w:color w:val="111111"/>
          <w:sz w:val="28"/>
          <w:sz w:val="28"/>
          <w:szCs w:val="28"/>
          <w:rtl w:val="true"/>
          <w:lang w:bidi="ar-SA"/>
        </w:rPr>
        <w:t xml:space="preserve">يصرفه </w:t>
      </w:r>
      <w:r>
        <w:rPr>
          <w:rStyle w:val="FootnoteAnchor"/>
          <w:rtl w:val="true"/>
        </w:rPr>
        <w:footnoteReference w:id="404"/>
      </w:r>
      <w:r>
        <w:rPr>
          <w:rFonts w:ascii="Amiri" w:hAnsi="Amiri" w:eastAsia="Amiri" w:cs="Amiri"/>
          <w:color w:val="111111"/>
          <w:sz w:val="28"/>
          <w:sz w:val="28"/>
          <w:szCs w:val="28"/>
          <w:rtl w:val="true"/>
          <w:lang w:bidi="ar-SA"/>
        </w:rPr>
        <w:t xml:space="preserve">وسيبويه يمنعه الصّرف اعتبارا للصفة الأصلية </w:t>
      </w:r>
      <w:r>
        <w:rPr>
          <w:rStyle w:val="FootnoteAnchor"/>
          <w:rtl w:val="true"/>
        </w:rPr>
        <w:footnoteReference w:id="405"/>
      </w:r>
      <w:r>
        <w:rPr>
          <w:rFonts w:ascii="Amiri" w:hAnsi="Amiri" w:eastAsia="Amiri" w:cs="Amiri"/>
          <w:color w:val="111111"/>
          <w:sz w:val="28"/>
          <w:sz w:val="28"/>
          <w:szCs w:val="28"/>
          <w:rtl w:val="true"/>
          <w:lang w:bidi="ar-SA"/>
        </w:rPr>
        <w:t xml:space="preserve">لزوال العلميّة المانعة من اعتبار الصفة ، وكذلك القول في سكران وثلاث ونحوهما لو جعل علما وجميع ما لا ينصرف إذا أضيف أو دخلته الّلام كأحمدكم وعمركم والأحمر ، انجرّ بالكسرة </w:t>
      </w:r>
      <w:r>
        <w:rPr>
          <w:rStyle w:val="FootnoteAnchor"/>
          <w:rtl w:val="true"/>
        </w:rPr>
        <w:footnoteReference w:id="406"/>
      </w:r>
      <w:r>
        <w:rPr>
          <w:rFonts w:ascii="Amiri" w:hAnsi="Amiri" w:eastAsia="Amiri" w:cs="Amiri"/>
          <w:color w:val="111111"/>
          <w:sz w:val="28"/>
          <w:sz w:val="28"/>
          <w:szCs w:val="28"/>
          <w:rtl w:val="true"/>
          <w:lang w:bidi="ar-SA"/>
        </w:rPr>
        <w:t xml:space="preserve">وهل هو منصرف حينئذ أم لا؟ فيه خلاف ، فمذهب سيبويه أنّه لم ينصرف ، لأنّ الصرف عبارة عن التنوين ، ولا تنوين مع الإضافة ولام التعريف ، وذهب غيره </w:t>
      </w:r>
      <w:r>
        <w:rPr>
          <w:rStyle w:val="FootnoteAnchor"/>
          <w:rtl w:val="true"/>
        </w:rPr>
        <w:footnoteReference w:id="407"/>
      </w:r>
      <w:r>
        <w:rPr>
          <w:rFonts w:ascii="IRNazanin" w:hAnsi="IRNazanin" w:eastAsia="IRNazanin"/>
          <w:color w:val="111111"/>
          <w:sz w:val="28"/>
          <w:sz w:val="28"/>
          <w:szCs w:val="28"/>
          <w:rtl w:val="true"/>
          <w:lang w:bidi="fa-IR"/>
        </w:rPr>
        <w:t xml:space="preserve">إلى أنه منصرف </w:t>
      </w:r>
      <w:bookmarkStart w:id="160" w:name="pg14482_156102"/>
    </w:p>
    <w:p>
      <w:pPr>
        <w:pStyle w:val="BookText"/>
        <w:rPr/>
      </w:pPr>
      <w:bookmarkEnd w:id="160"/>
      <w:r>
        <w:rPr>
          <w:rFonts w:ascii="Amiri" w:hAnsi="Amiri" w:eastAsia="Amiri" w:cs="Amiri"/>
          <w:color w:val="111111"/>
          <w:sz w:val="28"/>
          <w:sz w:val="28"/>
          <w:szCs w:val="28"/>
          <w:rtl w:val="true"/>
          <w:lang w:bidi="ar-SA"/>
        </w:rPr>
        <w:t>لأنه بدخول اللام والإضافة بعد عن شبه الفعل</w:t>
      </w:r>
      <w:r>
        <w:rPr>
          <w:rFonts w:eastAsia="Amiri" w:cs="Amiri" w:ascii="Amiri" w:hAnsi="Amiri"/>
          <w:color w:val="111111"/>
          <w:sz w:val="28"/>
          <w:szCs w:val="28"/>
          <w:rtl w:val="true"/>
          <w:lang w:bidi="ar-SA"/>
        </w:rPr>
        <w:t>.</w:t>
      </w:r>
    </w:p>
    <w:p>
      <w:pPr>
        <w:pStyle w:val="Heading4"/>
        <w:numPr>
          <w:ilvl w:val="3"/>
          <w:numId w:val="1"/>
        </w:numPr>
        <w:rPr/>
      </w:pPr>
      <w:bookmarkStart w:id="161" w:name="__RefHeading___Toc716632_996550957"/>
      <w:bookmarkStart w:id="162" w:name="_Toc57"/>
      <w:bookmarkEnd w:id="161"/>
      <w:r>
        <w:rPr>
          <w:rtl w:val="true"/>
        </w:rPr>
        <w:t>ذكر المرفوعات</w:t>
      </w:r>
      <w:bookmarkEnd w:id="162"/>
    </w:p>
    <w:p>
      <w:pPr>
        <w:pStyle w:val="Heading5"/>
        <w:numPr>
          <w:ilvl w:val="4"/>
          <w:numId w:val="1"/>
        </w:numPr>
        <w:rPr/>
      </w:pPr>
      <w:bookmarkStart w:id="163" w:name="__RefHeading___Toc716634_996550957"/>
      <w:bookmarkStart w:id="164" w:name="_Toc58"/>
      <w:bookmarkEnd w:id="163"/>
      <w:r>
        <w:rPr>
          <w:rtl w:val="true"/>
        </w:rPr>
        <w:t>اشارة</w:t>
      </w:r>
      <w:bookmarkEnd w:id="164"/>
    </w:p>
    <w:p>
      <w:pPr>
        <w:pStyle w:val="BookText"/>
        <w:rPr/>
      </w:pPr>
      <w:r>
        <w:rPr>
          <w:rStyle w:val="FootnoteAnchor"/>
          <w:rtl w:val="true"/>
        </w:rPr>
        <w:footnoteReference w:id="4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اشتمل على علم الفاعليّة ، وهي 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الفاعل ثم مفعول ما لم يسمّ فاعله ثم المبتدأ ثم الخبر ثم خبر إنّ ، ثم خبر لا التي لنفي الجنس ، ثم اسم ما ولا المشبهّتين بليس</w:t>
      </w:r>
      <w:r>
        <w:rPr>
          <w:rFonts w:eastAsia="Amiri" w:cs="Amiri" w:ascii="Amiri" w:hAnsi="Amiri"/>
          <w:color w:val="111111"/>
          <w:sz w:val="28"/>
          <w:szCs w:val="28"/>
          <w:rtl w:val="true"/>
          <w:lang w:bidi="ar-SA"/>
        </w:rPr>
        <w:t>.</w:t>
      </w:r>
    </w:p>
    <w:p>
      <w:pPr>
        <w:pStyle w:val="Heading5"/>
        <w:numPr>
          <w:ilvl w:val="4"/>
          <w:numId w:val="1"/>
        </w:numPr>
        <w:rPr/>
      </w:pPr>
      <w:bookmarkStart w:id="165" w:name="__RefHeading___Toc716636_996550957"/>
      <w:bookmarkStart w:id="166" w:name="_Toc59"/>
      <w:bookmarkEnd w:id="165"/>
      <w:r>
        <w:rPr/>
        <w:t>1</w:t>
      </w:r>
      <w:r>
        <w:rPr>
          <w:rtl w:val="true"/>
        </w:rPr>
        <w:t xml:space="preserve">- </w:t>
      </w:r>
      <w:r>
        <w:rPr>
          <w:rtl w:val="true"/>
        </w:rPr>
        <w:t>ذكر الفاعل</w:t>
      </w:r>
      <w:bookmarkEnd w:id="166"/>
    </w:p>
    <w:p>
      <w:pPr>
        <w:pStyle w:val="Heading6"/>
        <w:numPr>
          <w:ilvl w:val="5"/>
          <w:numId w:val="1"/>
        </w:numPr>
        <w:rPr/>
      </w:pPr>
      <w:bookmarkStart w:id="167" w:name="__RefHeading___Toc716638_996550957"/>
      <w:bookmarkStart w:id="168" w:name="_Toc60"/>
      <w:bookmarkEnd w:id="167"/>
      <w:r>
        <w:rPr>
          <w:rtl w:val="true"/>
        </w:rPr>
        <w:t>اشارة</w:t>
      </w:r>
      <w:bookmarkEnd w:id="168"/>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الفاعل ما أسند إليه الفعل أو شبهه وقدّم عليه على جهة قيامه به ، كزيد في قام زيد ، وإنما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أسند إليه الفعل ، 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أسند الفعل إليه ، ليدخل فيه الفاعل الذي هو في تأويل الاسم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أعجبني أن ضربت زيدا ، فأن مع الفعل ، فاعل أعجبني </w:t>
      </w:r>
      <w:r>
        <w:rPr>
          <w:rStyle w:val="FootnoteAnchor"/>
          <w:rtl w:val="true"/>
        </w:rPr>
        <w:footnoteReference w:id="410"/>
      </w:r>
      <w:r>
        <w:rPr>
          <w:rFonts w:ascii="Amiri" w:hAnsi="Amiri" w:eastAsia="Amiri" w:cs="Amiri"/>
          <w:color w:val="111111"/>
          <w:sz w:val="28"/>
          <w:sz w:val="28"/>
          <w:szCs w:val="28"/>
          <w:rtl w:val="true"/>
          <w:lang w:bidi="ar-SA"/>
        </w:rPr>
        <w:t xml:space="preserve">وليس باسم ، بل في تقدير الاسم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وقدّم عليه ، يخرج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قام ، فإنّ الفاعل هو المضمر المستتر في قام لا زيد ، ولا يكون الفاعل أبدا إلّا متأخرا عن فعله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شبه الفعل ، فيدخل نحو فاعل الصفة المشبّهة كزيد حسن وجهه ، وفاعل اسم الفاعل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قائم أبوه ، وفاعل اسم الفعل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زيد ، أي بعد ، والظرف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عندك أبوه والجار والمجرور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عليه ثوب ، فثوب </w:t>
      </w:r>
      <w:r>
        <w:rPr>
          <w:rStyle w:val="FootnoteAnchor"/>
          <w:rtl w:val="true"/>
        </w:rPr>
        <w:footnoteReference w:id="411"/>
      </w:r>
      <w:r>
        <w:rPr>
          <w:rFonts w:ascii="Amiri" w:hAnsi="Amiri" w:eastAsia="Amiri" w:cs="Amiri"/>
          <w:color w:val="111111"/>
          <w:sz w:val="28"/>
          <w:sz w:val="28"/>
          <w:szCs w:val="28"/>
          <w:rtl w:val="true"/>
          <w:lang w:bidi="ar-SA"/>
        </w:rPr>
        <w:t xml:space="preserve">فاعل مرفوع بعليه ، وكذلك ، مررت برجل عليه ثوب وتحته بساط ، فثوب وبساط فاعل مرفوع بما أسند إليه من شبه الفعل </w:t>
      </w:r>
      <w:r>
        <w:rPr>
          <w:rStyle w:val="FootnoteAnchor"/>
          <w:rtl w:val="true"/>
        </w:rPr>
        <w:footnoteReference w:id="4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جهة قيامه به ، يخرج مفعول ما لم يسمّ فاعله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زيد ، فإنّ الفعل قد أسند إلى زيد وقدّم عليه ولكن لا على طريقة فعل يفعل بل على طريقة ما لم يسمّ فاعله ، وإنّما يحتاج إلى ذلك من أخرج مفعول ما لم يسمّ فاعله من باب الفاعل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 xml:space="preserve">. </w:t>
      </w:r>
      <w:bookmarkStart w:id="169" w:name="pg14482_156103"/>
    </w:p>
    <w:p>
      <w:pPr>
        <w:pStyle w:val="BookText"/>
        <w:rPr/>
      </w:pPr>
      <w:bookmarkEnd w:id="169"/>
      <w:r>
        <w:rPr>
          <w:rFonts w:ascii="Amiri" w:hAnsi="Amiri" w:eastAsia="Amiri" w:cs="Amiri"/>
          <w:color w:val="111111"/>
          <w:sz w:val="28"/>
          <w:sz w:val="28"/>
          <w:szCs w:val="28"/>
          <w:rtl w:val="true"/>
          <w:lang w:bidi="ar-SA"/>
        </w:rPr>
        <w:t xml:space="preserve">والأصل في الفاعل أن يلي فعله </w:t>
      </w:r>
      <w:r>
        <w:rPr>
          <w:rStyle w:val="FootnoteAnchor"/>
          <w:rtl w:val="true"/>
        </w:rPr>
        <w:footnoteReference w:id="414"/>
      </w:r>
      <w:r>
        <w:rPr>
          <w:rFonts w:ascii="Amiri" w:hAnsi="Amiri" w:eastAsia="Amiri" w:cs="Amiri"/>
          <w:color w:val="111111"/>
          <w:sz w:val="28"/>
          <w:sz w:val="28"/>
          <w:szCs w:val="28"/>
          <w:rtl w:val="true"/>
          <w:lang w:bidi="ar-SA"/>
        </w:rPr>
        <w:t>فإن قدّم على الفاعل غيره فهو في النية مؤخّر ، فلذلك جازت مسألة ضرب غلامه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وامتنع مسألة ضرب غلامه زيدا ، لأنّ ضمير الغائب لا يجوز أن يعود إلى غير مذكور لفظا ولا معنى ، فجاز ضرب غلامه زيد لتقدم زيد معنى ، فيعود الضمير المتصل بالمفعول ، في غلامه إلى زيد المتقدم معنى ، وامتنع ضرب غلامه زيدا </w:t>
      </w:r>
      <w:r>
        <w:rPr>
          <w:rStyle w:val="FootnoteAnchor"/>
          <w:rtl w:val="true"/>
        </w:rPr>
        <w:footnoteReference w:id="415"/>
      </w:r>
      <w:r>
        <w:rPr>
          <w:rFonts w:ascii="Amiri" w:hAnsi="Amiri" w:eastAsia="Amiri" w:cs="Amiri"/>
          <w:color w:val="111111"/>
          <w:sz w:val="28"/>
          <w:sz w:val="28"/>
          <w:szCs w:val="28"/>
          <w:rtl w:val="true"/>
          <w:lang w:bidi="ar-SA"/>
        </w:rPr>
        <w:t xml:space="preserve">، لأنّ الضمير لزيد ، وهو متأخر لفظا ومعنى ، أمّا تأخره لفظا فظاهر من المثال المذكور ، وأمّا تأخره معنى ، فلأنه مفعول ، والمفعول متأخر معنى ولو كان مقدما لفظا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70" w:name="__RefHeading___Toc716640_996550957"/>
      <w:bookmarkStart w:id="171" w:name="_Toc61"/>
      <w:bookmarkEnd w:id="170"/>
      <w:r>
        <w:rPr>
          <w:rtl w:val="true"/>
        </w:rPr>
        <w:t>ذكر وجوب تقديم الفاعل</w:t>
      </w:r>
      <w:bookmarkEnd w:id="171"/>
    </w:p>
    <w:p>
      <w:pPr>
        <w:pStyle w:val="BookText"/>
        <w:rPr/>
      </w:pPr>
      <w:r>
        <w:rPr>
          <w:rStyle w:val="FootnoteAnchor"/>
          <w:rtl w:val="true"/>
        </w:rPr>
        <w:footnoteReference w:id="4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تقديم الفاعل إذا انتفى الإعراب لفظا فيهما </w:t>
      </w:r>
      <w:r>
        <w:rPr>
          <w:rStyle w:val="FootnoteAnchor"/>
          <w:rtl w:val="true"/>
        </w:rPr>
        <w:footnoteReference w:id="418"/>
      </w:r>
      <w:r>
        <w:rPr>
          <w:rFonts w:ascii="Amiri" w:hAnsi="Amiri" w:eastAsia="Amiri" w:cs="Amiri"/>
          <w:color w:val="111111"/>
          <w:sz w:val="28"/>
          <w:sz w:val="28"/>
          <w:szCs w:val="28"/>
          <w:rtl w:val="true"/>
          <w:lang w:bidi="ar-SA"/>
        </w:rPr>
        <w:t xml:space="preserve">والقرائن المعنويّة كضرب موسى عيسى ، بخلاف أكل الكمّثرى موسى ، للقرينة التي تنفي اللّبس ، وكذلك يجب تقديمه إذا كان مضمرا متصلا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زيدا وضربتك ، وكذلك يجب تقديمه إذا أثبت المفعول بعد النفي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ضرب زيد إلّا عمرا ومعناه حصر مضروبيّة زيد في عمرو أي لا ضارب لزيد سوى عمرو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72" w:name="__RefHeading___Toc716642_996550957"/>
      <w:bookmarkStart w:id="173" w:name="_Toc62"/>
      <w:bookmarkEnd w:id="172"/>
      <w:r>
        <w:rPr>
          <w:rtl w:val="true"/>
        </w:rPr>
        <w:t>ذكر وجوب تقديم المفعول</w:t>
      </w:r>
      <w:bookmarkEnd w:id="173"/>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تقديم المفعول لفظا ، وإن كان على خلاف القياس إذا أضيف الفاعل إلى ضمير المفعول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ابْتَلى إِبْراهِيمَ رَبُّهُ بِكَلِماتٍ</w:t>
      </w:r>
      <w:r>
        <w:rPr>
          <w:rFonts w:eastAsia="Amiri" w:cs="Amiri" w:ascii="Amiri" w:hAnsi="Amiri"/>
          <w:color w:val="111111"/>
          <w:sz w:val="28"/>
          <w:szCs w:val="28"/>
          <w:rtl w:val="true"/>
          <w:lang w:bidi="ar-SA"/>
        </w:rPr>
        <w:t>)</w:t>
      </w:r>
      <w:r>
        <w:rPr>
          <w:rStyle w:val="FootnoteAnchor"/>
          <w:rtl w:val="true"/>
        </w:rPr>
        <w:footnoteReference w:id="4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الفاعل لو قدّم رجع الضمير إلى غير متقدّم لا لفظا ولا معنى وهو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غلامه زيدا ، </w:t>
      </w:r>
      <w:bookmarkStart w:id="174" w:name="pg14482_156104"/>
    </w:p>
    <w:p>
      <w:pPr>
        <w:pStyle w:val="BookText"/>
        <w:rPr/>
      </w:pPr>
      <w:bookmarkEnd w:id="174"/>
      <w:r>
        <w:rPr>
          <w:rFonts w:ascii="Amiri" w:hAnsi="Amiri" w:eastAsia="Amiri" w:cs="Amiri"/>
          <w:color w:val="111111"/>
          <w:sz w:val="28"/>
          <w:sz w:val="28"/>
          <w:szCs w:val="28"/>
          <w:rtl w:val="true"/>
          <w:lang w:bidi="ar-SA"/>
        </w:rPr>
        <w:t xml:space="preserve">ومما يجب فيه تقديم المفعول أن يكون المفعول مضمرا متّصلا والفاعل ظاهر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ضربك زيد وضربني زيد ، ومما يجب فيه تقديم المفعول أيضا ، إن ثبت الفاعل بعد النّفي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ضرب عمرا إلّا زيد ، أي لا ضارب لعمرو غير زيد ، فلو قدّر ضارب آخر لم يستقم المعنى </w:t>
      </w:r>
      <w:r>
        <w:rPr>
          <w:rStyle w:val="FootnoteAnchor"/>
          <w:rtl w:val="true"/>
        </w:rPr>
        <w:footnoteReference w:id="422"/>
      </w:r>
      <w:r>
        <w:rPr>
          <w:rFonts w:ascii="IRNazanin" w:hAnsi="IRNazanin" w:eastAsia="IRNazanin"/>
          <w:color w:val="111111"/>
          <w:sz w:val="28"/>
          <w:sz w:val="28"/>
          <w:szCs w:val="28"/>
          <w:rtl w:val="true"/>
          <w:lang w:bidi="fa-IR"/>
        </w:rPr>
        <w:t xml:space="preserve">ومنه قول الشّاعر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علمت سلمى وجاراتها</w:t>
      </w:r>
    </w:p>
    <w:p>
      <w:pPr>
        <w:pStyle w:val="BookText"/>
        <w:rPr/>
      </w:pPr>
      <w:r>
        <w:rPr>
          <w:rFonts w:ascii="Amiri" w:hAnsi="Amiri" w:eastAsia="Amiri" w:cs="Amiri"/>
          <w:color w:val="111111"/>
          <w:sz w:val="28"/>
          <w:sz w:val="28"/>
          <w:szCs w:val="28"/>
          <w:rtl w:val="true"/>
          <w:lang w:bidi="ar-SA"/>
        </w:rPr>
        <w:t>ما قطّر الفارس إلّا أنا</w:t>
      </w:r>
    </w:p>
    <w:p>
      <w:pPr>
        <w:pStyle w:val="Heading6"/>
        <w:numPr>
          <w:ilvl w:val="5"/>
          <w:numId w:val="1"/>
        </w:numPr>
        <w:rPr/>
      </w:pPr>
      <w:bookmarkStart w:id="175" w:name="__RefHeading___Toc716644_996550957"/>
      <w:bookmarkStart w:id="176" w:name="_Toc63"/>
      <w:bookmarkEnd w:id="175"/>
      <w:r>
        <w:rPr>
          <w:rtl w:val="true"/>
        </w:rPr>
        <w:t>ذكر حذف الفعل جوازا ووجوبا</w:t>
      </w:r>
      <w:bookmarkEnd w:id="176"/>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 الفعل جائز وواجب ، فالجائز ،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في جواب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قام؟ ونحوه أي قام زيد </w:t>
      </w:r>
      <w:r>
        <w:rPr>
          <w:rStyle w:val="FootnoteAnchor"/>
          <w:rtl w:val="true"/>
        </w:rPr>
        <w:footnoteReference w:id="425"/>
      </w:r>
      <w:r>
        <w:rPr>
          <w:rFonts w:ascii="Amiri" w:hAnsi="Amiri" w:eastAsia="Amiri" w:cs="Amiri"/>
          <w:color w:val="111111"/>
          <w:sz w:val="28"/>
          <w:sz w:val="28"/>
          <w:szCs w:val="28"/>
          <w:rtl w:val="true"/>
          <w:lang w:bidi="ar-SA"/>
        </w:rPr>
        <w:t xml:space="preserve">وكذلك يحذف الفعل جوازا في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يُسَبِّحُ لَهُ فِيها بِالْغُدُوِّ وَالْآصالِ رِجالٌ</w:t>
      </w:r>
      <w:r>
        <w:rPr>
          <w:rFonts w:eastAsia="Amiri" w:cs="Amiri" w:ascii="Amiri" w:hAnsi="Amiri"/>
          <w:color w:val="111111"/>
          <w:sz w:val="28"/>
          <w:szCs w:val="28"/>
          <w:rtl w:val="true"/>
          <w:lang w:bidi="ar-SA"/>
        </w:rPr>
        <w:t>)</w:t>
      </w:r>
      <w:r>
        <w:rPr>
          <w:rStyle w:val="FootnoteAnchor"/>
          <w:rtl w:val="true"/>
        </w:rPr>
        <w:footnoteReference w:id="426"/>
      </w:r>
      <w:r>
        <w:rPr>
          <w:rFonts w:ascii="Amiri" w:hAnsi="Amiri" w:eastAsia="Amiri" w:cs="Amiri"/>
          <w:color w:val="111111"/>
          <w:sz w:val="28"/>
          <w:sz w:val="28"/>
          <w:szCs w:val="28"/>
          <w:rtl w:val="true"/>
          <w:lang w:bidi="ar-SA"/>
        </w:rPr>
        <w:t xml:space="preserve">فيمن قرأ بفتح الباء من يسبح </w:t>
      </w:r>
      <w:r>
        <w:rPr>
          <w:rStyle w:val="FootnoteAnchor"/>
          <w:rtl w:val="true"/>
        </w:rPr>
        <w:footnoteReference w:id="427"/>
      </w:r>
      <w:r>
        <w:rPr>
          <w:rFonts w:ascii="Amiri" w:hAnsi="Amiri" w:eastAsia="Amiri" w:cs="Amiri"/>
          <w:color w:val="111111"/>
          <w:sz w:val="28"/>
          <w:sz w:val="28"/>
          <w:szCs w:val="28"/>
          <w:rtl w:val="true"/>
          <w:lang w:bidi="ar-SA"/>
        </w:rPr>
        <w:t>أي يسبّحه رجال ، فأنت مخيّر في ذلك إن شئت حذفت الفعل لدلالة القرينة عليه ، وإن شئت أظهرته لزيادة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قيل من قام؟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أو قام عمرو حسبما تقدم ، والفعل الواجب حذفه يفسّر </w:t>
      </w:r>
      <w:r>
        <w:rPr>
          <w:rStyle w:val="FootnoteAnchor"/>
          <w:rtl w:val="true"/>
        </w:rPr>
        <w:footnoteReference w:id="428"/>
      </w:r>
      <w:r>
        <w:rPr>
          <w:rFonts w:ascii="Amiri" w:hAnsi="Amiri" w:eastAsia="Amiri" w:cs="Amiri"/>
          <w:color w:val="111111"/>
          <w:sz w:val="28"/>
          <w:sz w:val="28"/>
          <w:szCs w:val="28"/>
          <w:rtl w:val="true"/>
          <w:lang w:bidi="ar-SA"/>
        </w:rPr>
        <w:t xml:space="preserve">بعد حذفه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أَحَدٌ مِنَ الْمُشْرِكِينَ </w:t>
      </w:r>
      <w:bookmarkStart w:id="177" w:name="pg14482_156105"/>
    </w:p>
    <w:p>
      <w:pPr>
        <w:pStyle w:val="BookText"/>
        <w:rPr/>
      </w:pPr>
      <w:bookmarkEnd w:id="177"/>
      <w:r>
        <w:rPr>
          <w:rFonts w:ascii="Amiri" w:hAnsi="Amiri" w:eastAsia="Amiri" w:cs="Amiri"/>
          <w:color w:val="111111"/>
          <w:sz w:val="28"/>
          <w:sz w:val="28"/>
          <w:szCs w:val="28"/>
          <w:rtl w:val="true"/>
          <w:lang w:bidi="ar-SA"/>
        </w:rPr>
        <w:t>اسْتَجارَكَ</w:t>
      </w:r>
      <w:r>
        <w:rPr>
          <w:rFonts w:eastAsia="Amiri" w:cs="Amiri" w:ascii="Amiri" w:hAnsi="Amiri"/>
          <w:color w:val="111111"/>
          <w:sz w:val="28"/>
          <w:szCs w:val="28"/>
          <w:rtl w:val="true"/>
          <w:lang w:bidi="ar-SA"/>
        </w:rPr>
        <w:t>)</w:t>
      </w:r>
      <w:r>
        <w:rPr>
          <w:rStyle w:val="FootnoteAnchor"/>
          <w:rtl w:val="true"/>
        </w:rPr>
        <w:footnoteReference w:id="429"/>
      </w:r>
      <w:r>
        <w:rPr>
          <w:rFonts w:ascii="Amiri" w:hAnsi="Amiri" w:eastAsia="Amiri" w:cs="Amiri"/>
          <w:color w:val="111111"/>
          <w:sz w:val="28"/>
          <w:sz w:val="28"/>
          <w:szCs w:val="28"/>
          <w:rtl w:val="true"/>
          <w:lang w:bidi="ar-SA"/>
        </w:rPr>
        <w:t xml:space="preserve">لأنّ التقدير وإن استجارك أحد من المشركين ، فلو ذهبت لتذكر الفعل ، جمعت بين المفسّر والمفسّر وهو غير جائز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78" w:name="__RefHeading___Toc716646_996550957"/>
      <w:bookmarkStart w:id="179" w:name="_Toc64"/>
      <w:bookmarkEnd w:id="178"/>
      <w:r>
        <w:rPr>
          <w:rtl w:val="true"/>
        </w:rPr>
        <w:t>ذكر تنازع الفعلين</w:t>
      </w:r>
      <w:bookmarkEnd w:id="179"/>
    </w:p>
    <w:p>
      <w:pPr>
        <w:pStyle w:val="BookText"/>
        <w:rPr/>
      </w:pPr>
      <w:r>
        <w:rPr>
          <w:rStyle w:val="FootnoteAnchor"/>
          <w:rtl w:val="true"/>
        </w:rPr>
        <w:footnoteReference w:id="4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بتنازع الفعلين أن كلّا منهما يصلح أن يكون عاملا في الظّاهر بعدهما </w:t>
      </w:r>
      <w:r>
        <w:rPr>
          <w:rStyle w:val="FootnoteAnchor"/>
          <w:rtl w:val="true"/>
        </w:rPr>
        <w:footnoteReference w:id="432"/>
      </w:r>
      <w:r>
        <w:rPr>
          <w:rFonts w:ascii="Amiri" w:hAnsi="Amiri" w:eastAsia="Amiri" w:cs="Amiri"/>
          <w:color w:val="111111"/>
          <w:sz w:val="28"/>
          <w:sz w:val="28"/>
          <w:szCs w:val="28"/>
          <w:rtl w:val="true"/>
          <w:lang w:bidi="ar-SA"/>
        </w:rPr>
        <w:t xml:space="preserve">وتنازعهما على أربعة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الأوّل على جهة الفاعليّة والثاني على جهة المفعوليّة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ضربني وأكرمت زيدا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عكسه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وأكرمني زيدا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تنازعهما على جهة المفعوليّة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ضربني وأكرمني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تنازعهما على جهة المفعوليّة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وأكرمت زيدا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والبصريون يختارون إعمال الثاني ، لأنّ المعمول كالتتمّة للعامل ، فكان الثاني أولى لقربه ، والكوفيون يختارون إعمال الأوّل ، لأنّ السّابق أولى </w:t>
      </w:r>
      <w:r>
        <w:rPr>
          <w:rStyle w:val="FootnoteAnchor"/>
          <w:rtl w:val="true"/>
        </w:rPr>
        <w:footnoteReference w:id="434"/>
      </w:r>
      <w:r>
        <w:rPr>
          <w:rFonts w:ascii="Amiri" w:hAnsi="Amiri" w:eastAsia="Amiri" w:cs="Amiri"/>
          <w:color w:val="111111"/>
          <w:sz w:val="28"/>
          <w:sz w:val="28"/>
          <w:szCs w:val="28"/>
          <w:rtl w:val="true"/>
          <w:lang w:bidi="ar-SA"/>
        </w:rPr>
        <w:t xml:space="preserve">فإن أعملت الثاني ، والأوّل يقتضي الفاعل أضمرت الفاعل في الأوّل على وفق الظاهر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ضربني وضربت زيدا ، فتضمر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ضربني ، ضميرا وفقا لزيد ، ويستتر إذا كان مفردا كما في المثال المذكور ، ويظهر في التثنية والجمع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ضرباني وضربت الزيدين ، وضربوني وضربت الزيدين ، والكسائيّ يجيزها على حذف الفاعل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ضربني وضربت الزيدين ، فلا يبرز ضمير المثنّى في ضربني لأنّ الفاعل عنده </w:t>
      </w:r>
      <w:bookmarkStart w:id="180" w:name="pg14482_156106"/>
    </w:p>
    <w:p>
      <w:pPr>
        <w:pStyle w:val="BookText"/>
        <w:rPr/>
      </w:pPr>
      <w:bookmarkEnd w:id="180"/>
      <w:r>
        <w:rPr>
          <w:rFonts w:ascii="IRNazanin" w:hAnsi="IRNazanin" w:eastAsia="IRNazanin"/>
          <w:color w:val="111111"/>
          <w:sz w:val="28"/>
          <w:sz w:val="28"/>
          <w:szCs w:val="28"/>
          <w:rtl w:val="true"/>
          <w:lang w:bidi="fa-IR"/>
        </w:rPr>
        <w:t xml:space="preserve">محذوف </w:t>
      </w:r>
      <w:r>
        <w:rPr>
          <w:rStyle w:val="FootnoteAnchor"/>
          <w:rtl w:val="true"/>
        </w:rPr>
        <w:footnoteReference w:id="435"/>
      </w:r>
      <w:r>
        <w:rPr>
          <w:rFonts w:ascii="Amiri" w:hAnsi="Amiri" w:eastAsia="Amiri" w:cs="Amiri"/>
          <w:color w:val="111111"/>
          <w:sz w:val="28"/>
          <w:sz w:val="28"/>
          <w:szCs w:val="28"/>
          <w:rtl w:val="true"/>
          <w:lang w:bidi="ar-SA"/>
        </w:rPr>
        <w:t xml:space="preserve">، والفرّاء </w:t>
      </w:r>
      <w:r>
        <w:rPr>
          <w:rStyle w:val="FootnoteAnchor"/>
          <w:rtl w:val="true"/>
        </w:rPr>
        <w:footnoteReference w:id="436"/>
      </w:r>
      <w:r>
        <w:rPr>
          <w:rFonts w:ascii="Amiri" w:hAnsi="Amiri" w:eastAsia="Amiri" w:cs="Amiri"/>
          <w:color w:val="111111"/>
          <w:sz w:val="28"/>
          <w:sz w:val="28"/>
          <w:szCs w:val="28"/>
          <w:rtl w:val="true"/>
          <w:lang w:bidi="ar-SA"/>
        </w:rPr>
        <w:t xml:space="preserve">يمنع من حذف الفاعل ومن الإضمار قبل الذّكر ، ويقول إذا توجّه الفعلان إلى الظّاهر على جهة الفاعليّة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وقعد زيد ، فزيد مرفوع بهما </w:t>
      </w:r>
      <w:r>
        <w:rPr>
          <w:rStyle w:val="FootnoteAnchor"/>
          <w:rtl w:val="true"/>
        </w:rPr>
        <w:footnoteReference w:id="437"/>
      </w:r>
      <w:r>
        <w:rPr>
          <w:rFonts w:ascii="Amiri" w:hAnsi="Amiri" w:eastAsia="Amiri" w:cs="Amiri"/>
          <w:color w:val="111111"/>
          <w:sz w:val="28"/>
          <w:sz w:val="28"/>
          <w:szCs w:val="28"/>
          <w:rtl w:val="true"/>
          <w:lang w:bidi="ar-SA"/>
        </w:rPr>
        <w:t xml:space="preserve">وهو باطل ، لتعذّر أن يفعل الاسم الواحد الفعلين في حالة واحدة </w:t>
      </w:r>
      <w:r>
        <w:rPr>
          <w:rStyle w:val="FootnoteAnchor"/>
          <w:rtl w:val="true"/>
        </w:rPr>
        <w:footnoteReference w:id="438"/>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ضربني وضربت زيدا هو ، فتجعل هو فاعل ضربني لصّحة رجوعه إلى زيد ، لتقدّمه عليه لفظا ، وإن احتاج الأوّل إلى مفعول فاحذفه ، لأنّه فضلة يستغنى عنه إلّا أن يكون هو المفعول الثاني من باب ظننت ، فإنّه لا يحذف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ظنّني قائما وظننت زيدا قائما </w:t>
      </w:r>
      <w:r>
        <w:rPr>
          <w:rStyle w:val="FootnoteAnchor"/>
          <w:rtl w:val="true"/>
        </w:rPr>
        <w:footnoteReference w:id="439"/>
      </w:r>
      <w:r>
        <w:rPr>
          <w:rFonts w:ascii="Amiri" w:hAnsi="Amiri" w:eastAsia="Amiri" w:cs="Amiri"/>
          <w:color w:val="111111"/>
          <w:sz w:val="28"/>
          <w:sz w:val="28"/>
          <w:szCs w:val="28"/>
          <w:rtl w:val="true"/>
          <w:lang w:bidi="ar-SA"/>
        </w:rPr>
        <w:t xml:space="preserve">فلو أضمرته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إياه وعلمت زيدا منطلقا ، لم يجز لأنّ المفعول لا يضمر قبل الذّكر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أعملت الأوّل على اختيار الكوفيين أضمرت الفاعل في الثاني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وضرباني الزيدين ، وليس ذلك إضمارا قبل الذكر ، وإن احتاج الثاني إلى مفعول ، فالمختار إضماره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ضربني وضربته زيد ، وإن عسر إضماره ، أظهرته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ظننت وظنّاني قائما الزيدين قائمين ، لأنّك 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ظننت وظنّاني إياه الزيدين قائمين ، لم يستقم لرجوع إياه وهو مفرد إلى قائمين وهو مثنّى ، وإن جعلت إياه مثنّى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ظننت وظنّاني إياهما ، لم يستقم أيضا ، لأنّه خبر عن مفرد ، وهو المفعول الأوّل في ظناني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1" w:name="__RefHeading___Toc716648_996550957"/>
      <w:bookmarkStart w:id="182" w:name="_Toc65"/>
      <w:bookmarkEnd w:id="181"/>
      <w:r>
        <w:rPr/>
        <w:t>2</w:t>
      </w:r>
      <w:r>
        <w:rPr>
          <w:rtl w:val="true"/>
        </w:rPr>
        <w:t xml:space="preserve">- </w:t>
      </w:r>
      <w:r>
        <w:rPr>
          <w:rtl w:val="true"/>
        </w:rPr>
        <w:t>ذكر مفعول ما لم يسمّ فاعله</w:t>
      </w:r>
      <w:bookmarkEnd w:id="182"/>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كلّ مفعول لفعل حذف فاعله ورفع هو لإقامته مقام الفاعل ، وشرط فعله إن كان ماضيا أن ينقل من فعل إلى فعل ، وإن كان مستقبلا أن ينقل من يفعل إلى يفعل ، عبّر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يفعل عن جميع الأفعال التي ذكر معها فاعلها ، 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يفعل عن </w:t>
      </w:r>
    </w:p>
    <w:p>
      <w:pPr>
        <w:pStyle w:val="BookText"/>
        <w:rPr/>
      </w:pPr>
      <w:r>
        <w:rPr>
          <w:rFonts w:ascii="Amiri" w:hAnsi="Amiri" w:eastAsia="Amiri" w:cs="Amiri"/>
          <w:color w:val="111111"/>
          <w:sz w:val="28"/>
          <w:sz w:val="28"/>
          <w:szCs w:val="28"/>
          <w:rtl w:val="true"/>
          <w:lang w:bidi="ar-SA"/>
        </w:rPr>
        <w:t xml:space="preserve">جميع الأفعال التي حذف فاعلها ، وصار ذلك كاللّقب لها </w:t>
      </w:r>
      <w:r>
        <w:rPr>
          <w:rStyle w:val="FootnoteAnchor"/>
          <w:rtl w:val="true"/>
        </w:rPr>
        <w:footnoteReference w:id="4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يصحّ وقوع المفعول الثاني </w:t>
      </w:r>
      <w:r>
        <w:rPr>
          <w:rStyle w:val="FootnoteAnchor"/>
          <w:rtl w:val="true"/>
        </w:rPr>
        <w:footnoteReference w:id="443"/>
      </w:r>
      <w:r>
        <w:rPr>
          <w:rFonts w:ascii="Amiri" w:hAnsi="Amiri" w:eastAsia="Amiri" w:cs="Amiri"/>
          <w:color w:val="111111"/>
          <w:sz w:val="28"/>
          <w:sz w:val="28"/>
          <w:szCs w:val="28"/>
          <w:rtl w:val="true"/>
          <w:lang w:bidi="ar-SA"/>
        </w:rPr>
        <w:t xml:space="preserve">من باب علمت موقع الفاعل ، لأنّه مسند إلى الأوّل في المعنى فلو أسند الفعل إليه لصار مسندا ، ومسندا إليه في حالة واحدة ، والثالث من باب أعلمت كذلك ، والمفعول له كذلك أيضا ، لأنّ نصبه هو المشعر بالعلّيّة ، وإقامته مقام الفاعل توجب رفعه فيتدافعان ، والمفعول معه كذلك ، لأنّ شرطه أن يكون مع الفاعل </w:t>
      </w:r>
      <w:r>
        <w:rPr>
          <w:rStyle w:val="FootnoteAnchor"/>
          <w:rtl w:val="true"/>
        </w:rPr>
        <w:footnoteReference w:id="444"/>
      </w:r>
      <w:r>
        <w:rPr>
          <w:rFonts w:ascii="Amiri" w:hAnsi="Amiri" w:eastAsia="Amiri" w:cs="Amiri"/>
          <w:color w:val="111111"/>
          <w:sz w:val="28"/>
          <w:sz w:val="28"/>
          <w:szCs w:val="28"/>
          <w:rtl w:val="true"/>
          <w:lang w:bidi="ar-SA"/>
        </w:rPr>
        <w:t xml:space="preserve">، وشرط مفعول ما لم يسمّ فاعله حذف الفاعل فيتدافعان ، وإذا تعدّدت المفاعيل وفيها مفعول به تعيّن أن يقام مقام الفاعل دون غيره ، كزيدا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زيدا ضربا شديدا يوم الجمعة أمام الأمير في داره </w:t>
      </w:r>
      <w:r>
        <w:rPr>
          <w:rStyle w:val="FootnoteAnchor"/>
          <w:rtl w:val="true"/>
        </w:rPr>
        <w:footnoteReference w:id="445"/>
      </w:r>
      <w:r>
        <w:rPr>
          <w:rFonts w:ascii="Amiri" w:hAnsi="Amiri" w:eastAsia="Amiri" w:cs="Amiri"/>
          <w:color w:val="111111"/>
          <w:sz w:val="28"/>
          <w:sz w:val="28"/>
          <w:szCs w:val="28"/>
          <w:rtl w:val="true"/>
          <w:lang w:bidi="ar-SA"/>
        </w:rPr>
        <w:t xml:space="preserve">خلافا للكوفيين فإنهم يجيزون إقامة غيره فيرفعونه ويبقون المفعول به الصريح منصوبا ويستدلّون بقراءة أبي جعفر المدنيّ </w:t>
      </w:r>
      <w:r>
        <w:rPr>
          <w:rStyle w:val="FootnoteAnchor"/>
          <w:rtl w:val="true"/>
        </w:rPr>
        <w:footnoteReference w:id="446"/>
      </w:r>
      <w:r>
        <w:rPr>
          <w:rFonts w:ascii="Amiri" w:hAnsi="Amiri" w:eastAsia="Amiri" w:cs="Amiri"/>
          <w:color w:val="111111"/>
          <w:sz w:val="28"/>
          <w:sz w:val="28"/>
          <w:szCs w:val="28"/>
          <w:rtl w:val="true"/>
          <w:lang w:bidi="ar-SA"/>
        </w:rPr>
        <w:t xml:space="preserve">شيخ نافع </w:t>
      </w:r>
      <w:r>
        <w:rPr>
          <w:rStyle w:val="FootnoteAnchor"/>
          <w:rtl w:val="true"/>
        </w:rPr>
        <w:footnoteReference w:id="447"/>
      </w:r>
      <w:r>
        <w:rPr>
          <w:rFonts w:ascii="Amiri" w:hAnsi="Amiri" w:eastAsia="Amiri" w:cs="Amiri"/>
          <w:color w:val="111111"/>
          <w:sz w:val="28"/>
          <w:sz w:val="28"/>
          <w:szCs w:val="28"/>
          <w:rtl w:val="true"/>
          <w:lang w:bidi="ar-SA"/>
        </w:rPr>
        <w:t xml:space="preserve">ويخرج </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 xml:space="preserve">انظر النشر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والاتحاف ،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يوم القيامة كتابا يلقاه منشورا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ومثله في قراءته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لِيَجْزِيَ قَوْماً بِما كانُوا يَكْسِبُونَ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وبقول الشاعر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bookmarkStart w:id="183" w:name="pg14482_156108"/>
    </w:p>
    <w:p>
      <w:pPr>
        <w:pStyle w:val="BookText"/>
        <w:rPr/>
      </w:pPr>
      <w:bookmarkEnd w:id="183"/>
      <w:r>
        <w:rPr>
          <w:rFonts w:ascii="Amiri" w:hAnsi="Amiri" w:eastAsia="Amiri" w:cs="Amiri"/>
          <w:color w:val="111111"/>
          <w:sz w:val="28"/>
          <w:sz w:val="28"/>
          <w:szCs w:val="28"/>
          <w:rtl w:val="true"/>
          <w:lang w:bidi="ar-SA"/>
        </w:rPr>
        <w:t>ولو ولدت قفيرة جرو كلب</w:t>
      </w:r>
    </w:p>
    <w:p>
      <w:pPr>
        <w:pStyle w:val="BookText"/>
        <w:rPr/>
      </w:pPr>
      <w:r>
        <w:rPr>
          <w:rFonts w:ascii="Amiri" w:hAnsi="Amiri" w:eastAsia="Amiri" w:cs="Amiri"/>
          <w:color w:val="111111"/>
          <w:sz w:val="28"/>
          <w:sz w:val="28"/>
          <w:szCs w:val="28"/>
          <w:rtl w:val="true"/>
          <w:lang w:bidi="ar-SA"/>
        </w:rPr>
        <w:t>لسبّ بذلك الجرو الكلابا</w:t>
      </w:r>
    </w:p>
    <w:p>
      <w:pPr>
        <w:pStyle w:val="BookText"/>
        <w:rPr/>
      </w:pPr>
      <w:r>
        <w:rPr>
          <w:rFonts w:ascii="Amiri" w:hAnsi="Amiri" w:eastAsia="Amiri" w:cs="Amiri"/>
          <w:color w:val="111111"/>
          <w:sz w:val="28"/>
          <w:sz w:val="28"/>
          <w:szCs w:val="28"/>
          <w:rtl w:val="true"/>
          <w:lang w:bidi="ar-SA"/>
        </w:rPr>
        <w:t xml:space="preserve">فأقام الجار والمجرور مقام الفاعل ونصب المفعول الصّريح ، والبصريون يتأولون ذلك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واعلم أنّ المفاعيل إذا تعدّدت وأقمت أحدها مقام الفاعل فلك الخيار في تقديمه وتأخيره عند عدم اللّبس ، فإذا التبس وجب أن يلي المقام الفعل ، فقوله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وَجِيءَ يَوْمَئِذٍ بِجَهَنَّمَ</w:t>
      </w:r>
      <w:r>
        <w:rPr>
          <w:rFonts w:eastAsia="Amiri" w:cs="Amiri" w:ascii="Amiri" w:hAnsi="Amiri"/>
          <w:color w:val="111111"/>
          <w:sz w:val="28"/>
          <w:szCs w:val="28"/>
          <w:rtl w:val="true"/>
          <w:lang w:bidi="ar-SA"/>
        </w:rPr>
        <w:t>)</w:t>
      </w:r>
      <w:r>
        <w:rPr>
          <w:rStyle w:val="FootnoteAnchor"/>
          <w:rtl w:val="true"/>
        </w:rPr>
        <w:footnoteReference w:id="450"/>
      </w:r>
      <w:r>
        <w:rPr>
          <w:rFonts w:ascii="Amiri" w:hAnsi="Amiri" w:eastAsia="Amiri" w:cs="Amiri"/>
          <w:color w:val="111111"/>
          <w:sz w:val="28"/>
          <w:sz w:val="28"/>
          <w:szCs w:val="28"/>
          <w:rtl w:val="true"/>
          <w:lang w:bidi="ar-SA"/>
        </w:rPr>
        <w:t xml:space="preserve">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وإذا تعدّدت المفاعيل التي تقام مقام الفاعل ولم يكن فيها مفعول به رفعت ما شئت لقيامه مقام الفاعل وتركت البواقي على ما تقتضيه </w:t>
      </w:r>
      <w:r>
        <w:rPr>
          <w:rStyle w:val="FootnoteAnchor"/>
          <w:rtl w:val="true"/>
        </w:rPr>
        <w:footnoteReference w:id="451"/>
      </w:r>
      <w:r>
        <w:rPr>
          <w:rFonts w:ascii="Amiri" w:hAnsi="Amiri" w:eastAsia="Amiri" w:cs="Amiri"/>
          <w:color w:val="111111"/>
          <w:sz w:val="28"/>
          <w:sz w:val="28"/>
          <w:szCs w:val="28"/>
          <w:rtl w:val="true"/>
          <w:lang w:bidi="ar-SA"/>
        </w:rPr>
        <w:t xml:space="preserve">والأولى ؛ أن يقام المفعول الأول من باب أعطيت مقام الفاعل دون الثاني </w:t>
      </w:r>
      <w:r>
        <w:rPr>
          <w:rStyle w:val="FootnoteAnchor"/>
          <w:rtl w:val="true"/>
        </w:rPr>
        <w:footnoteReference w:id="452"/>
      </w:r>
      <w:r>
        <w:rPr>
          <w:rFonts w:ascii="Amiri" w:hAnsi="Amiri" w:eastAsia="Amiri" w:cs="Amiri"/>
          <w:color w:val="111111"/>
          <w:sz w:val="28"/>
          <w:sz w:val="28"/>
          <w:szCs w:val="28"/>
          <w:rtl w:val="true"/>
          <w:lang w:bidi="ar-SA"/>
        </w:rPr>
        <w:t xml:space="preserve">ففي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أعطيت زيدا درهما ، الأولى أن يقام زيد مقام الفاعل دون الدّرهم ، لأنّ زيدا عاط أي متناول ففيه معنى الفاعليّة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4" w:name="__RefHeading___Toc716650_996550957"/>
      <w:bookmarkStart w:id="185" w:name="_Toc66"/>
      <w:bookmarkEnd w:id="184"/>
      <w:r>
        <w:rPr/>
        <w:t>3</w:t>
      </w:r>
      <w:r>
        <w:rPr>
          <w:rtl w:val="true"/>
        </w:rPr>
        <w:t xml:space="preserve">- </w:t>
      </w:r>
      <w:r>
        <w:rPr>
          <w:rtl w:val="true"/>
        </w:rPr>
        <w:t>ذكر المبتدأ</w:t>
      </w:r>
      <w:bookmarkEnd w:id="185"/>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المؤول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المجرّد عن العوامل اللفظيّة مسندا إليه أو الصّفة الواقعة بعد حرف الاستفهام ، أو حرف النّفي ، رافعة لظاهر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قائم </w:t>
      </w:r>
      <w:r>
        <w:rPr>
          <w:rStyle w:val="FootnoteAnchor"/>
          <w:rtl w:val="true"/>
        </w:rPr>
        <w:footnoteReference w:id="455"/>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تسمع بالمعيديّ خير من أن تراه</w:t>
      </w:r>
      <w:r>
        <w:rPr>
          <w:rFonts w:eastAsia="Amiri" w:cs="Amiri" w:ascii="Amiri" w:hAnsi="Amiri"/>
          <w:color w:val="111111"/>
          <w:sz w:val="28"/>
          <w:szCs w:val="28"/>
          <w:rtl w:val="true"/>
          <w:lang w:bidi="ar-SA"/>
        </w:rPr>
        <w:t xml:space="preserve">» </w:t>
      </w:r>
      <w:r>
        <w:rPr>
          <w:rStyle w:val="FootnoteAnchor"/>
          <w:rtl w:val="true"/>
        </w:rPr>
        <w:footnoteReference w:id="4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تَصُومُوا خَيْرٌ لَكُمْ</w:t>
      </w:r>
      <w:r>
        <w:rPr>
          <w:rFonts w:eastAsia="Amiri" w:cs="Amiri" w:ascii="Amiri" w:hAnsi="Amiri"/>
          <w:color w:val="111111"/>
          <w:sz w:val="28"/>
          <w:szCs w:val="28"/>
          <w:rtl w:val="true"/>
          <w:lang w:bidi="ar-SA"/>
        </w:rPr>
        <w:t>)</w:t>
      </w:r>
      <w:r>
        <w:rPr>
          <w:rStyle w:val="FootnoteAnchor"/>
          <w:rtl w:val="true"/>
        </w:rPr>
        <w:footnoteReference w:id="457"/>
      </w:r>
      <w:r>
        <w:rPr>
          <w:rFonts w:ascii="Amiri" w:hAnsi="Amiri" w:eastAsia="Amiri" w:cs="Amiri"/>
          <w:color w:val="111111"/>
          <w:sz w:val="28"/>
          <w:sz w:val="28"/>
          <w:szCs w:val="28"/>
          <w:rtl w:val="true"/>
          <w:lang w:bidi="ar-SA"/>
        </w:rPr>
        <w:t>أي سماعك وصومكم</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عن العوامل اللفظيّة ، احترز به عن أسماء إنّ وكان وما ولا المشبّهتين بليس ، وعن المفعول الأوّل من باب علمت ، والثاني من باب أعلمت ، وعلم من احترازه عن العوامل اللفظيّة خاصة أنّه لا يحترز عن العوامل المعنويّة ، فإنّ المبتدأ لم يتجرّد عنها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مسندا إليه ، احترز به عن الخبر ، لأنّه مجرّد ، ولكن غير مسند إليه ، وعن مثل الأصوات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غاق ، وألفاظ العدد ، وحروف التهجّي فإنّها مجرّدة ولكن ليست مسندا إليها ، لأنّها غير معربة لفقد التركيب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الصفة الواقعة بعد حرف الاستفهام أو حرف النفي رافعة لظاهر ، إنّما أفردها بالذكر لأنّها لم تدخل في رسم المبتدأ لكونها غير مسند إليها ، ولم تدخل في رسم الخبر ، لأنّ فاعلها سدّ مسدّ الخبر ، وذلك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أقائم الزيدان </w:t>
      </w:r>
      <w:r>
        <w:rPr>
          <w:rStyle w:val="FootnoteAnchor"/>
          <w:rtl w:val="true"/>
        </w:rPr>
        <w:footnoteReference w:id="458"/>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رافعة لظاهر ، معناه أنّ هذه الصفة لا تقع مبتدأ إلّا بشرط أن تتجرّد عن الضمير المستكنّ فيها ، لترفع الظاهر الذي بعدها ، لأنّها كالفعل إذا رفع الظاهر </w:t>
      </w:r>
      <w:r>
        <w:rPr>
          <w:rStyle w:val="FootnoteAnchor"/>
          <w:rtl w:val="true"/>
        </w:rPr>
        <w:footnoteReference w:id="459"/>
      </w:r>
      <w:r>
        <w:rPr>
          <w:rFonts w:ascii="Amiri" w:hAnsi="Amiri" w:eastAsia="Amiri" w:cs="Amiri"/>
          <w:color w:val="111111"/>
          <w:sz w:val="28"/>
          <w:sz w:val="28"/>
          <w:szCs w:val="28"/>
          <w:rtl w:val="true"/>
          <w:lang w:bidi="ar-SA"/>
        </w:rPr>
        <w:t xml:space="preserve">واحترز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رافعة لظاهر عن الرافعة للمضمر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أقائمان الزيدان ، وأقائمون الزيدون ، فإنّ قائمان وقائمون متعيّن للخبر </w:t>
      </w:r>
      <w:r>
        <w:rPr>
          <w:rStyle w:val="FootnoteAnchor"/>
          <w:rtl w:val="true"/>
        </w:rPr>
        <w:footnoteReference w:id="460"/>
      </w:r>
      <w:r>
        <w:rPr>
          <w:rFonts w:ascii="Amiri" w:hAnsi="Amiri" w:eastAsia="Amiri" w:cs="Amiri"/>
          <w:color w:val="111111"/>
          <w:sz w:val="28"/>
          <w:sz w:val="28"/>
          <w:szCs w:val="28"/>
          <w:rtl w:val="true"/>
          <w:lang w:bidi="ar-SA"/>
        </w:rPr>
        <w:t xml:space="preserve">لأنّ كلّا منهما رافع لضمير متّصل مستقرّ فيه لا للظّاهر الذي بعده لأنّ أقائمان وأقائمون لو كان مبتدأ ، لم يثنّ ولم يجمع ، لأنّ الفعل وشبهه إذا أسند إلى الظّاهر لم يثنّ ولم يجمع على مذهب الأكثر ، لكن يجوز ذلك على لغة أكلوني البراغيث وهي لغة ضعيفة </w:t>
      </w:r>
      <w:r>
        <w:rPr>
          <w:rStyle w:val="FootnoteAnchor"/>
          <w:rtl w:val="true"/>
        </w:rPr>
        <w:footnoteReference w:id="461"/>
      </w:r>
      <w:r>
        <w:rPr>
          <w:rFonts w:ascii="Amiri" w:hAnsi="Amiri" w:eastAsia="Amiri" w:cs="Amiri"/>
          <w:color w:val="111111"/>
          <w:sz w:val="28"/>
          <w:sz w:val="28"/>
          <w:szCs w:val="28"/>
          <w:rtl w:val="true"/>
          <w:lang w:bidi="ar-SA"/>
        </w:rPr>
        <w:t xml:space="preserve">، فيجوز عليها أن يقع قائمان وقائمون مبتدأ مجرّدا عن المضمر ، رافعا للظّاهر الذي بعده ويكون الزيدان والزيدون فاعلا سدّ مسدّ الخبر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 xml:space="preserve">. </w:t>
      </w:r>
      <w:bookmarkStart w:id="186" w:name="pg14482_156110"/>
    </w:p>
    <w:p>
      <w:pPr>
        <w:pStyle w:val="BookText"/>
        <w:rPr/>
      </w:pPr>
      <w:bookmarkEnd w:id="186"/>
      <w:r>
        <w:rPr>
          <w:rFonts w:ascii="Amiri" w:hAnsi="Amiri" w:eastAsia="Amiri" w:cs="Amiri"/>
          <w:color w:val="111111"/>
          <w:sz w:val="28"/>
          <w:sz w:val="28"/>
          <w:szCs w:val="28"/>
          <w:rtl w:val="true"/>
          <w:lang w:bidi="ar-SA"/>
        </w:rPr>
        <w:t xml:space="preserve">واعلم أنّه 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أن يزاد في رسم الصفة المذكورة لفظة مستغنى به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رافعة لظاهر مستغنى به ، لئلا يرد النّقض بمثل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أقائم أبوه زيد ، فإنّها رفعت ظاهرا وهو أبوه ومع ذلك ليست مبتدأ ، فإنّ المبتدأ في المثال المذكور هو زيد ، لا أبوه المرفوع بالصّفة المذكورة </w:t>
      </w:r>
      <w:r>
        <w:rPr>
          <w:rStyle w:val="FootnoteAnchor"/>
          <w:rtl w:val="true"/>
        </w:rPr>
        <w:footnoteReference w:id="463"/>
      </w:r>
      <w:r>
        <w:rPr>
          <w:rFonts w:ascii="Amiri" w:hAnsi="Amiri" w:eastAsia="Amiri" w:cs="Amiri"/>
          <w:color w:val="111111"/>
          <w:sz w:val="28"/>
          <w:sz w:val="28"/>
          <w:szCs w:val="28"/>
          <w:rtl w:val="true"/>
          <w:lang w:bidi="ar-SA"/>
        </w:rPr>
        <w:t xml:space="preserve">، وإذا طابقت الصفة المذكورة مفردا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أقائم زيد وما قائم زيد جاز </w:t>
      </w:r>
      <w:r>
        <w:rPr>
          <w:rStyle w:val="FootnoteAnchor"/>
          <w:rtl w:val="true"/>
        </w:rPr>
        <w:footnoteReference w:id="464"/>
      </w:r>
      <w:r>
        <w:rPr>
          <w:rFonts w:ascii="Amiri" w:hAnsi="Amiri" w:eastAsia="Amiri" w:cs="Amiri"/>
          <w:color w:val="111111"/>
          <w:sz w:val="28"/>
          <w:sz w:val="28"/>
          <w:szCs w:val="28"/>
          <w:rtl w:val="true"/>
          <w:lang w:bidi="ar-SA"/>
        </w:rPr>
        <w:t xml:space="preserve">أن تكون الصّفة حينئذ </w:t>
      </w:r>
      <w:r>
        <w:rPr>
          <w:rStyle w:val="FootnoteAnchor"/>
          <w:rtl w:val="true"/>
        </w:rPr>
        <w:footnoteReference w:id="465"/>
      </w:r>
      <w:r>
        <w:rPr>
          <w:rFonts w:ascii="Amiri" w:hAnsi="Amiri" w:eastAsia="Amiri" w:cs="Amiri"/>
          <w:color w:val="111111"/>
          <w:sz w:val="28"/>
          <w:sz w:val="28"/>
          <w:szCs w:val="28"/>
          <w:rtl w:val="true"/>
          <w:lang w:bidi="ar-SA"/>
        </w:rPr>
        <w:t xml:space="preserve">مبتدأ وما بعدها فاعلها ، وجاز أن تكون خبرا مقدّما وما بعدها المبتدأ ، وإذا كانت خبرا كان فيها ضمير مستكنّ ، وإنّما خصّص مطابقتها للمفرد بذلك ، لأنّها إذا طابقت مثنّى أو مجموعا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أقائمان الزيدان وما قائمون الزيدون ، لم يجز الأمران عند الأكثر ، بل تتعين الصفة حينئذ للخبر وتكون رافعة للمضمر المستتر فيها ، ويتعيّن الظاهر الذي بعدها للمبتدأ ، وأما على لغة أكلوني البراغيث فلا يتعيّن ذلك ، وجاز أن تكون مبتدأ وتكون حينئذ مجرّدة عن الضّمير المستتر رافعة لما بعدها حسبما تقدّمت الإشارة إليه ، وقد أشكل منع الشّيخ أبي عمرو بن الحاجب </w:t>
      </w:r>
      <w:r>
        <w:rPr>
          <w:rStyle w:val="FootnoteAnchor"/>
          <w:rtl w:val="true"/>
        </w:rPr>
        <w:footnoteReference w:id="466"/>
      </w:r>
      <w:r>
        <w:rPr>
          <w:rFonts w:ascii="Amiri" w:hAnsi="Amiri" w:eastAsia="Amiri" w:cs="Amiri"/>
          <w:color w:val="111111"/>
          <w:sz w:val="28"/>
          <w:sz w:val="28"/>
          <w:szCs w:val="28"/>
          <w:rtl w:val="true"/>
          <w:lang w:bidi="ar-SA"/>
        </w:rPr>
        <w:t xml:space="preserve">تثنية الصّفة وجمعها في هذا الباب ، وتجويزه ذلك على ضعف في النّعت حيث قال الشيخ </w:t>
      </w:r>
      <w:r>
        <w:rPr>
          <w:rStyle w:val="FootnoteAnchor"/>
          <w:rtl w:val="true"/>
        </w:rPr>
        <w:footnoteReference w:id="46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وحسن قام رجل قاعد غلمانه وضعف قاعدون غلمانه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فيتأمّل</w:t>
      </w:r>
      <w:r>
        <w:rPr>
          <w:rFonts w:eastAsia="Amiri" w:cs="Amiri" w:ascii="Amiri" w:hAnsi="Amiri"/>
          <w:color w:val="111111"/>
          <w:sz w:val="28"/>
          <w:szCs w:val="28"/>
          <w:rtl w:val="true"/>
          <w:lang w:bidi="ar-SA"/>
        </w:rPr>
        <w:t>.</w:t>
      </w:r>
    </w:p>
    <w:p>
      <w:pPr>
        <w:pStyle w:val="Heading5"/>
        <w:numPr>
          <w:ilvl w:val="4"/>
          <w:numId w:val="1"/>
        </w:numPr>
        <w:rPr/>
      </w:pPr>
      <w:bookmarkStart w:id="187" w:name="__RefHeading___Toc716652_996550957"/>
      <w:bookmarkStart w:id="188" w:name="_Toc67"/>
      <w:bookmarkEnd w:id="187"/>
      <w:r>
        <w:rPr/>
        <w:t>4</w:t>
      </w:r>
      <w:r>
        <w:rPr>
          <w:rtl w:val="true"/>
        </w:rPr>
        <w:t xml:space="preserve">- </w:t>
      </w:r>
      <w:r>
        <w:rPr>
          <w:rtl w:val="true"/>
        </w:rPr>
        <w:t>ذكر الخبر</w:t>
      </w:r>
      <w:bookmarkEnd w:id="188"/>
    </w:p>
    <w:p>
      <w:pPr>
        <w:pStyle w:val="Heading6"/>
        <w:numPr>
          <w:ilvl w:val="5"/>
          <w:numId w:val="1"/>
        </w:numPr>
        <w:rPr/>
      </w:pPr>
      <w:bookmarkStart w:id="189" w:name="__RefHeading___Toc716654_996550957"/>
      <w:bookmarkStart w:id="190" w:name="_Toc68"/>
      <w:bookmarkEnd w:id="189"/>
      <w:r>
        <w:rPr>
          <w:rtl w:val="true"/>
        </w:rPr>
        <w:t>اشارة</w:t>
      </w:r>
      <w:bookmarkEnd w:id="190"/>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المجرّد المسند به المغاير للصّفة المذكورة ،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المجرّد ، احترز به عن </w:t>
      </w:r>
      <w:bookmarkStart w:id="191" w:name="pg14482_156111"/>
    </w:p>
    <w:p>
      <w:pPr>
        <w:pStyle w:val="BookText"/>
        <w:rPr/>
      </w:pPr>
      <w:bookmarkEnd w:id="191"/>
      <w:r>
        <w:rPr>
          <w:rFonts w:ascii="Amiri" w:hAnsi="Amiri" w:eastAsia="Amiri" w:cs="Amiri"/>
          <w:color w:val="111111"/>
          <w:sz w:val="28"/>
          <w:sz w:val="28"/>
          <w:szCs w:val="28"/>
          <w:rtl w:val="true"/>
          <w:lang w:bidi="ar-SA"/>
        </w:rPr>
        <w:t xml:space="preserve">خبر إنّ وكان ونحوهما ، فإنّه مسند به وليس مجرّدا عن العوامل اللفظيّة ، وإنما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المجرّد ، 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الاسم المجرّد ، لأنّ خبر المبتدأ قد يكون غير اسم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المسند به ، احترز به عن المبتدإ الذي هو المسند إليه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المغاير للصّفة المذكورة ، احترز به عن الصّفة الواقعة بعد حرف الاستفهام وحرف النفي المقدّمة الذكر مع المبتدإ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أقائم أخواك ، والمراد بالمغايرة للصّفة المذكورة </w:t>
      </w:r>
      <w:r>
        <w:rPr>
          <w:rStyle w:val="FootnoteAnchor"/>
          <w:rtl w:val="true"/>
        </w:rPr>
        <w:footnoteReference w:id="469"/>
      </w:r>
      <w:r>
        <w:rPr>
          <w:rFonts w:ascii="Amiri" w:hAnsi="Amiri" w:eastAsia="Amiri" w:cs="Amiri"/>
          <w:color w:val="111111"/>
          <w:sz w:val="28"/>
          <w:sz w:val="28"/>
          <w:szCs w:val="28"/>
          <w:rtl w:val="true"/>
          <w:lang w:bidi="ar-SA"/>
        </w:rPr>
        <w:t xml:space="preserve">إمّا أن لا يكون صفة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غلامك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يكون صفة ولا يكون بعد حرف النفي أو ألف الاستفهام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يكون صفة واقعة بعد أحدهما ، ولا تكون رافعة لظاهر ، كأقائمان الزيدان</w:t>
      </w:r>
      <w:r>
        <w:rPr>
          <w:rFonts w:eastAsia="Amiri" w:cs="Amiri" w:ascii="Amiri" w:hAnsi="Amiri"/>
          <w:color w:val="111111"/>
          <w:sz w:val="28"/>
          <w:szCs w:val="28"/>
          <w:rtl w:val="true"/>
          <w:lang w:bidi="ar-SA"/>
        </w:rPr>
        <w:t>.</w:t>
      </w:r>
    </w:p>
    <w:p>
      <w:pPr>
        <w:pStyle w:val="Heading6"/>
        <w:numPr>
          <w:ilvl w:val="5"/>
          <w:numId w:val="1"/>
        </w:numPr>
        <w:rPr/>
      </w:pPr>
      <w:bookmarkStart w:id="192" w:name="__RefHeading___Toc716656_996550957"/>
      <w:bookmarkStart w:id="193" w:name="_Toc69"/>
      <w:bookmarkEnd w:id="192"/>
      <w:r>
        <w:rPr>
          <w:rtl w:val="true"/>
        </w:rPr>
        <w:t>ذكر أنّ أصل المبتدإ التقديم</w:t>
      </w:r>
      <w:bookmarkEnd w:id="193"/>
    </w:p>
    <w:p>
      <w:pPr>
        <w:pStyle w:val="BookText"/>
        <w:rPr/>
      </w:pPr>
      <w:r>
        <w:rPr>
          <w:rStyle w:val="FootnoteAnchor"/>
          <w:rtl w:val="true"/>
        </w:rPr>
        <w:footnoteReference w:id="4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أن يقدّم المبتدأ على الخبر لأنّ المبتدأ محكوم عليه وحقّ المحكوم عليه أن يكون متقدّما على المحكوم به ، ومن ثمّ 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داره زيد ، لأنّ زيدا وإن كان متأخرا عن في داره لفظا فهو متقدّم تقديرا ، وامتنع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صاحبها في الدّار ، لأنّه إضمار قبل الذكر لفظا ومعنى ، لأنّ الضمير في صاحبها يعود إلى الدّار وهو متقدّم على الدّار لفظا ومعنى ، أمّا لفظا فظاهر ، وأمّا معنى فلأنّ صاحبها مبتدأ وحقّه أن يكون متقدّما على الخبر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94" w:name="__RefHeading___Toc716658_996550957"/>
      <w:bookmarkStart w:id="195" w:name="_Toc70"/>
      <w:bookmarkEnd w:id="194"/>
      <w:r>
        <w:rPr>
          <w:rtl w:val="true"/>
        </w:rPr>
        <w:t>ذكر وجوب تقديم المبتدأ</w:t>
      </w:r>
      <w:bookmarkEnd w:id="195"/>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تقديم المبتدإ إذا تضمّن معنى الإنشاء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أبوك؟ وما صناعتك؟ وكذلك إذا كان الخبر فعلا للمبتدأ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قام ، واعلم أنه لو قال </w:t>
      </w:r>
      <w:r>
        <w:rPr>
          <w:rFonts w:eastAsia="Amiri" w:cs="Amiri" w:ascii="Amiri" w:hAnsi="Amiri"/>
          <w:color w:val="111111"/>
          <w:sz w:val="28"/>
          <w:szCs w:val="28"/>
          <w:rtl w:val="true"/>
          <w:lang w:bidi="ar-SA"/>
        </w:rPr>
        <w:t xml:space="preserve">: </w:t>
      </w:r>
      <w:r>
        <w:rPr>
          <w:rStyle w:val="FootnoteAnchor"/>
          <w:rtl w:val="true"/>
        </w:rPr>
        <w:footnoteReference w:id="473"/>
      </w:r>
      <w:r>
        <w:rPr>
          <w:rFonts w:ascii="Amiri" w:hAnsi="Amiri" w:eastAsia="Amiri" w:cs="Amiri"/>
          <w:color w:val="111111"/>
          <w:sz w:val="28"/>
          <w:sz w:val="28"/>
          <w:szCs w:val="28"/>
          <w:rtl w:val="true"/>
          <w:lang w:bidi="ar-SA"/>
        </w:rPr>
        <w:t xml:space="preserve">فعلا له مفردا لكان أولى ، لئلّا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الزيدان قاما ، والزيدون قاموا ، فإنّ الفعل هنا </w:t>
      </w:r>
      <w:bookmarkStart w:id="196" w:name="pg14482_156112"/>
    </w:p>
    <w:p>
      <w:pPr>
        <w:pStyle w:val="BookText"/>
        <w:rPr/>
      </w:pPr>
      <w:bookmarkEnd w:id="196"/>
      <w:r>
        <w:rPr>
          <w:rFonts w:ascii="Amiri" w:hAnsi="Amiri" w:eastAsia="Amiri" w:cs="Amiri"/>
          <w:color w:val="111111"/>
          <w:sz w:val="28"/>
          <w:sz w:val="28"/>
          <w:szCs w:val="28"/>
          <w:rtl w:val="true"/>
          <w:lang w:bidi="ar-SA"/>
        </w:rPr>
        <w:t xml:space="preserve">للمبتدإ ، ولا يجب تقديم المبتدأ عليه بل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قاما الزيدان وقاموا الزيدون على أنّ قاما وقاموا خبران مقدّمان ، ويجب التّقديم أيضا إذا استوى المبتدأ والخبر في المعنى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الأفضل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97" w:name="__RefHeading___Toc716660_996550957"/>
      <w:bookmarkStart w:id="198" w:name="_Toc71"/>
      <w:bookmarkEnd w:id="197"/>
      <w:r>
        <w:rPr>
          <w:rtl w:val="true"/>
        </w:rPr>
        <w:t>ذكر وجوب تقديم الخبر</w:t>
      </w:r>
      <w:bookmarkEnd w:id="198"/>
    </w:p>
    <w:p>
      <w:pPr>
        <w:pStyle w:val="BookText"/>
        <w:rPr/>
      </w:pPr>
      <w:r>
        <w:rPr>
          <w:rStyle w:val="FootnoteAnchor"/>
          <w:rtl w:val="true"/>
        </w:rPr>
        <w:footnoteReference w:id="4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تقديم الخبر إذا تضمّن معنى الإنشاء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زيد؟ ومتى السّفر؟ وأما إذا كان الخبر جملة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متى خروجه؟ فإنّه لا يجب تقديم الخبر حينئذ لكونه جملة وقد وقع الاستفهام في صدرها على بابه ، وكذلك يجب تقديم الخبر إذا كان مصحّحا للمبتدإ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الدّار رجل فإنّه لو قدّم المبتدأ حصل الابتداء بالنكرة من غير تخصيص ، وكذا يجب تقديمه إذا كان المبتدأ أنّ المفتوحة مع ما في حيّزها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أنّك قائم ، وفي ظنّي أنّك مسافر ، فلو قدّمت بقيت عرضة لدخول إنّ عليها </w:t>
      </w:r>
      <w:r>
        <w:rPr>
          <w:rStyle w:val="FootnoteAnchor"/>
          <w:rtl w:val="true"/>
        </w:rPr>
        <w:footnoteReference w:id="476"/>
      </w:r>
      <w:r>
        <w:rPr>
          <w:rFonts w:ascii="Amiri" w:hAnsi="Amiri" w:eastAsia="Amiri" w:cs="Amiri"/>
          <w:color w:val="111111"/>
          <w:sz w:val="28"/>
          <w:sz w:val="28"/>
          <w:szCs w:val="28"/>
          <w:rtl w:val="true"/>
          <w:lang w:bidi="ar-SA"/>
        </w:rPr>
        <w:t xml:space="preserve">، وكذا يجب تقديمه إذا كان في </w:t>
      </w:r>
      <w:r>
        <w:rPr>
          <w:rStyle w:val="FootnoteAnchor"/>
          <w:rtl w:val="true"/>
        </w:rPr>
        <w:footnoteReference w:id="477"/>
      </w:r>
      <w:r>
        <w:rPr>
          <w:rFonts w:ascii="Amiri" w:hAnsi="Amiri" w:eastAsia="Amiri" w:cs="Amiri"/>
          <w:color w:val="111111"/>
          <w:sz w:val="28"/>
          <w:sz w:val="28"/>
          <w:szCs w:val="28"/>
          <w:rtl w:val="true"/>
          <w:lang w:bidi="ar-SA"/>
        </w:rPr>
        <w:t xml:space="preserve">المبتدأ ضمير راجع إلى شيء من الخبر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التّمرة مثلها زبدا ، فلو قدّم المبتدأ الذي هو مثلها رجع الضمير إلى غير مذكور لا لفظا ولا معنى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99" w:name="__RefHeading___Toc716662_996550957"/>
      <w:bookmarkStart w:id="200" w:name="_Toc72"/>
      <w:bookmarkEnd w:id="199"/>
      <w:r>
        <w:rPr>
          <w:rtl w:val="true"/>
        </w:rPr>
        <w:t>ذكر الابتداء بالنّكرة</w:t>
      </w:r>
      <w:bookmarkEnd w:id="200"/>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للمبتدإ والخبر من جهة التعريف والتنكير أربعة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المبتدأ معرفة </w:t>
      </w:r>
      <w:r>
        <w:rPr>
          <w:rStyle w:val="FootnoteAnchor"/>
          <w:rtl w:val="true"/>
        </w:rPr>
        <w:footnoteReference w:id="480"/>
      </w:r>
      <w:r>
        <w:rPr>
          <w:rFonts w:ascii="Amiri" w:hAnsi="Amiri" w:eastAsia="Amiri" w:cs="Amiri"/>
          <w:color w:val="111111"/>
          <w:sz w:val="28"/>
          <w:sz w:val="28"/>
          <w:szCs w:val="28"/>
          <w:rtl w:val="true"/>
          <w:lang w:bidi="ar-SA"/>
        </w:rPr>
        <w:t xml:space="preserve">والخبر نكرة وهو الأصل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قائم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يكونا معرفتين نحو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زيد أخوك ، 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يكونا نكرتين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حسن قائم ، 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المبتدأ نكرة والخبر معرفة وهو عكس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 الشّاعر </w:t>
      </w:r>
      <w:r>
        <w:rPr>
          <w:rFonts w:eastAsia="Amiri" w:cs="Amiri" w:ascii="Amiri" w:hAnsi="Amiri"/>
          <w:color w:val="111111"/>
          <w:sz w:val="28"/>
          <w:szCs w:val="28"/>
          <w:rtl w:val="true"/>
          <w:lang w:bidi="ar-SA"/>
        </w:rPr>
        <w:t xml:space="preserve">: </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أهابك إجلالا ومالك قدرة</w:t>
      </w:r>
    </w:p>
    <w:p>
      <w:pPr>
        <w:pStyle w:val="BookText"/>
        <w:rPr/>
      </w:pPr>
      <w:r>
        <w:rPr>
          <w:rFonts w:ascii="Amiri" w:hAnsi="Amiri" w:eastAsia="Amiri" w:cs="Amiri"/>
          <w:color w:val="111111"/>
          <w:sz w:val="28"/>
          <w:sz w:val="28"/>
          <w:szCs w:val="28"/>
          <w:rtl w:val="true"/>
          <w:lang w:bidi="ar-SA"/>
        </w:rPr>
        <w:t>عليّ ولكن ملء عين حبيبها</w:t>
      </w:r>
    </w:p>
    <w:p>
      <w:pPr>
        <w:pStyle w:val="BookText"/>
        <w:rPr/>
      </w:pPr>
      <w:r>
        <w:rPr>
          <w:rFonts w:ascii="Amiri" w:hAnsi="Amiri" w:eastAsia="Amiri" w:cs="Amiri"/>
          <w:color w:val="111111"/>
          <w:sz w:val="28"/>
          <w:sz w:val="28"/>
          <w:szCs w:val="28"/>
          <w:rtl w:val="true"/>
          <w:lang w:bidi="ar-SA"/>
        </w:rPr>
        <w:t xml:space="preserve">فملء عين مبتدأ وهو نكرة وحبيبها خبر وهو معرفة ، وقد جاء مثل ذلك مع العوامل ، كقول الشّاعر </w:t>
      </w:r>
      <w:r>
        <w:rPr>
          <w:rFonts w:eastAsia="Amiri" w:cs="Amiri" w:ascii="Amiri" w:hAnsi="Amiri"/>
          <w:color w:val="111111"/>
          <w:sz w:val="28"/>
          <w:szCs w:val="28"/>
          <w:rtl w:val="true"/>
          <w:lang w:bidi="ar-SA"/>
        </w:rPr>
        <w:t xml:space="preserve">: </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وربّ سبيئة من بيت رأس</w:t>
      </w:r>
    </w:p>
    <w:p>
      <w:pPr>
        <w:pStyle w:val="BookText"/>
        <w:rPr/>
      </w:pPr>
      <w:r>
        <w:rPr>
          <w:rFonts w:ascii="Amiri" w:hAnsi="Amiri" w:eastAsia="Amiri" w:cs="Amiri"/>
          <w:color w:val="111111"/>
          <w:sz w:val="28"/>
          <w:sz w:val="28"/>
          <w:szCs w:val="28"/>
          <w:rtl w:val="true"/>
          <w:lang w:bidi="ar-SA"/>
        </w:rPr>
        <w:t>يكون مزاجها عسل وماء</w:t>
      </w:r>
    </w:p>
    <w:p>
      <w:pPr>
        <w:pStyle w:val="BookText"/>
        <w:rPr/>
      </w:pPr>
      <w:r>
        <w:rPr>
          <w:rFonts w:ascii="Amiri" w:hAnsi="Amiri" w:eastAsia="Amiri" w:cs="Amiri"/>
          <w:color w:val="111111"/>
          <w:sz w:val="28"/>
          <w:sz w:val="28"/>
          <w:szCs w:val="28"/>
          <w:rtl w:val="true"/>
          <w:lang w:bidi="ar-SA"/>
        </w:rPr>
        <w:t xml:space="preserve">فعسل نكرة وهو اسم كان ومزاجها معرفة وهو الخبر ، والظّاهر أنّ هذا القسم إنّما يجوز في ضرورة الشعر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يجوز الابتداء بالنكرة إلّا إذا تخصّصت بوجه ما </w:t>
      </w:r>
      <w:r>
        <w:rPr>
          <w:rStyle w:val="FootnoteAnchor"/>
          <w:rtl w:val="true"/>
        </w:rPr>
        <w:footnoteReference w:id="484"/>
      </w:r>
      <w:r>
        <w:rPr>
          <w:rFonts w:ascii="Amiri" w:hAnsi="Amiri" w:eastAsia="Amiri" w:cs="Amiri"/>
          <w:color w:val="111111"/>
          <w:sz w:val="28"/>
          <w:sz w:val="28"/>
          <w:szCs w:val="28"/>
          <w:rtl w:val="true"/>
          <w:lang w:bidi="ar-SA"/>
        </w:rPr>
        <w:t xml:space="preserve">، لأنّها بالتخصيص تقارب المعرفة ، وتخصيصها بأحد أمور عشرة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الوصف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عالم في الدار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الاستفهام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أرجل في الدار أم امرأة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النفي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 خير منك</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تقع النكرة بمعنى الفاعل المثبت بعد نفي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أهرّ ذا 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أهرّ ذا ناب إلّا شر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 xml:space="preserve">. </w:t>
      </w:r>
      <w:bookmarkStart w:id="201" w:name="pg14482_156114"/>
    </w:p>
    <w:p>
      <w:pPr>
        <w:pStyle w:val="BookText"/>
        <w:rPr/>
      </w:pPr>
      <w:bookmarkEnd w:id="201"/>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تقديم ظرف هو الخبر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الدار رجل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الدعاء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 ، وويل له ، وعزّ لمولانا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الاستغراق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يقم أقم 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الجواب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عندك؟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 أي عندي رجل وهو راجع إلى تقديم الخبر وهو ظرف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التعجب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 زيدا ، فعند سيبويه ما مبتدأ نكرة وهي بمعنى شيء خلافا للأخفش فإنّه يقول إنّ ما في ما أحسن زيدا ، موصولة فتكون معرفة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الإضافة نحو قوله صلى‌الله‌عليه‌وسلم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 صلوات كتبهنّ الله على العباد</w:t>
      </w:r>
      <w:r>
        <w:rPr>
          <w:rFonts w:eastAsia="Amiri" w:cs="Amiri" w:ascii="Amiri" w:hAnsi="Amiri"/>
          <w:color w:val="111111"/>
          <w:sz w:val="28"/>
          <w:szCs w:val="28"/>
          <w:rtl w:val="true"/>
          <w:lang w:bidi="ar-SA"/>
        </w:rPr>
        <w:t xml:space="preserve">» </w:t>
      </w:r>
      <w:r>
        <w:rPr>
          <w:rStyle w:val="FootnoteAnchor"/>
          <w:rtl w:val="true"/>
        </w:rPr>
        <w:footnoteReference w:id="487"/>
      </w:r>
      <w:r>
        <w:rPr>
          <w:rFonts w:ascii="Amiri" w:hAnsi="Amiri" w:eastAsia="Amiri" w:cs="Amiri"/>
          <w:color w:val="111111"/>
          <w:sz w:val="28"/>
          <w:sz w:val="28"/>
          <w:szCs w:val="28"/>
          <w:rtl w:val="true"/>
          <w:lang w:bidi="ar-SA"/>
        </w:rPr>
        <w:t xml:space="preserve">وغلام رجل في الدار لتخصيصه بالإضافة ، والظاهر أنّ التخصيص لا ينحصر في الأمور العشرة المذكورة فإنّ التصغير مخصص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رجيل عندك ، وليس هو من الأمور العشرة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02" w:name="__RefHeading___Toc716664_996550957"/>
      <w:bookmarkStart w:id="203" w:name="_Toc73"/>
      <w:bookmarkEnd w:id="202"/>
      <w:r>
        <w:rPr>
          <w:rtl w:val="true"/>
        </w:rPr>
        <w:t>ذكر الجملة الخبرية</w:t>
      </w:r>
      <w:bookmarkEnd w:id="203"/>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إن احتمل الصّدق والكذب فهو الخبر كقولنا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كاتب ، زيد ليس بكاتب ، وإن لم يحتمل الصّدق والكذب فهو الإنشاء وهو الأمر ، والنّهي ، والسؤال والالتماس والتمني والترجّي والقسم والنداء والتعجّب والاستفهام ، لأنّ الإنشاء إن دلّ على طلب الفعل دلالة وضعية فهو مع الاستعلاء أمر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 ، ومع الخضوع 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كاللهمّ اغفر لي ، ومع التساوي التماس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تمهّل يا رفيقي ، وإنّ لم يدلّ على طلب الفعل دلالة وضعية ، فإن دلّ على طلب ترك الفعل فهو النهي وإلّا فهو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التمني والترجّي والقسم والنّداء والتعجّب والاستفهام </w:t>
      </w:r>
      <w:r>
        <w:rPr>
          <w:rStyle w:val="FootnoteAnchor"/>
          <w:rtl w:val="true"/>
        </w:rPr>
        <w:footnoteReference w:id="490"/>
      </w:r>
      <w:r>
        <w:rPr>
          <w:rFonts w:ascii="Amiri" w:hAnsi="Amiri" w:eastAsia="Amiri" w:cs="Amiri"/>
          <w:color w:val="111111"/>
          <w:sz w:val="28"/>
          <w:sz w:val="28"/>
          <w:szCs w:val="28"/>
          <w:rtl w:val="true"/>
          <w:lang w:bidi="ar-SA"/>
        </w:rPr>
        <w:t xml:space="preserve">إذا عرفت ذلك فاعلم أنّ الجملة الخبريّة هي التي تقع خبرا غالبا ، وأمّا الجمل الإنشائيّة فلا تقع خبرا للمبتدأ إلّا بتأويل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أكرمه وزيد لا تضربه ، والتقدير زيد مقول فيه أكرمه ولا تضربه </w:t>
      </w:r>
      <w:r>
        <w:rPr>
          <w:rStyle w:val="FootnoteAnchor"/>
          <w:rtl w:val="true"/>
        </w:rPr>
        <w:footnoteReference w:id="491"/>
      </w:r>
      <w:r>
        <w:rPr>
          <w:rFonts w:ascii="Amiri" w:hAnsi="Amiri" w:eastAsia="Amiri" w:cs="Amiri"/>
          <w:color w:val="111111"/>
          <w:sz w:val="28"/>
          <w:sz w:val="28"/>
          <w:szCs w:val="28"/>
          <w:rtl w:val="true"/>
          <w:lang w:bidi="ar-SA"/>
        </w:rPr>
        <w:t xml:space="preserve">، ولنرجع إلى الجملة الخبريّة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إسميّة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أبوه قائم ، وتكون فعليّة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قام ، ويلزم أن يكون في الجملة ضمير يعود إلى المبتدأ ، إلّا أن تكون الجملة هي نفس المبتدأ في المعنى كما في ضمير الشأن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اللهُ أَحَدٌ</w:t>
      </w:r>
      <w:r>
        <w:rPr>
          <w:rFonts w:eastAsia="Amiri" w:cs="Amiri" w:ascii="Amiri" w:hAnsi="Amiri"/>
          <w:color w:val="111111"/>
          <w:sz w:val="28"/>
          <w:szCs w:val="28"/>
          <w:rtl w:val="true"/>
          <w:lang w:bidi="ar-SA"/>
        </w:rPr>
        <w:t>)</w:t>
      </w:r>
      <w:r>
        <w:rPr>
          <w:rStyle w:val="FootnoteAnchor"/>
          <w:rtl w:val="true"/>
        </w:rPr>
        <w:footnoteReference w:id="492"/>
      </w:r>
      <w:r>
        <w:rPr>
          <w:rFonts w:ascii="Amiri" w:hAnsi="Amiri" w:eastAsia="Amiri" w:cs="Amiri"/>
          <w:color w:val="111111"/>
          <w:sz w:val="28"/>
          <w:sz w:val="28"/>
          <w:szCs w:val="28"/>
          <w:rtl w:val="true"/>
          <w:lang w:bidi="ar-SA"/>
        </w:rPr>
        <w:t xml:space="preserve">أو يقوم مقام العائد شيء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وَلِباسُ التَّقْوى ذلِكَ خَيْرٌ</w:t>
      </w:r>
      <w:r>
        <w:rPr>
          <w:rFonts w:eastAsia="Amiri" w:cs="Amiri" w:ascii="Amiri" w:hAnsi="Amiri"/>
          <w:color w:val="111111"/>
          <w:sz w:val="28"/>
          <w:szCs w:val="28"/>
          <w:rtl w:val="true"/>
          <w:lang w:bidi="ar-SA"/>
        </w:rPr>
        <w:t>)</w:t>
      </w:r>
      <w:r>
        <w:rPr>
          <w:rStyle w:val="FootnoteAnchor"/>
          <w:rtl w:val="true"/>
        </w:rPr>
        <w:footnoteReference w:id="493"/>
      </w:r>
      <w:r>
        <w:rPr>
          <w:rFonts w:ascii="Amiri" w:hAnsi="Amiri" w:eastAsia="Amiri" w:cs="Amiri"/>
          <w:color w:val="111111"/>
          <w:sz w:val="28"/>
          <w:sz w:val="28"/>
          <w:szCs w:val="28"/>
          <w:rtl w:val="true"/>
          <w:lang w:bidi="ar-SA"/>
        </w:rPr>
        <w:t xml:space="preserve">وقد يحذف العائد إذا كان معلوما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السّمن منوان بدرهم أي منوان منه بدرهم </w:t>
      </w:r>
      <w:r>
        <w:rPr>
          <w:rStyle w:val="FootnoteAnchor"/>
          <w:rtl w:val="true"/>
        </w:rPr>
        <w:footnoteReference w:id="494"/>
      </w:r>
      <w:r>
        <w:rPr>
          <w:rFonts w:ascii="Amiri" w:hAnsi="Amiri" w:eastAsia="Amiri" w:cs="Amiri"/>
          <w:color w:val="111111"/>
          <w:sz w:val="28"/>
          <w:sz w:val="28"/>
          <w:szCs w:val="28"/>
          <w:rtl w:val="true"/>
          <w:lang w:bidi="ar-SA"/>
        </w:rPr>
        <w:t xml:space="preserve">وكذلك البرّ الكرّبستين </w:t>
      </w:r>
      <w:r>
        <w:rPr>
          <w:rStyle w:val="FootnoteAnchor"/>
          <w:rtl w:val="true"/>
        </w:rPr>
        <w:footnoteReference w:id="495"/>
      </w:r>
      <w:r>
        <w:rPr>
          <w:rFonts w:ascii="Amiri" w:hAnsi="Amiri" w:eastAsia="Amiri" w:cs="Amiri"/>
          <w:color w:val="111111"/>
          <w:sz w:val="28"/>
          <w:sz w:val="28"/>
          <w:szCs w:val="28"/>
          <w:rtl w:val="true"/>
          <w:lang w:bidi="ar-SA"/>
        </w:rPr>
        <w:t xml:space="preserve">، فالسّمن مبتدأ ومنوان مبتدأ ثان وبدرهم خبر عن منوين والجملة خبر السمن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المحذوفة في موضع رفع صفة لمنوين ليصحّ الابتداء بالنكرة ،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 الكرّبستين ، ففي موضع نصب على الحال من الكرّ المعرفة </w:t>
      </w:r>
      <w:r>
        <w:rPr>
          <w:rStyle w:val="FootnoteAnchor"/>
          <w:rtl w:val="true"/>
        </w:rPr>
        <w:footnoteReference w:id="496"/>
      </w:r>
      <w:r>
        <w:rPr>
          <w:rFonts w:ascii="Amiri" w:hAnsi="Amiri" w:eastAsia="Amiri" w:cs="Amiri"/>
          <w:color w:val="111111"/>
          <w:sz w:val="28"/>
          <w:sz w:val="28"/>
          <w:szCs w:val="28"/>
          <w:rtl w:val="true"/>
          <w:lang w:bidi="ar-SA"/>
        </w:rPr>
        <w:t xml:space="preserve">وما وقع من الظروف خبرا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في الدار ، زيد عندك ، والخروج يوم الجمعة ، فالأكثر ، أنّه مقدّر بجملة </w:t>
      </w:r>
      <w:r>
        <w:rPr>
          <w:rStyle w:val="FootnoteAnchor"/>
          <w:rtl w:val="true"/>
        </w:rPr>
        <w:footnoteReference w:id="497"/>
      </w:r>
      <w:r>
        <w:rPr>
          <w:rFonts w:ascii="Amiri" w:hAnsi="Amiri" w:eastAsia="Amiri" w:cs="Amiri"/>
          <w:color w:val="111111"/>
          <w:sz w:val="28"/>
          <w:sz w:val="28"/>
          <w:szCs w:val="28"/>
          <w:rtl w:val="true"/>
          <w:lang w:bidi="ar-SA"/>
        </w:rPr>
        <w:t xml:space="preserve">لأنّ الظرف معمول لغيره والأصل في العمل للفعل ،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استقرّ أو حصل عندك فحذف الفعل للعلم به لاستحالة كون زيد عنده من غير حصول واستقرار ، ونقل الضمير المستكنّ في ذلك الفعل إلى الظّرف ، فصار </w:t>
      </w:r>
      <w:bookmarkStart w:id="204" w:name="pg14482_156116"/>
    </w:p>
    <w:p>
      <w:pPr>
        <w:pStyle w:val="BookText"/>
        <w:rPr/>
      </w:pPr>
      <w:bookmarkEnd w:id="204"/>
      <w:r>
        <w:rPr>
          <w:rFonts w:ascii="Amiri" w:hAnsi="Amiri" w:eastAsia="Amiri" w:cs="Amiri"/>
          <w:color w:val="111111"/>
          <w:sz w:val="28"/>
          <w:sz w:val="28"/>
          <w:szCs w:val="28"/>
          <w:rtl w:val="true"/>
          <w:lang w:bidi="ar-SA"/>
        </w:rPr>
        <w:t xml:space="preserve">الضمير مرفوعا بالظرف كما كان مرفوعا بالفعل ، وصار الظرف مع الضمير جملة فلذلك قدّر بجملة </w:t>
      </w:r>
      <w:r>
        <w:rPr>
          <w:rStyle w:val="FootnoteAnchor"/>
          <w:rtl w:val="true"/>
        </w:rPr>
        <w:footnoteReference w:id="498"/>
      </w:r>
      <w:r>
        <w:rPr>
          <w:rFonts w:ascii="IRNazanin" w:hAnsi="IRNazanin" w:eastAsia="IRNazanin"/>
          <w:color w:val="111111"/>
          <w:sz w:val="28"/>
          <w:sz w:val="28"/>
          <w:szCs w:val="28"/>
          <w:rtl w:val="true"/>
          <w:lang w:bidi="fa-IR"/>
        </w:rPr>
        <w:t xml:space="preserve">وقال قوم </w:t>
      </w:r>
      <w:r>
        <w:rPr>
          <w:rFonts w:eastAsia="IRNazanin" w:cs="IRNazanin"/>
          <w:color w:val="111111"/>
          <w:sz w:val="28"/>
          <w:szCs w:val="28"/>
          <w:rtl w:val="true"/>
          <w:lang w:bidi="fa-IR"/>
        </w:rPr>
        <w:t xml:space="preserve">: </w:t>
      </w:r>
      <w:r>
        <w:rPr>
          <w:rStyle w:val="FootnoteAnchor"/>
          <w:rtl w:val="true"/>
        </w:rPr>
        <w:footnoteReference w:id="499"/>
      </w:r>
      <w:r>
        <w:rPr>
          <w:rFonts w:ascii="Amiri" w:hAnsi="Amiri" w:eastAsia="Amiri" w:cs="Amiri"/>
          <w:color w:val="111111"/>
          <w:sz w:val="28"/>
          <w:sz w:val="28"/>
          <w:szCs w:val="28"/>
          <w:rtl w:val="true"/>
          <w:lang w:bidi="ar-SA"/>
        </w:rPr>
        <w:t xml:space="preserve">التقدير زيد مستقر في الدّار ، فيكون الخبر مفردا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05" w:name="__RefHeading___Toc716666_996550957"/>
      <w:bookmarkStart w:id="206" w:name="_Toc74"/>
      <w:bookmarkEnd w:id="205"/>
      <w:r>
        <w:rPr>
          <w:rtl w:val="true"/>
        </w:rPr>
        <w:t>ذكر أمور مشتركة بين المبتدأ والخبر</w:t>
      </w:r>
      <w:bookmarkEnd w:id="206"/>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يتضمّن المبتدأ معنى الشّرط فيصحّ دخول الفاء في الخبر ، والذي يتضمّن ذلك من المبتدآت الاسم الموصول بفعل أو ظرف ، والنكرة الموصوفة بأحدهما وإنّما يشتمل المبتدأ على معنى الشّرط بأمرين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العموم والإبهام ، لأنّ الموصول إذا لم يكن للعموم وكان لشيء </w:t>
      </w:r>
      <w:r>
        <w:rPr>
          <w:rStyle w:val="FootnoteAnchor"/>
          <w:rtl w:val="true"/>
        </w:rPr>
        <w:footnoteReference w:id="502"/>
      </w:r>
      <w:r>
        <w:rPr>
          <w:rFonts w:ascii="Amiri" w:hAnsi="Amiri" w:eastAsia="Amiri" w:cs="Amiri"/>
          <w:color w:val="111111"/>
          <w:sz w:val="28"/>
          <w:sz w:val="28"/>
          <w:szCs w:val="28"/>
          <w:rtl w:val="true"/>
          <w:lang w:bidi="ar-SA"/>
        </w:rPr>
        <w:t xml:space="preserve">معهود امتنع دخول الفاء في خبره فلو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بعته من عبيدي فله درهم ، لم يجز ، وكذا إذا لم تشتمل النكرة الموصوفة على العموم لم يجز دخول الفاء في خبرها فلو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ظريف فله درهم ، لم يجز لفوات العموم ، 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رجل يأتيني فله درهم صحّ لوجود العموم والإبهام ، أما العموم فظاهر لأنّ كلّ رجل عام يصلح لكلّ واحد واحد من الناس ، وأمّا الإبهام فهو جواز أن يقع وأن لا يقع ، وفائدة دخول هذه الفاء في الخبر أنّها تؤذن </w:t>
      </w:r>
      <w:r>
        <w:rPr>
          <w:rStyle w:val="FootnoteAnchor"/>
          <w:rtl w:val="true"/>
        </w:rPr>
        <w:footnoteReference w:id="503"/>
      </w:r>
      <w:r>
        <w:rPr>
          <w:rFonts w:ascii="Amiri" w:hAnsi="Amiri" w:eastAsia="Amiri" w:cs="Amiri"/>
          <w:color w:val="111111"/>
          <w:sz w:val="28"/>
          <w:sz w:val="28"/>
          <w:szCs w:val="28"/>
          <w:rtl w:val="true"/>
          <w:lang w:bidi="ar-SA"/>
        </w:rPr>
        <w:t xml:space="preserve">بأنّ ما بعدها مستحق بالفعل المتقدّم ، أو بالظّرف المتعلّق بالفعل المقدّر ، وإذا لم تدخل الفاء لم يتعيّن ذلك ، مثاله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يأتيني فله درهم ، فالدّرهم </w:t>
      </w:r>
      <w:r>
        <w:rPr>
          <w:rStyle w:val="FootnoteAnchor"/>
          <w:rtl w:val="true"/>
        </w:rPr>
        <w:footnoteReference w:id="504"/>
      </w:r>
      <w:r>
        <w:rPr>
          <w:rFonts w:ascii="Amiri" w:hAnsi="Amiri" w:eastAsia="Amiri" w:cs="Amiri"/>
          <w:color w:val="111111"/>
          <w:sz w:val="28"/>
          <w:sz w:val="28"/>
          <w:szCs w:val="28"/>
          <w:rtl w:val="true"/>
          <w:lang w:bidi="ar-SA"/>
        </w:rPr>
        <w:t xml:space="preserve">مستحقّ بالإتيان ، وهو سبب استحقاقه ، فإذا سقطت الفاء لم يتعيّن أن يكون الدّرهم مستحقا بالإتيان ، بل يحتمل أن يكون الدّرهم ملكه على الإطلاق كما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له درهم ، فالذي مبتدأ ، </w:t>
      </w:r>
    </w:p>
    <w:p>
      <w:pPr>
        <w:pStyle w:val="BookText"/>
        <w:rPr/>
      </w:pPr>
      <w:r>
        <w:rPr>
          <w:rFonts w:ascii="Amiri" w:hAnsi="Amiri" w:eastAsia="Amiri" w:cs="Amiri"/>
          <w:color w:val="111111"/>
          <w:sz w:val="28"/>
          <w:sz w:val="28"/>
          <w:szCs w:val="28"/>
          <w:rtl w:val="true"/>
          <w:lang w:bidi="ar-SA"/>
        </w:rPr>
        <w:t xml:space="preserve">ويأتيني صلته ودرهم مبتدأ ثان وله خبره ، وهو متقدّم عليه ليصح الابتداء بالنكرة ، والجملة خبر الذي ، والعائد من الجملة إلى المبتدأ هو الهاء في له </w:t>
      </w:r>
      <w:r>
        <w:rPr>
          <w:rStyle w:val="FootnoteAnchor"/>
          <w:rtl w:val="true"/>
        </w:rPr>
        <w:footnoteReference w:id="505"/>
      </w:r>
      <w:r>
        <w:rPr>
          <w:rFonts w:ascii="Amiri" w:hAnsi="Amiri" w:eastAsia="Amiri" w:cs="Amiri"/>
          <w:color w:val="111111"/>
          <w:sz w:val="28"/>
          <w:sz w:val="28"/>
          <w:szCs w:val="28"/>
          <w:rtl w:val="true"/>
          <w:lang w:bidi="ar-SA"/>
        </w:rPr>
        <w:t xml:space="preserve">ومثال الظرف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في الدّار فله درهم ، ومثال النكرة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رجل يأتيني فله درهم ومثال النّعت بالظرف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رجل عندي فله درهم </w:t>
      </w:r>
      <w:r>
        <w:rPr>
          <w:rStyle w:val="FootnoteAnchor"/>
          <w:rtl w:val="true"/>
        </w:rPr>
        <w:footnoteReference w:id="506"/>
      </w:r>
      <w:r>
        <w:rPr>
          <w:rFonts w:ascii="Amiri" w:hAnsi="Amiri" w:eastAsia="Amiri" w:cs="Amiri"/>
          <w:color w:val="111111"/>
          <w:sz w:val="28"/>
          <w:sz w:val="28"/>
          <w:szCs w:val="28"/>
          <w:rtl w:val="true"/>
          <w:lang w:bidi="ar-SA"/>
        </w:rPr>
        <w:t xml:space="preserve">وإذا دخلت ليت أو لعلّ على المبتدأ لم يصحّ دخول الفاء في خبره باتفاق </w:t>
      </w:r>
      <w:r>
        <w:rPr>
          <w:rStyle w:val="FootnoteAnchor"/>
          <w:rtl w:val="true"/>
        </w:rPr>
        <w:footnoteReference w:id="507"/>
      </w:r>
      <w:r>
        <w:rPr>
          <w:rFonts w:ascii="Amiri" w:hAnsi="Amiri" w:eastAsia="Amiri" w:cs="Amiri"/>
          <w:color w:val="111111"/>
          <w:sz w:val="28"/>
          <w:sz w:val="28"/>
          <w:szCs w:val="28"/>
          <w:rtl w:val="true"/>
          <w:lang w:bidi="ar-SA"/>
        </w:rPr>
        <w:t xml:space="preserve">لأنّ ما تضمّن معنى الشّرط إخباري ، وخبر ليت ولعلّ إنشائي </w:t>
      </w:r>
      <w:r>
        <w:rPr>
          <w:rStyle w:val="FootnoteAnchor"/>
          <w:rtl w:val="true"/>
        </w:rPr>
        <w:footnoteReference w:id="508"/>
      </w:r>
      <w:r>
        <w:rPr>
          <w:rFonts w:ascii="Amiri" w:hAnsi="Amiri" w:eastAsia="Amiri" w:cs="Amiri"/>
          <w:color w:val="111111"/>
          <w:sz w:val="28"/>
          <w:sz w:val="28"/>
          <w:szCs w:val="28"/>
          <w:rtl w:val="true"/>
          <w:lang w:bidi="ar-SA"/>
        </w:rPr>
        <w:t xml:space="preserve">وإن دخلت إنّ المكسورة فالصحيح ، جواز دخول الفاء في الخبر إذا قصد معنى السببيّة </w:t>
      </w:r>
      <w:r>
        <w:rPr>
          <w:rStyle w:val="FootnoteAnchor"/>
          <w:rtl w:val="true"/>
        </w:rPr>
        <w:footnoteReference w:id="509"/>
      </w:r>
      <w:r>
        <w:rPr>
          <w:rFonts w:ascii="Amiri" w:hAnsi="Amiri" w:eastAsia="Amiri" w:cs="Amiri"/>
          <w:color w:val="111111"/>
          <w:sz w:val="28"/>
          <w:sz w:val="28"/>
          <w:szCs w:val="28"/>
          <w:rtl w:val="true"/>
          <w:lang w:bidi="ar-SA"/>
        </w:rPr>
        <w:t xml:space="preserve">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قالُوا رَبُّنَا اللهُ ثُمَّ اسْتَقامُوا فَلا خَوْفٌ عَلَيْهِمْ وَلا هُمْ يَحْزَنُونَ</w:t>
      </w:r>
      <w:r>
        <w:rPr>
          <w:rFonts w:eastAsia="Amiri" w:cs="Amiri" w:ascii="Amiri" w:hAnsi="Amiri"/>
          <w:color w:val="111111"/>
          <w:sz w:val="28"/>
          <w:szCs w:val="28"/>
          <w:rtl w:val="true"/>
          <w:lang w:bidi="ar-SA"/>
        </w:rPr>
        <w:t>)</w:t>
      </w:r>
      <w:r>
        <w:rPr>
          <w:rStyle w:val="FootnoteAnchor"/>
          <w:rtl w:val="true"/>
        </w:rPr>
        <w:footnoteReference w:id="510"/>
      </w:r>
      <w:r>
        <w:rPr>
          <w:rFonts w:ascii="Amiri" w:hAnsi="Amiri" w:eastAsia="Amiri" w:cs="Amiri"/>
          <w:color w:val="111111"/>
          <w:sz w:val="28"/>
          <w:sz w:val="28"/>
          <w:szCs w:val="28"/>
          <w:rtl w:val="true"/>
          <w:lang w:bidi="ar-SA"/>
        </w:rPr>
        <w:t xml:space="preserve">وكقوله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الْمَوْتَ الَّذِي تَفِرُّونَ مِنْهُ فَإِنَّهُ مُلاقِيكُمْ</w:t>
      </w:r>
      <w:r>
        <w:rPr>
          <w:rFonts w:eastAsia="Amiri" w:cs="Amiri" w:ascii="Amiri" w:hAnsi="Amiri"/>
          <w:color w:val="111111"/>
          <w:sz w:val="28"/>
          <w:szCs w:val="28"/>
          <w:rtl w:val="true"/>
          <w:lang w:bidi="ar-SA"/>
        </w:rPr>
        <w:t>)</w:t>
      </w:r>
      <w:r>
        <w:rPr>
          <w:rStyle w:val="FootnoteAnchor"/>
          <w:rtl w:val="true"/>
        </w:rPr>
        <w:footnoteReference w:id="511"/>
      </w:r>
      <w:r>
        <w:rPr>
          <w:rFonts w:ascii="Amiri" w:hAnsi="Amiri" w:eastAsia="Amiri" w:cs="Amiri"/>
          <w:color w:val="111111"/>
          <w:sz w:val="28"/>
          <w:sz w:val="28"/>
          <w:szCs w:val="28"/>
          <w:rtl w:val="true"/>
          <w:lang w:bidi="ar-SA"/>
        </w:rPr>
        <w:t xml:space="preserve">وجوّز الأخفش زيادة الفاء في الخبر </w:t>
      </w:r>
      <w:r>
        <w:rPr>
          <w:rStyle w:val="FootnoteAnchor"/>
          <w:rtl w:val="true"/>
        </w:rPr>
        <w:footnoteReference w:id="512"/>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 xml:space="preserve">: </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لا تجزعي إن منفسا أهلكته</w:t>
      </w:r>
    </w:p>
    <w:p>
      <w:pPr>
        <w:pStyle w:val="BookText"/>
        <w:rPr/>
      </w:pPr>
      <w:r>
        <w:rPr>
          <w:rFonts w:ascii="Amiri" w:hAnsi="Amiri" w:eastAsia="Amiri" w:cs="Amiri"/>
          <w:color w:val="111111"/>
          <w:sz w:val="28"/>
          <w:sz w:val="28"/>
          <w:szCs w:val="28"/>
          <w:rtl w:val="true"/>
          <w:lang w:bidi="ar-SA"/>
        </w:rPr>
        <w:t>فإذا هلكت فعند ذلك فاجزعي</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فاجزعي عند ذلك ، فالفاء الداخلة على عند زائدة ، وسيبويه يتأوّل ذلك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 xml:space="preserve">. </w:t>
      </w:r>
      <w:bookmarkStart w:id="207" w:name="pg14482_156118"/>
    </w:p>
    <w:p>
      <w:pPr>
        <w:pStyle w:val="Heading6"/>
        <w:numPr>
          <w:ilvl w:val="5"/>
          <w:numId w:val="1"/>
        </w:numPr>
        <w:rPr/>
      </w:pPr>
      <w:bookmarkStart w:id="208" w:name="__RefHeading___Toc716668_996550957"/>
      <w:bookmarkStart w:id="209" w:name="_Toc75"/>
      <w:bookmarkEnd w:id="207"/>
      <w:bookmarkEnd w:id="208"/>
      <w:r>
        <w:rPr>
          <w:rtl w:val="true"/>
        </w:rPr>
        <w:t>ذكر جواز حذف المبتدإ والخبر</w:t>
      </w:r>
      <w:bookmarkEnd w:id="209"/>
    </w:p>
    <w:p>
      <w:pPr>
        <w:pStyle w:val="BookText"/>
        <w:rPr/>
      </w:pPr>
      <w:r>
        <w:rPr>
          <w:rStyle w:val="FootnoteAnchor"/>
          <w:rtl w:val="true"/>
        </w:rPr>
        <w:footnoteReference w:id="5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حذف كلّ من المبتدأ والخبر عند قيام القرينة الدّالة على خصوصهما ، فمن أمثلة حذف المبتدأ قول المستهلّ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الهلال والله ،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الهلال ، ومثال حذف الخبر ، خرجت فإذا السبع ، والمعنى فإذا السبع موجود ، لأنّ هذه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للمفاجأة </w:t>
      </w:r>
      <w:r>
        <w:rPr>
          <w:rStyle w:val="FootnoteAnchor"/>
          <w:rtl w:val="true"/>
        </w:rPr>
        <w:footnoteReference w:id="516"/>
      </w:r>
      <w:r>
        <w:rPr>
          <w:rFonts w:ascii="Amiri" w:hAnsi="Amiri" w:eastAsia="Amiri" w:cs="Amiri"/>
          <w:color w:val="111111"/>
          <w:sz w:val="28"/>
          <w:sz w:val="28"/>
          <w:szCs w:val="28"/>
          <w:rtl w:val="true"/>
          <w:lang w:bidi="ar-SA"/>
        </w:rPr>
        <w:t xml:space="preserve">يحذف الخبر بعدها إذ لا يفاجأ الشيء إلّا بعد وجوده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10" w:name="__RefHeading___Toc716670_996550957"/>
      <w:bookmarkStart w:id="211" w:name="_Toc76"/>
      <w:bookmarkEnd w:id="210"/>
      <w:r>
        <w:rPr>
          <w:rtl w:val="true"/>
        </w:rPr>
        <w:t>ذكر وجوب حذف الخبر</w:t>
      </w:r>
      <w:bookmarkEnd w:id="211"/>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ويحذف الخبر وجوبا في كلّ موضع ينضمّ إلى القرينة الدّالّة عليه لفظ يلتزم في موضعه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زيد لكان كذا ، فلو لا ، تدلّ على امتناع ما بعدها لوجود ما قبلها فهي تدلّ على الوجود المستلزم للخبر ، الذي هو موجود ، وقد التزم في موضع الخبر ، جواب لو لا الذي هو لكان كذا ، فقد حصل الأمران ، القرينة الدّالة ، واللفظ الملتزم ، فلو أثبتّ الخبر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زيد موجود لكان كذا ، لم يجز </w:t>
      </w:r>
      <w:r>
        <w:rPr>
          <w:rStyle w:val="FootnoteAnchor"/>
          <w:rtl w:val="true"/>
        </w:rPr>
        <w:footnoteReference w:id="519"/>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لعمرك لأفعلنّ ، فلعمرك تدلّ على أنه مقسم به ، والمشعر بقسمي هو الخبر ، وجواب القسم الذي هو لأفعلنّ ، لفظ التزم موضع الخبر ، فحصل الأمران فوجب الحذف فلو أثبتّ الخبر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لعمرك قسمي لأفعلنّ لم يجز </w:t>
      </w:r>
      <w:r>
        <w:rPr>
          <w:rStyle w:val="FootnoteAnchor"/>
          <w:rtl w:val="true"/>
        </w:rPr>
        <w:footnoteReference w:id="520"/>
      </w:r>
      <w:r>
        <w:rPr>
          <w:rFonts w:ascii="Amiri" w:hAnsi="Amiri" w:eastAsia="Amiri" w:cs="Amiri"/>
          <w:color w:val="111111"/>
          <w:sz w:val="28"/>
          <w:sz w:val="28"/>
          <w:szCs w:val="28"/>
          <w:rtl w:val="true"/>
          <w:lang w:bidi="ar-SA"/>
        </w:rPr>
        <w:t xml:space="preserve">وكذلك يحذف الخبر وجوبا في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ضربي زيدا قائما ، فضربي في تقدير الرفع بالابتداء وقد أضيف إلى الفاعل ، وزيدا مفعول ضربي ، وقائما ، لفظ التزم موضع الخبر وتقديره ضربي زيدا حاصل إذا وجد قائما ، فحذف الخبر الذي هو حاصل قياسا كما تحذف متعلّقات الظروف ثم حذف </w:t>
      </w:r>
      <w:bookmarkStart w:id="212" w:name="pg14482_156119"/>
    </w:p>
    <w:p>
      <w:pPr>
        <w:pStyle w:val="BookText"/>
        <w:rPr/>
      </w:pPr>
      <w:bookmarkEnd w:id="212"/>
      <w:r>
        <w:rPr>
          <w:rFonts w:ascii="Amiri" w:hAnsi="Amiri" w:eastAsia="Amiri" w:cs="Amiri"/>
          <w:color w:val="111111"/>
          <w:sz w:val="28"/>
          <w:sz w:val="28"/>
          <w:szCs w:val="28"/>
          <w:rtl w:val="true"/>
          <w:lang w:bidi="ar-SA"/>
        </w:rPr>
        <w:t xml:space="preserve">الذي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لدلالة معموله الذي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فقائما دالّ على الظرف ، والظرف دال على متعلّقه الذي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والدّالّ على الدّال على الشيء ، دال على ذلك الشيء فقائما دالّ على حاصل ، وهو أيضا اللّفظ الذي التزم موضعه </w:t>
      </w:r>
      <w:r>
        <w:rPr>
          <w:rStyle w:val="FootnoteAnchor"/>
          <w:rtl w:val="true"/>
        </w:rPr>
        <w:footnoteReference w:id="521"/>
      </w:r>
      <w:r>
        <w:rPr>
          <w:rFonts w:ascii="Amiri" w:hAnsi="Amiri" w:eastAsia="Amiri" w:cs="Amiri"/>
          <w:color w:val="111111"/>
          <w:sz w:val="28"/>
          <w:sz w:val="28"/>
          <w:szCs w:val="28"/>
          <w:rtl w:val="true"/>
          <w:lang w:bidi="ar-SA"/>
        </w:rPr>
        <w:t xml:space="preserve">وإذا كان الخبر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وحصل ما يدلّ عليه حذف وجوبا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رجل وضيعته ومعنى ضيعته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حرفته </w:t>
      </w:r>
      <w:r>
        <w:rPr>
          <w:rStyle w:val="FootnoteAnchor"/>
          <w:rtl w:val="true"/>
        </w:rPr>
        <w:footnoteReference w:id="522"/>
      </w:r>
      <w:r>
        <w:rPr>
          <w:rFonts w:ascii="Amiri" w:hAnsi="Amiri" w:eastAsia="Amiri" w:cs="Amiri"/>
          <w:color w:val="111111"/>
          <w:sz w:val="28"/>
          <w:sz w:val="28"/>
          <w:szCs w:val="28"/>
          <w:rtl w:val="true"/>
          <w:lang w:bidi="ar-SA"/>
        </w:rPr>
        <w:t xml:space="preserve">وقد علم أنّ كلّ رجل مقترن مع حرفته ، فحذف الخبر الذي هو مقترن للعلم به ، ولأنّ الواو بمعنى مع فتدلّ على خصوصية الخبر ، وهي المقارنة وضيعته لفظ التزم مع الخبر فحصلت القرينة واللفظ الملتزم ، فوجب الحذف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13" w:name="__RefHeading___Toc716672_996550957"/>
      <w:bookmarkStart w:id="214" w:name="_Toc77"/>
      <w:bookmarkEnd w:id="213"/>
      <w:r>
        <w:rPr>
          <w:rtl w:val="true"/>
        </w:rPr>
        <w:t>ذكر وجوب حذف المبتدأ</w:t>
      </w:r>
      <w:bookmarkEnd w:id="214"/>
    </w:p>
    <w:p>
      <w:pPr>
        <w:pStyle w:val="BookText"/>
        <w:rPr/>
      </w:pPr>
      <w:r>
        <w:rPr>
          <w:rStyle w:val="FootnoteAnchor"/>
          <w:rtl w:val="true"/>
        </w:rPr>
        <w:footnoteReference w:id="5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يحذف وجوبا فيما قطع خبره عن الوصفيّة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الحميد برفع الحميد ، فالمبتدأ المحذوف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التقدير هو الحميد ، وكذلك يحذف إذا كان خبره مصدرا واقعا موضع الفعل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طاعَةٌ</w:t>
      </w:r>
      <w:r>
        <w:rPr>
          <w:rFonts w:eastAsia="Amiri" w:cs="Amiri" w:ascii="Amiri" w:hAnsi="Amiri"/>
          <w:color w:val="111111"/>
          <w:sz w:val="28"/>
          <w:szCs w:val="28"/>
          <w:rtl w:val="true"/>
          <w:lang w:bidi="ar-SA"/>
        </w:rPr>
        <w:t>)</w:t>
      </w:r>
      <w:r>
        <w:rPr>
          <w:rStyle w:val="FootnoteAnchor"/>
          <w:rtl w:val="true"/>
        </w:rPr>
        <w:footnoteReference w:id="525"/>
      </w:r>
      <w:r>
        <w:rPr>
          <w:rFonts w:ascii="Amiri" w:hAnsi="Amiri" w:eastAsia="Amiri" w:cs="Amiri"/>
          <w:color w:val="111111"/>
          <w:sz w:val="28"/>
          <w:sz w:val="28"/>
          <w:szCs w:val="28"/>
          <w:rtl w:val="true"/>
          <w:lang w:bidi="ar-SA"/>
        </w:rPr>
        <w:t xml:space="preserve">أي أمرنا يطاع وكذلك يحذف إذا كان خبره هو المخصوص بالمدح أو الذمّ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الرّجل زيد ، وبئس الرجل عمرو ، أي لما فيها من القرائن الدّالة عليه والتزام ما في موضعه</w:t>
      </w:r>
      <w:r>
        <w:rPr>
          <w:rFonts w:eastAsia="Amiri" w:cs="Amiri" w:ascii="Amiri" w:hAnsi="Amiri"/>
          <w:color w:val="111111"/>
          <w:sz w:val="28"/>
          <w:szCs w:val="28"/>
          <w:rtl w:val="true"/>
          <w:lang w:bidi="ar-SA"/>
        </w:rPr>
        <w:t>.</w:t>
      </w:r>
    </w:p>
    <w:p>
      <w:pPr>
        <w:pStyle w:val="Heading6"/>
        <w:numPr>
          <w:ilvl w:val="5"/>
          <w:numId w:val="1"/>
        </w:numPr>
        <w:rPr/>
      </w:pPr>
      <w:bookmarkStart w:id="215" w:name="__RefHeading___Toc716674_996550957"/>
      <w:bookmarkStart w:id="216" w:name="_Toc78"/>
      <w:bookmarkEnd w:id="215"/>
      <w:r>
        <w:rPr>
          <w:rtl w:val="true"/>
        </w:rPr>
        <w:t>ذكر تعدّد الخبر</w:t>
      </w:r>
      <w:bookmarkEnd w:id="216"/>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للمبتدأ خبران فصاعدا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حلو حامض ، أي جامع للطعمين وتلخيصه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حلو بعضه ، وحامض بعضه ، وإلّا لزم التناقض في هذه المسألة </w:t>
      </w:r>
      <w:r>
        <w:rPr>
          <w:rStyle w:val="FootnoteAnchor"/>
          <w:rtl w:val="true"/>
        </w:rPr>
        <w:footnoteReference w:id="527"/>
      </w:r>
      <w:bookmarkStart w:id="217" w:name="pg14482_156120"/>
    </w:p>
    <w:p>
      <w:pPr>
        <w:pStyle w:val="BookText"/>
        <w:rPr/>
      </w:pPr>
      <w:bookmarkEnd w:id="217"/>
      <w:r>
        <w:rPr>
          <w:rFonts w:ascii="Amiri" w:hAnsi="Amiri" w:eastAsia="Amiri" w:cs="Amiri"/>
          <w:color w:val="111111"/>
          <w:sz w:val="28"/>
          <w:sz w:val="28"/>
          <w:szCs w:val="28"/>
          <w:rtl w:val="true"/>
          <w:lang w:bidi="ar-SA"/>
        </w:rPr>
        <w:t xml:space="preserve">وقد يكون له ثلاثة أخبار ، وأربعة أخبار ، كقول الشاعر </w:t>
      </w:r>
      <w:r>
        <w:rPr>
          <w:rFonts w:eastAsia="Amiri" w:cs="Amiri" w:ascii="Amiri" w:hAnsi="Amiri"/>
          <w:color w:val="111111"/>
          <w:sz w:val="28"/>
          <w:szCs w:val="28"/>
          <w:rtl w:val="true"/>
          <w:lang w:bidi="ar-SA"/>
        </w:rPr>
        <w:t xml:space="preserve">: </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من يك ذا بتّ فهذا بتّى</w:t>
      </w:r>
    </w:p>
    <w:p>
      <w:pPr>
        <w:pStyle w:val="BookText"/>
        <w:rPr/>
      </w:pPr>
      <w:r>
        <w:rPr>
          <w:rFonts w:ascii="Amiri" w:hAnsi="Amiri" w:eastAsia="Amiri" w:cs="Amiri"/>
          <w:color w:val="111111"/>
          <w:sz w:val="28"/>
          <w:sz w:val="28"/>
          <w:szCs w:val="28"/>
          <w:rtl w:val="true"/>
          <w:lang w:bidi="ar-SA"/>
        </w:rPr>
        <w:t>مقيّظ مصيّف مشتّى</w:t>
      </w:r>
    </w:p>
    <w:p>
      <w:pPr>
        <w:pStyle w:val="BookText"/>
        <w:rPr/>
      </w:pPr>
      <w:r>
        <w:rPr>
          <w:rFonts w:ascii="Amiri" w:hAnsi="Amiri" w:eastAsia="Amiri" w:cs="Amiri"/>
          <w:color w:val="111111"/>
          <w:sz w:val="28"/>
          <w:sz w:val="28"/>
          <w:szCs w:val="28"/>
          <w:rtl w:val="true"/>
          <w:lang w:bidi="ar-SA"/>
        </w:rPr>
        <w:t xml:space="preserve">فهذا مبتدأ ، وبتّى خبر أول ، ومقيّظ خبر ثان ، ومصيّف خبر ثالث ، ومشتّى رابع ، وجاز ذلك لأنّ الخبر حكم ، وجاز أن يحكم على شيء واحد بأحكام كثيرة ولكن إن كان الخبران متضادّين فليس كلّ منهما خبرا مستقلا بل هما نائبان عن واحد جامع للمعنيين كما قلنا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حلو حامض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8" w:name="__RefHeading___Toc716676_996550957"/>
      <w:bookmarkStart w:id="219" w:name="_Toc79"/>
      <w:bookmarkEnd w:id="218"/>
      <w:r>
        <w:rPr/>
        <w:t>5</w:t>
      </w:r>
      <w:r>
        <w:rPr>
          <w:rtl w:val="true"/>
        </w:rPr>
        <w:t xml:space="preserve">- </w:t>
      </w:r>
      <w:r>
        <w:rPr>
          <w:rtl w:val="true"/>
        </w:rPr>
        <w:t>ذكر خبر إنّ</w:t>
      </w:r>
      <w:bookmarkEnd w:id="219"/>
    </w:p>
    <w:p>
      <w:pPr>
        <w:pStyle w:val="BookText"/>
        <w:rPr/>
      </w:pPr>
      <w:r>
        <w:rPr>
          <w:rStyle w:val="FootnoteAnchor"/>
          <w:rtl w:val="true"/>
        </w:rPr>
        <w:footnoteReference w:id="5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بخبر إنّ ، خبر اسم إنّ وهو المسند بعد دخول إنّ وأخواتها ، وشأن خبر إنّ كشأن خبر المبتدأ في أصنافه وأحواله وشرائطه ، أما أصنافه ، فمثل كونه مفردا وجملة ، وأما أحواله ، فمثل كونه نكرة ومعرفة ومشتقا وجامدا ومقدّما ومؤخّرا ومحذوفا ، وأمّا شرائطه ، فمثل كونه يلزمه الضمير إذا كان جملة أو مشتقا ، ولا يحذف إلّا لقرينة ، ولا يجوز أن يكون خبر اسم إنّ أمرا ولا نهيا ولا اسما مفردا في معنى الاستفهام كأين وكيف لوجوب التقديم ، وخبر إنّ لا يجوز أن يتقدّم على اسمها إلّا إذا كان ظرفا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الدّار زيدا للاتساع في الظروف ، لأنّه ما من اسم وفعل إلّا وهو في زمان أو مكان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0" w:name="__RefHeading___Toc716678_996550957"/>
      <w:bookmarkStart w:id="221" w:name="_Toc80"/>
      <w:bookmarkEnd w:id="220"/>
      <w:r>
        <w:rPr/>
        <w:t>6</w:t>
      </w:r>
      <w:r>
        <w:rPr>
          <w:rtl w:val="true"/>
        </w:rPr>
        <w:t xml:space="preserve">- </w:t>
      </w:r>
      <w:r>
        <w:rPr>
          <w:rtl w:val="true"/>
        </w:rPr>
        <w:t>ذكر خبر لا التي لنفي الجنس</w:t>
      </w:r>
      <w:bookmarkEnd w:id="221"/>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المسند بعد دخول لا التي لنفي الجنس ، واحترز بقوله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لنفي </w:t>
      </w:r>
    </w:p>
    <w:p>
      <w:pPr>
        <w:pStyle w:val="BookText"/>
        <w:rPr/>
      </w:pPr>
      <w:r>
        <w:rPr>
          <w:rFonts w:ascii="Amiri" w:hAnsi="Amiri" w:eastAsia="Amiri" w:cs="Amiri"/>
          <w:color w:val="111111"/>
          <w:sz w:val="28"/>
          <w:sz w:val="28"/>
          <w:szCs w:val="28"/>
          <w:rtl w:val="true"/>
          <w:lang w:bidi="ar-SA"/>
        </w:rPr>
        <w:t xml:space="preserve">الجنس عن المسند بعد 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المشبّهة بليس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غلام خيرا منك برفع غلام ونصب خيرا منك ، فإنّ خيرا منك ، مسند بعد 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أمران متميّزان ، وأما مثال خبر لا التي لنفي الجنس فنحو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غلام رجل ظريف بنصب غلام ورفع ظريف ، والنحويون يمثّلون في هذا الموضع بقولهم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رجل ظريف </w:t>
      </w:r>
      <w:r>
        <w:rPr>
          <w:rStyle w:val="FootnoteAnchor"/>
          <w:rtl w:val="true"/>
        </w:rPr>
        <w:footnoteReference w:id="533"/>
      </w:r>
      <w:r>
        <w:rPr>
          <w:rFonts w:ascii="Amiri" w:hAnsi="Amiri" w:eastAsia="Amiri" w:cs="Amiri"/>
          <w:color w:val="111111"/>
          <w:sz w:val="28"/>
          <w:sz w:val="28"/>
          <w:szCs w:val="28"/>
          <w:rtl w:val="true"/>
          <w:lang w:bidi="ar-SA"/>
        </w:rPr>
        <w:t xml:space="preserve">، وليس يحسن في التمثيل لاحتمال أن يكون ظريف صفة لرجل ، وقد رفعت حملا على محلّه بخلاف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غلام رجل ظريف فإنّه لا يحتمل غير الخبريّة لأنّ المضاف المنفي ، لا يوصف إلا بمنصوب فوجب أن لا يكون ظريف المرفوع صفة له ، ويتعيّن أن يكون خبرا ليس إلّا </w:t>
      </w:r>
      <w:r>
        <w:rPr>
          <w:rStyle w:val="FootnoteAnchor"/>
          <w:rtl w:val="true"/>
        </w:rPr>
        <w:footnoteReference w:id="534"/>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في الظاهر صفة ، ولا يليق بذي الفهم أن يمثل بمثال ظاهر في غير ما قصد تمثيله ، وأقله الاحتمال فيكره أيضا لذلك ، وهذا المثال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غلام رجل ظريف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يحتمل أن يكون ظريف إلّا خبرا لأن المضاف المنفي لا يوصف إلّا بمنصوب فوجب أن لا يكون صفة فزال الاحتمال عنه فحسن التمثيل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أنا نقول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وبنو تميم لا يثبتون الخبر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التمثيل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رجل ظريف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 على الظن امتناع هذه في لغتهم فيوقع ذلك في الخطأ لأنهم يقولون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الرضي أيضا في شرح الكافية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نقل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وأهل الحجاز يحذفون خبر لا التي لنفي الجنس كثيرا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في الوجود إلّا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وكذلك القول في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لا سيف إلّا ذو الفقار</w:t>
      </w:r>
    </w:p>
    <w:p>
      <w:pPr>
        <w:pStyle w:val="BookText"/>
        <w:rPr/>
      </w:pPr>
      <w:r>
        <w:rPr>
          <w:rFonts w:ascii="Amiri" w:hAnsi="Amiri" w:eastAsia="Amiri" w:cs="Amiri"/>
          <w:color w:val="111111"/>
          <w:sz w:val="28"/>
          <w:sz w:val="28"/>
          <w:szCs w:val="28"/>
          <w:rtl w:val="true"/>
          <w:lang w:bidi="ar-SA"/>
        </w:rPr>
        <w:t>ولا فتى إلّا علي</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وبنو تميم لا يثبتونه لفظا في كلامهم ، 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رجل أفضل منك ورفعت أفضل تعيّن للخبر على لغة أهل الحجاز ، وأمّا بنو تميم فلا يرفعونه أصلا ، لئلّا يتعين للخبريّة بل ينصبونه على الصّفة ويكون الخبر محذوفا تقديره في الوجود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 xml:space="preserve">. </w:t>
      </w:r>
      <w:bookmarkStart w:id="222" w:name="pg14482_156122"/>
    </w:p>
    <w:p>
      <w:pPr>
        <w:pStyle w:val="Heading5"/>
        <w:numPr>
          <w:ilvl w:val="4"/>
          <w:numId w:val="1"/>
        </w:numPr>
        <w:rPr/>
      </w:pPr>
      <w:bookmarkStart w:id="223" w:name="__RefHeading___Toc716680_996550957"/>
      <w:bookmarkStart w:id="224" w:name="_Toc81"/>
      <w:bookmarkEnd w:id="222"/>
      <w:bookmarkEnd w:id="223"/>
      <w:r>
        <w:rPr/>
        <w:t>7</w:t>
      </w:r>
      <w:r>
        <w:rPr>
          <w:rtl w:val="true"/>
        </w:rPr>
        <w:t xml:space="preserve">- </w:t>
      </w:r>
      <w:r>
        <w:rPr>
          <w:rtl w:val="true"/>
        </w:rPr>
        <w:t>ذكر اسم ما ولا المشبّهتين بليس</w:t>
      </w:r>
      <w:bookmarkEnd w:id="224"/>
    </w:p>
    <w:p>
      <w:pPr>
        <w:pStyle w:val="BookText"/>
        <w:rPr/>
      </w:pPr>
      <w:r>
        <w:rPr>
          <w:rStyle w:val="FootnoteAnchor"/>
          <w:rtl w:val="true"/>
        </w:rPr>
        <w:footnoteReference w:id="5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المسند إليه بعد دخولهما ، وهما يرفعان الاسم وينصبان الخبر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هذا بَشَراً</w:t>
      </w:r>
      <w:r>
        <w:rPr>
          <w:rFonts w:eastAsia="Amiri" w:cs="Amiri" w:ascii="Amiri" w:hAnsi="Amiri"/>
          <w:color w:val="111111"/>
          <w:sz w:val="28"/>
          <w:szCs w:val="28"/>
          <w:rtl w:val="true"/>
          <w:lang w:bidi="ar-SA"/>
        </w:rPr>
        <w:t>)</w:t>
      </w:r>
      <w:r>
        <w:rPr>
          <w:rStyle w:val="FootnoteAnchor"/>
          <w:rtl w:val="true"/>
        </w:rPr>
        <w:footnoteReference w:id="537"/>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هُنَّ أُمَّهاتِهِمْ</w:t>
      </w:r>
      <w:r>
        <w:rPr>
          <w:rFonts w:eastAsia="Amiri" w:cs="Amiri" w:ascii="Amiri" w:hAnsi="Amiri"/>
          <w:color w:val="111111"/>
          <w:sz w:val="28"/>
          <w:szCs w:val="28"/>
          <w:rtl w:val="true"/>
          <w:lang w:bidi="ar-SA"/>
        </w:rPr>
        <w:t>)</w:t>
      </w:r>
      <w:r>
        <w:rPr>
          <w:rStyle w:val="FootnoteAnchor"/>
          <w:rtl w:val="true"/>
        </w:rPr>
        <w:footnoteReference w:id="53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مشابهة لليس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لكونها لنفي الحال كليس ، ولا للنفي المطلق ، ولذلك 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المعرفة والنكرة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تعمل إلّا في النكرة </w:t>
      </w:r>
      <w:r>
        <w:rPr>
          <w:rStyle w:val="FootnoteAnchor"/>
          <w:rtl w:val="true"/>
        </w:rPr>
        <w:footnoteReference w:id="539"/>
      </w:r>
      <w:r>
        <w:rPr>
          <w:rFonts w:ascii="Amiri" w:hAnsi="Amiri" w:eastAsia="Amiri" w:cs="Amiri"/>
          <w:color w:val="111111"/>
          <w:sz w:val="28"/>
          <w:sz w:val="28"/>
          <w:szCs w:val="28"/>
          <w:rtl w:val="true"/>
          <w:lang w:bidi="ar-SA"/>
        </w:rPr>
        <w:t xml:space="preserve">ولذلك كان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قليلا ، وقد جاء في الشعر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صدّ عن نيرانها</w:t>
      </w:r>
    </w:p>
    <w:p>
      <w:pPr>
        <w:pStyle w:val="BookText"/>
        <w:rPr/>
      </w:pPr>
      <w:r>
        <w:rPr>
          <w:rFonts w:ascii="Amiri" w:hAnsi="Amiri" w:eastAsia="Amiri" w:cs="Amiri"/>
          <w:color w:val="111111"/>
          <w:sz w:val="28"/>
          <w:sz w:val="28"/>
          <w:szCs w:val="28"/>
          <w:rtl w:val="true"/>
          <w:lang w:bidi="ar-SA"/>
        </w:rPr>
        <w:t>فأنا ابن قيس لا براح</w:t>
      </w:r>
    </w:p>
    <w:p>
      <w:pPr>
        <w:pStyle w:val="BookText"/>
        <w:rPr/>
      </w:pPr>
      <w:r>
        <w:rPr>
          <w:rFonts w:ascii="Amiri" w:hAnsi="Amiri" w:eastAsia="Amiri" w:cs="Amiri"/>
          <w:color w:val="111111"/>
          <w:sz w:val="28"/>
          <w:sz w:val="28"/>
          <w:szCs w:val="28"/>
          <w:rtl w:val="true"/>
          <w:lang w:bidi="ar-SA"/>
        </w:rPr>
        <w:t>أي ليس لي براح</w:t>
      </w:r>
      <w:r>
        <w:rPr>
          <w:rFonts w:eastAsia="Amiri" w:cs="Amiri" w:ascii="Amiri" w:hAnsi="Amiri"/>
          <w:color w:val="111111"/>
          <w:sz w:val="28"/>
          <w:szCs w:val="28"/>
          <w:rtl w:val="true"/>
          <w:lang w:bidi="ar-SA"/>
        </w:rPr>
        <w:t>.</w:t>
      </w:r>
    </w:p>
    <w:p>
      <w:pPr>
        <w:pStyle w:val="Heading4"/>
        <w:numPr>
          <w:ilvl w:val="3"/>
          <w:numId w:val="1"/>
        </w:numPr>
        <w:rPr/>
      </w:pPr>
      <w:bookmarkStart w:id="225" w:name="__RefHeading___Toc716682_996550957"/>
      <w:bookmarkStart w:id="226" w:name="_Toc82"/>
      <w:bookmarkEnd w:id="225"/>
      <w:r>
        <w:rPr>
          <w:rtl w:val="true"/>
        </w:rPr>
        <w:t>ذكر المنصوبات</w:t>
      </w:r>
      <w:bookmarkEnd w:id="226"/>
    </w:p>
    <w:p>
      <w:pPr>
        <w:pStyle w:val="Heading5"/>
        <w:numPr>
          <w:ilvl w:val="4"/>
          <w:numId w:val="1"/>
        </w:numPr>
        <w:rPr/>
      </w:pPr>
      <w:bookmarkStart w:id="227" w:name="__RefHeading___Toc716684_996550957"/>
      <w:bookmarkStart w:id="228" w:name="_Toc83"/>
      <w:bookmarkEnd w:id="227"/>
      <w:r>
        <w:rPr>
          <w:rtl w:val="true"/>
        </w:rPr>
        <w:t>اشارة</w:t>
      </w:r>
      <w:bookmarkEnd w:id="228"/>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المنصوب ما اشتمل على علم المفعوليّة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المفعول المطلق ثم المفعول به ، وهو أربعة أقسام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السّماعيّ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المنادى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أضمر عامله على شريطة التفسير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التحذير ، ثم بعد المفعول به ، المفعول فيه ، ثم المفعول له ، ثمّ الحال ، ثم التمييز ، ثم المستثنى ثم خبر كان ، ثم اسم إنّ ، ثم منصوب لا التي لنفي الجنس ، ثمّ خبر ما ولا المشبّهتين بليس</w:t>
      </w:r>
      <w:r>
        <w:rPr>
          <w:rFonts w:eastAsia="Amiri" w:cs="Amiri" w:ascii="Amiri" w:hAnsi="Amiri"/>
          <w:color w:val="111111"/>
          <w:sz w:val="28"/>
          <w:szCs w:val="28"/>
          <w:rtl w:val="true"/>
          <w:lang w:bidi="ar-SA"/>
        </w:rPr>
        <w:t xml:space="preserve">. </w:t>
      </w:r>
      <w:bookmarkStart w:id="229" w:name="pg14482_156123"/>
    </w:p>
    <w:p>
      <w:pPr>
        <w:pStyle w:val="Heading5"/>
        <w:numPr>
          <w:ilvl w:val="4"/>
          <w:numId w:val="1"/>
        </w:numPr>
        <w:rPr/>
      </w:pPr>
      <w:bookmarkStart w:id="230" w:name="__RefHeading___Toc716686_996550957"/>
      <w:bookmarkStart w:id="231" w:name="_Toc84"/>
      <w:bookmarkEnd w:id="229"/>
      <w:bookmarkEnd w:id="230"/>
      <w:r>
        <w:rPr/>
        <w:t>1</w:t>
      </w:r>
      <w:r>
        <w:rPr>
          <w:rtl w:val="true"/>
        </w:rPr>
        <w:t xml:space="preserve">- </w:t>
      </w:r>
      <w:r>
        <w:rPr>
          <w:rtl w:val="true"/>
        </w:rPr>
        <w:t>ذكر المفعول المطلق</w:t>
      </w:r>
      <w:bookmarkEnd w:id="231"/>
    </w:p>
    <w:p>
      <w:pPr>
        <w:pStyle w:val="Heading6"/>
        <w:numPr>
          <w:ilvl w:val="5"/>
          <w:numId w:val="1"/>
        </w:numPr>
        <w:rPr/>
      </w:pPr>
      <w:bookmarkStart w:id="232" w:name="__RefHeading___Toc716688_996550957"/>
      <w:bookmarkStart w:id="233" w:name="_Toc85"/>
      <w:bookmarkEnd w:id="232"/>
      <w:r>
        <w:rPr>
          <w:rtl w:val="true"/>
        </w:rPr>
        <w:t>اشارة</w:t>
      </w:r>
      <w:bookmarkEnd w:id="233"/>
    </w:p>
    <w:p>
      <w:pPr>
        <w:pStyle w:val="BookText"/>
        <w:rPr/>
      </w:pPr>
      <w:r>
        <w:rPr>
          <w:rStyle w:val="FootnoteAnchor"/>
          <w:rtl w:val="true"/>
        </w:rPr>
        <w:footnoteReference w:id="5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سمّي بذلك لأنّه غير مقيّد بحرف كالمفعول به وله ومعه وفيه ، ورسمه بأنّه اسم ما فعله فاعل فعل مذكور بمعناه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ضربا ، وقعد جلوسا ومات موتا ، واحترز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عمّا فعله فاعل فعل مذكور بمعناه وليس باسم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الثاني 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ضرب ، وبقوله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مذكور عن كرهت القيام ، فإنّ القيام ليس مفعولا مطلقا إذ ليس فعل فاعل القيام مذكورا ، وبقوله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بمعناه ، عن مثل كرهت قيامي ، فقيامي وإن صدق عليه أنّه بمعناه لأنّ معنى القيام غير معنى الكراهة </w:t>
      </w:r>
      <w:r>
        <w:rPr>
          <w:rStyle w:val="FootnoteAnchor"/>
          <w:rtl w:val="true"/>
        </w:rPr>
        <w:footnoteReference w:id="543"/>
      </w:r>
      <w:r>
        <w:rPr>
          <w:rFonts w:ascii="Amiri" w:hAnsi="Amiri" w:eastAsia="Amiri" w:cs="Amiri"/>
          <w:color w:val="111111"/>
          <w:sz w:val="28"/>
          <w:sz w:val="28"/>
          <w:szCs w:val="28"/>
          <w:rtl w:val="true"/>
          <w:lang w:bidi="ar-SA"/>
        </w:rPr>
        <w:t xml:space="preserve">والمفعول المطلق إن لم يكن مدلوله زائدا على مدلول الفعل فهو للتأكيد كضرب ضربا ، وإن كان زائدا بأن دلّ على هيئة </w:t>
      </w:r>
      <w:r>
        <w:rPr>
          <w:rStyle w:val="FootnoteAnchor"/>
          <w:rtl w:val="true"/>
        </w:rPr>
        <w:footnoteReference w:id="544"/>
      </w:r>
      <w:r>
        <w:rPr>
          <w:rFonts w:ascii="Amiri" w:hAnsi="Amiri" w:eastAsia="Amiri" w:cs="Amiri"/>
          <w:color w:val="111111"/>
          <w:sz w:val="28"/>
          <w:sz w:val="28"/>
          <w:szCs w:val="28"/>
          <w:rtl w:val="true"/>
          <w:lang w:bidi="ar-SA"/>
        </w:rPr>
        <w:t xml:space="preserve">صدور الفعل فهو للنوع كجلست جلسة بكسر الجيم ، ومنه ما يدلّ على النّوع باسم خاصّ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القهقرى ، والقهقرى الرجوع إلى 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رجعت القهقرى فكأنّك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رجعت الرجوع الذي يعرف بهذا الاسم ، ومن المفعول المطلق ما يدلّ على النوع بالصفة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ضربا شديدا وضربت أيّ ضرب ، أو الضّرب الذي تعرفه ، أو ضربت ضرب الأمير ، وإن دلّ على مرة أو مرات صدور الفعل فهو للعدد ، كجلست جلسة بفتح الجيم وجلسات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المفعول المطلق الذي هو للتأكيد لا يثنّى </w:t>
      </w:r>
      <w:r>
        <w:rPr>
          <w:rStyle w:val="FootnoteAnchor"/>
          <w:rtl w:val="true"/>
        </w:rPr>
        <w:footnoteReference w:id="546"/>
      </w:r>
      <w:r>
        <w:rPr>
          <w:rFonts w:ascii="Amiri" w:hAnsi="Amiri" w:eastAsia="Amiri" w:cs="Amiri"/>
          <w:color w:val="111111"/>
          <w:sz w:val="28"/>
          <w:sz w:val="28"/>
          <w:szCs w:val="28"/>
          <w:rtl w:val="true"/>
          <w:lang w:bidi="ar-SA"/>
        </w:rPr>
        <w:t xml:space="preserve">ولا يجمع لأنّه للحقيقة المشتركة ولا كثرة فيها ، وأمّا الذي للنوع فيثنّى ويجمع ، لأنّه يمكن اجتماع نوعين وأنواع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جلست جلستين أي على هيئتين من الجلوس وكذلك ضربت الضربتين اللذين تعرفهما ، وكذلك الذي للعدد يثنّى ويجمع أيضا ، لأنّه إذا اجتمع مرّتان أمكن تثنيته وإذا اجتمع مرات أمكن جمعه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جلست جلستين بفتح الجيم ، أي جلست </w:t>
      </w:r>
      <w:bookmarkStart w:id="234" w:name="pg14482_156124"/>
    </w:p>
    <w:p>
      <w:pPr>
        <w:pStyle w:val="BookText"/>
        <w:rPr/>
      </w:pPr>
      <w:bookmarkEnd w:id="234"/>
      <w:r>
        <w:rPr>
          <w:rFonts w:ascii="Amiri" w:hAnsi="Amiri" w:eastAsia="Amiri" w:cs="Amiri"/>
          <w:color w:val="111111"/>
          <w:sz w:val="28"/>
          <w:sz w:val="28"/>
          <w:szCs w:val="28"/>
          <w:rtl w:val="true"/>
          <w:lang w:bidi="ar-SA"/>
        </w:rPr>
        <w:t>دفعتين أو مرّتين</w:t>
      </w:r>
      <w:r>
        <w:rPr>
          <w:rFonts w:eastAsia="Amiri" w:cs="Amiri" w:ascii="Amiri" w:hAnsi="Amiri"/>
          <w:color w:val="111111"/>
          <w:sz w:val="28"/>
          <w:szCs w:val="28"/>
          <w:rtl w:val="true"/>
          <w:lang w:bidi="ar-SA"/>
        </w:rPr>
        <w:t>.</w:t>
      </w:r>
    </w:p>
    <w:p>
      <w:pPr>
        <w:pStyle w:val="Heading6"/>
        <w:numPr>
          <w:ilvl w:val="5"/>
          <w:numId w:val="1"/>
        </w:numPr>
        <w:rPr/>
      </w:pPr>
      <w:bookmarkStart w:id="235" w:name="__RefHeading___Toc716690_996550957"/>
      <w:bookmarkStart w:id="236" w:name="_Toc86"/>
      <w:bookmarkEnd w:id="235"/>
      <w:r>
        <w:rPr>
          <w:rtl w:val="true"/>
        </w:rPr>
        <w:t>ذكر جواز حذف الفعل</w:t>
      </w:r>
      <w:bookmarkEnd w:id="236"/>
    </w:p>
    <w:p>
      <w:pPr>
        <w:pStyle w:val="BookText"/>
        <w:rPr/>
      </w:pPr>
      <w:r>
        <w:rPr>
          <w:rStyle w:val="FootnoteAnchor"/>
          <w:rtl w:val="true"/>
        </w:rPr>
        <w:footnoteReference w:id="5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يحذف الفعل عند قيام قرينة دالّة عليه كقولك للقادم من سفره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مقدم ، أي قدمت خير مقدم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37" w:name="__RefHeading___Toc716692_996550957"/>
      <w:bookmarkStart w:id="238" w:name="_Toc87"/>
      <w:bookmarkEnd w:id="237"/>
      <w:r>
        <w:rPr>
          <w:rtl w:val="true"/>
        </w:rPr>
        <w:t>ذكر وجوب حذف الفعل</w:t>
      </w:r>
      <w:bookmarkEnd w:id="238"/>
    </w:p>
    <w:p>
      <w:pPr>
        <w:pStyle w:val="BookText"/>
        <w:rPr/>
      </w:pPr>
      <w:r>
        <w:rPr>
          <w:rStyle w:val="FootnoteAnchor"/>
          <w:rtl w:val="true"/>
        </w:rPr>
        <w:footnoteReference w:id="5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حذف الفعل الناصب للمفعول المطلق ، وذلك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سماعي ، وهو مصادر كثر استعمالها فحذفت أفعالها تخفيفا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حمدا وشكرا وسقيا ورعيا ، فإنه </w:t>
      </w:r>
      <w:r>
        <w:rPr>
          <w:rStyle w:val="FootnoteAnchor"/>
          <w:rtl w:val="true"/>
        </w:rPr>
        <w:footnoteReference w:id="550"/>
      </w:r>
      <w:r>
        <w:rPr>
          <w:rFonts w:ascii="Amiri" w:hAnsi="Amiri" w:eastAsia="Amiri" w:cs="Amiri"/>
          <w:color w:val="111111"/>
          <w:sz w:val="28"/>
          <w:sz w:val="28"/>
          <w:szCs w:val="28"/>
          <w:rtl w:val="true"/>
          <w:lang w:bidi="ar-SA"/>
        </w:rPr>
        <w:t xml:space="preserve">لو كان ذكر الفعل مع المصدر جائزا لوقع ، ولو وقع لنقل ولمّا لم ينقل دلّ على أنّه لم يقع ، ولمّا لم يقع دلّ على أنّه غير جائز </w:t>
      </w:r>
      <w:r>
        <w:rPr>
          <w:rStyle w:val="FootnoteAnchor"/>
          <w:rtl w:val="true"/>
        </w:rPr>
        <w:footnoteReference w:id="551"/>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قياسي في أبواب </w:t>
      </w:r>
      <w:r>
        <w:rPr>
          <w:rFonts w:eastAsia="Amiri" w:cs="Amiri" w:ascii="Amiri" w:hAnsi="Amiri"/>
          <w:color w:val="111111"/>
          <w:sz w:val="28"/>
          <w:szCs w:val="28"/>
          <w:rtl w:val="true"/>
          <w:lang w:bidi="ar-SA"/>
        </w:rPr>
        <w:t xml:space="preserve">: </w:t>
      </w:r>
      <w:r>
        <w:rPr>
          <w:rStyle w:val="FootnoteAnchor"/>
          <w:rtl w:val="true"/>
        </w:rPr>
        <w:footnoteReference w:id="552"/>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المصدر مثبتا بعد نفي ، أو معنى نفي ، داخل على اسم بشرط ألّا يصحّ أن يكون خبرا عن الاسم المتقدّم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زيد إلّا سيرا ، فإذا وجد ذلك ، وجب حذف الفعل لحصول القرينة على خصوص الفعل ، ووقوع لفظ إلّا أو ما يقوم مقامها في موضع الفعل المحذوف ، ومعلوم أنّ سيرا مصدر مثبت بعد نفي ، ولا يصحّ أن يكون خبرا عن الاسم المتقدم الذي هو زيد ، ومثال الواقع بعد معنى النفي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سيرا لأنّ معناه ما أنت إلّا سيرا ، واحترز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مثبت عن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زيد سيرا ، وبقوله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نفي ، عن زيد سيرا ، وبقوله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أن يكون خبرا ، عن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سيري إلّا سير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يقع المفعول المطلق مكرّرا في موضع خبر عن اسم ولم يصلح أن يكون خبرا عنه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سيرا سيرا والتقدير يسير سيرا ، ومعلوم أنّ سيرا لا يصلح أن يكون خبرا عن زيد فالقرينة حاصلة والمصدر الأوّل لفظ التزم موضع الفعل المحذوف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تتقدّم جملة لها آثار وتذكر الآثار بلفظ المصدر </w:t>
      </w:r>
      <w:r>
        <w:rPr>
          <w:rStyle w:val="FootnoteAnchor"/>
          <w:rtl w:val="true"/>
        </w:rPr>
        <w:footnoteReference w:id="555"/>
      </w:r>
      <w:r>
        <w:rPr>
          <w:rFonts w:ascii="Amiri" w:hAnsi="Amiri" w:eastAsia="Amiri" w:cs="Amiri"/>
          <w:color w:val="111111"/>
          <w:sz w:val="28"/>
          <w:sz w:val="28"/>
          <w:szCs w:val="28"/>
          <w:rtl w:val="true"/>
          <w:lang w:bidi="ar-SA"/>
        </w:rPr>
        <w:t xml:space="preserve">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فَشُدُّوا الْوَثاقَ فَإِمَّا مَنًّا بَعْدُ وَإِمَّا فِداءً</w:t>
      </w:r>
      <w:r>
        <w:rPr>
          <w:rFonts w:eastAsia="Amiri" w:cs="Amiri" w:ascii="Amiri" w:hAnsi="Amiri"/>
          <w:color w:val="111111"/>
          <w:sz w:val="28"/>
          <w:szCs w:val="28"/>
          <w:rtl w:val="true"/>
          <w:lang w:bidi="ar-SA"/>
        </w:rPr>
        <w:t>)</w:t>
      </w:r>
      <w:r>
        <w:rPr>
          <w:rStyle w:val="FootnoteAnchor"/>
          <w:rtl w:val="true"/>
        </w:rPr>
        <w:footnoteReference w:id="556"/>
      </w:r>
      <w:r>
        <w:rPr>
          <w:rFonts w:ascii="Amiri" w:hAnsi="Amiri" w:eastAsia="Amiri" w:cs="Amiri"/>
          <w:color w:val="111111"/>
          <w:sz w:val="28"/>
          <w:sz w:val="28"/>
          <w:szCs w:val="28"/>
          <w:rtl w:val="true"/>
          <w:lang w:bidi="ar-SA"/>
        </w:rPr>
        <w:t xml:space="preserve">فشدّوا الوثاق ، جملة متقدّمة لها في الوجود آثار ، وهي المنّ والفداء والاسترقاق والقتل ، فإذا ذكر </w:t>
      </w:r>
      <w:r>
        <w:rPr>
          <w:rStyle w:val="FootnoteAnchor"/>
          <w:rtl w:val="true"/>
        </w:rPr>
        <w:footnoteReference w:id="557"/>
      </w:r>
      <w:r>
        <w:rPr>
          <w:rFonts w:ascii="Amiri" w:hAnsi="Amiri" w:eastAsia="Amiri" w:cs="Amiri"/>
          <w:color w:val="111111"/>
          <w:sz w:val="28"/>
          <w:sz w:val="28"/>
          <w:szCs w:val="28"/>
          <w:rtl w:val="true"/>
          <w:lang w:bidi="ar-SA"/>
        </w:rPr>
        <w:t xml:space="preserve">هذه الآثار وجب حذف الفعل لأنّ الجملة تدلّ على آثارها ، وقد وقع لفظها في موضع الفعل فوجب حذفه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يقع المفعول المطلق للتشبيه بعد جملة مشتملة على اسم بمعنى المفعول المطلق ، وعلى صاحب ذلك الاسم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لزيد صوت صوت حمار </w:t>
      </w:r>
      <w:r>
        <w:rPr>
          <w:rStyle w:val="FootnoteAnchor"/>
          <w:rtl w:val="true"/>
        </w:rPr>
        <w:footnoteReference w:id="559"/>
      </w:r>
      <w:r>
        <w:rPr>
          <w:rFonts w:ascii="Amiri" w:hAnsi="Amiri" w:eastAsia="Amiri" w:cs="Amiri"/>
          <w:color w:val="111111"/>
          <w:sz w:val="28"/>
          <w:sz w:val="28"/>
          <w:szCs w:val="28"/>
          <w:rtl w:val="true"/>
          <w:lang w:bidi="ar-SA"/>
        </w:rPr>
        <w:t xml:space="preserve">واحترز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للتشبيه عن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لزيد صوت صوت حسن ، فإنّ الثاني مرفوع على البدل </w:t>
      </w:r>
      <w:r>
        <w:rPr>
          <w:rStyle w:val="FootnoteAnchor"/>
          <w:rtl w:val="true"/>
        </w:rPr>
        <w:footnoteReference w:id="560"/>
      </w:r>
      <w:r>
        <w:rPr>
          <w:rFonts w:ascii="Amiri" w:hAnsi="Amiri" w:eastAsia="Amiri" w:cs="Amiri"/>
          <w:color w:val="111111"/>
          <w:sz w:val="28"/>
          <w:sz w:val="28"/>
          <w:szCs w:val="28"/>
          <w:rtl w:val="true"/>
          <w:lang w:bidi="ar-SA"/>
        </w:rPr>
        <w:t xml:space="preserve">واحترز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جملة ، عن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الصوت صوت حمار ، وبقوله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مشتملة على اسم بمعنى المفعول المطلق ، عن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بزيد فإذا له ضرب صوت حمار ، فإنّ الضّرب ليس بمعنى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وبصاحب الاسم عن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الدار صوت صوت حمار ، ووجب حذف الفعل لأنّ في الكلام قرينة تدلّ عليه ، والجملة لفظ التزم موضعه </w:t>
      </w:r>
      <w:r>
        <w:rPr>
          <w:rStyle w:val="FootnoteAnchor"/>
          <w:rtl w:val="true"/>
        </w:rPr>
        <w:footnoteReference w:id="561"/>
      </w:r>
      <w:r>
        <w:rPr>
          <w:rFonts w:ascii="Amiri" w:hAnsi="Amiri" w:eastAsia="Amiri" w:cs="Amiri"/>
          <w:color w:val="111111"/>
          <w:sz w:val="28"/>
          <w:sz w:val="28"/>
          <w:szCs w:val="28"/>
          <w:rtl w:val="true"/>
          <w:lang w:bidi="ar-SA"/>
        </w:rPr>
        <w:t xml:space="preserve">وتقديره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فإذا هو يصوّت صوت حمار</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Style w:val="FootnoteAnchor"/>
          <w:rtl w:val="true"/>
        </w:rPr>
        <w:footnoteReference w:id="562"/>
      </w:r>
      <w:r>
        <w:rPr>
          <w:rFonts w:ascii="Amiri" w:hAnsi="Amiri" w:eastAsia="Amiri" w:cs="Amiri"/>
          <w:color w:val="111111"/>
          <w:sz w:val="28"/>
          <w:sz w:val="28"/>
          <w:szCs w:val="28"/>
          <w:rtl w:val="true"/>
          <w:lang w:bidi="ar-SA"/>
        </w:rPr>
        <w:t xml:space="preserve">أن يقع المفعول المطلق مضمون جملة لا احتمال لتلك الجملة غير </w:t>
      </w:r>
    </w:p>
    <w:p>
      <w:pPr>
        <w:pStyle w:val="BookText"/>
        <w:rPr/>
      </w:pPr>
      <w:r>
        <w:rPr>
          <w:rFonts w:ascii="Amiri" w:hAnsi="Amiri" w:eastAsia="Amiri" w:cs="Amiri"/>
          <w:color w:val="111111"/>
          <w:sz w:val="28"/>
          <w:sz w:val="28"/>
          <w:szCs w:val="28"/>
          <w:rtl w:val="true"/>
          <w:lang w:bidi="ar-SA"/>
        </w:rPr>
        <w:t>ذلك المفعول المطلق ، أو يقع المفعول المطلق مضمون جملة لها احتمال غير ذلك المفعول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فمثال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عليّ ألف درهم اعترافا ، فله عليّ ألف درهم جملة لا احتمال لها غير الاعتراف ويسمّى هذا القسم توكيدا لنفسه ، لأنّه يؤكّد مضمون الجملة الذي هو عين الاعتراف </w:t>
      </w:r>
      <w:r>
        <w:rPr>
          <w:rStyle w:val="FootnoteAnchor"/>
          <w:rtl w:val="true"/>
        </w:rPr>
        <w:footnoteReference w:id="563"/>
      </w:r>
      <w:r>
        <w:rPr>
          <w:rFonts w:ascii="Amiri" w:hAnsi="Amiri" w:eastAsia="Amiri" w:cs="Amiri"/>
          <w:color w:val="111111"/>
          <w:sz w:val="28"/>
          <w:sz w:val="28"/>
          <w:szCs w:val="28"/>
          <w:rtl w:val="true"/>
          <w:lang w:bidi="ar-SA"/>
        </w:rPr>
        <w:t xml:space="preserve">ومثال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قائم حقّا ، فحقّا وقع مضمون زيد قائم ، وهو يحتمل أن يكون حقا وغير حقّ ، فحقّا أكّد أحد احتماليه ، ويسمّى هذا القسم توكيدا لغيره ، وحقّا منصوب بفعل مضمر ، والتقدير أحقّ ذلك حقّا ، قال الزجاج </w:t>
      </w:r>
      <w:r>
        <w:rPr>
          <w:rFonts w:eastAsia="Amiri" w:cs="Amiri" w:ascii="Amiri" w:hAnsi="Amiri"/>
          <w:color w:val="111111"/>
          <w:sz w:val="28"/>
          <w:szCs w:val="28"/>
          <w:rtl w:val="true"/>
          <w:lang w:bidi="ar-SA"/>
        </w:rPr>
        <w:t xml:space="preserve">: </w:t>
      </w:r>
      <w:r>
        <w:rPr>
          <w:rStyle w:val="FootnoteAnchor"/>
          <w:rtl w:val="true"/>
        </w:rPr>
        <w:footnoteReference w:id="564"/>
      </w:r>
      <w:r>
        <w:rPr>
          <w:rFonts w:ascii="Amiri" w:hAnsi="Amiri" w:eastAsia="Amiri" w:cs="Amiri"/>
          <w:color w:val="111111"/>
          <w:sz w:val="28"/>
          <w:sz w:val="28"/>
          <w:szCs w:val="28"/>
          <w:rtl w:val="true"/>
          <w:lang w:bidi="ar-SA"/>
        </w:rPr>
        <w:t xml:space="preserve">ولا يجوز تقديم حقّا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 زيد قائم ، قال فإن وسّطته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حقّا قائم ، جاز وذلك لأنّك لما ذكرت الكلام الذي يجوز أن تكون فيه شاكّا ، وأن تكون متيقنا ، جاز لك حينئذ أن تضمر اللّفظ الدّال على أحد الأمرين وهو أحقّ حقّا </w:t>
      </w:r>
      <w:r>
        <w:rPr>
          <w:rStyle w:val="FootnoteAnchor"/>
          <w:rtl w:val="true"/>
        </w:rPr>
        <w:footnoteReference w:id="565"/>
      </w:r>
      <w:r>
        <w:rPr>
          <w:rFonts w:ascii="Amiri" w:hAnsi="Amiri" w:eastAsia="Amiri" w:cs="Amiri"/>
          <w:color w:val="111111"/>
          <w:sz w:val="28"/>
          <w:sz w:val="28"/>
          <w:szCs w:val="28"/>
          <w:rtl w:val="true"/>
          <w:lang w:bidi="ar-SA"/>
        </w:rPr>
        <w:t xml:space="preserve">ولم يذكر سيبويه امتناع تقديمه </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 xml:space="preserve">الكتاب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 المفصل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التأكيد لغيره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 ذلك البتّة ، قال سيبويه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ولا يستعمل إلّا بالألف واللام ، وهو من بتّ كذا يبتّه إذا قطعه</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يقع المفعول المطلق مثنّى للتكثير ، ومن أحكامه أنّه لا يستعمل إلّا مضافا غالبا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وسعديك ودواليك وهذاذيك إذا كانت التثنية لغرض تأكيد الكثرة لا لقصد التثنية المحقّقة </w:t>
      </w:r>
      <w:r>
        <w:rPr>
          <w:rStyle w:val="FootnoteAnchor"/>
          <w:rtl w:val="true"/>
        </w:rPr>
        <w:footnoteReference w:id="567"/>
      </w:r>
      <w:r>
        <w:rPr>
          <w:rFonts w:ascii="Amiri" w:hAnsi="Amiri" w:eastAsia="Amiri" w:cs="Amiri"/>
          <w:color w:val="111111"/>
          <w:sz w:val="28"/>
          <w:sz w:val="28"/>
          <w:szCs w:val="28"/>
          <w:rtl w:val="true"/>
          <w:lang w:bidi="ar-SA"/>
        </w:rPr>
        <w:t xml:space="preserve">، أمّا لو قصدت التثنية من غير نظر إلى الكثرة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ارْجِعِ الْبَصَرَ كَرَّتَيْنِ</w:t>
      </w:r>
      <w:r>
        <w:rPr>
          <w:rFonts w:eastAsia="Amiri" w:cs="Amiri" w:ascii="Amiri" w:hAnsi="Amiri"/>
          <w:color w:val="111111"/>
          <w:sz w:val="28"/>
          <w:szCs w:val="28"/>
          <w:rtl w:val="true"/>
          <w:lang w:bidi="ar-SA"/>
        </w:rPr>
        <w:t>)</w:t>
      </w:r>
      <w:r>
        <w:rPr>
          <w:rStyle w:val="FootnoteAnchor"/>
          <w:rtl w:val="true"/>
        </w:rPr>
        <w:footnoteReference w:id="568"/>
      </w:r>
      <w:r>
        <w:rPr>
          <w:rFonts w:ascii="Amiri" w:hAnsi="Amiri" w:eastAsia="Amiri" w:cs="Amiri"/>
          <w:color w:val="111111"/>
          <w:sz w:val="28"/>
          <w:sz w:val="28"/>
          <w:szCs w:val="28"/>
          <w:rtl w:val="true"/>
          <w:lang w:bidi="ar-SA"/>
        </w:rPr>
        <w:t xml:space="preserve">لم يجب حذف الفعل ، ومما جاء مثنّى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 اريك أي احذر حذرا بعد حذر ، وحواليك ، ومعناه الإحاطة من جميع الجهات وقد </w:t>
      </w:r>
    </w:p>
    <w:p>
      <w:pPr>
        <w:pStyle w:val="BookText"/>
        <w:rPr/>
      </w:pPr>
      <w:r>
        <w:rPr>
          <w:rFonts w:ascii="Amiri" w:hAnsi="Amiri" w:eastAsia="Amiri" w:cs="Amiri"/>
          <w:color w:val="111111"/>
          <w:sz w:val="28"/>
          <w:sz w:val="28"/>
          <w:szCs w:val="28"/>
          <w:rtl w:val="true"/>
          <w:lang w:bidi="ar-SA"/>
        </w:rPr>
        <w:t xml:space="preserve">استعملوا واحده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حوالك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حنانيك أي تحنّنا بعد تحنّن ، قال طرفة </w:t>
      </w:r>
      <w:r>
        <w:rPr>
          <w:rFonts w:eastAsia="Amiri" w:cs="Amiri" w:ascii="Amiri" w:hAnsi="Amiri"/>
          <w:color w:val="111111"/>
          <w:sz w:val="28"/>
          <w:szCs w:val="28"/>
          <w:rtl w:val="true"/>
          <w:lang w:bidi="ar-SA"/>
        </w:rPr>
        <w:t xml:space="preserve">: </w:t>
      </w:r>
      <w:r>
        <w:rPr>
          <w:rStyle w:val="FootnoteAnchor"/>
          <w:rtl w:val="true"/>
        </w:rPr>
        <w:footnoteReference w:id="569"/>
      </w:r>
    </w:p>
    <w:p>
      <w:pPr>
        <w:pStyle w:val="BookText"/>
        <w:rPr/>
      </w:pPr>
      <w:r>
        <w:rPr>
          <w:rFonts w:ascii="Amiri" w:hAnsi="Amiri" w:eastAsia="Amiri" w:cs="Amiri"/>
          <w:color w:val="111111"/>
          <w:sz w:val="28"/>
          <w:sz w:val="28"/>
          <w:szCs w:val="28"/>
          <w:rtl w:val="true"/>
          <w:lang w:bidi="ar-SA"/>
        </w:rPr>
        <w:t>أبا منذر أفنيت فاستبق بعضنا</w:t>
      </w:r>
    </w:p>
    <w:p>
      <w:pPr>
        <w:pStyle w:val="BookText"/>
        <w:rPr/>
      </w:pPr>
      <w:r>
        <w:rPr>
          <w:rFonts w:ascii="Amiri" w:hAnsi="Amiri" w:eastAsia="Amiri" w:cs="Amiri"/>
          <w:color w:val="111111"/>
          <w:sz w:val="28"/>
          <w:sz w:val="28"/>
          <w:szCs w:val="28"/>
          <w:rtl w:val="true"/>
          <w:lang w:bidi="ar-SA"/>
        </w:rPr>
        <w:t>حنانيك بعض الشّرّ أهون من بعض</w:t>
      </w:r>
    </w:p>
    <w:p>
      <w:pPr>
        <w:pStyle w:val="BookText"/>
        <w:rPr/>
      </w:pPr>
      <w:r>
        <w:rPr>
          <w:rFonts w:ascii="Amiri" w:hAnsi="Amiri" w:eastAsia="Amiri" w:cs="Amiri"/>
          <w:color w:val="111111"/>
          <w:sz w:val="28"/>
          <w:sz w:val="28"/>
          <w:szCs w:val="28"/>
          <w:rtl w:val="true"/>
          <w:lang w:bidi="ar-SA"/>
        </w:rPr>
        <w:t xml:space="preserve">ولبّيك وسعديك لا يفرد فيهما الواحد لأنّهما وضعا بلفظ التثنية للتكثير ، ولم يستعمل منهما مفرد ، ولبّيك مأخوذ من ألبّ على كذا ، إذا داوم عليه </w:t>
      </w:r>
      <w:r>
        <w:rPr>
          <w:rStyle w:val="FootnoteAnchor"/>
          <w:rtl w:val="true"/>
        </w:rPr>
        <w:footnoteReference w:id="570"/>
      </w:r>
      <w:r>
        <w:rPr>
          <w:rFonts w:ascii="Amiri" w:hAnsi="Amiri" w:eastAsia="Amiri" w:cs="Amiri"/>
          <w:color w:val="111111"/>
          <w:sz w:val="28"/>
          <w:sz w:val="28"/>
          <w:szCs w:val="28"/>
          <w:rtl w:val="true"/>
          <w:lang w:bidi="ar-SA"/>
        </w:rPr>
        <w:t xml:space="preserve">فكأنّه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دواما على طاعتك مرّة بعد مرّة ، وسعديك معناه مساعدة لك بعد مساعدة ، فقام لبّيك وسعديك مقام دواما ومساعدة ، وإذا قال الملبّي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اللهمّ وسعديك فمعناه دواما على طاعتك ومتابعة لأمرك فهذا منصوب بفعل من معناه ، لا من لفظه بخلاف سقيا ورعيا وبخلاف حنانيك أيضا ، فإنّ الفعل يمكن تقديره من لفظه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تحنّن أي ارحم وهذا مما يقوّي إفراده </w:t>
      </w:r>
      <w:r>
        <w:rPr>
          <w:rStyle w:val="FootnoteAnchor"/>
          <w:rtl w:val="true"/>
        </w:rPr>
        <w:footnoteReference w:id="571"/>
      </w:r>
      <w:r>
        <w:rPr>
          <w:rFonts w:ascii="Amiri" w:hAnsi="Amiri" w:eastAsia="Amiri" w:cs="Amiri"/>
          <w:color w:val="111111"/>
          <w:sz w:val="28"/>
          <w:sz w:val="28"/>
          <w:szCs w:val="28"/>
          <w:rtl w:val="true"/>
          <w:lang w:bidi="ar-SA"/>
        </w:rPr>
        <w:t xml:space="preserve">ودواليك من المداولة قال الشّاعر </w:t>
      </w:r>
      <w:r>
        <w:rPr>
          <w:rFonts w:eastAsia="Amiri" w:cs="Amiri" w:ascii="Amiri" w:hAnsi="Amiri"/>
          <w:color w:val="111111"/>
          <w:sz w:val="28"/>
          <w:szCs w:val="28"/>
          <w:rtl w:val="true"/>
          <w:lang w:bidi="ar-SA"/>
        </w:rPr>
        <w:t xml:space="preserve">: </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إذا شقّ برد شقّ بالبرد مثله</w:t>
      </w:r>
    </w:p>
    <w:p>
      <w:pPr>
        <w:pStyle w:val="BookText"/>
        <w:rPr/>
      </w:pPr>
      <w:r>
        <w:rPr>
          <w:rFonts w:ascii="Amiri" w:hAnsi="Amiri" w:eastAsia="Amiri" w:cs="Amiri"/>
          <w:color w:val="111111"/>
          <w:sz w:val="28"/>
          <w:sz w:val="28"/>
          <w:szCs w:val="28"/>
          <w:rtl w:val="true"/>
          <w:lang w:bidi="ar-SA"/>
        </w:rPr>
        <w:t>دواليك حتّى كلّنا غير لابس</w:t>
      </w:r>
    </w:p>
    <w:p>
      <w:pPr>
        <w:pStyle w:val="BookText"/>
        <w:rPr/>
      </w:pPr>
      <w:r>
        <w:rPr>
          <w:rFonts w:ascii="Amiri" w:hAnsi="Amiri" w:eastAsia="Amiri" w:cs="Amiri"/>
          <w:color w:val="111111"/>
          <w:sz w:val="28"/>
          <w:sz w:val="28"/>
          <w:szCs w:val="28"/>
          <w:rtl w:val="true"/>
          <w:lang w:bidi="ar-SA"/>
        </w:rPr>
        <w:t xml:space="preserve">وهو في موضع الحال ، أي متداولين ، وهذا ذيك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السّرعة ويقال ذلك في الضّرب </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هذذ لسان العرب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الشّاعر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حتّى يقضّي الأجل المقضّى</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في ديوانه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منسوبا له في المحتسب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والحلل ،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 المفصل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 التصريح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وخزانة الأدب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غير نسبة في الكتاب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ومجالس ثعلب القسم الأول ،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 الكافية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ولسان العرب ، هذذ ، وهمع الهوامع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الوخض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يدخل الرمح في الجوف ولا ينفذ</w:t>
      </w:r>
      <w:r>
        <w:rPr>
          <w:rFonts w:eastAsia="Amiri" w:cs="Amiri" w:ascii="Amiri" w:hAnsi="Amiri"/>
          <w:color w:val="111111"/>
          <w:sz w:val="28"/>
          <w:szCs w:val="28"/>
          <w:rtl w:val="true"/>
          <w:lang w:bidi="ar-SA"/>
        </w:rPr>
        <w:t>.</w:t>
      </w:r>
      <w:bookmarkStart w:id="239" w:name="pg14482_156128"/>
    </w:p>
    <w:p>
      <w:pPr>
        <w:pStyle w:val="BookText"/>
        <w:rPr/>
      </w:pPr>
      <w:bookmarkEnd w:id="239"/>
      <w:r>
        <w:rPr>
          <w:rFonts w:ascii="Amiri" w:hAnsi="Amiri" w:eastAsia="Amiri" w:cs="Amiri"/>
          <w:color w:val="111111"/>
          <w:sz w:val="28"/>
          <w:sz w:val="28"/>
          <w:szCs w:val="28"/>
          <w:rtl w:val="true"/>
          <w:lang w:bidi="ar-SA"/>
        </w:rPr>
        <w:t>ضربا هذا ذيك وطعنا وخضا</w:t>
      </w:r>
    </w:p>
    <w:p>
      <w:pPr>
        <w:pStyle w:val="BookText"/>
        <w:rPr/>
      </w:pPr>
      <w:r>
        <w:rPr>
          <w:rFonts w:ascii="Amiri" w:hAnsi="Amiri" w:eastAsia="Amiri" w:cs="Amiri"/>
          <w:color w:val="111111"/>
          <w:sz w:val="28"/>
          <w:sz w:val="28"/>
          <w:szCs w:val="28"/>
          <w:rtl w:val="true"/>
          <w:lang w:bidi="ar-SA"/>
        </w:rPr>
        <w:t>أي هذّا بعد هذّ من كلّ وجه أي إسراعا بعد إسراع ، وهذّ في القراءة وغيرها أي أسرع</w:t>
      </w:r>
      <w:r>
        <w:rPr>
          <w:rFonts w:eastAsia="Amiri" w:cs="Amiri" w:ascii="Amiri" w:hAnsi="Amiri"/>
          <w:color w:val="111111"/>
          <w:sz w:val="28"/>
          <w:szCs w:val="28"/>
          <w:rtl w:val="true"/>
          <w:lang w:bidi="ar-SA"/>
        </w:rPr>
        <w:t>.</w:t>
      </w:r>
    </w:p>
    <w:p>
      <w:pPr>
        <w:pStyle w:val="Heading5"/>
        <w:numPr>
          <w:ilvl w:val="4"/>
          <w:numId w:val="1"/>
        </w:numPr>
        <w:rPr/>
      </w:pPr>
      <w:bookmarkStart w:id="240" w:name="__RefHeading___Toc716694_996550957"/>
      <w:bookmarkStart w:id="241" w:name="_Toc88"/>
      <w:bookmarkEnd w:id="240"/>
      <w:r>
        <w:rPr/>
        <w:t>2</w:t>
      </w:r>
      <w:r>
        <w:rPr>
          <w:rtl w:val="true"/>
        </w:rPr>
        <w:t xml:space="preserve">- </w:t>
      </w:r>
      <w:r>
        <w:rPr>
          <w:rtl w:val="true"/>
        </w:rPr>
        <w:t>ذكر المفعول به</w:t>
      </w:r>
      <w:bookmarkEnd w:id="241"/>
    </w:p>
    <w:p>
      <w:pPr>
        <w:pStyle w:val="Heading6"/>
        <w:numPr>
          <w:ilvl w:val="5"/>
          <w:numId w:val="1"/>
        </w:numPr>
        <w:rPr/>
      </w:pPr>
      <w:bookmarkStart w:id="242" w:name="__RefHeading___Toc716696_996550957"/>
      <w:bookmarkStart w:id="243" w:name="_Toc89"/>
      <w:bookmarkEnd w:id="242"/>
      <w:r>
        <w:rPr>
          <w:rtl w:val="true"/>
        </w:rPr>
        <w:t>اشارة</w:t>
      </w:r>
      <w:bookmarkEnd w:id="243"/>
    </w:p>
    <w:p>
      <w:pPr>
        <w:pStyle w:val="BookText"/>
        <w:rPr/>
      </w:pPr>
      <w:r>
        <w:rPr>
          <w:rStyle w:val="FootnoteAnchor"/>
          <w:rtl w:val="true"/>
        </w:rPr>
        <w:footnoteReference w:id="5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 بأنّه الذي يقع عليه فعل الفاعل ، والمراد بالوقوع التعلّق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ليدخل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ضربت زيدا ، والمراد بالتعلّق هو تعلّق الفعل بشيء لا يعقل الفعل إلّا بعد أن </w:t>
      </w:r>
      <w:r>
        <w:rPr>
          <w:rStyle w:val="FootnoteAnchor"/>
          <w:rtl w:val="true"/>
        </w:rPr>
        <w:footnoteReference w:id="575"/>
      </w:r>
      <w:r>
        <w:rPr>
          <w:rFonts w:ascii="Amiri" w:hAnsi="Amiri" w:eastAsia="Amiri" w:cs="Amiri"/>
          <w:color w:val="111111"/>
          <w:sz w:val="28"/>
          <w:sz w:val="28"/>
          <w:szCs w:val="28"/>
          <w:rtl w:val="true"/>
          <w:lang w:bidi="ar-SA"/>
        </w:rPr>
        <w:t xml:space="preserve">يعقل ذلك الشيء </w:t>
      </w:r>
      <w:r>
        <w:rPr>
          <w:rStyle w:val="FootnoteAnchor"/>
          <w:rtl w:val="true"/>
        </w:rPr>
        <w:footnoteReference w:id="576"/>
      </w:r>
      <w:r>
        <w:rPr>
          <w:rFonts w:ascii="Amiri" w:hAnsi="Amiri" w:eastAsia="Amiri" w:cs="Amiri"/>
          <w:color w:val="111111"/>
          <w:sz w:val="28"/>
          <w:sz w:val="28"/>
          <w:szCs w:val="28"/>
          <w:rtl w:val="true"/>
          <w:lang w:bidi="ar-SA"/>
        </w:rPr>
        <w:t xml:space="preserve">واحترز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عليه ، من باقي المفاعيل فإنّ الفعل يقع في الظرف أي يحدث فيه ، ويقع لأجل المفعول له ، ومع المفعول معه ، وأما المفعول المطلق فهو نفس المعنى الواقع من الفاعل ، وقد يتقدّم المفعول به على الفعل العامل فيه </w:t>
      </w:r>
      <w:r>
        <w:rPr>
          <w:rStyle w:val="FootnoteAnchor"/>
          <w:rtl w:val="true"/>
        </w:rPr>
        <w:footnoteReference w:id="577"/>
      </w:r>
      <w:r>
        <w:rPr>
          <w:rFonts w:ascii="Amiri" w:hAnsi="Amiri" w:eastAsia="Amiri" w:cs="Amiri"/>
          <w:color w:val="111111"/>
          <w:sz w:val="28"/>
          <w:sz w:val="28"/>
          <w:szCs w:val="28"/>
          <w:rtl w:val="true"/>
          <w:lang w:bidi="ar-SA"/>
        </w:rPr>
        <w:t xml:space="preserve">، لأنّ الفعل قوي في العمل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زيدا ضربت ، وقد يحذف المفعول به وهو مراد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عاصِمَ الْيَوْمَ مِنْ أَمْرِ اللهِ إِلَّا مَنْ رَحِمَ</w:t>
      </w:r>
      <w:r>
        <w:rPr>
          <w:rFonts w:eastAsia="Amiri" w:cs="Amiri" w:ascii="Amiri" w:hAnsi="Amiri"/>
          <w:color w:val="111111"/>
          <w:sz w:val="28"/>
          <w:szCs w:val="28"/>
          <w:rtl w:val="true"/>
          <w:lang w:bidi="ar-SA"/>
        </w:rPr>
        <w:t>)</w:t>
      </w:r>
      <w:r>
        <w:rPr>
          <w:rStyle w:val="FootnoteAnchor"/>
          <w:rtl w:val="true"/>
        </w:rPr>
        <w:footnoteReference w:id="578"/>
      </w:r>
      <w:r>
        <w:rPr>
          <w:rFonts w:ascii="Amiri" w:hAnsi="Amiri" w:eastAsia="Amiri" w:cs="Amiri"/>
          <w:color w:val="111111"/>
          <w:sz w:val="28"/>
          <w:sz w:val="28"/>
          <w:szCs w:val="28"/>
          <w:rtl w:val="true"/>
          <w:lang w:bidi="ar-SA"/>
        </w:rPr>
        <w:t xml:space="preserve">أي رحمه ، وقد يجعل نسيا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يعطي ويمنع ويصل ويقطع ، وقد يحذف الفعل الناصب للمفعول به جوازا لقرينة تدلّ عليه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زيدا ، لمن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أضرب؟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 زيدا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44" w:name="__RefHeading___Toc716698_996550957"/>
      <w:bookmarkStart w:id="245" w:name="_Toc90"/>
      <w:bookmarkEnd w:id="244"/>
      <w:r>
        <w:rPr>
          <w:rtl w:val="true"/>
        </w:rPr>
        <w:t>ذكر ما يجب حذفه من الأفعال</w:t>
      </w:r>
      <w:bookmarkEnd w:id="245"/>
    </w:p>
    <w:p>
      <w:pPr>
        <w:pStyle w:val="Heading6"/>
        <w:numPr>
          <w:ilvl w:val="5"/>
          <w:numId w:val="1"/>
        </w:numPr>
        <w:rPr/>
      </w:pPr>
      <w:bookmarkStart w:id="246" w:name="__RefHeading___Toc716700_996550957"/>
      <w:bookmarkStart w:id="247" w:name="_Toc91"/>
      <w:bookmarkEnd w:id="246"/>
      <w:r>
        <w:rPr>
          <w:rtl w:val="true"/>
        </w:rPr>
        <w:t>اشارة</w:t>
      </w:r>
      <w:bookmarkEnd w:id="247"/>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ويجب حذف الفعل النّاصب للمفعول به في أربعة أبواب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سماعيّ ، والثلاثة الباقية قياسية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المنادى ، وما أضمر عامله على شريطة التفسير ، والتحذير</w:t>
      </w:r>
      <w:r>
        <w:rPr>
          <w:rFonts w:eastAsia="Amiri" w:cs="Amiri" w:ascii="Amiri" w:hAnsi="Amiri"/>
          <w:color w:val="111111"/>
          <w:sz w:val="28"/>
          <w:szCs w:val="28"/>
          <w:rtl w:val="true"/>
          <w:lang w:bidi="ar-SA"/>
        </w:rPr>
        <w:t xml:space="preserve">. </w:t>
      </w:r>
      <w:bookmarkStart w:id="248" w:name="pg14482_156129"/>
    </w:p>
    <w:p>
      <w:pPr>
        <w:pStyle w:val="Heading6"/>
        <w:numPr>
          <w:ilvl w:val="5"/>
          <w:numId w:val="1"/>
        </w:numPr>
        <w:rPr/>
      </w:pPr>
      <w:bookmarkStart w:id="249" w:name="__RefHeading___Toc716702_996550957"/>
      <w:bookmarkStart w:id="250" w:name="_Toc92"/>
      <w:bookmarkEnd w:id="248"/>
      <w:bookmarkEnd w:id="249"/>
      <w:r>
        <w:rPr/>
        <w:t>1</w:t>
      </w:r>
      <w:r>
        <w:rPr>
          <w:rtl w:val="true"/>
        </w:rPr>
        <w:t xml:space="preserve">- </w:t>
      </w:r>
      <w:r>
        <w:rPr>
          <w:rtl w:val="true"/>
        </w:rPr>
        <w:t>ذكر السّماعي</w:t>
      </w:r>
      <w:bookmarkEnd w:id="250"/>
    </w:p>
    <w:p>
      <w:pPr>
        <w:pStyle w:val="BookText"/>
        <w:rPr/>
      </w:pPr>
      <w:r>
        <w:rPr>
          <w:rFonts w:ascii="IRNazanin" w:hAnsi="IRNazanin" w:eastAsia="IRNazanin"/>
          <w:color w:val="111111"/>
          <w:sz w:val="28"/>
          <w:sz w:val="28"/>
          <w:szCs w:val="28"/>
          <w:rtl w:val="true"/>
          <w:lang w:bidi="fa-IR"/>
        </w:rPr>
        <w:t xml:space="preserve">وهو نحو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 ونفسه </w:t>
      </w:r>
      <w:r>
        <w:rPr>
          <w:rStyle w:val="FootnoteAnchor"/>
          <w:rtl w:val="true"/>
        </w:rPr>
        <w:footnoteReference w:id="580"/>
      </w:r>
      <w:r>
        <w:rPr>
          <w:rFonts w:ascii="Amiri" w:hAnsi="Amiri" w:eastAsia="Amiri" w:cs="Amiri"/>
          <w:color w:val="111111"/>
          <w:sz w:val="28"/>
          <w:sz w:val="28"/>
          <w:szCs w:val="28"/>
          <w:rtl w:val="true"/>
          <w:lang w:bidi="ar-SA"/>
        </w:rPr>
        <w:t xml:space="preserve">، أي اترك امرأ ونفسه وأهلا وسهلا </w:t>
      </w:r>
      <w:r>
        <w:rPr>
          <w:rStyle w:val="FootnoteAnchor"/>
          <w:rtl w:val="true"/>
        </w:rPr>
        <w:footnoteReference w:id="581"/>
      </w:r>
      <w:r>
        <w:rPr>
          <w:rFonts w:ascii="Amiri" w:hAnsi="Amiri" w:eastAsia="Amiri" w:cs="Amiri"/>
          <w:color w:val="111111"/>
          <w:sz w:val="28"/>
          <w:sz w:val="28"/>
          <w:szCs w:val="28"/>
          <w:rtl w:val="true"/>
          <w:lang w:bidi="ar-SA"/>
        </w:rPr>
        <w:t xml:space="preserve">، أي أتيت مكانا مأهولا ومكانا سهلا ، وكقوله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انْتَهُوا خَيْراً لَكُمْ</w:t>
      </w:r>
      <w:r>
        <w:rPr>
          <w:rFonts w:eastAsia="Amiri" w:cs="Amiri" w:ascii="Amiri" w:hAnsi="Amiri"/>
          <w:color w:val="111111"/>
          <w:sz w:val="28"/>
          <w:szCs w:val="28"/>
          <w:rtl w:val="true"/>
          <w:lang w:bidi="ar-SA"/>
        </w:rPr>
        <w:t>)</w:t>
      </w:r>
      <w:r>
        <w:rPr>
          <w:rStyle w:val="FootnoteAnchor"/>
          <w:rtl w:val="true"/>
        </w:rPr>
        <w:footnoteReference w:id="582"/>
      </w:r>
      <w:r>
        <w:rPr>
          <w:rFonts w:ascii="Amiri" w:hAnsi="Amiri" w:eastAsia="Amiri" w:cs="Amiri"/>
          <w:color w:val="111111"/>
          <w:sz w:val="28"/>
          <w:sz w:val="28"/>
          <w:szCs w:val="28"/>
          <w:rtl w:val="true"/>
          <w:lang w:bidi="ar-SA"/>
        </w:rPr>
        <w:t xml:space="preserve">أي انتهوا عن التثليث واقصدوا خيرا لكم فالفعل المحذوف المقدّر اقصدوا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51" w:name="__RefHeading___Toc716704_996550957"/>
      <w:bookmarkStart w:id="252" w:name="_Toc93"/>
      <w:bookmarkEnd w:id="251"/>
      <w:r>
        <w:rPr/>
        <w:t>2</w:t>
      </w:r>
      <w:r>
        <w:rPr>
          <w:rtl w:val="true"/>
        </w:rPr>
        <w:t xml:space="preserve">- </w:t>
      </w:r>
      <w:r>
        <w:rPr>
          <w:rtl w:val="true"/>
        </w:rPr>
        <w:t>ذكر المنادى</w:t>
      </w:r>
      <w:bookmarkEnd w:id="252"/>
    </w:p>
    <w:p>
      <w:pPr>
        <w:pStyle w:val="Heading6"/>
        <w:numPr>
          <w:ilvl w:val="5"/>
          <w:numId w:val="1"/>
        </w:numPr>
        <w:rPr/>
      </w:pPr>
      <w:bookmarkStart w:id="253" w:name="__RefHeading___Toc716706_996550957"/>
      <w:bookmarkStart w:id="254" w:name="_Toc94"/>
      <w:bookmarkEnd w:id="253"/>
      <w:r>
        <w:rPr>
          <w:rtl w:val="true"/>
        </w:rPr>
        <w:t>اشارة</w:t>
      </w:r>
      <w:bookmarkEnd w:id="254"/>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المنادى هو القسم الثاني من أقسام المفعول به الذي حذف فعله الناصب له بضابط قياسي ، وحدّ المنادى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المطلوب إقباله بأحد الحروف النائبة مناب أدعو لفظا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زيد ، معناه أدعو زيدا ، فهو مفعول به بفعل مقدّر لا يجوز إظهاره ووجب الحذف للقرينة الدّالّة ، ولوقوع حرف النداء موقع الفعل أو تقديرا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 أَعْرِضْ</w:t>
      </w:r>
      <w:r>
        <w:rPr>
          <w:rFonts w:eastAsia="Amiri" w:cs="Amiri" w:ascii="Amiri" w:hAnsi="Amiri"/>
          <w:color w:val="111111"/>
          <w:sz w:val="28"/>
          <w:szCs w:val="28"/>
          <w:rtl w:val="true"/>
          <w:lang w:bidi="ar-SA"/>
        </w:rPr>
        <w:t>)</w:t>
      </w:r>
      <w:r>
        <w:rPr>
          <w:rStyle w:val="FootnoteAnchor"/>
          <w:rtl w:val="true"/>
        </w:rPr>
        <w:footnoteReference w:id="585"/>
      </w:r>
      <w:r>
        <w:rPr>
          <w:rFonts w:ascii="Amiri" w:hAnsi="Amiri" w:eastAsia="Amiri" w:cs="Amiri"/>
          <w:color w:val="111111"/>
          <w:sz w:val="28"/>
          <w:sz w:val="28"/>
          <w:szCs w:val="28"/>
          <w:rtl w:val="true"/>
          <w:lang w:bidi="ar-SA"/>
        </w:rPr>
        <w:t xml:space="preserve">والمنادى يبنى على ما يرفع به إن كان مفردا معرفة ، وإنّما بني لشبهه بالمضمر </w:t>
      </w:r>
      <w:r>
        <w:rPr>
          <w:rStyle w:val="FootnoteAnchor"/>
          <w:rtl w:val="true"/>
        </w:rPr>
        <w:footnoteReference w:id="586"/>
      </w:r>
      <w:r>
        <w:rPr>
          <w:rFonts w:ascii="Amiri" w:hAnsi="Amiri" w:eastAsia="Amiri" w:cs="Amiri"/>
          <w:color w:val="111111"/>
          <w:sz w:val="28"/>
          <w:sz w:val="28"/>
          <w:szCs w:val="28"/>
          <w:rtl w:val="true"/>
          <w:lang w:bidi="ar-SA"/>
        </w:rPr>
        <w:t xml:space="preserve">، لأنّه لا ينفكّ في المعنى عن كونه مخاطبا معيّنا ، وحكم المخاطب أن يكون مضمرا </w:t>
      </w:r>
      <w:r>
        <w:rPr>
          <w:rStyle w:val="FootnoteAnchor"/>
          <w:rtl w:val="true"/>
        </w:rPr>
        <w:footnoteReference w:id="587"/>
      </w:r>
      <w:r>
        <w:rPr>
          <w:rFonts w:ascii="Amiri" w:hAnsi="Amiri" w:eastAsia="Amiri" w:cs="Amiri"/>
          <w:color w:val="111111"/>
          <w:sz w:val="28"/>
          <w:sz w:val="28"/>
          <w:szCs w:val="28"/>
          <w:rtl w:val="true"/>
          <w:lang w:bidi="ar-SA"/>
        </w:rPr>
        <w:t xml:space="preserve">والمراد بالمفرد ما لم يكن مضافا ولا مشابها </w:t>
      </w:r>
    </w:p>
    <w:p>
      <w:pPr>
        <w:pStyle w:val="BookText"/>
        <w:rPr/>
      </w:pPr>
      <w:r>
        <w:rPr>
          <w:rFonts w:ascii="Amiri" w:hAnsi="Amiri" w:eastAsia="Amiri" w:cs="Amiri"/>
          <w:color w:val="111111"/>
          <w:sz w:val="28"/>
          <w:sz w:val="28"/>
          <w:szCs w:val="28"/>
          <w:rtl w:val="true"/>
          <w:lang w:bidi="ar-SA"/>
        </w:rPr>
        <w:t xml:space="preserve">له ، وقال السّيد </w:t>
      </w:r>
      <w:r>
        <w:rPr>
          <w:rFonts w:eastAsia="Amiri" w:cs="Amiri" w:ascii="Amiri" w:hAnsi="Amiri"/>
          <w:color w:val="111111"/>
          <w:sz w:val="28"/>
          <w:szCs w:val="28"/>
          <w:rtl w:val="true"/>
          <w:lang w:bidi="ar-SA"/>
        </w:rPr>
        <w:t xml:space="preserve">: </w:t>
      </w:r>
      <w:r>
        <w:rPr>
          <w:rStyle w:val="FootnoteAnchor"/>
          <w:rtl w:val="true"/>
        </w:rPr>
        <w:footnoteReference w:id="588"/>
      </w:r>
      <w:r>
        <w:rPr>
          <w:rFonts w:ascii="Amiri" w:hAnsi="Amiri" w:eastAsia="Amiri" w:cs="Amiri"/>
          <w:color w:val="111111"/>
          <w:sz w:val="28"/>
          <w:sz w:val="28"/>
          <w:szCs w:val="28"/>
          <w:rtl w:val="true"/>
          <w:lang w:bidi="ar-SA"/>
        </w:rPr>
        <w:t xml:space="preserve">ولا جملة أيضا </w:t>
      </w:r>
      <w:r>
        <w:rPr>
          <w:rStyle w:val="FootnoteAnchor"/>
          <w:rtl w:val="true"/>
        </w:rPr>
        <w:footnoteReference w:id="589"/>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زيد ، ويا زيدان ويا زيدون ، وقال النّيليّ </w:t>
      </w:r>
      <w:r>
        <w:rPr>
          <w:rStyle w:val="FootnoteAnchor"/>
          <w:rtl w:val="true"/>
        </w:rPr>
        <w:footnoteReference w:id="590"/>
      </w:r>
    </w:p>
    <w:p>
      <w:pPr>
        <w:pStyle w:val="BookText"/>
        <w:rPr/>
      </w:pPr>
      <w:r>
        <w:rPr>
          <w:rFonts w:ascii="Amiri" w:hAnsi="Amiri" w:eastAsia="Amiri" w:cs="Amiri"/>
          <w:color w:val="111111"/>
          <w:sz w:val="28"/>
          <w:sz w:val="28"/>
          <w:szCs w:val="28"/>
          <w:rtl w:val="true"/>
          <w:lang w:bidi="ar-SA"/>
        </w:rPr>
        <w:t xml:space="preserve">ومجلة المورد العراقية ، المجلد الثاني العدد الثاني ، حزيران ،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وحركة بنائه تشبه حركة الإعراب في كون كلّ منهما طارئة ، فلذلك ثبت تنوينه حال بنائه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قول الشّاعر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أمحمّد ولأنت صنو نجيبة</w:t>
      </w:r>
    </w:p>
    <w:p>
      <w:pPr>
        <w:pStyle w:val="BookText"/>
        <w:rPr/>
      </w:pPr>
      <w:r>
        <w:rPr>
          <w:rFonts w:ascii="IRNazanin" w:hAnsi="IRNazanin" w:eastAsia="IRNazanin"/>
          <w:color w:val="111111"/>
          <w:sz w:val="28"/>
          <w:sz w:val="28"/>
          <w:szCs w:val="28"/>
          <w:rtl w:val="true"/>
          <w:lang w:bidi="fa-IR"/>
        </w:rPr>
        <w:t>من قومها والفحل فحل معرق</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المنادى مضافا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أو مشبّها بالمضاف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طالعا جبلا ، أو نكرة </w:t>
      </w:r>
      <w:r>
        <w:rPr>
          <w:rStyle w:val="FootnoteAnchor"/>
          <w:rtl w:val="true"/>
        </w:rPr>
        <w:footnoteReference w:id="591"/>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رجلا لغير معيّن ، بطل البناء لزوال مقتضيه ، وأعربت بالنّصب لأنّ كلّ واحد منها مفعول به ، وأمّا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رجل ، لمعيّن فإنك تبنيه على الضم أيضا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زيد ، لأنّه يتعرّف بالقصد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جئت بلام الاستغاثة في المنادى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خفضته لأنّ حرف الجرّ لا يلغى في مثله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لزيد ، ولام </w:t>
      </w:r>
      <w:bookmarkStart w:id="255" w:name="pg14482_156131"/>
    </w:p>
    <w:p>
      <w:pPr>
        <w:pStyle w:val="BookText"/>
        <w:rPr/>
      </w:pPr>
      <w:bookmarkEnd w:id="255"/>
      <w:r>
        <w:rPr>
          <w:rFonts w:ascii="Amiri" w:hAnsi="Amiri" w:eastAsia="Amiri" w:cs="Amiri"/>
          <w:color w:val="111111"/>
          <w:sz w:val="28"/>
          <w:sz w:val="28"/>
          <w:szCs w:val="28"/>
          <w:rtl w:val="true"/>
          <w:lang w:bidi="ar-SA"/>
        </w:rPr>
        <w:t xml:space="preserve">الاستغاثة تكون مفتوحة لما ذكرنا من مشابهة المنادى للمضمر ، ففتحت معه كما تفتح مع المضمر في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وله فإن عطفت على المستغاث به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لزيد ولعمرو ، كسرت لام المعطوف لأنّه يجوز في التوابع ما لا يجوز في المتبوعات والاستغاثة استدعاء مدعوّ طلبا للنصرة والمعونة ، فإن أتيت بألف الاستغاثة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زيداه فتحت آخره ، ولا يجمع بين ألف الاستغاثة والّلام فلا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لزيداه ، لأنّ اللام توجب كسر آخره والألف توجب فتحه فتدافعا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56" w:name="__RefHeading___Toc716708_996550957"/>
      <w:bookmarkStart w:id="257" w:name="_Toc95"/>
      <w:bookmarkEnd w:id="256"/>
      <w:r>
        <w:rPr>
          <w:rtl w:val="true"/>
        </w:rPr>
        <w:t>ذكر إعراب توابع المنادى</w:t>
      </w:r>
      <w:bookmarkEnd w:id="257"/>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توابع المنادى المبنيّ إذا كانت مفردة ، أو في حكم المفردة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زيد العاقل ، ويا زيد الحسن الوجه ، ترفع حملا على لفظه ، وتنصب حملا على محلّه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تميم أجمعون وأجمعين </w:t>
      </w:r>
      <w:r>
        <w:rPr>
          <w:rStyle w:val="FootnoteAnchor"/>
          <w:rtl w:val="true"/>
        </w:rPr>
        <w:footnoteReference w:id="594"/>
      </w:r>
      <w:r>
        <w:rPr>
          <w:rFonts w:ascii="Amiri" w:hAnsi="Amiri" w:eastAsia="Amiri" w:cs="Amiri"/>
          <w:color w:val="111111"/>
          <w:sz w:val="28"/>
          <w:sz w:val="28"/>
          <w:szCs w:val="28"/>
          <w:rtl w:val="true"/>
          <w:lang w:bidi="ar-SA"/>
        </w:rPr>
        <w:t xml:space="preserve">ونحو ذلك ، وأمّا توابع المعرب </w:t>
      </w:r>
      <w:r>
        <w:rPr>
          <w:rStyle w:val="FootnoteAnchor"/>
          <w:rtl w:val="true"/>
        </w:rPr>
        <w:footnoteReference w:id="595"/>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الظريف فهو بنصب الظريف ، ليس إلّا ، لأنّك إن حملته على اللّفظ فهو منصوب ، وإن حملته على الموضع فهو كذلك ، وأمّا توابع المبنيّ المضافة ؛ فإنّها إن كانت مضافة إضافة حقيقيّة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زيد غلام عمرو ، وجب نصبها حتما ، وأمّا إذا لم تكن الإضافة حقيقيّة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زيد الحسن الوجه فإنّه يجوز فيه الرّفع والنصب ، وإن عطفت على المنادى المبنيّ ما يلزمه الّلام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الصّعق </w:t>
      </w:r>
      <w:r>
        <w:rPr>
          <w:rStyle w:val="FootnoteAnchor"/>
          <w:rtl w:val="true"/>
        </w:rPr>
        <w:footnoteReference w:id="596"/>
      </w:r>
      <w:r>
        <w:rPr>
          <w:rFonts w:ascii="IRNazanin" w:hAnsi="IRNazanin" w:eastAsia="IRNazanin"/>
          <w:color w:val="111111"/>
          <w:sz w:val="28"/>
          <w:sz w:val="28"/>
          <w:szCs w:val="28"/>
          <w:rtl w:val="true"/>
          <w:lang w:bidi="fa-IR"/>
        </w:rPr>
        <w:t xml:space="preserve">فنصبه عند المبرّد أوجه </w:t>
      </w:r>
      <w:r>
        <w:rPr>
          <w:rStyle w:val="FootnoteAnchor"/>
          <w:rtl w:val="true"/>
        </w:rPr>
        <w:footnoteReference w:id="597"/>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زيد والرجل والصّعق بنصبهما ، وإن كان المعطوف فيه اللام ولكن غير لازمة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فرفعه عنده أوجه ، لأنّه يمكن انتزاع اللام منه وتقدير حرف النّداء فيه فيكون وجود الّلام فيه كعدمه ، بخلاف ما لم يجز انتزاع الألف والّلام فيه </w:t>
      </w:r>
      <w:bookmarkStart w:id="258" w:name="pg14482_156132"/>
    </w:p>
    <w:p>
      <w:pPr>
        <w:pStyle w:val="BookText"/>
        <w:rPr/>
      </w:pPr>
      <w:bookmarkEnd w:id="258"/>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الصّعق والنّجم فإنّه إذا لم يجز انتزاع الّلام منه لم يجز تقدير حرف النداء فيه فلذلك اختار رفع الحسن دون الصّعق ، والخليل يختار في المعطوف الرفع </w:t>
      </w:r>
      <w:r>
        <w:rPr>
          <w:rStyle w:val="FootnoteAnchor"/>
          <w:rtl w:val="true"/>
        </w:rPr>
        <w:footnoteReference w:id="598"/>
      </w:r>
      <w:r>
        <w:rPr>
          <w:rFonts w:ascii="Amiri" w:hAnsi="Amiri" w:eastAsia="Amiri" w:cs="Amiri"/>
          <w:color w:val="111111"/>
          <w:sz w:val="28"/>
          <w:sz w:val="28"/>
          <w:szCs w:val="28"/>
          <w:rtl w:val="true"/>
          <w:lang w:bidi="ar-SA"/>
        </w:rPr>
        <w:t xml:space="preserve">سواء كان مما يلزمه الّلام كالصّعق أو لم يلزمه كالحسن ، وأمّا أبو عمرو </w:t>
      </w:r>
      <w:r>
        <w:rPr>
          <w:rStyle w:val="FootnoteAnchor"/>
          <w:rtl w:val="true"/>
        </w:rPr>
        <w:footnoteReference w:id="599"/>
      </w:r>
      <w:r>
        <w:rPr>
          <w:rFonts w:ascii="Amiri" w:hAnsi="Amiri" w:eastAsia="Amiri" w:cs="Amiri"/>
          <w:color w:val="111111"/>
          <w:sz w:val="28"/>
          <w:sz w:val="28"/>
          <w:szCs w:val="28"/>
          <w:rtl w:val="true"/>
          <w:lang w:bidi="ar-SA"/>
        </w:rPr>
        <w:t xml:space="preserve">فإنّه يختار النصب فيهما </w:t>
      </w:r>
      <w:r>
        <w:rPr>
          <w:rStyle w:val="FootnoteAnchor"/>
          <w:rtl w:val="true"/>
        </w:rPr>
        <w:footnoteReference w:id="600"/>
      </w:r>
      <w:r>
        <w:rPr>
          <w:rFonts w:ascii="Amiri" w:hAnsi="Amiri" w:eastAsia="Amiri" w:cs="Amiri"/>
          <w:color w:val="111111"/>
          <w:sz w:val="28"/>
          <w:sz w:val="28"/>
          <w:szCs w:val="28"/>
          <w:rtl w:val="true"/>
          <w:lang w:bidi="ar-SA"/>
        </w:rPr>
        <w:t xml:space="preserve">لأنّه تابع وتابع المبنيّ يكون تابعا لمحلّه ، دون لفظه ، وأمّا إن كان المعطوف بغير لام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زيد وعمرو ، أو كان تابع المبنيّ بدلا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رجل زيد كان هذا التابع كالمستقلّ ، بحيث يعطى حكم المنادى ، فيضمّ إن كان مفردا ، وينصب إن كان مضافا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59" w:name="__RefHeading___Toc716710_996550957"/>
      <w:bookmarkStart w:id="260" w:name="_Toc96"/>
      <w:bookmarkEnd w:id="259"/>
      <w:r>
        <w:rPr>
          <w:rtl w:val="true"/>
        </w:rPr>
        <w:t>ذكر المنادى المعرّف باللام</w:t>
      </w:r>
      <w:bookmarkEnd w:id="260"/>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نودي المعرّف بالّلام لم يجز أن يباشر بحرف النّداء ولكن يتوصّل إليه بالاسم المبهم ، فيقال في ندائه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الرجل أو هذا ، أو ذا الرجل فالمنادى هو الاسم المبهم ، والرجل صفة للمبهم المنادى المذكور ، كأنّهم كرهوا ن يدخلوا حرف تعريف على حرف تعريف </w:t>
      </w:r>
      <w:r>
        <w:rPr>
          <w:rStyle w:val="FootnoteAnchor"/>
          <w:rtl w:val="true"/>
        </w:rPr>
        <w:footnoteReference w:id="603"/>
      </w:r>
      <w:r>
        <w:rPr>
          <w:rFonts w:ascii="Amiri" w:hAnsi="Amiri" w:eastAsia="Amiri" w:cs="Amiri"/>
          <w:color w:val="111111"/>
          <w:sz w:val="28"/>
          <w:sz w:val="28"/>
          <w:szCs w:val="28"/>
          <w:rtl w:val="true"/>
          <w:lang w:bidi="ar-SA"/>
        </w:rPr>
        <w:t xml:space="preserve">، وأمّا الهاء في أيّها </w:t>
      </w:r>
      <w:r>
        <w:rPr>
          <w:rStyle w:val="FootnoteAnchor"/>
          <w:rtl w:val="true"/>
        </w:rPr>
        <w:footnoteReference w:id="604"/>
      </w:r>
      <w:r>
        <w:rPr>
          <w:rFonts w:ascii="Amiri" w:hAnsi="Amiri" w:eastAsia="Amiri" w:cs="Amiri"/>
          <w:color w:val="111111"/>
          <w:sz w:val="28"/>
          <w:sz w:val="28"/>
          <w:szCs w:val="28"/>
          <w:rtl w:val="true"/>
          <w:lang w:bidi="ar-SA"/>
        </w:rPr>
        <w:t xml:space="preserve">، فحرف تنبيه زادوه عوضا عمّا تستحقّه أيّ من الإضافة </w:t>
      </w:r>
      <w:r>
        <w:rPr>
          <w:rStyle w:val="FootnoteAnchor"/>
          <w:rtl w:val="true"/>
        </w:rPr>
        <w:footnoteReference w:id="605"/>
      </w:r>
      <w:r>
        <w:rPr>
          <w:rFonts w:ascii="Amiri" w:hAnsi="Amiri" w:eastAsia="Amiri" w:cs="Amiri"/>
          <w:color w:val="111111"/>
          <w:sz w:val="28"/>
          <w:sz w:val="28"/>
          <w:szCs w:val="28"/>
          <w:rtl w:val="true"/>
          <w:lang w:bidi="ar-SA"/>
        </w:rPr>
        <w:t xml:space="preserve">، ويجوز الجمع بين أيّ وبين اسم الإشارة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أيّهذا الرجل ، فالرجل نعت هذا ، وهذا نعت أيّ ، واسم الإشارة وأيّ ، كلّ منهما مبهم ، وأيّ أوغل في الإبهام لوقوعها على الواحد والجمع بلفظ واحد </w:t>
      </w:r>
      <w:r>
        <w:rPr>
          <w:rStyle w:val="FootnoteAnchor"/>
          <w:rtl w:val="true"/>
        </w:rPr>
        <w:footnoteReference w:id="606"/>
      </w:r>
    </w:p>
    <w:p>
      <w:pPr>
        <w:pStyle w:val="BookText"/>
        <w:rPr/>
      </w:pPr>
      <w:r>
        <w:rPr>
          <w:rFonts w:ascii="Amiri" w:hAnsi="Amiri" w:eastAsia="Amiri" w:cs="Amiri"/>
          <w:color w:val="111111"/>
          <w:sz w:val="28"/>
          <w:sz w:val="28"/>
          <w:szCs w:val="28"/>
          <w:rtl w:val="true"/>
          <w:lang w:bidi="ar-SA"/>
        </w:rPr>
        <w:t xml:space="preserve">والتزموا رفع المعرّف بالّلام المذكور لأنّه هو المقصود بالنّداء فجعلوا حركة إعرابه الحركة التي يستحقّها ، لو باشره حرف النداء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التزموا رفعة للفرق بين الصّفة الّلازمة وغير اللازمة ، وعند الأخفش أيّ موصولة بمعنى الذي ، والرجل خبر مبتدأ محذوف </w:t>
      </w:r>
      <w:r>
        <w:rPr>
          <w:rStyle w:val="FootnoteAnchor"/>
          <w:rtl w:val="true"/>
        </w:rPr>
        <w:footnoteReference w:id="607"/>
      </w:r>
      <w:r>
        <w:rPr>
          <w:rFonts w:ascii="Amiri" w:hAnsi="Amiri" w:eastAsia="Amiri" w:cs="Amiri"/>
          <w:color w:val="111111"/>
          <w:sz w:val="28"/>
          <w:sz w:val="28"/>
          <w:szCs w:val="28"/>
          <w:rtl w:val="true"/>
          <w:lang w:bidi="ar-SA"/>
        </w:rPr>
        <w:t xml:space="preserve">، ويجوز تأنيث أيّ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أيّتها المرأة ، وأجاز المازنيّ </w:t>
      </w:r>
      <w:r>
        <w:rPr>
          <w:rStyle w:val="FootnoteAnchor"/>
          <w:rtl w:val="true"/>
        </w:rPr>
        <w:footnoteReference w:id="608"/>
      </w:r>
      <w:r>
        <w:rPr>
          <w:rFonts w:ascii="Amiri" w:hAnsi="Amiri" w:eastAsia="Amiri" w:cs="Amiri"/>
          <w:color w:val="111111"/>
          <w:sz w:val="28"/>
          <w:sz w:val="28"/>
          <w:szCs w:val="28"/>
          <w:rtl w:val="true"/>
          <w:lang w:bidi="ar-SA"/>
        </w:rPr>
        <w:t xml:space="preserve">نصب الرجل ،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الرجل قياسا على صفة غير المبهم ؛ فإنّه أجرى صفة المبهم مجرى الظريف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زيد الظريف ، فكما جاز نصب الظريف حملا على المحلّ جاز نصب صفة المبهم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في يا أيّها الرجل </w:t>
      </w:r>
      <w:r>
        <w:rPr>
          <w:rStyle w:val="FootnoteAnchor"/>
          <w:rtl w:val="true"/>
        </w:rPr>
        <w:footnoteReference w:id="609"/>
      </w:r>
      <w:r>
        <w:rPr>
          <w:rFonts w:ascii="IRNazanin" w:hAnsi="IRNazanin" w:eastAsia="IRNazanin"/>
          <w:color w:val="111111"/>
          <w:sz w:val="28"/>
          <w:sz w:val="28"/>
          <w:szCs w:val="28"/>
          <w:rtl w:val="true"/>
          <w:lang w:bidi="fa-IR"/>
        </w:rPr>
        <w:t xml:space="preserve">وقرىء </w:t>
      </w:r>
      <w:r>
        <w:rPr>
          <w:rStyle w:val="FootnoteAnchor"/>
          <w:rtl w:val="true"/>
        </w:rPr>
        <w:footnoteReference w:id="610"/>
      </w:r>
      <w:r>
        <w:rPr>
          <w:rFonts w:ascii="Amiri" w:hAnsi="Amiri" w:eastAsia="Amiri" w:cs="Amiri"/>
          <w:color w:val="111111"/>
          <w:sz w:val="28"/>
          <w:sz w:val="28"/>
          <w:szCs w:val="28"/>
          <w:rtl w:val="true"/>
          <w:lang w:bidi="ar-SA"/>
        </w:rPr>
        <w:t xml:space="preserve">في الشّاذ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أيها الكافرين </w:t>
      </w:r>
      <w:r>
        <w:rPr>
          <w:rStyle w:val="FootnoteAnchor"/>
          <w:rtl w:val="true"/>
        </w:rPr>
        <w:footnoteReference w:id="611"/>
      </w:r>
      <w:r>
        <w:rPr>
          <w:rFonts w:ascii="Amiri" w:hAnsi="Amiri" w:eastAsia="Amiri" w:cs="Amiri"/>
          <w:color w:val="111111"/>
          <w:sz w:val="28"/>
          <w:sz w:val="28"/>
          <w:szCs w:val="28"/>
          <w:rtl w:val="true"/>
          <w:lang w:bidi="ar-SA"/>
        </w:rPr>
        <w:t>وإذا أتيت بتوابع لهذا المعرّف بالّلام فلا تكون إلّا مرفوعة لأنه معرب ، والمعرب لا يكون تابعة إلّا على وفق إعرابه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الرجل ذو المال ، لم يجز في ذو المال إلّا الرفع لأنّه صفة لمرفوع معرب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زيد ذو المال </w:t>
      </w:r>
      <w:r>
        <w:rPr>
          <w:rStyle w:val="FootnoteAnchor"/>
          <w:rtl w:val="true"/>
        </w:rPr>
        <w:footnoteReference w:id="612"/>
      </w:r>
      <w:r>
        <w:rPr>
          <w:rFonts w:ascii="IRNazanin" w:hAnsi="IRNazanin" w:eastAsia="IRNazanin"/>
          <w:color w:val="111111"/>
          <w:sz w:val="28"/>
          <w:sz w:val="28"/>
          <w:szCs w:val="28"/>
          <w:rtl w:val="true"/>
          <w:lang w:bidi="fa-IR"/>
        </w:rPr>
        <w:t xml:space="preserve">، ومنه </w:t>
      </w:r>
      <w:r>
        <w:rPr>
          <w:rFonts w:eastAsia="IRNazanin" w:cs="IRNazanin"/>
          <w:color w:val="111111"/>
          <w:sz w:val="28"/>
          <w:szCs w:val="28"/>
          <w:rtl w:val="true"/>
          <w:lang w:bidi="fa-IR"/>
        </w:rPr>
        <w:t xml:space="preserve">: </w:t>
      </w:r>
      <w:r>
        <w:rPr>
          <w:rStyle w:val="FootnoteAnchor"/>
          <w:rtl w:val="true"/>
        </w:rPr>
        <w:footnoteReference w:id="613"/>
      </w:r>
    </w:p>
    <w:p>
      <w:pPr>
        <w:pStyle w:val="BookText"/>
        <w:rPr/>
      </w:pPr>
      <w:r>
        <w:rPr>
          <w:rFonts w:ascii="Amiri" w:hAnsi="Amiri" w:eastAsia="Amiri" w:cs="Amiri"/>
          <w:color w:val="111111"/>
          <w:sz w:val="28"/>
          <w:sz w:val="28"/>
          <w:szCs w:val="28"/>
          <w:rtl w:val="true"/>
          <w:lang w:bidi="ar-SA"/>
        </w:rPr>
        <w:t>لا توعدنّي حيّة بالنّكر</w:t>
      </w:r>
    </w:p>
    <w:p>
      <w:pPr>
        <w:pStyle w:val="BookText"/>
        <w:rPr/>
      </w:pPr>
      <w:r>
        <w:rPr>
          <w:rFonts w:ascii="Amiri" w:hAnsi="Amiri" w:eastAsia="Amiri" w:cs="Amiri"/>
          <w:color w:val="111111"/>
          <w:sz w:val="28"/>
          <w:sz w:val="28"/>
          <w:szCs w:val="28"/>
          <w:rtl w:val="true"/>
          <w:lang w:bidi="ar-SA"/>
        </w:rPr>
        <w:t xml:space="preserve">ورد في ديوانه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منسوبا له في شرح المفصل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 الشواهد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غير نسبة في الكتاب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والمقتضب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 الأشموني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نزع الإنسان إلى الشرّ وأصله نزأت بين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حرّشت بينهم ، والنّكز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الجاهل ذو التّنزّي</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فرفع الصّفة المضافة ، أعني ذو التنزّي ، وأدخلوا حرف النّداء على الّلام </w:t>
      </w:r>
      <w:bookmarkStart w:id="261" w:name="pg14482_156134"/>
    </w:p>
    <w:p>
      <w:pPr>
        <w:pStyle w:val="BookText"/>
        <w:rPr/>
      </w:pPr>
      <w:bookmarkEnd w:id="261"/>
      <w:r>
        <w:rPr>
          <w:rFonts w:ascii="Amiri" w:hAnsi="Amiri" w:eastAsia="Amiri" w:cs="Amiri"/>
          <w:color w:val="111111"/>
          <w:sz w:val="28"/>
          <w:sz w:val="28"/>
          <w:szCs w:val="28"/>
          <w:rtl w:val="true"/>
          <w:lang w:bidi="ar-SA"/>
        </w:rPr>
        <w:t xml:space="preserve">في اسم الله خاصة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الله ، إمّا لكثرته وإمّا لأنّ اللام ليست للتعريف ، وقد ورد في الشعر </w:t>
      </w:r>
      <w:r>
        <w:rPr>
          <w:rFonts w:eastAsia="Amiri" w:cs="Amiri" w:ascii="Amiri" w:hAnsi="Amiri"/>
          <w:color w:val="111111"/>
          <w:sz w:val="28"/>
          <w:szCs w:val="28"/>
          <w:rtl w:val="true"/>
          <w:lang w:bidi="ar-SA"/>
        </w:rPr>
        <w:t xml:space="preserve">: </w:t>
      </w:r>
      <w:r>
        <w:rPr>
          <w:rStyle w:val="FootnoteAnchor"/>
          <w:rtl w:val="true"/>
        </w:rPr>
        <w:footnoteReference w:id="614"/>
      </w:r>
    </w:p>
    <w:p>
      <w:pPr>
        <w:pStyle w:val="BookText"/>
        <w:rPr/>
      </w:pPr>
      <w:r>
        <w:rPr>
          <w:rFonts w:ascii="Amiri" w:hAnsi="Amiri" w:eastAsia="Amiri" w:cs="Amiri"/>
          <w:color w:val="111111"/>
          <w:sz w:val="28"/>
          <w:sz w:val="28"/>
          <w:szCs w:val="28"/>
          <w:rtl w:val="true"/>
          <w:lang w:bidi="ar-SA"/>
        </w:rPr>
        <w:t>وأنت بخيلة بالودّ عنّي</w:t>
      </w:r>
    </w:p>
    <w:p>
      <w:pPr>
        <w:pStyle w:val="BookText"/>
        <w:rPr/>
      </w:pPr>
      <w:r>
        <w:rPr>
          <w:rFonts w:ascii="Amiri" w:hAnsi="Amiri" w:eastAsia="Amiri" w:cs="Amiri"/>
          <w:color w:val="111111"/>
          <w:sz w:val="28"/>
          <w:sz w:val="28"/>
          <w:szCs w:val="28"/>
          <w:rtl w:val="true"/>
          <w:lang w:bidi="ar-SA"/>
        </w:rPr>
        <w:t xml:space="preserve">انظره في الكتاب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والمقتضب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والإنصاف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برواية فديتك يا الّتي ، وشرح المفصل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 الكافية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وهمع الهوامع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وخزانة الأدب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أجلك يا الّتي تيّمت قلبي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شاذّ لا يعتدّ به ولا بما يأتي من ذلك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62" w:name="__RefHeading___Toc716712_996550957"/>
      <w:bookmarkStart w:id="263" w:name="_Toc97"/>
      <w:bookmarkEnd w:id="262"/>
      <w:r>
        <w:rPr>
          <w:rtl w:val="true"/>
        </w:rPr>
        <w:t>ذكر بقيّة الكلام على المنادى</w:t>
      </w:r>
      <w:bookmarkEnd w:id="263"/>
    </w:p>
    <w:p>
      <w:pPr>
        <w:pStyle w:val="BookText"/>
        <w:rPr/>
      </w:pPr>
      <w:r>
        <w:rPr>
          <w:rStyle w:val="FootnoteAnchor"/>
          <w:rtl w:val="true"/>
        </w:rPr>
        <w:footnoteReference w:id="6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نودي العلم الموصوف بابن مضاف إلى علم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زيد بن عمرو ، فالمختار فتحه مع جواز الضمّ </w:t>
      </w:r>
      <w:r>
        <w:rPr>
          <w:rStyle w:val="FootnoteAnchor"/>
          <w:rtl w:val="true"/>
        </w:rPr>
        <w:footnoteReference w:id="617"/>
      </w:r>
      <w:r>
        <w:rPr>
          <w:rFonts w:ascii="Amiri" w:hAnsi="Amiri" w:eastAsia="Amiri" w:cs="Amiri"/>
          <w:color w:val="111111"/>
          <w:sz w:val="28"/>
          <w:sz w:val="28"/>
          <w:szCs w:val="28"/>
          <w:rtl w:val="true"/>
          <w:lang w:bidi="ar-SA"/>
        </w:rPr>
        <w:t xml:space="preserve">ومنهم من يقول </w:t>
      </w:r>
      <w:r>
        <w:rPr>
          <w:rFonts w:eastAsia="Amiri" w:cs="Amiri" w:ascii="Amiri" w:hAnsi="Amiri"/>
          <w:color w:val="111111"/>
          <w:sz w:val="28"/>
          <w:szCs w:val="28"/>
          <w:rtl w:val="true"/>
          <w:lang w:bidi="ar-SA"/>
        </w:rPr>
        <w:t xml:space="preserve">: </w:t>
      </w:r>
      <w:r>
        <w:rPr>
          <w:rStyle w:val="FootnoteAnchor"/>
          <w:rtl w:val="true"/>
        </w:rPr>
        <w:footnoteReference w:id="618"/>
      </w:r>
      <w:r>
        <w:rPr>
          <w:rFonts w:ascii="Amiri" w:hAnsi="Amiri" w:eastAsia="Amiri" w:cs="Amiri"/>
          <w:color w:val="111111"/>
          <w:sz w:val="28"/>
          <w:sz w:val="28"/>
          <w:szCs w:val="28"/>
          <w:rtl w:val="true"/>
          <w:lang w:bidi="ar-SA"/>
        </w:rPr>
        <w:t xml:space="preserve">يجب فتحه لكثرته في كلامهم ، فجعلت الفتحة عوضا من الضّمة لخفتها </w:t>
      </w:r>
      <w:r>
        <w:rPr>
          <w:rStyle w:val="FootnoteAnchor"/>
          <w:rtl w:val="true"/>
        </w:rPr>
        <w:footnoteReference w:id="619"/>
      </w:r>
      <w:r>
        <w:rPr>
          <w:rFonts w:ascii="Amiri" w:hAnsi="Amiri" w:eastAsia="Amiri" w:cs="Amiri"/>
          <w:color w:val="111111"/>
          <w:sz w:val="28"/>
          <w:sz w:val="28"/>
          <w:szCs w:val="28"/>
          <w:rtl w:val="true"/>
          <w:lang w:bidi="ar-SA"/>
        </w:rPr>
        <w:t xml:space="preserve">وإذا نودي المفرد ثمّ كرّر مضافا </w:t>
      </w:r>
      <w:r>
        <w:rPr>
          <w:rStyle w:val="FootnoteAnchor"/>
          <w:rtl w:val="true"/>
        </w:rPr>
        <w:footnoteReference w:id="620"/>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Style w:val="FootnoteAnchor"/>
          <w:rtl w:val="true"/>
        </w:rPr>
        <w:footnoteReference w:id="621"/>
      </w:r>
    </w:p>
    <w:p>
      <w:pPr>
        <w:pStyle w:val="BookText"/>
        <w:rPr/>
      </w:pPr>
      <w:r>
        <w:rPr>
          <w:rFonts w:ascii="Amiri" w:hAnsi="Amiri" w:eastAsia="Amiri" w:cs="Amiri"/>
          <w:color w:val="111111"/>
          <w:sz w:val="28"/>
          <w:sz w:val="28"/>
          <w:szCs w:val="28"/>
          <w:rtl w:val="true"/>
          <w:lang w:bidi="ar-SA"/>
        </w:rPr>
        <w:t>يا تيم تيم عديّ لا أبالكم</w:t>
      </w:r>
    </w:p>
    <w:p>
      <w:pPr>
        <w:pStyle w:val="BookText"/>
        <w:rPr/>
      </w:pPr>
      <w:r>
        <w:rPr>
          <w:rFonts w:ascii="Amiri" w:hAnsi="Amiri" w:eastAsia="Amiri" w:cs="Amiri"/>
          <w:color w:val="111111"/>
          <w:sz w:val="28"/>
          <w:sz w:val="28"/>
          <w:szCs w:val="28"/>
          <w:rtl w:val="true"/>
          <w:lang w:bidi="ar-SA"/>
        </w:rPr>
        <w:t xml:space="preserve">لا يلقينّكم في سوأة </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عمر</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فالثاني ليس فيه إلّا النصب ، وأمّا الأول ؛ فيجوز ضمّه لأنّه منادى مفرد ، ونصبه على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تيم عديّ تيم عديّ ، فحذف عديّ الأول لدلالة الثاني عليه </w:t>
      </w:r>
      <w:r>
        <w:rPr>
          <w:rStyle w:val="FootnoteAnchor"/>
          <w:rtl w:val="true"/>
        </w:rPr>
        <w:footnoteReference w:id="623"/>
      </w:r>
      <w:r>
        <w:rPr>
          <w:rFonts w:ascii="IRNazanin" w:hAnsi="IRNazanin" w:eastAsia="IRNazanin"/>
          <w:color w:val="111111"/>
          <w:sz w:val="28"/>
          <w:sz w:val="28"/>
          <w:szCs w:val="28"/>
          <w:rtl w:val="true"/>
          <w:lang w:bidi="fa-IR"/>
        </w:rPr>
        <w:t xml:space="preserve">، وإذا </w:t>
      </w:r>
    </w:p>
    <w:p>
      <w:pPr>
        <w:pStyle w:val="BookText"/>
        <w:rPr/>
      </w:pPr>
      <w:r>
        <w:rPr>
          <w:rFonts w:ascii="Amiri" w:hAnsi="Amiri" w:eastAsia="Amiri" w:cs="Amiri"/>
          <w:color w:val="111111"/>
          <w:sz w:val="28"/>
          <w:sz w:val="28"/>
          <w:szCs w:val="28"/>
          <w:rtl w:val="true"/>
          <w:lang w:bidi="ar-SA"/>
        </w:rPr>
        <w:t xml:space="preserve">نودي المضاف إلى ياء المتكلّم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غلامي ، فلهذه الياء في النّداء أربعة أوجه </w:t>
      </w:r>
      <w:r>
        <w:rPr>
          <w:rFonts w:eastAsia="Amiri" w:cs="Amiri" w:ascii="Amiri" w:hAnsi="Amiri"/>
          <w:color w:val="111111"/>
          <w:sz w:val="28"/>
          <w:szCs w:val="28"/>
          <w:rtl w:val="true"/>
          <w:lang w:bidi="ar-SA"/>
        </w:rPr>
        <w:t xml:space="preserve">: </w:t>
      </w:r>
      <w:r>
        <w:rPr>
          <w:rStyle w:val="FootnoteAnchor"/>
          <w:rtl w:val="true"/>
        </w:rPr>
        <w:footnoteReference w:id="624"/>
      </w:r>
      <w:r>
        <w:rPr>
          <w:rFonts w:ascii="Amiri" w:hAnsi="Amiri" w:eastAsia="Amiri" w:cs="Amiri"/>
          <w:color w:val="111111"/>
          <w:sz w:val="28"/>
          <w:sz w:val="28"/>
          <w:szCs w:val="28"/>
          <w:rtl w:val="true"/>
          <w:lang w:bidi="ar-SA"/>
        </w:rPr>
        <w:t xml:space="preserve">إثباتها مفتوحة وهو الأصل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غلامي أقبل وقرىء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عِبادِيَ</w:t>
      </w:r>
      <w:r>
        <w:rPr>
          <w:rFonts w:eastAsia="Amiri" w:cs="Amiri" w:ascii="Amiri" w:hAnsi="Amiri"/>
          <w:color w:val="111111"/>
          <w:sz w:val="28"/>
          <w:szCs w:val="28"/>
          <w:rtl w:val="true"/>
          <w:lang w:bidi="ar-SA"/>
        </w:rPr>
        <w:t>)</w:t>
      </w:r>
      <w:r>
        <w:rPr>
          <w:rStyle w:val="FootnoteAnchor"/>
          <w:rtl w:val="true"/>
        </w:rPr>
        <w:footnoteReference w:id="625"/>
      </w:r>
      <w:r>
        <w:rPr>
          <w:rFonts w:ascii="IRNazanin" w:hAnsi="IRNazanin" w:eastAsia="IRNazanin"/>
          <w:color w:val="111111"/>
          <w:sz w:val="28"/>
          <w:sz w:val="28"/>
          <w:szCs w:val="28"/>
          <w:rtl w:val="true"/>
          <w:lang w:bidi="fa-IR"/>
        </w:rPr>
        <w:t xml:space="preserve">بالفتح </w:t>
      </w:r>
      <w:r>
        <w:rPr>
          <w:rStyle w:val="FootnoteAnchor"/>
          <w:rtl w:val="true"/>
        </w:rPr>
        <w:footnoteReference w:id="626"/>
      </w:r>
      <w:r>
        <w:rPr>
          <w:rFonts w:ascii="Amiri" w:hAnsi="Amiri" w:eastAsia="Amiri" w:cs="Amiri"/>
          <w:color w:val="111111"/>
          <w:sz w:val="28"/>
          <w:sz w:val="28"/>
          <w:szCs w:val="28"/>
          <w:rtl w:val="true"/>
          <w:lang w:bidi="ar-SA"/>
        </w:rPr>
        <w:t xml:space="preserve">وإنّما كان كذلك لأنّها اسم على حرف واحد ، فقويت بالحركة ، كما فعلوا بالكاف في غلامك والتاء في رأيت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إسكانها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تخفيفا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غلامي وقد قرىء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عبادي لا خوف عليكم </w:t>
      </w:r>
      <w:r>
        <w:rPr>
          <w:rStyle w:val="FootnoteAnchor"/>
          <w:rtl w:val="true"/>
        </w:rPr>
        <w:footnoteReference w:id="627"/>
      </w: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حذفها مع بقاء كسر ما قبلها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بحذف ياء الإضافة </w:t>
      </w:r>
      <w:r>
        <w:rPr>
          <w:rStyle w:val="FootnoteAnchor"/>
          <w:rtl w:val="true"/>
        </w:rPr>
        <w:footnoteReference w:id="628"/>
      </w:r>
      <w:r>
        <w:rPr>
          <w:rFonts w:ascii="Amiri" w:hAnsi="Amiri" w:eastAsia="Amiri" w:cs="Amiri"/>
          <w:color w:val="111111"/>
          <w:sz w:val="28"/>
          <w:sz w:val="28"/>
          <w:szCs w:val="28"/>
          <w:rtl w:val="true"/>
          <w:lang w:bidi="ar-SA"/>
        </w:rPr>
        <w:t xml:space="preserve">، وإنّما حذفت تخفيفا لكثرته في كلامهم </w:t>
      </w:r>
      <w:r>
        <w:rPr>
          <w:rStyle w:val="FootnoteAnchor"/>
          <w:rtl w:val="true"/>
        </w:rPr>
        <w:footnoteReference w:id="629"/>
      </w: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قلبها ألفا لأنّ الألف أخفّ من الياء ، وليحصل بالألف زيادة مدّ في الصوت </w:t>
      </w:r>
      <w:r>
        <w:rPr>
          <w:rStyle w:val="FootnoteAnchor"/>
          <w:rtl w:val="true"/>
        </w:rPr>
        <w:footnoteReference w:id="630"/>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ربّا تجاوز عنّي ، ويا غلاما أقبل ، قال الشّاعر </w:t>
      </w:r>
      <w:r>
        <w:rPr>
          <w:rFonts w:eastAsia="Amiri" w:cs="Amiri" w:ascii="Amiri" w:hAnsi="Amiri"/>
          <w:color w:val="111111"/>
          <w:sz w:val="28"/>
          <w:szCs w:val="28"/>
          <w:rtl w:val="true"/>
          <w:lang w:bidi="ar-SA"/>
        </w:rPr>
        <w:t xml:space="preserve">: </w:t>
      </w:r>
      <w:r>
        <w:rPr>
          <w:rStyle w:val="FootnoteAnchor"/>
          <w:rtl w:val="true"/>
        </w:rPr>
        <w:footnoteReference w:id="631"/>
      </w:r>
    </w:p>
    <w:p>
      <w:pPr>
        <w:pStyle w:val="BookText"/>
        <w:rPr/>
      </w:pPr>
      <w:r>
        <w:rPr>
          <w:rFonts w:ascii="Amiri" w:hAnsi="Amiri" w:eastAsia="Amiri" w:cs="Amiri"/>
          <w:color w:val="111111"/>
          <w:sz w:val="28"/>
          <w:sz w:val="28"/>
          <w:szCs w:val="28"/>
          <w:rtl w:val="true"/>
          <w:lang w:bidi="ar-SA"/>
        </w:rPr>
        <w:t>فأصاخ يرجو أن يكون حيا</w:t>
      </w:r>
    </w:p>
    <w:p>
      <w:pPr>
        <w:pStyle w:val="BookText"/>
        <w:rPr/>
      </w:pPr>
      <w:r>
        <w:rPr>
          <w:rFonts w:ascii="Amiri" w:hAnsi="Amiri" w:eastAsia="Amiri" w:cs="Amiri"/>
          <w:color w:val="111111"/>
          <w:sz w:val="28"/>
          <w:sz w:val="28"/>
          <w:szCs w:val="28"/>
          <w:rtl w:val="true"/>
          <w:lang w:bidi="ar-SA"/>
        </w:rPr>
        <w:t>ويقول من فرح هيا ربا</w:t>
      </w:r>
    </w:p>
    <w:p>
      <w:pPr>
        <w:pStyle w:val="BookText"/>
        <w:rPr/>
      </w:pPr>
      <w:r>
        <w:rPr>
          <w:rFonts w:ascii="Amiri" w:hAnsi="Amiri" w:eastAsia="Amiri" w:cs="Amiri"/>
          <w:color w:val="111111"/>
          <w:sz w:val="28"/>
          <w:sz w:val="28"/>
          <w:szCs w:val="28"/>
          <w:rtl w:val="true"/>
          <w:lang w:bidi="ar-SA"/>
        </w:rPr>
        <w:t xml:space="preserve">وانظر المغني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وحديثها كالغيث أبصره</w:t>
      </w:r>
    </w:p>
    <w:p>
      <w:pPr>
        <w:pStyle w:val="BookText"/>
        <w:rPr/>
      </w:pPr>
      <w:r>
        <w:rPr>
          <w:rFonts w:ascii="Amiri" w:hAnsi="Amiri" w:eastAsia="Amiri" w:cs="Amiri"/>
          <w:color w:val="111111"/>
          <w:sz w:val="28"/>
          <w:sz w:val="28"/>
          <w:szCs w:val="28"/>
          <w:rtl w:val="true"/>
          <w:lang w:bidi="ar-SA"/>
        </w:rPr>
        <w:t>راعي سنين تتابعت جدبا</w:t>
      </w:r>
    </w:p>
    <w:p>
      <w:pPr>
        <w:pStyle w:val="BookText"/>
        <w:rPr/>
      </w:pPr>
      <w:r>
        <w:rPr>
          <w:rFonts w:ascii="Amiri" w:hAnsi="Amiri" w:eastAsia="Amiri" w:cs="Amiri"/>
          <w:color w:val="111111"/>
          <w:sz w:val="28"/>
          <w:sz w:val="28"/>
          <w:szCs w:val="28"/>
          <w:rtl w:val="true"/>
          <w:lang w:bidi="ar-SA"/>
        </w:rPr>
        <w:t>فرآه يبسط راحتيه له</w:t>
      </w:r>
    </w:p>
    <w:p>
      <w:pPr>
        <w:pStyle w:val="BookText"/>
        <w:rPr/>
      </w:pPr>
      <w:r>
        <w:rPr>
          <w:rFonts w:ascii="Amiri" w:hAnsi="Amiri" w:eastAsia="Amiri" w:cs="Amiri"/>
          <w:color w:val="111111"/>
          <w:sz w:val="28"/>
          <w:sz w:val="28"/>
          <w:szCs w:val="28"/>
          <w:rtl w:val="true"/>
          <w:lang w:bidi="ar-SA"/>
        </w:rPr>
        <w:t>ويقول يا ربّاه يا ربّا</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وقفت ألحقتها الهاء ، تبيّنا للألف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ربّاه ويا غلاماه ، وإذا نودي ابن المضاف </w:t>
      </w:r>
      <w:r>
        <w:rPr>
          <w:rStyle w:val="FootnoteAnchor"/>
          <w:rtl w:val="true"/>
        </w:rPr>
        <w:footnoteReference w:id="632"/>
      </w:r>
      <w:r>
        <w:rPr>
          <w:rFonts w:ascii="Amiri" w:hAnsi="Amiri" w:eastAsia="Amiri" w:cs="Amiri"/>
          <w:color w:val="111111"/>
          <w:sz w:val="28"/>
          <w:sz w:val="28"/>
          <w:szCs w:val="28"/>
          <w:rtl w:val="true"/>
          <w:lang w:bidi="ar-SA"/>
        </w:rPr>
        <w:t xml:space="preserve">إلى العمّ أو الأمّ المضافين إلى المتكلّم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عميّ يا بن أميّ جاز فيهما جميع ما ذكر في المضاف إلى ياء المتكلّم ، فتفتح الياء من عمّي </w:t>
      </w:r>
      <w:bookmarkStart w:id="264" w:name="pg14482_156136"/>
    </w:p>
    <w:p>
      <w:pPr>
        <w:pStyle w:val="BookText"/>
        <w:rPr/>
      </w:pPr>
      <w:bookmarkEnd w:id="264"/>
      <w:r>
        <w:rPr>
          <w:rFonts w:ascii="Amiri" w:hAnsi="Amiri" w:eastAsia="Amiri" w:cs="Amiri"/>
          <w:color w:val="111111"/>
          <w:sz w:val="28"/>
          <w:sz w:val="28"/>
          <w:szCs w:val="28"/>
          <w:rtl w:val="true"/>
          <w:lang w:bidi="ar-SA"/>
        </w:rPr>
        <w:t xml:space="preserve">وأمّي ، وتسكّنها وتحذفها وتبدلها ألفا كما قيل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غلامي ، ويجوز فيهما وجه آخر 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حذف الألف وإبقاء الفتحة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عمّ ويا بن أمّ بفتحهما ، ولا يجوز في غيرهما شيء من ذلك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غلامي وما أشبهه وإذا كان المنادى المضاف إلى المتكلّم أبا أو أما ، جاز فيه ما ذكر في المضاف إلى المتكلم حسبما قيل في يا غلامي </w:t>
      </w:r>
      <w:r>
        <w:rPr>
          <w:rStyle w:val="FootnoteAnchor"/>
          <w:rtl w:val="true"/>
        </w:rPr>
        <w:footnoteReference w:id="633"/>
      </w:r>
      <w:r>
        <w:rPr>
          <w:rFonts w:ascii="Amiri" w:hAnsi="Amiri" w:eastAsia="Amiri" w:cs="Amiri"/>
          <w:color w:val="111111"/>
          <w:sz w:val="28"/>
          <w:sz w:val="28"/>
          <w:szCs w:val="28"/>
          <w:rtl w:val="true"/>
          <w:lang w:bidi="ar-SA"/>
        </w:rPr>
        <w:t xml:space="preserve">وجاز فيه وجوه أخر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وأمت بكسر التاء المنقلبة عن الياء ، وفتح التاء فيهما ، وأبتا وأمتا بإثبات الألف والتاء فيهما معا ، ولم يجز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أبتي ويا أمتي بإثبات التاء والياء معا ، لأنّ التاء عوض عن ياء المتكلّم ، ولا يجوز الجمع بين العوض والمعوّض منه </w:t>
      </w:r>
      <w:r>
        <w:rPr>
          <w:rStyle w:val="FootnoteAnchor"/>
          <w:rtl w:val="true"/>
        </w:rPr>
        <w:footnoteReference w:id="634"/>
      </w:r>
      <w:r>
        <w:rPr>
          <w:rFonts w:ascii="Amiri" w:hAnsi="Amiri" w:eastAsia="Amiri" w:cs="Amiri"/>
          <w:color w:val="111111"/>
          <w:sz w:val="28"/>
          <w:sz w:val="28"/>
          <w:szCs w:val="28"/>
          <w:rtl w:val="true"/>
          <w:lang w:bidi="ar-SA"/>
        </w:rPr>
        <w:t xml:space="preserve">بخلاف أبتا وأمتا فإنّ التاء والألف معا بدل عن الياء </w:t>
      </w:r>
      <w:r>
        <w:rPr>
          <w:rStyle w:val="FootnoteAnchor"/>
          <w:rtl w:val="true"/>
        </w:rPr>
        <w:footnoteReference w:id="635"/>
      </w:r>
      <w:r>
        <w:rPr>
          <w:rFonts w:ascii="Amiri" w:hAnsi="Amiri" w:eastAsia="Amiri" w:cs="Amiri"/>
          <w:color w:val="111111"/>
          <w:sz w:val="28"/>
          <w:sz w:val="28"/>
          <w:szCs w:val="28"/>
          <w:rtl w:val="true"/>
          <w:lang w:bidi="ar-SA"/>
        </w:rPr>
        <w:t xml:space="preserve">وجاز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w:t>
      </w:r>
      <w:r>
        <w:rPr>
          <w:rStyle w:val="FootnoteAnchor"/>
          <w:rtl w:val="true"/>
        </w:rPr>
        <w:footnoteReference w:id="636"/>
      </w:r>
      <w:r>
        <w:rPr>
          <w:rFonts w:ascii="Amiri" w:hAnsi="Amiri" w:eastAsia="Amiri" w:cs="Amiri"/>
          <w:color w:val="111111"/>
          <w:sz w:val="28"/>
          <w:sz w:val="28"/>
          <w:szCs w:val="28"/>
          <w:rtl w:val="true"/>
          <w:lang w:bidi="ar-SA"/>
        </w:rPr>
        <w:t xml:space="preserve">كسر الياء وهو الكثير ، والفتح لاستثقال الكسرة والسكون مع التخفيف وقرىء في السّبعة </w:t>
      </w:r>
      <w:r>
        <w:rPr>
          <w:rStyle w:val="FootnoteAnchor"/>
          <w:rtl w:val="true"/>
        </w:rPr>
        <w:footnoteReference w:id="637"/>
      </w:r>
      <w:r>
        <w:rPr>
          <w:rFonts w:ascii="Amiri" w:hAnsi="Amiri" w:eastAsia="Amiri" w:cs="Amiri"/>
          <w:color w:val="111111"/>
          <w:sz w:val="28"/>
          <w:sz w:val="28"/>
          <w:szCs w:val="28"/>
          <w:rtl w:val="true"/>
          <w:lang w:bidi="ar-SA"/>
        </w:rPr>
        <w:t xml:space="preserve">بالجميع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65" w:name="__RefHeading___Toc716714_996550957"/>
      <w:bookmarkStart w:id="266" w:name="_Toc98"/>
      <w:bookmarkEnd w:id="265"/>
      <w:r>
        <w:rPr>
          <w:rtl w:val="true"/>
        </w:rPr>
        <w:t>ذكر التّرخيم</w:t>
      </w:r>
      <w:bookmarkEnd w:id="266"/>
    </w:p>
    <w:p>
      <w:pPr>
        <w:pStyle w:val="BookText"/>
        <w:rPr/>
      </w:pPr>
      <w:r>
        <w:rPr>
          <w:rStyle w:val="FootnoteAnchor"/>
          <w:rtl w:val="true"/>
        </w:rPr>
        <w:footnoteReference w:id="6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الترخيم من خصائص المنادى ، وهو حذف في آخر المنادى تخفيفا لا لعلّة ، ويجوز لضرورة الشعر ترخيم غير المنادى كقول الشّاعر </w:t>
      </w:r>
      <w:r>
        <w:rPr>
          <w:rFonts w:eastAsia="Amiri" w:cs="Amiri" w:ascii="Amiri" w:hAnsi="Amiri"/>
          <w:color w:val="111111"/>
          <w:sz w:val="28"/>
          <w:szCs w:val="28"/>
          <w:rtl w:val="true"/>
          <w:lang w:bidi="ar-SA"/>
        </w:rPr>
        <w:t xml:space="preserve">: </w:t>
      </w:r>
      <w:r>
        <w:rPr>
          <w:rStyle w:val="FootnoteAnchor"/>
          <w:rtl w:val="true"/>
        </w:rPr>
        <w:footnoteReference w:id="640"/>
      </w:r>
    </w:p>
    <w:p>
      <w:pPr>
        <w:pStyle w:val="BookText"/>
        <w:rPr/>
      </w:pPr>
      <w:r>
        <w:rPr>
          <w:rFonts w:ascii="Amiri" w:hAnsi="Amiri" w:eastAsia="Amiri" w:cs="Amiri"/>
          <w:color w:val="111111"/>
          <w:sz w:val="28"/>
          <w:sz w:val="28"/>
          <w:szCs w:val="28"/>
          <w:rtl w:val="true"/>
          <w:lang w:bidi="ar-SA"/>
        </w:rPr>
        <w:t>ديار ميّة إذ ميّ تساعفنا</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يرى مثلها عجم ولا عرب </w:t>
      </w:r>
    </w:p>
    <w:p>
      <w:pPr>
        <w:pStyle w:val="BookText"/>
        <w:rPr/>
      </w:pPr>
      <w:r>
        <w:rPr>
          <w:rFonts w:ascii="Amiri" w:hAnsi="Amiri" w:eastAsia="Amiri" w:cs="Amiri"/>
          <w:color w:val="111111"/>
          <w:sz w:val="28"/>
          <w:sz w:val="28"/>
          <w:szCs w:val="28"/>
          <w:rtl w:val="true"/>
          <w:lang w:bidi="ar-SA"/>
        </w:rPr>
        <w:t xml:space="preserve">حذف هاء ميّة ، ولا يجوز ترخيم المستغاث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لجعفر </w:t>
      </w:r>
      <w:r>
        <w:rPr>
          <w:rStyle w:val="FootnoteAnchor"/>
          <w:rtl w:val="true"/>
        </w:rPr>
        <w:footnoteReference w:id="641"/>
      </w:r>
      <w:r>
        <w:rPr>
          <w:rFonts w:ascii="Amiri" w:hAnsi="Amiri" w:eastAsia="Amiri" w:cs="Amiri"/>
          <w:color w:val="111111"/>
          <w:sz w:val="28"/>
          <w:sz w:val="28"/>
          <w:szCs w:val="28"/>
          <w:rtl w:val="true"/>
          <w:lang w:bidi="ar-SA"/>
        </w:rPr>
        <w:t xml:space="preserve">لأنّهم يزيدون فيه لغرض رفع الصّوت للمستغاث به ، وكذا لا يرخّم المضاف كعبد الله </w:t>
      </w:r>
      <w:r>
        <w:rPr>
          <w:rStyle w:val="FootnoteAnchor"/>
          <w:rtl w:val="true"/>
        </w:rPr>
        <w:footnoteReference w:id="642"/>
      </w:r>
      <w:r>
        <w:rPr>
          <w:rFonts w:ascii="Amiri" w:hAnsi="Amiri" w:eastAsia="Amiri" w:cs="Amiri"/>
          <w:color w:val="111111"/>
          <w:sz w:val="28"/>
          <w:sz w:val="28"/>
          <w:szCs w:val="28"/>
          <w:rtl w:val="true"/>
          <w:lang w:bidi="ar-SA"/>
        </w:rPr>
        <w:t xml:space="preserve">ولا الجملة المسمّى بها كشاب قرناها ، لأنّهم لو حذفوا من الثاني حذفوا من غير المنادى ، ولو حذفوا من الأول حذفوا من وسط الكلمة ، وهو غير جائز ، ولأنّ الجملة تحكى على إعرابها الأصلي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وشرط المنادى </w:t>
      </w:r>
      <w:r>
        <w:rPr>
          <w:rStyle w:val="FootnoteAnchor"/>
          <w:rtl w:val="true"/>
        </w:rPr>
        <w:footnoteReference w:id="644"/>
      </w:r>
      <w:r>
        <w:rPr>
          <w:rFonts w:ascii="Amiri" w:hAnsi="Amiri" w:eastAsia="Amiri" w:cs="Amiri"/>
          <w:color w:val="111111"/>
          <w:sz w:val="28"/>
          <w:sz w:val="28"/>
          <w:szCs w:val="28"/>
          <w:rtl w:val="true"/>
          <w:lang w:bidi="ar-SA"/>
        </w:rPr>
        <w:t xml:space="preserve">في الترخيم أن يكون الاسم المرخّم إمّا بتاء التأنيث نحو ثبة ، وإمّا علما زائدا على ثلاثة أحرف كجعفر وحارث لا كزيد </w:t>
      </w:r>
      <w:r>
        <w:rPr>
          <w:rStyle w:val="FootnoteAnchor"/>
          <w:rtl w:val="true"/>
        </w:rPr>
        <w:footnoteReference w:id="645"/>
      </w:r>
      <w:r>
        <w:rPr>
          <w:rFonts w:ascii="Amiri" w:hAnsi="Amiri" w:eastAsia="Amiri" w:cs="Amiri"/>
          <w:color w:val="111111"/>
          <w:sz w:val="28"/>
          <w:sz w:val="28"/>
          <w:szCs w:val="28"/>
          <w:rtl w:val="true"/>
          <w:lang w:bidi="ar-SA"/>
        </w:rPr>
        <w:t xml:space="preserve">، والحكم ، لأنّ تاء التأنيث زائدة فلا يلزم من حذفها الإجحاف بالاسم لبقائه على حرفين ، ولذلك شرط في العلم الزيادة على ثلاثة ، لئلّا يحصل الإجحاف بالحذف فيخرج عن أبنية الاسم </w:t>
      </w:r>
      <w:r>
        <w:rPr>
          <w:rStyle w:val="FootnoteAnchor"/>
          <w:rtl w:val="true"/>
        </w:rPr>
        <w:footnoteReference w:id="646"/>
      </w:r>
      <w:r>
        <w:rPr>
          <w:rFonts w:ascii="Amiri" w:hAnsi="Amiri" w:eastAsia="Amiri" w:cs="Amiri"/>
          <w:color w:val="111111"/>
          <w:sz w:val="28"/>
          <w:sz w:val="28"/>
          <w:szCs w:val="28"/>
          <w:rtl w:val="true"/>
          <w:lang w:bidi="ar-SA"/>
        </w:rPr>
        <w:t xml:space="preserve">، وكلّ اسم آخره زيادتان في حكم زيادة واحدة </w:t>
      </w:r>
      <w:r>
        <w:rPr>
          <w:rStyle w:val="FootnoteAnchor"/>
          <w:rtl w:val="true"/>
        </w:rPr>
        <w:footnoteReference w:id="647"/>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وعثمان فإنّه يحذف منه في الترخيم حرفان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أسم ويا عثم ، بحذف ألف التأنيث الممدودة ، والألف والنون </w:t>
      </w:r>
      <w:r>
        <w:rPr>
          <w:rStyle w:val="FootnoteAnchor"/>
          <w:rtl w:val="true"/>
        </w:rPr>
        <w:footnoteReference w:id="648"/>
      </w:r>
      <w:r>
        <w:rPr>
          <w:rFonts w:ascii="Amiri" w:hAnsi="Amiri" w:eastAsia="Amiri" w:cs="Amiri"/>
          <w:color w:val="111111"/>
          <w:sz w:val="28"/>
          <w:sz w:val="28"/>
          <w:szCs w:val="28"/>
          <w:rtl w:val="true"/>
          <w:lang w:bidi="ar-SA"/>
        </w:rPr>
        <w:t xml:space="preserve">، وكذلك يحذف حرفان مما في آخره حرف صحيح قبله مدّة ، وهو على أكثر من أربعة أحرف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ومنصور ومسكين ، وقد علم أن ثمود ليس من باب منصور فيحذف من منصور حرفان ، ومن ثمود حرف واحد لعدم زيادته على أربعة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المنادى مركّبا </w:t>
      </w:r>
      <w:r>
        <w:rPr>
          <w:rStyle w:val="FootnoteAnchor"/>
          <w:rtl w:val="true"/>
        </w:rPr>
        <w:footnoteReference w:id="650"/>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بعلبكّ فإنّه يحذف منه الاسم الأخير للترخيم لأنّه بمنزلة تاء التأنيث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بعل ، وإن كان المنادى المرخّم غير ما ذكر ، فيحذف </w:t>
      </w:r>
      <w:bookmarkStart w:id="267" w:name="pg14482_156138"/>
    </w:p>
    <w:p>
      <w:pPr>
        <w:pStyle w:val="BookText"/>
        <w:rPr/>
      </w:pPr>
      <w:bookmarkEnd w:id="267"/>
      <w:r>
        <w:rPr>
          <w:rFonts w:ascii="Amiri" w:hAnsi="Amiri" w:eastAsia="Amiri" w:cs="Amiri"/>
          <w:color w:val="111111"/>
          <w:sz w:val="28"/>
          <w:sz w:val="28"/>
          <w:szCs w:val="28"/>
          <w:rtl w:val="true"/>
          <w:lang w:bidi="ar-SA"/>
        </w:rPr>
        <w:t xml:space="preserve">منه حرف واحد ، لأنّه الأصل فإنّ الزيادة على حرف كانت بسبب عارض ، وذلك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ثمود وحارث وحامد </w:t>
      </w:r>
      <w:r>
        <w:rPr>
          <w:rStyle w:val="FootnoteAnchor"/>
          <w:rtl w:val="true"/>
        </w:rPr>
        <w:footnoteReference w:id="651"/>
      </w:r>
      <w:r>
        <w:rPr>
          <w:rFonts w:ascii="Amiri" w:hAnsi="Amiri" w:eastAsia="Amiri" w:cs="Amiri"/>
          <w:color w:val="111111"/>
          <w:sz w:val="28"/>
          <w:sz w:val="28"/>
          <w:szCs w:val="28"/>
          <w:rtl w:val="true"/>
          <w:lang w:bidi="ar-SA"/>
        </w:rPr>
        <w:t xml:space="preserve">وفي المرخّم وجهان ؛ أفصحهما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يقدّر المحذوف موجودا فيبقى ما قبله على ما كان عليه من حركة أو واو أو غير ذلك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حار بكسر الراء في ترخيم حارث ، وإذا رخّمت كروان </w:t>
      </w:r>
      <w:r>
        <w:rPr>
          <w:rStyle w:val="FootnoteAnchor"/>
          <w:rtl w:val="true"/>
        </w:rPr>
        <w:footnoteReference w:id="652"/>
      </w:r>
      <w:r>
        <w:rPr>
          <w:rFonts w:ascii="Amiri" w:hAnsi="Amiri" w:eastAsia="Amiri" w:cs="Amiri"/>
          <w:color w:val="111111"/>
          <w:sz w:val="28"/>
          <w:sz w:val="28"/>
          <w:szCs w:val="28"/>
          <w:rtl w:val="true"/>
          <w:lang w:bidi="ar-SA"/>
        </w:rPr>
        <w:t xml:space="preserve">على أفصح الوجهين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كرو ، وفي ثمود يا ثمو ، وأمّا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أن يجعل المحذوف نسيا منسيا ، ويعامل الباقي معاملة ما لم يحذف منه شيء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حار بالضم ، ويا كرا بالألف لتحرّك الواو وانفتاح ما قبلها ، ويا ثمي فتبدل الضمة كسرة ، والواو ياء ، إذ ليس في كلامهم اسم تام معرب آخره واو قبلها ضمّة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68" w:name="__RefHeading___Toc716716_996550957"/>
      <w:bookmarkStart w:id="269" w:name="_Toc99"/>
      <w:bookmarkEnd w:id="268"/>
      <w:r>
        <w:rPr>
          <w:rtl w:val="true"/>
        </w:rPr>
        <w:t>ذكر المندوب</w:t>
      </w:r>
      <w:bookmarkEnd w:id="269"/>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المندوب هو المتفجّع عليه بيا أو واو ، والتفجّع إظهار الحزن والجزع للمصيبة ، ويختصّ بوا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زيد ، وهو كالمنادى في الإعراب والبناء </w:t>
      </w:r>
      <w:r>
        <w:rPr>
          <w:rStyle w:val="FootnoteAnchor"/>
          <w:rtl w:val="true"/>
        </w:rPr>
        <w:footnoteReference w:id="655"/>
      </w:r>
      <w:r>
        <w:rPr>
          <w:rFonts w:ascii="Amiri" w:hAnsi="Amiri" w:eastAsia="Amiri" w:cs="Amiri"/>
          <w:color w:val="111111"/>
          <w:sz w:val="28"/>
          <w:sz w:val="28"/>
          <w:szCs w:val="28"/>
          <w:rtl w:val="true"/>
          <w:lang w:bidi="ar-SA"/>
        </w:rPr>
        <w:t xml:space="preserve">وأجري مجراه لأنّ كلا منهما مخصوص من بين قومه ، ولك أن تزيد في المندوب ألفا فتقول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 زيدا ، ولك أن تلحقها هاء السّكت في الوقف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زيداه ، فإن جاء اللّبس من الألف في مثل ندب غلام المخاطبة ، عدلت عن الألف إلى زيادة حرف مجانس لتلك الحركة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غلامكيه </w:t>
      </w:r>
      <w:r>
        <w:rPr>
          <w:rStyle w:val="FootnoteAnchor"/>
          <w:rtl w:val="true"/>
        </w:rPr>
        <w:footnoteReference w:id="656"/>
      </w:r>
      <w:r>
        <w:rPr>
          <w:rFonts w:ascii="Amiri" w:hAnsi="Amiri" w:eastAsia="Amiri" w:cs="Amiri"/>
          <w:color w:val="111111"/>
          <w:sz w:val="28"/>
          <w:sz w:val="28"/>
          <w:szCs w:val="28"/>
          <w:rtl w:val="true"/>
          <w:lang w:bidi="ar-SA"/>
        </w:rPr>
        <w:t xml:space="preserve">لأنّك لو زدت ألفا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غلامكاه لالتبس بغلام رجل مخاطب فألحق </w:t>
      </w:r>
      <w:r>
        <w:rPr>
          <w:rStyle w:val="FootnoteAnchor"/>
          <w:rtl w:val="true"/>
        </w:rPr>
        <w:footnoteReference w:id="657"/>
      </w:r>
      <w:r>
        <w:rPr>
          <w:rFonts w:ascii="Amiri" w:hAnsi="Amiri" w:eastAsia="Amiri" w:cs="Amiri"/>
          <w:color w:val="111111"/>
          <w:sz w:val="28"/>
          <w:sz w:val="28"/>
          <w:szCs w:val="28"/>
          <w:rtl w:val="true"/>
          <w:lang w:bidi="ar-SA"/>
        </w:rPr>
        <w:t xml:space="preserve">الياء المناسبة لحركة الكاف وهي الكسرة </w:t>
      </w:r>
      <w:r>
        <w:rPr>
          <w:rStyle w:val="FootnoteAnchor"/>
          <w:rtl w:val="true"/>
        </w:rPr>
        <w:footnoteReference w:id="658"/>
      </w:r>
      <w:r>
        <w:rPr>
          <w:rFonts w:ascii="Amiri" w:hAnsi="Amiri" w:eastAsia="Amiri" w:cs="Amiri"/>
          <w:color w:val="111111"/>
          <w:sz w:val="28"/>
          <w:sz w:val="28"/>
          <w:szCs w:val="28"/>
          <w:rtl w:val="true"/>
          <w:lang w:bidi="ar-SA"/>
        </w:rPr>
        <w:t xml:space="preserve">وفي غلام جماعة مذكرين تلحق واوا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وغلامكموا ، لأنّك لو ألحقت ألفا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غلامكما ، التبس بغلام اثنين مخاطبين فألحقت الواو المناسبة للجمع ، ولا يندب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المعروف لا المنكّر </w:t>
      </w:r>
      <w:r>
        <w:rPr>
          <w:rStyle w:val="FootnoteAnchor"/>
          <w:rtl w:val="true"/>
        </w:rPr>
        <w:footnoteReference w:id="659"/>
      </w:r>
      <w:r>
        <w:rPr>
          <w:rFonts w:ascii="Amiri" w:hAnsi="Amiri" w:eastAsia="Amiri" w:cs="Amiri"/>
          <w:color w:val="111111"/>
          <w:sz w:val="28"/>
          <w:sz w:val="28"/>
          <w:szCs w:val="28"/>
          <w:rtl w:val="true"/>
          <w:lang w:bidi="ar-SA"/>
        </w:rPr>
        <w:t xml:space="preserve">فلا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رجلاه لأنّ الندبة إما للإعلام بمن يتفجّع عليه ، أو لتمهيد العذر للمتفجّع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يكون ذلك إلّا أن يكون المندوب معروفا ، وإذا وصفت المندوب فلا تلحق الصفة علامة الندبة فلا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زيد الظريفاه ، لأنّ الظريف ليس هو المندوب وهو مذهب الخليل </w:t>
      </w:r>
      <w:r>
        <w:rPr>
          <w:rStyle w:val="FootnoteAnchor"/>
          <w:rtl w:val="true"/>
        </w:rPr>
        <w:footnoteReference w:id="660"/>
      </w:r>
      <w:r>
        <w:rPr>
          <w:rFonts w:ascii="Amiri" w:hAnsi="Amiri" w:eastAsia="Amiri" w:cs="Amiri"/>
          <w:color w:val="111111"/>
          <w:sz w:val="28"/>
          <w:sz w:val="28"/>
          <w:szCs w:val="28"/>
          <w:rtl w:val="true"/>
          <w:lang w:bidi="ar-SA"/>
        </w:rPr>
        <w:t xml:space="preserve">خلافا ليونس فإنّه يجيز وا زيد الظريفاه </w:t>
      </w:r>
      <w:r>
        <w:rPr>
          <w:rStyle w:val="FootnoteAnchor"/>
          <w:rtl w:val="true"/>
        </w:rPr>
        <w:footnoteReference w:id="661"/>
      </w:r>
      <w:r>
        <w:rPr>
          <w:rFonts w:ascii="Amiri" w:hAnsi="Amiri" w:eastAsia="Amiri" w:cs="Amiri"/>
          <w:color w:val="111111"/>
          <w:sz w:val="28"/>
          <w:sz w:val="28"/>
          <w:szCs w:val="28"/>
          <w:rtl w:val="true"/>
          <w:lang w:bidi="ar-SA"/>
        </w:rPr>
        <w:t xml:space="preserve">ويجوز حذف حرف النداء من ثلاثة أشياء </w:t>
      </w:r>
      <w:r>
        <w:rPr>
          <w:rStyle w:val="FootnoteAnchor"/>
          <w:rtl w:val="true"/>
        </w:rPr>
        <w:footnoteReference w:id="662"/>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 أَعْرِضْ عَنْ هذا</w:t>
      </w:r>
      <w:r>
        <w:rPr>
          <w:rFonts w:eastAsia="Amiri" w:cs="Amiri" w:ascii="Amiri" w:hAnsi="Amiri"/>
          <w:color w:val="111111"/>
          <w:sz w:val="28"/>
          <w:szCs w:val="28"/>
          <w:rtl w:val="true"/>
          <w:lang w:bidi="ar-SA"/>
        </w:rPr>
        <w:t>)</w:t>
      </w:r>
      <w:r>
        <w:rPr>
          <w:rStyle w:val="FootnoteAnchor"/>
          <w:rtl w:val="true"/>
        </w:rPr>
        <w:footnoteReference w:id="663"/>
      </w:r>
      <w:r>
        <w:rPr>
          <w:rFonts w:ascii="Amiri" w:hAnsi="Amiri" w:eastAsia="Amiri" w:cs="Amiri"/>
          <w:color w:val="111111"/>
          <w:sz w:val="28"/>
          <w:sz w:val="28"/>
          <w:szCs w:val="28"/>
          <w:rtl w:val="true"/>
          <w:lang w:bidi="ar-SA"/>
        </w:rPr>
        <w:t xml:space="preserve">أي يا يوسف والمضاف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افعل كذا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 وأيّ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الرجل افعل كذا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الرجل ، ولا يجوز حذف حرف النداء من اسم الجنس ، والمراد باسم الجنس اسم يصحّ إدخال اللّام عليه وجعله صفة لأي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فلا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بمعنى يا رجل </w:t>
      </w:r>
      <w:r>
        <w:rPr>
          <w:rStyle w:val="FootnoteAnchor"/>
          <w:rtl w:val="true"/>
        </w:rPr>
        <w:footnoteReference w:id="664"/>
      </w:r>
      <w:r>
        <w:rPr>
          <w:rFonts w:ascii="Amiri" w:hAnsi="Amiri" w:eastAsia="Amiri" w:cs="Amiri"/>
          <w:color w:val="111111"/>
          <w:sz w:val="28"/>
          <w:sz w:val="28"/>
          <w:szCs w:val="28"/>
          <w:rtl w:val="true"/>
          <w:lang w:bidi="ar-SA"/>
        </w:rPr>
        <w:t xml:space="preserve">وكذلك لا يجوز حذفه من الإشارة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ولا من المندوب ، ولا من المستغاث فلا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زيداه بمعنى وا زيداه ، ولا زيدا أو لزيد مستغيثا به لأنّ كلا من المندوب والمستغاث يناسب التطويل ، فلا يحسن الحذف مع مناسبة التطويل </w:t>
      </w:r>
      <w:r>
        <w:rPr>
          <w:rStyle w:val="FootnoteAnchor"/>
          <w:rtl w:val="true"/>
        </w:rPr>
        <w:footnoteReference w:id="665"/>
      </w:r>
      <w:r>
        <w:rPr>
          <w:rFonts w:ascii="Amiri" w:hAnsi="Amiri" w:eastAsia="Amiri" w:cs="Amiri"/>
          <w:color w:val="111111"/>
          <w:sz w:val="28"/>
          <w:sz w:val="28"/>
          <w:szCs w:val="28"/>
          <w:rtl w:val="true"/>
          <w:lang w:bidi="ar-SA"/>
        </w:rPr>
        <w:t xml:space="preserve">، وقد شذّ حذف حرف النّداء في قولهم </w:t>
      </w:r>
      <w:r>
        <w:rPr>
          <w:rFonts w:eastAsia="Amiri" w:cs="Amiri" w:ascii="Amiri" w:hAnsi="Amiri"/>
          <w:color w:val="111111"/>
          <w:sz w:val="28"/>
          <w:szCs w:val="28"/>
          <w:rtl w:val="true"/>
          <w:lang w:bidi="ar-SA"/>
        </w:rPr>
        <w:t xml:space="preserve">: </w:t>
      </w:r>
      <w:r>
        <w:rPr>
          <w:rStyle w:val="FootnoteAnchor"/>
          <w:rtl w:val="true"/>
        </w:rPr>
        <w:footnoteReference w:id="6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 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بمعنى يا ليل وأطرق كرا </w:t>
      </w:r>
      <w:r>
        <w:rPr>
          <w:rStyle w:val="FootnoteAnchor"/>
          <w:rtl w:val="true"/>
        </w:rPr>
        <w:footnoteReference w:id="667"/>
      </w:r>
      <w:r>
        <w:rPr>
          <w:rFonts w:ascii="Amiri" w:hAnsi="Amiri" w:eastAsia="Amiri" w:cs="Amiri"/>
          <w:color w:val="111111"/>
          <w:sz w:val="28"/>
          <w:sz w:val="28"/>
          <w:szCs w:val="28"/>
          <w:rtl w:val="true"/>
          <w:lang w:bidi="ar-SA"/>
        </w:rPr>
        <w:t xml:space="preserve">، أي يا كروان ، وفي أطرق كرا شذوذان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 حرف النداء ، والترخيم ، لأن الأمثال يجوز فيها من الحذف والتخفيف ما لا يجوز في غيرها ، فقالوا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أطرق كرا إنّ النّعام في القرى</w:t>
      </w:r>
      <w:r>
        <w:rPr>
          <w:rFonts w:eastAsia="Amiri" w:cs="Amiri" w:ascii="Amiri" w:hAnsi="Amiri"/>
          <w:color w:val="111111"/>
          <w:sz w:val="28"/>
          <w:szCs w:val="28"/>
          <w:rtl w:val="true"/>
          <w:lang w:bidi="ar-SA"/>
        </w:rPr>
        <w:t xml:space="preserve">» </w:t>
      </w:r>
      <w:r>
        <w:rPr>
          <w:rStyle w:val="FootnoteAnchor"/>
          <w:rtl w:val="true"/>
        </w:rPr>
        <w:footnoteReference w:id="668"/>
      </w:r>
      <w:r>
        <w:rPr>
          <w:rFonts w:ascii="Amiri" w:hAnsi="Amiri" w:eastAsia="Amiri" w:cs="Amiri"/>
          <w:color w:val="111111"/>
          <w:sz w:val="28"/>
          <w:sz w:val="28"/>
          <w:szCs w:val="28"/>
          <w:rtl w:val="true"/>
          <w:lang w:bidi="ar-SA"/>
        </w:rPr>
        <w:t xml:space="preserve">، ويجوز حذف المنادى نفسه للقرينة الدّالة عليه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إضرب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w:t>
      </w:r>
      <w:bookmarkStart w:id="270" w:name="pg14482_156140"/>
    </w:p>
    <w:p>
      <w:pPr>
        <w:pStyle w:val="BookText"/>
        <w:rPr/>
      </w:pPr>
      <w:bookmarkEnd w:id="270"/>
      <w:r>
        <w:rPr>
          <w:rFonts w:ascii="Amiri" w:hAnsi="Amiri" w:eastAsia="Amiri" w:cs="Amiri"/>
          <w:color w:val="111111"/>
          <w:sz w:val="28"/>
          <w:sz w:val="28"/>
          <w:szCs w:val="28"/>
          <w:rtl w:val="true"/>
          <w:lang w:bidi="ar-SA"/>
        </w:rPr>
        <w:t xml:space="preserve">إضرب ، ومنه قراءة الكسائي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يا اسجدوا </w:t>
      </w:r>
      <w:r>
        <w:rPr>
          <w:rStyle w:val="FootnoteAnchor"/>
          <w:rtl w:val="true"/>
        </w:rPr>
        <w:footnoteReference w:id="669"/>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يا هؤلاء اسجدوا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71" w:name="__RefHeading___Toc716718_996550957"/>
      <w:bookmarkStart w:id="272" w:name="_Toc100"/>
      <w:bookmarkEnd w:id="271"/>
      <w:r>
        <w:rPr/>
        <w:t>3</w:t>
      </w:r>
      <w:r>
        <w:rPr>
          <w:rtl w:val="true"/>
        </w:rPr>
        <w:t xml:space="preserve">- </w:t>
      </w:r>
      <w:r>
        <w:rPr>
          <w:rtl w:val="true"/>
        </w:rPr>
        <w:t xml:space="preserve">ذكر المفعول به الذي أضمر عامله </w:t>
      </w:r>
      <w:r>
        <w:rPr>
          <w:rtl w:val="true"/>
        </w:rPr>
        <w:t xml:space="preserve">: </w:t>
      </w:r>
      <w:r>
        <w:rPr>
          <w:rtl w:val="true"/>
        </w:rPr>
        <w:t>على شريط التفسير</w:t>
      </w:r>
      <w:bookmarkEnd w:id="272"/>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القسم الثالث من أقسام المفعول الذي يجب حذف فعله بضابط قياسي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كلّ اسم بعده فعل أو شبهه مشتغل عنه بضميره أو بمتعلّقه لو سلّط عليه هو أو مناسبه لنصبه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زيدا ضربته ، فزيد اسم بعده فعل مشتغل عن زيد بضمير زيد ، وتقديره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زيدا ضربته </w:t>
      </w:r>
      <w:r>
        <w:rPr>
          <w:rStyle w:val="FootnoteAnchor"/>
          <w:rtl w:val="true"/>
        </w:rPr>
        <w:footnoteReference w:id="672"/>
      </w:r>
      <w:r>
        <w:rPr>
          <w:rFonts w:ascii="Amiri" w:hAnsi="Amiri" w:eastAsia="Amiri" w:cs="Amiri"/>
          <w:color w:val="111111"/>
          <w:sz w:val="28"/>
          <w:sz w:val="28"/>
          <w:szCs w:val="28"/>
          <w:rtl w:val="true"/>
          <w:lang w:bidi="ar-SA"/>
        </w:rPr>
        <w:t xml:space="preserve">، فالثاني مفسّر للأوّل ، ولا يجمع بين المفسّر والمفسّر ولذلك وجب الحذف </w:t>
      </w:r>
      <w:r>
        <w:rPr>
          <w:rStyle w:val="FootnoteAnchor"/>
          <w:rtl w:val="true"/>
        </w:rPr>
        <w:footnoteReference w:id="6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ومثال ما يسلّط عليه مناسب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زيدا حبست عليه ، وزيدا مررت به ، فإنّه في هاتين الصورتين لو سلّط الفعل المشتغل أعني حبست ومررت على الاسم لم ينصبه لكنّ مناسبه وهو جاوزت ولازمت ، لأنّ من حبست عليه فقد لازمته ، ومن مررت به فقد جاوزته ، ومثال ما هو مشتغل عنه بمتعلّقه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زيدا ضربت غلامه لأنّ الفعل مشتغل بمتعلّق زيد وهو غلامه وتقديره أهنت زيدا ، لأنّ من تضرب غلامه فقد أهنته وإذا تقدّم عليه </w:t>
      </w:r>
      <w:r>
        <w:rPr>
          <w:rStyle w:val="FootnoteAnchor"/>
          <w:rtl w:val="true"/>
        </w:rPr>
        <w:footnoteReference w:id="674"/>
      </w:r>
      <w:r>
        <w:rPr>
          <w:rFonts w:ascii="Amiri" w:hAnsi="Amiri" w:eastAsia="Amiri" w:cs="Amiri"/>
          <w:color w:val="111111"/>
          <w:sz w:val="28"/>
          <w:sz w:val="28"/>
          <w:szCs w:val="28"/>
          <w:rtl w:val="true"/>
          <w:lang w:bidi="ar-SA"/>
        </w:rPr>
        <w:t xml:space="preserve">جملة فعليّة </w:t>
      </w:r>
      <w:r>
        <w:rPr>
          <w:rStyle w:val="FootnoteAnchor"/>
          <w:rtl w:val="true"/>
        </w:rPr>
        <w:footnoteReference w:id="675"/>
      </w:r>
      <w:r>
        <w:rPr>
          <w:rFonts w:ascii="Amiri" w:hAnsi="Amiri" w:eastAsia="Amiri" w:cs="Amiri"/>
          <w:color w:val="111111"/>
          <w:sz w:val="28"/>
          <w:sz w:val="28"/>
          <w:szCs w:val="28"/>
          <w:rtl w:val="true"/>
          <w:lang w:bidi="ar-SA"/>
        </w:rPr>
        <w:t xml:space="preserve">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زيد وعمرا أكرمته ، جاز رفع عمرو والنّصب أحسن لأنّه على تقدير النّصب يلزم عطف جملة فعلية على جملة فعلية ، وهو أنسب من الرّفع ، لأنه يلزم عطف جملة اسميّة على جملة فعليّة </w:t>
      </w:r>
      <w:r>
        <w:rPr>
          <w:rStyle w:val="FootnoteAnchor"/>
          <w:rtl w:val="true"/>
        </w:rPr>
        <w:footnoteReference w:id="676"/>
      </w:r>
      <w:r>
        <w:rPr>
          <w:rFonts w:ascii="Amiri" w:hAnsi="Amiri" w:eastAsia="Amiri" w:cs="Amiri"/>
          <w:color w:val="111111"/>
          <w:sz w:val="28"/>
          <w:sz w:val="28"/>
          <w:szCs w:val="28"/>
          <w:rtl w:val="true"/>
          <w:lang w:bidi="ar-SA"/>
        </w:rPr>
        <w:t xml:space="preserve">، ولذلك يختار النصب بعد حرف الاستفهام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أزيدا ضربته ، لأنّ الاستفهام غالبا إنما يكون عن الفعل ، وبعد إذا الشرطيّة لأنّ الأولى أن يليها الفعل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بخلاف التي للمفاجأة ، وبعد حيث ، لأنّها مثل إذا في اقتضائها الفعل بعدها </w:t>
      </w:r>
      <w:r>
        <w:rPr>
          <w:rStyle w:val="FootnoteAnchor"/>
          <w:rtl w:val="true"/>
        </w:rPr>
        <w:footnoteReference w:id="677"/>
      </w:r>
      <w:r>
        <w:rPr>
          <w:rFonts w:ascii="Amiri" w:hAnsi="Amiri" w:eastAsia="Amiri" w:cs="Amiri"/>
          <w:color w:val="111111"/>
          <w:sz w:val="28"/>
          <w:sz w:val="28"/>
          <w:szCs w:val="28"/>
          <w:rtl w:val="true"/>
          <w:lang w:bidi="ar-SA"/>
        </w:rPr>
        <w:t xml:space="preserve">وبعد حرف النفي ، فإنّك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زيدا ضربته ، فالنفي لضرب زيد لا لذاته فلما كان الفعل بعده كان النّصب أولى </w:t>
      </w:r>
      <w:r>
        <w:rPr>
          <w:rStyle w:val="FootnoteAnchor"/>
          <w:rtl w:val="true"/>
        </w:rPr>
        <w:footnoteReference w:id="6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وقع بعده فعل معناه الطّلب كان أقواها سببا في اختيار النّصب </w:t>
      </w:r>
      <w:r>
        <w:rPr>
          <w:rStyle w:val="FootnoteAnchor"/>
          <w:rtl w:val="true"/>
        </w:rPr>
        <w:footnoteReference w:id="679"/>
      </w:r>
      <w:r>
        <w:rPr>
          <w:rFonts w:ascii="Amiri" w:hAnsi="Amiri" w:eastAsia="Amiri" w:cs="Amiri"/>
          <w:color w:val="111111"/>
          <w:sz w:val="28"/>
          <w:sz w:val="28"/>
          <w:szCs w:val="28"/>
          <w:rtl w:val="true"/>
          <w:lang w:bidi="ar-SA"/>
        </w:rPr>
        <w:t xml:space="preserve">، وكذلك شبه الفعل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زيدا دراكه ، لأنّه على تقدير الرفع يلزم وقوع الطلب وهو الأمر والنهي والدعاء خبرا عن المبتدأ وهو بعيد ، لأنّ الخبر ما يحتمل الصّدق والكذب ، والإنشاء لا يحتمل ذلك ، وإنّما جاز على تأويل ، وهو أن يقدّر زيد مقول فيه اضربه أو لا تضربه ، وعلى تقدير النّصب لا يلزم إلّا حذف الفعل وهو كثير غير بعيد للمبتدأ المرفوع ، وكأنّك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أنت مأمور بضربه أو زيد مقول فيه اضربه </w:t>
      </w:r>
      <w:r>
        <w:rPr>
          <w:rStyle w:val="FootnoteAnchor"/>
          <w:rtl w:val="true"/>
        </w:rPr>
        <w:footnoteReference w:id="680"/>
      </w:r>
      <w:r>
        <w:rPr>
          <w:rFonts w:ascii="Amiri" w:hAnsi="Amiri" w:eastAsia="Amiri" w:cs="Amiri"/>
          <w:color w:val="111111"/>
          <w:sz w:val="28"/>
          <w:sz w:val="28"/>
          <w:szCs w:val="28"/>
          <w:rtl w:val="true"/>
          <w:lang w:bidi="ar-SA"/>
        </w:rPr>
        <w:t xml:space="preserve">وكذلك المصدر الذي بمعنى الطّلب فإنّ حكمه حكم الطّلب الصريح في اختيار النّصب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زيدا فجدعا له ، وأما جعفرا فسقيا له ، لأنّك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جدعه الله جدعا ، وسقاه الله سقيا ، وإذا كان الدّعاء بغير فعل ولا في تقدير الفعل لم ينصب الاسم الأول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زيد فسلام عليه ، وأمّا الكافر فويل له </w:t>
      </w:r>
      <w:r>
        <w:rPr>
          <w:rStyle w:val="FootnoteAnchor"/>
          <w:rtl w:val="true"/>
        </w:rPr>
        <w:footnoteReference w:id="681"/>
      </w:r>
      <w:r>
        <w:rPr>
          <w:rFonts w:ascii="Amiri" w:hAnsi="Amiri" w:eastAsia="Amiri" w:cs="Amiri"/>
          <w:color w:val="111111"/>
          <w:sz w:val="28"/>
          <w:sz w:val="28"/>
          <w:szCs w:val="28"/>
          <w:rtl w:val="true"/>
          <w:lang w:bidi="ar-SA"/>
        </w:rPr>
        <w:t xml:space="preserve">ويختار الرّفع عند عدم قرينة خلافه </w:t>
      </w:r>
      <w:r>
        <w:rPr>
          <w:rStyle w:val="FootnoteAnchor"/>
          <w:rtl w:val="true"/>
        </w:rPr>
        <w:footnoteReference w:id="682"/>
      </w:r>
      <w:r>
        <w:rPr>
          <w:rFonts w:ascii="Amiri" w:hAnsi="Amiri" w:eastAsia="Amiri" w:cs="Amiri"/>
          <w:color w:val="111111"/>
          <w:sz w:val="28"/>
          <w:sz w:val="28"/>
          <w:szCs w:val="28"/>
          <w:rtl w:val="true"/>
          <w:lang w:bidi="ar-SA"/>
        </w:rPr>
        <w:t xml:space="preserve">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ضربته ، لأنّه يرتفع بالابتداء فيكون غير محتاج إلى تقدير ، والنصب يحتاج إلى تقدير الفعل الناصب فكان الرّفع أولى </w:t>
      </w:r>
      <w:r>
        <w:rPr>
          <w:rStyle w:val="FootnoteAnchor"/>
          <w:rtl w:val="true"/>
        </w:rPr>
        <w:footnoteReference w:id="683"/>
      </w:r>
      <w:r>
        <w:rPr>
          <w:rFonts w:ascii="Amiri" w:hAnsi="Amiri" w:eastAsia="Amiri" w:cs="Amiri"/>
          <w:color w:val="111111"/>
          <w:sz w:val="28"/>
          <w:sz w:val="28"/>
          <w:szCs w:val="28"/>
          <w:rtl w:val="true"/>
          <w:lang w:bidi="ar-SA"/>
        </w:rPr>
        <w:t xml:space="preserve">، وكذلك يختار الرّفع مع أمّا وهي تغلب غير الطلب من قرائن النّصب فيكون الرفع بعدها أولى لاقتضائها المبتدأ بعدها غالبا ، فإن جاء الطلب معها ، قدّم اعتباره عليها فيصير النّصب أولى ، وكذلك إذا التي للمفاجأة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زيد وإذا عبد الله تضربه لاقتضائها المبتدأ بعدها غالبا </w:t>
      </w:r>
      <w:r>
        <w:rPr>
          <w:rStyle w:val="FootnoteAnchor"/>
          <w:rtl w:val="true"/>
        </w:rPr>
        <w:footnoteReference w:id="684"/>
      </w:r>
      <w:r>
        <w:rPr>
          <w:rFonts w:ascii="Amiri" w:hAnsi="Amiri" w:eastAsia="Amiri" w:cs="Amiri"/>
          <w:color w:val="111111"/>
          <w:sz w:val="28"/>
          <w:sz w:val="28"/>
          <w:szCs w:val="28"/>
          <w:rtl w:val="true"/>
          <w:lang w:bidi="ar-SA"/>
        </w:rPr>
        <w:t xml:space="preserve">ومثال غلبة أمّا مع قرينة النّصب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قمت وأمّا جعفر فقد </w:t>
      </w:r>
    </w:p>
    <w:p>
      <w:pPr>
        <w:pStyle w:val="BookText"/>
        <w:rPr/>
      </w:pPr>
      <w:r>
        <w:rPr>
          <w:rFonts w:ascii="IRNazanin" w:hAnsi="IRNazanin" w:eastAsia="IRNazanin"/>
          <w:color w:val="111111"/>
          <w:sz w:val="28"/>
          <w:sz w:val="28"/>
          <w:szCs w:val="28"/>
          <w:rtl w:val="true"/>
          <w:lang w:bidi="fa-IR"/>
        </w:rPr>
        <w:t xml:space="preserve">ضربته ، ولو لا </w:t>
      </w:r>
      <w:r>
        <w:rPr>
          <w:rStyle w:val="FootnoteAnchor"/>
          <w:rtl w:val="true"/>
        </w:rPr>
        <w:footnoteReference w:id="685"/>
      </w:r>
      <w:r>
        <w:rPr>
          <w:rFonts w:ascii="Amiri" w:hAnsi="Amiri" w:eastAsia="Amiri" w:cs="Amiri"/>
          <w:color w:val="111111"/>
          <w:sz w:val="28"/>
          <w:sz w:val="28"/>
          <w:szCs w:val="28"/>
          <w:rtl w:val="true"/>
          <w:lang w:bidi="ar-SA"/>
        </w:rPr>
        <w:t xml:space="preserve">أمّا لكان النّصب أولى ليكون عطف جملة فعليّة ، على جملة فعليّة فقدّم اعتبار أمّا فكان الرّفع أولى </w:t>
      </w:r>
      <w:r>
        <w:rPr>
          <w:rStyle w:val="FootnoteAnchor"/>
          <w:rtl w:val="true"/>
        </w:rPr>
        <w:footnoteReference w:id="686"/>
      </w:r>
      <w:r>
        <w:rPr>
          <w:rFonts w:ascii="Amiri" w:hAnsi="Amiri" w:eastAsia="Amiri" w:cs="Amiri"/>
          <w:color w:val="111111"/>
          <w:sz w:val="28"/>
          <w:sz w:val="28"/>
          <w:szCs w:val="28"/>
          <w:rtl w:val="true"/>
          <w:lang w:bidi="ar-SA"/>
        </w:rPr>
        <w:t xml:space="preserve">ومثال غلبة الطلب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قمت وأمّا عمرا فاضربه ، بنصب عمرو ، وإنّما قدّم الطلب على قرينة الرفع التي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وإذا لأنّك إذا رفعت وجب رفعه على الابتداء ووقع الطّلب خبرا وهو لا يقع خبرا إلّا بتأويل كما تقدّم ، وأمّا النّصب فلا بعد فيه ، لأنّه ينصب بفعل مقدّر مثله فلا يحتاج إلى تأويل ويستوي الرّفع والنّصب </w:t>
      </w:r>
      <w:r>
        <w:rPr>
          <w:rStyle w:val="FootnoteAnchor"/>
          <w:rtl w:val="true"/>
        </w:rPr>
        <w:footnoteReference w:id="687"/>
      </w:r>
      <w:r>
        <w:rPr>
          <w:rFonts w:ascii="Amiri" w:hAnsi="Amiri" w:eastAsia="Amiri" w:cs="Amiri"/>
          <w:color w:val="111111"/>
          <w:sz w:val="28"/>
          <w:sz w:val="28"/>
          <w:szCs w:val="28"/>
          <w:rtl w:val="true"/>
          <w:lang w:bidi="ar-SA"/>
        </w:rPr>
        <w:t xml:space="preserve">إذا تقدمت جملة ذات وجهين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قام وعمرو أكرمته ، فجاز في عمرو الرفع والنّصب من غير ترجيح </w:t>
      </w:r>
      <w:r>
        <w:rPr>
          <w:rStyle w:val="FootnoteAnchor"/>
          <w:rtl w:val="true"/>
        </w:rPr>
        <w:footnoteReference w:id="688"/>
      </w:r>
      <w:r>
        <w:rPr>
          <w:rFonts w:ascii="Amiri" w:hAnsi="Amiri" w:eastAsia="Amiri" w:cs="Amiri"/>
          <w:color w:val="111111"/>
          <w:sz w:val="28"/>
          <w:sz w:val="28"/>
          <w:szCs w:val="28"/>
          <w:rtl w:val="true"/>
          <w:lang w:bidi="ar-SA"/>
        </w:rPr>
        <w:t xml:space="preserve">لأنّه إن رجّح النصب لقرب المعطوف عليه وهو الجملة الصغرى أعني قام ، رجّح الرفع لعدم حذف العامل فيتعارضان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نصب وعمرا أكرمته عطفا على الجملة الصغرى لا يستقيم إلّا أن يقدّر في الجملة المعطوفة ضمير يعود إلى زيد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 أو في داره ، بحيث يصير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قام ، وعمرا أكرمته في داره </w:t>
      </w:r>
      <w:r>
        <w:rPr>
          <w:rStyle w:val="FootnoteAnchor"/>
          <w:rtl w:val="true"/>
        </w:rPr>
        <w:footnoteReference w:id="690"/>
      </w:r>
      <w:r>
        <w:rPr>
          <w:rFonts w:ascii="Amiri" w:hAnsi="Amiri" w:eastAsia="Amiri" w:cs="Amiri"/>
          <w:color w:val="111111"/>
          <w:sz w:val="28"/>
          <w:sz w:val="28"/>
          <w:szCs w:val="28"/>
          <w:rtl w:val="true"/>
          <w:lang w:bidi="ar-SA"/>
        </w:rPr>
        <w:t xml:space="preserve">لأنّ الجملة المعطوفة إذا لم يكن فيها ضمير يعود إلى المبتدأ ، لا تصحّ أن تكون خبرا عنه ، وإذا لم تصحّ أن تكون خبرا ، لا يصحّ عطفها على خبره لوجوب أن يتحقّق للمعطوف ما يجب ويمتنع للمعطوف عليه ، والأخفش يمنع من جواز هذه المسألة ، لأنّ الجملة الصغرى المعطوف عليها ، لها موضع من الإعراب لوقوعها موقع المفرد ، وموضعها الرّفع لأنّها خبر المبتدأ ، والجملة المعطوفة أعني وعمرا أكرمته ، لا موضع لها من الإعراب ، لأنّ الجمل لا موضع لها من الإعراب ، إلّا إذا كانت في تأويل المفرد ، فلا يصحّ عطف ما لا موضع له على ما له موضع من الإعراب ، وأجاب أبو علي الفارسي </w:t>
      </w:r>
      <w:r>
        <w:rPr>
          <w:rStyle w:val="FootnoteAnchor"/>
          <w:rtl w:val="true"/>
        </w:rPr>
        <w:footnoteReference w:id="6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كان </w:t>
      </w:r>
    </w:p>
    <w:p>
      <w:pPr>
        <w:pStyle w:val="BookText"/>
        <w:rPr/>
      </w:pPr>
      <w:r>
        <w:rPr>
          <w:rFonts w:ascii="Amiri" w:hAnsi="Amiri" w:eastAsia="Amiri" w:cs="Amiri"/>
          <w:color w:val="111111"/>
          <w:sz w:val="28"/>
          <w:sz w:val="28"/>
          <w:szCs w:val="28"/>
          <w:rtl w:val="true"/>
          <w:lang w:bidi="ar-SA"/>
        </w:rPr>
        <w:t xml:space="preserve">إعراب الجملة الصغرى غير ظاهر في اللفظ صارت بمنزلة ما لا موضع له من الإعراب ، فصحّ أن يعطف عليها ما لا موضع له من الإعراب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ويجب النّصب بعد حرف التحضيض ، وحرف الشّرط </w:t>
      </w:r>
      <w:r>
        <w:rPr>
          <w:rStyle w:val="FootnoteAnchor"/>
          <w:rtl w:val="true"/>
        </w:rPr>
        <w:footnoteReference w:id="693"/>
      </w:r>
      <w:r>
        <w:rPr>
          <w:rFonts w:ascii="Amiri" w:hAnsi="Amiri" w:eastAsia="Amiri" w:cs="Amiri"/>
          <w:color w:val="111111"/>
          <w:sz w:val="28"/>
          <w:sz w:val="28"/>
          <w:szCs w:val="28"/>
          <w:rtl w:val="true"/>
          <w:lang w:bidi="ar-SA"/>
        </w:rPr>
        <w:t xml:space="preserve">لأنّهما مخصوصان بالأفعال إذ لا يحضّ إلا على الفعل </w:t>
      </w:r>
      <w:r>
        <w:rPr>
          <w:rStyle w:val="FootnoteAnchor"/>
          <w:rtl w:val="true"/>
        </w:rPr>
        <w:footnoteReference w:id="694"/>
      </w:r>
      <w:r>
        <w:rPr>
          <w:rFonts w:ascii="Amiri" w:hAnsi="Amiri" w:eastAsia="Amiri" w:cs="Amiri"/>
          <w:color w:val="111111"/>
          <w:sz w:val="28"/>
          <w:sz w:val="28"/>
          <w:szCs w:val="28"/>
          <w:rtl w:val="true"/>
          <w:lang w:bidi="ar-SA"/>
        </w:rPr>
        <w:t xml:space="preserve">، ولأنّ الشرط إمّا للماضي أو للمستقبل ولا يكون إلّا فعلا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زيدا ضربته أو إن زيدا ضربته ضربته ، وإذا وجب تقدير الفعل وجب النّصب </w:t>
      </w:r>
      <w:r>
        <w:rPr>
          <w:rStyle w:val="FootnoteAnchor"/>
          <w:rtl w:val="true"/>
        </w:rPr>
        <w:footnoteReference w:id="695"/>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أزيد ذهب به ، ليس من هذا الباب ، لأنّ الفعل لم يعمل في ضمير زيد نصبا ، فلو سلّط ذهب على زيد لم ينصبه ولا مناسبه أعني أذهب ، فرفع زيد لازم حينئذ على الابتداء ، والجملة التي بعد خبره </w:t>
      </w:r>
      <w:r>
        <w:rPr>
          <w:rStyle w:val="FootnoteAnchor"/>
          <w:rtl w:val="true"/>
        </w:rPr>
        <w:footnoteReference w:id="696"/>
      </w:r>
      <w:r>
        <w:rPr>
          <w:rFonts w:ascii="Amiri" w:hAnsi="Amiri" w:eastAsia="Amiri" w:cs="Amiri"/>
          <w:color w:val="111111"/>
          <w:sz w:val="28"/>
          <w:sz w:val="28"/>
          <w:szCs w:val="28"/>
          <w:rtl w:val="true"/>
          <w:lang w:bidi="ar-SA"/>
        </w:rPr>
        <w:t xml:space="preserve">، وقد أجاز السيرافي </w:t>
      </w:r>
      <w:r>
        <w:rPr>
          <w:rStyle w:val="FootnoteAnchor"/>
          <w:rtl w:val="true"/>
        </w:rPr>
        <w:footnoteReference w:id="697"/>
      </w:r>
      <w:r>
        <w:rPr>
          <w:rFonts w:ascii="Amiri" w:hAnsi="Amiri" w:eastAsia="Amiri" w:cs="Amiri"/>
          <w:color w:val="111111"/>
          <w:sz w:val="28"/>
          <w:sz w:val="28"/>
          <w:szCs w:val="28"/>
          <w:rtl w:val="true"/>
          <w:lang w:bidi="ar-SA"/>
        </w:rPr>
        <w:t xml:space="preserve">فيه النصب على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ذهب الذّهاب به ، لأنّك لمّا أسندت الفعل إلى مصدره بقي الجار والمجرور في محلّ النّصب </w:t>
      </w:r>
      <w:r>
        <w:rPr>
          <w:rStyle w:val="FootnoteAnchor"/>
          <w:rtl w:val="true"/>
        </w:rPr>
        <w:footnoteReference w:id="698"/>
      </w:r>
      <w:r>
        <w:rPr>
          <w:rFonts w:ascii="Amiri" w:hAnsi="Amiri" w:eastAsia="Amiri" w:cs="Amiri"/>
          <w:color w:val="111111"/>
          <w:sz w:val="28"/>
          <w:sz w:val="28"/>
          <w:szCs w:val="28"/>
          <w:rtl w:val="true"/>
          <w:lang w:bidi="ar-SA"/>
        </w:rPr>
        <w:t xml:space="preserve">وهو ضعيف ، لأنّ المصدر لا يقوم مقام الفاعل إلّا إذا تخصّص بوصف أو بغيره لعدم الفائدة في إقامته مقام الفاعل بدون ذلك ، فالقائم مقام الفاعل </w:t>
      </w:r>
      <w:r>
        <w:rPr>
          <w:rStyle w:val="FootnoteAnchor"/>
          <w:rtl w:val="true"/>
        </w:rPr>
        <w:footnoteReference w:id="699"/>
      </w:r>
      <w:r>
        <w:rPr>
          <w:rFonts w:ascii="Amiri" w:hAnsi="Amiri" w:eastAsia="Amiri" w:cs="Amiri"/>
          <w:color w:val="111111"/>
          <w:sz w:val="28"/>
          <w:sz w:val="28"/>
          <w:szCs w:val="28"/>
          <w:rtl w:val="true"/>
          <w:lang w:bidi="ar-SA"/>
        </w:rPr>
        <w:t xml:space="preserve">هو الجار والمجرور حينئذ لا المصدر </w:t>
      </w:r>
      <w:r>
        <w:rPr>
          <w:rStyle w:val="FootnoteAnchor"/>
          <w:rtl w:val="true"/>
        </w:rPr>
        <w:footnoteReference w:id="700"/>
      </w:r>
      <w:r>
        <w:rPr>
          <w:rFonts w:ascii="Amiri" w:hAnsi="Amiri" w:eastAsia="Amiri" w:cs="Amiri"/>
          <w:color w:val="111111"/>
          <w:sz w:val="28"/>
          <w:sz w:val="28"/>
          <w:szCs w:val="28"/>
          <w:rtl w:val="true"/>
          <w:lang w:bidi="ar-SA"/>
        </w:rPr>
        <w:t xml:space="preserve">وأمّا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شَيْءٍ فَعَلُوهُ فِي الزُّبُرِ</w:t>
      </w:r>
      <w:r>
        <w:rPr>
          <w:rFonts w:eastAsia="Amiri" w:cs="Amiri" w:ascii="Amiri" w:hAnsi="Amiri"/>
          <w:color w:val="111111"/>
          <w:sz w:val="28"/>
          <w:szCs w:val="28"/>
          <w:rtl w:val="true"/>
          <w:lang w:bidi="ar-SA"/>
        </w:rPr>
        <w:t>)</w:t>
      </w:r>
      <w:r>
        <w:rPr>
          <w:rStyle w:val="FootnoteAnchor"/>
          <w:rtl w:val="true"/>
        </w:rPr>
        <w:footnoteReference w:id="701"/>
      </w:r>
      <w:r>
        <w:rPr>
          <w:rFonts w:ascii="Amiri" w:hAnsi="Amiri" w:eastAsia="Amiri" w:cs="Amiri"/>
          <w:color w:val="111111"/>
          <w:sz w:val="28"/>
          <w:sz w:val="28"/>
          <w:szCs w:val="28"/>
          <w:rtl w:val="true"/>
          <w:lang w:bidi="ar-SA"/>
        </w:rPr>
        <w:t xml:space="preserve">فليس من هذا الباب لأنّك لو حذفت الهاء من فعلوه ، وسلطت الفعل على كلّ ، صار إنّهم فعلوا كلّ شيء في الزّبر ، وهو خلاف المقصود ، لأن المعنى أنّ كلّ شيء يفعلونه فهو في الزّبر ، والزّبر الكتب ، أي إن فعلوا حسنا كتب لهم حسن ، وإن فعلوا قبيحا كتب كذلك ، ففعلوه صفة </w:t>
      </w:r>
      <w:bookmarkStart w:id="273" w:name="pg14482_156144"/>
    </w:p>
    <w:p>
      <w:pPr>
        <w:pStyle w:val="BookText"/>
        <w:rPr/>
      </w:pPr>
      <w:bookmarkEnd w:id="273"/>
      <w:r>
        <w:rPr>
          <w:rFonts w:ascii="Amiri" w:hAnsi="Amiri" w:eastAsia="Amiri" w:cs="Amiri"/>
          <w:color w:val="111111"/>
          <w:sz w:val="28"/>
          <w:sz w:val="28"/>
          <w:szCs w:val="28"/>
          <w:rtl w:val="true"/>
          <w:lang w:bidi="ar-SA"/>
        </w:rPr>
        <w:t xml:space="preserve">لشيء ، ولا يجوز أن تقدّر ناصبة لما قبل الموصوف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74" w:name="__RefHeading___Toc716720_996550957"/>
      <w:bookmarkStart w:id="275" w:name="_Toc101"/>
      <w:bookmarkEnd w:id="274"/>
      <w:r>
        <w:rPr/>
        <w:t>4</w:t>
      </w:r>
      <w:r>
        <w:rPr>
          <w:rtl w:val="true"/>
        </w:rPr>
        <w:t xml:space="preserve">- </w:t>
      </w:r>
      <w:r>
        <w:rPr>
          <w:rtl w:val="true"/>
        </w:rPr>
        <w:t>ذكر التّحذير</w:t>
      </w:r>
      <w:bookmarkEnd w:id="275"/>
    </w:p>
    <w:p>
      <w:pPr>
        <w:pStyle w:val="BookText"/>
        <w:rPr/>
      </w:pPr>
      <w:r>
        <w:rPr>
          <w:rStyle w:val="FootnoteAnchor"/>
          <w:rtl w:val="true"/>
        </w:rPr>
        <w:footnoteReference w:id="7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القسم الرابع من أقسام المفعول به الذي يجب حذف فعله الناصب له قياسا ، والتحذير قسمان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معمول بتقدير اتّق ، تحذيرا مما بعده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والأسد ، وإيّاك من الأسد ، وإيّاك وأن تحذف ، وإيّاك من أن تحذف ، فإيّاك ضمير منصوب ، والمعطوف على إياك هو المفعول الذي أضمر الفعل الناصب له المحذوف لفظا والمعنى باعد نفسك عن الأسد والأسد عنك ، واتّق أن تحذف ، واتّق الحذف أن يتعرّض لك </w:t>
      </w:r>
      <w:r>
        <w:rPr>
          <w:rStyle w:val="FootnoteAnchor"/>
          <w:rtl w:val="true"/>
        </w:rPr>
        <w:footnoteReference w:id="704"/>
      </w:r>
      <w:r>
        <w:rPr>
          <w:rFonts w:ascii="Amiri" w:hAnsi="Amiri" w:eastAsia="Amiri" w:cs="Amiri"/>
          <w:color w:val="111111"/>
          <w:sz w:val="28"/>
          <w:sz w:val="28"/>
          <w:szCs w:val="28"/>
          <w:rtl w:val="true"/>
          <w:lang w:bidi="ar-SA"/>
        </w:rPr>
        <w:t>وإنّما لزم حذف الفعل الناصب له ، لأنّ إيّاك لما كثر في استعمالهم ، جعلوه نائبا عن الفعل الناصب الذي هو اتّق أو باعد ، وأقاموه مقامه فلم يجز إظهاره لذلك</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معمول بتقدير اتّق أيضا لكن المحذّر منه مكرّر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الأسد الأسد ، والصبيّ الصبيّ ، والمعنى احذر الأسد احذر الأسد ، واحذر إيطاء الصبي إحذر إيطاء الصبي ، ومعنى إيطاء الصبي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إيطاء الدّابة الصبيّ </w:t>
      </w:r>
      <w:r>
        <w:rPr>
          <w:rStyle w:val="FootnoteAnchor"/>
          <w:rtl w:val="true"/>
        </w:rPr>
        <w:footnoteReference w:id="705"/>
      </w:r>
      <w:r>
        <w:rPr>
          <w:rFonts w:ascii="Amiri" w:hAnsi="Amiri" w:eastAsia="Amiri" w:cs="Amiri"/>
          <w:color w:val="111111"/>
          <w:sz w:val="28"/>
          <w:sz w:val="28"/>
          <w:szCs w:val="28"/>
          <w:rtl w:val="true"/>
          <w:lang w:bidi="ar-SA"/>
        </w:rPr>
        <w:t xml:space="preserve">، فأقيم الأوّل مقام احذر ، فلزم إضمار احذر ، لأنّه لو أظهر لكان قد أدخل الفعل على ما قام مقامه ، وكان كإدخال الفعل على الفعل </w:t>
      </w:r>
      <w:r>
        <w:rPr>
          <w:rStyle w:val="FootnoteAnchor"/>
          <w:rtl w:val="true"/>
        </w:rPr>
        <w:footnoteReference w:id="706"/>
      </w:r>
      <w:r>
        <w:rPr>
          <w:rFonts w:ascii="Amiri" w:hAnsi="Amiri" w:eastAsia="Amiri" w:cs="Amiri"/>
          <w:color w:val="111111"/>
          <w:sz w:val="28"/>
          <w:sz w:val="28"/>
          <w:szCs w:val="28"/>
          <w:rtl w:val="true"/>
          <w:lang w:bidi="ar-SA"/>
        </w:rPr>
        <w:t xml:space="preserve">ولك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من أن تحذف ، عبارة أخرى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أن تحذف ، بحذف من لأن حروف الجر تحذف مع أن وأنّ كثيرا ، لطولهما بالصلة ولا يجوز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الأسد ، بتقدير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والأسد ، ولا بتقدير إياك من الأسد ، لامتناع حذف حرف العطف ، وامتناع حذف حرف الجرّ من الأسماء الصريحة في مثل هذا الباب </w:t>
      </w:r>
      <w:r>
        <w:rPr>
          <w:rStyle w:val="FootnoteAnchor"/>
          <w:rtl w:val="true"/>
        </w:rPr>
        <w:footnoteReference w:id="707"/>
      </w:r>
      <w:r>
        <w:rPr>
          <w:rFonts w:ascii="Amiri" w:hAnsi="Amiri" w:eastAsia="Amiri" w:cs="Amiri"/>
          <w:color w:val="111111"/>
          <w:sz w:val="28"/>
          <w:sz w:val="28"/>
          <w:szCs w:val="28"/>
          <w:rtl w:val="true"/>
          <w:lang w:bidi="ar-SA"/>
        </w:rPr>
        <w:t xml:space="preserve">لكن حذف في غير هذا الباب توسّعا في الكلام إذا </w:t>
      </w:r>
      <w:bookmarkStart w:id="276" w:name="pg14482_156145"/>
    </w:p>
    <w:p>
      <w:pPr>
        <w:pStyle w:val="BookText"/>
        <w:rPr/>
      </w:pPr>
      <w:bookmarkEnd w:id="276"/>
      <w:r>
        <w:rPr>
          <w:rFonts w:ascii="Amiri" w:hAnsi="Amiri" w:eastAsia="Amiri" w:cs="Amiri"/>
          <w:color w:val="111111"/>
          <w:sz w:val="28"/>
          <w:sz w:val="28"/>
          <w:szCs w:val="28"/>
          <w:rtl w:val="true"/>
          <w:lang w:bidi="ar-SA"/>
        </w:rPr>
        <w:t xml:space="preserve">علمت تعديته في مثل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وَاخْتارَ مُوسى قَوْمَهُ سَبْعِينَ</w:t>
      </w:r>
      <w:r>
        <w:rPr>
          <w:rFonts w:eastAsia="Amiri" w:cs="Amiri" w:ascii="Amiri" w:hAnsi="Amiri"/>
          <w:color w:val="111111"/>
          <w:sz w:val="28"/>
          <w:szCs w:val="28"/>
          <w:rtl w:val="true"/>
          <w:lang w:bidi="ar-SA"/>
        </w:rPr>
        <w:t>)</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7" w:name="__RefHeading___Toc716722_996550957"/>
      <w:bookmarkStart w:id="278" w:name="_Toc102"/>
      <w:bookmarkEnd w:id="277"/>
      <w:r>
        <w:rPr/>
        <w:t>3</w:t>
      </w:r>
      <w:r>
        <w:rPr>
          <w:rtl w:val="true"/>
        </w:rPr>
        <w:t xml:space="preserve">- </w:t>
      </w:r>
      <w:r>
        <w:rPr>
          <w:rtl w:val="true"/>
        </w:rPr>
        <w:t>ذكر المفعول فيه</w:t>
      </w:r>
      <w:bookmarkEnd w:id="278"/>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فعل فيه فعل مذكور من زمان أو مكان ، فيخرج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الجمعة مبارك ، فإنّه وإن كان يقع فيه فعل ، لكنّه غير مذكور فلا يكون مفعولا فيه ، وشرط نصبه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مقدّرة فيه ، لأنّها لو كانت ملفوظة امتنع نصبه ووجب خفضه ولو لم تكن مقدّرة كان اسما صريحا ولم يكن مفعولا فيه ، وظرف الزمان معيّنا كان أو مبهما فإنّه يقبل النّصب بتقدير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وظرف المكان إن كان مبهما قبل النّصب بتقدير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المعيّن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المسجد والسّوق </w:t>
      </w:r>
      <w:r>
        <w:rPr>
          <w:rStyle w:val="FootnoteAnchor"/>
          <w:rtl w:val="true"/>
        </w:rPr>
        <w:footnoteReference w:id="710"/>
      </w:r>
      <w:r>
        <w:rPr>
          <w:rFonts w:ascii="Amiri" w:hAnsi="Amiri" w:eastAsia="Amiri" w:cs="Amiri"/>
          <w:color w:val="111111"/>
          <w:sz w:val="28"/>
          <w:sz w:val="28"/>
          <w:szCs w:val="28"/>
          <w:rtl w:val="true"/>
          <w:lang w:bidi="ar-SA"/>
        </w:rPr>
        <w:t xml:space="preserve">وإنّما كان كذلك لأنّ الفعل يدلّ على الزمان الخاصّ أي المعيّن من ماض ومستقبل ، وكلّ ما دلّ على الخاصّ دلّ على العامّ لوجوب استلزام الخاصّ العامّ من غير عكس ، وأمّا المكان فالفعل يستلزم مكانا من الأمكنة مبهما ، والعامّ لا دلالة له على الخاصّ فلم يقبل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غير المكان المبهم </w:t>
      </w:r>
      <w:r>
        <w:rPr>
          <w:rStyle w:val="FootnoteAnchor"/>
          <w:rtl w:val="true"/>
        </w:rPr>
        <w:footnoteReference w:id="711"/>
      </w:r>
      <w:r>
        <w:rPr>
          <w:rFonts w:ascii="Amiri" w:hAnsi="Amiri" w:eastAsia="Amiri" w:cs="Amiri"/>
          <w:color w:val="111111"/>
          <w:sz w:val="28"/>
          <w:sz w:val="28"/>
          <w:szCs w:val="28"/>
          <w:rtl w:val="true"/>
          <w:lang w:bidi="ar-SA"/>
        </w:rPr>
        <w:t xml:space="preserve">والمكان المبهم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الجهات </w:t>
      </w:r>
      <w:r>
        <w:rPr>
          <w:rFonts w:eastAsia="Amiri" w:cs="Amiri" w:ascii="Amiri" w:hAnsi="Amiri"/>
          <w:color w:val="111111"/>
          <w:sz w:val="28"/>
          <w:szCs w:val="28"/>
          <w:rtl w:val="true"/>
          <w:lang w:bidi="ar-SA"/>
        </w:rPr>
        <w:t xml:space="preserve">: </w:t>
      </w:r>
      <w:r>
        <w:rPr>
          <w:rStyle w:val="FootnoteAnchor"/>
          <w:rtl w:val="true"/>
        </w:rPr>
        <w:footnoteReference w:id="712"/>
      </w:r>
      <w:r>
        <w:rPr>
          <w:rFonts w:ascii="IRNazanin" w:hAnsi="IRNazanin" w:eastAsia="IRNazanin"/>
          <w:color w:val="111111"/>
          <w:sz w:val="28"/>
          <w:sz w:val="28"/>
          <w:szCs w:val="28"/>
          <w:rtl w:val="true"/>
          <w:lang w:bidi="fa-IR"/>
        </w:rPr>
        <w:t xml:space="preserve">أمام </w:t>
      </w:r>
      <w:r>
        <w:rPr>
          <w:rStyle w:val="FootnoteAnchor"/>
          <w:rtl w:val="true"/>
        </w:rPr>
        <w:footnoteReference w:id="713"/>
      </w:r>
      <w:r>
        <w:rPr>
          <w:rFonts w:ascii="Amiri" w:hAnsi="Amiri" w:eastAsia="Amiri" w:cs="Amiri"/>
          <w:color w:val="111111"/>
          <w:sz w:val="28"/>
          <w:sz w:val="28"/>
          <w:szCs w:val="28"/>
          <w:rtl w:val="true"/>
          <w:lang w:bidi="ar-SA"/>
        </w:rPr>
        <w:t xml:space="preserve">وفوق وتحت ويمنة ويسرة ، وكذلك ما كان بمعناها ، أو ملحقا بها كالميل والفرسخ </w:t>
      </w:r>
      <w:r>
        <w:rPr>
          <w:rStyle w:val="FootnoteAnchor"/>
          <w:rtl w:val="true"/>
        </w:rPr>
        <w:footnoteReference w:id="714"/>
      </w:r>
      <w:r>
        <w:rPr>
          <w:rFonts w:ascii="Amiri" w:hAnsi="Amiri" w:eastAsia="Amiri" w:cs="Amiri"/>
          <w:color w:val="111111"/>
          <w:sz w:val="28"/>
          <w:sz w:val="28"/>
          <w:szCs w:val="28"/>
          <w:rtl w:val="true"/>
          <w:lang w:bidi="ar-SA"/>
        </w:rPr>
        <w:t xml:space="preserve">وحمل على المكان المبهم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ولدى وشبههما ، لإبهامها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ومع ، وحمل أيضا على المكان المبهم لفظ مكان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جلست مكانك مع كونه معيّنا لكثرة استعماله </w:t>
      </w:r>
      <w:r>
        <w:rPr>
          <w:rStyle w:val="FootnoteAnchor"/>
          <w:rtl w:val="true"/>
        </w:rPr>
        <w:footnoteReference w:id="715"/>
      </w:r>
      <w:r>
        <w:rPr>
          <w:rFonts w:ascii="Amiri" w:hAnsi="Amiri" w:eastAsia="Amiri" w:cs="Amiri"/>
          <w:color w:val="111111"/>
          <w:sz w:val="28"/>
          <w:sz w:val="28"/>
          <w:szCs w:val="28"/>
          <w:rtl w:val="true"/>
          <w:lang w:bidi="ar-SA"/>
        </w:rPr>
        <w:t xml:space="preserve">، أو أنّه </w:t>
      </w:r>
    </w:p>
    <w:p>
      <w:pPr>
        <w:pStyle w:val="BookText"/>
        <w:rPr/>
      </w:pPr>
      <w:r>
        <w:rPr>
          <w:rFonts w:ascii="Amiri" w:hAnsi="Amiri" w:eastAsia="Amiri" w:cs="Amiri"/>
          <w:color w:val="111111"/>
          <w:sz w:val="28"/>
          <w:sz w:val="28"/>
          <w:szCs w:val="28"/>
          <w:rtl w:val="true"/>
          <w:lang w:bidi="ar-SA"/>
        </w:rPr>
        <w:t xml:space="preserve">كالجهات لكثرة الأمكنة ، وحملت الأمكنة المعيّنة التي تقع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الدّار على الأمكنة المبهمة فنصبت بتقدير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الأصحّ </w:t>
      </w:r>
      <w:r>
        <w:rPr>
          <w:rStyle w:val="FootnoteAnchor"/>
          <w:rtl w:val="true"/>
        </w:rPr>
        <w:footnoteReference w:id="7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المبرّد والجرميّ </w:t>
      </w:r>
      <w:r>
        <w:rPr>
          <w:rStyle w:val="FootnoteAnchor"/>
          <w:rtl w:val="true"/>
        </w:rPr>
        <w:footnoteReference w:id="717"/>
      </w:r>
      <w:r>
        <w:rPr>
          <w:rFonts w:ascii="Amiri" w:hAnsi="Amiri" w:eastAsia="Amiri" w:cs="Amiri"/>
          <w:color w:val="111111"/>
          <w:sz w:val="28"/>
          <w:sz w:val="28"/>
          <w:szCs w:val="28"/>
          <w:rtl w:val="true"/>
          <w:lang w:bidi="ar-SA"/>
        </w:rPr>
        <w:t xml:space="preserve">ذهبا إلى أنّ دخل متعدّ بنفسه ، فيكون المنصوب بعده مفعولا به لا ظرفا </w:t>
      </w:r>
      <w:r>
        <w:rPr>
          <w:rStyle w:val="FootnoteAnchor"/>
          <w:rtl w:val="true"/>
        </w:rPr>
        <w:footnoteReference w:id="718"/>
      </w:r>
      <w:r>
        <w:rPr>
          <w:rFonts w:ascii="Amiri" w:hAnsi="Amiri" w:eastAsia="Amiri" w:cs="Amiri"/>
          <w:color w:val="111111"/>
          <w:sz w:val="28"/>
          <w:sz w:val="28"/>
          <w:szCs w:val="28"/>
          <w:rtl w:val="true"/>
          <w:lang w:bidi="ar-SA"/>
        </w:rPr>
        <w:t xml:space="preserve">، والصحيح أنّ دخل لازم لأنّ مصدره فعول ، وهو من المصادر اللّازمة غالبا </w:t>
      </w:r>
      <w:r>
        <w:rPr>
          <w:rStyle w:val="FootnoteAnchor"/>
          <w:rtl w:val="true"/>
        </w:rPr>
        <w:footnoteReference w:id="719"/>
      </w:r>
      <w:r>
        <w:rPr>
          <w:rFonts w:ascii="Amiri" w:hAnsi="Amiri" w:eastAsia="Amiri" w:cs="Amiri"/>
          <w:color w:val="111111"/>
          <w:sz w:val="28"/>
          <w:sz w:val="28"/>
          <w:szCs w:val="28"/>
          <w:rtl w:val="true"/>
          <w:lang w:bidi="ar-SA"/>
        </w:rPr>
        <w:t xml:space="preserve">وقد ينصب الظرف بعامل مضمر </w:t>
      </w:r>
      <w:r>
        <w:rPr>
          <w:rStyle w:val="FootnoteAnchor"/>
          <w:rtl w:val="true"/>
        </w:rPr>
        <w:footnoteReference w:id="720"/>
      </w:r>
      <w:r>
        <w:rPr>
          <w:rFonts w:ascii="Amiri" w:hAnsi="Amiri" w:eastAsia="Amiri" w:cs="Amiri"/>
          <w:color w:val="111111"/>
          <w:sz w:val="28"/>
          <w:sz w:val="28"/>
          <w:szCs w:val="28"/>
          <w:rtl w:val="true"/>
          <w:lang w:bidi="ar-SA"/>
        </w:rPr>
        <w:t xml:space="preserve">عند قيام القرينة كقول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سرت؟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الجمعة وكذا كم سرت؟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يومين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سرت يوم الجمعة وسرت يومين ، وقد ينصب الظرف بعامل مضمر على شريطة التفسير ، مثل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زيدا ضربته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سرت ، فيختار رفعه ، وقام زيد ، واليوم سرت فيه ، وما اليوم سرت فيه ، واليوم سر فيه ، فيختار النّصب وقس على ذلك ما في الباب في استواء الأمرين فيه ، </w:t>
      </w:r>
      <w:r>
        <w:rPr>
          <w:rStyle w:val="FootnoteAnchor"/>
          <w:rtl w:val="true"/>
        </w:rPr>
        <w:footnoteReference w:id="721"/>
      </w:r>
      <w:r>
        <w:rPr>
          <w:rFonts w:ascii="Amiri" w:hAnsi="Amiri" w:eastAsia="Amiri" w:cs="Amiri"/>
          <w:color w:val="111111"/>
          <w:sz w:val="28"/>
          <w:sz w:val="28"/>
          <w:szCs w:val="28"/>
          <w:rtl w:val="true"/>
          <w:lang w:bidi="ar-SA"/>
        </w:rPr>
        <w:t xml:space="preserve">ووجوب نصبه إذا وقع بعد حرف الشّرط والتحضيض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أنّه قد يجعل المصدر حينا لسعة الكلام </w:t>
      </w:r>
      <w:r>
        <w:rPr>
          <w:rStyle w:val="FootnoteAnchor"/>
          <w:rtl w:val="true"/>
        </w:rPr>
        <w:footnoteReference w:id="723"/>
      </w: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ذلك مقدم الحاجّ ، وخفوق النّجم وخلافة فلان وصلاة العصر ، فخفوق النّجم بمعنى مغيبه </w:t>
      </w:r>
      <w:r>
        <w:rPr>
          <w:rStyle w:val="FootnoteAnchor"/>
          <w:rtl w:val="true"/>
        </w:rPr>
        <w:footnoteReference w:id="724"/>
      </w:r>
      <w:r>
        <w:rPr>
          <w:rFonts w:ascii="Amiri" w:hAnsi="Amiri" w:eastAsia="Amiri" w:cs="Amiri"/>
          <w:color w:val="111111"/>
          <w:sz w:val="28"/>
          <w:sz w:val="28"/>
          <w:szCs w:val="28"/>
          <w:rtl w:val="true"/>
          <w:lang w:bidi="ar-SA"/>
        </w:rPr>
        <w:t xml:space="preserve">، والخلافة والصّلاة مصدران أيضا جعلا حينا توسّعا وإيجازا ، أمّا التوسّع فإنّه جعل المصدر حينا ، وليس من أسماء الزمان ، وأمّا الإيجاز فلحذف المضاف إذ التقدير ، وقت خفوق النّجم ، ووقت صلاة العصر فحذف المضاف ، وأقيم المضاف إليه مقامه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 xml:space="preserve">. </w:t>
      </w:r>
      <w:bookmarkStart w:id="279" w:name="pg14482_156147"/>
    </w:p>
    <w:p>
      <w:pPr>
        <w:pStyle w:val="Heading5"/>
        <w:numPr>
          <w:ilvl w:val="4"/>
          <w:numId w:val="1"/>
        </w:numPr>
        <w:rPr/>
      </w:pPr>
      <w:bookmarkStart w:id="280" w:name="__RefHeading___Toc716724_996550957"/>
      <w:bookmarkStart w:id="281" w:name="_Toc103"/>
      <w:bookmarkEnd w:id="279"/>
      <w:bookmarkEnd w:id="280"/>
      <w:r>
        <w:rPr/>
        <w:t>4</w:t>
      </w:r>
      <w:r>
        <w:rPr>
          <w:rtl w:val="true"/>
        </w:rPr>
        <w:t xml:space="preserve">- </w:t>
      </w:r>
      <w:r>
        <w:rPr>
          <w:rtl w:val="true"/>
        </w:rPr>
        <w:t>ذكر المفعول له</w:t>
      </w:r>
      <w:bookmarkEnd w:id="281"/>
    </w:p>
    <w:p>
      <w:pPr>
        <w:pStyle w:val="BookText"/>
        <w:rPr/>
      </w:pPr>
      <w:r>
        <w:rPr>
          <w:rStyle w:val="FootnoteAnchor"/>
          <w:rtl w:val="true"/>
        </w:rPr>
        <w:footnoteReference w:id="7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فعل لأجله فعل مذكور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ضربته تأديبا ، وقعد عن الحرب جبنا ، فالتأديب فعل لأجله فعل مذكور ، وهو الضّرب ، فالمفعول له هو السّبب الحامل للفاعل على الفعل </w:t>
      </w:r>
      <w:r>
        <w:rPr>
          <w:rStyle w:val="FootnoteAnchor"/>
          <w:rtl w:val="true"/>
        </w:rPr>
        <w:footnoteReference w:id="727"/>
      </w:r>
      <w:r>
        <w:rPr>
          <w:rFonts w:ascii="Amiri" w:hAnsi="Amiri" w:eastAsia="Amiri" w:cs="Amiri"/>
          <w:color w:val="111111"/>
          <w:sz w:val="28"/>
          <w:sz w:val="28"/>
          <w:szCs w:val="28"/>
          <w:rtl w:val="true"/>
          <w:lang w:bidi="ar-SA"/>
        </w:rPr>
        <w:t xml:space="preserve">، والفعل قد يكون سببا </w:t>
      </w:r>
      <w:r>
        <w:rPr>
          <w:rStyle w:val="FootnoteAnchor"/>
          <w:rtl w:val="true"/>
        </w:rPr>
        <w:footnoteReference w:id="728"/>
      </w:r>
      <w:r>
        <w:rPr>
          <w:rFonts w:ascii="Amiri" w:hAnsi="Amiri" w:eastAsia="Amiri" w:cs="Amiri"/>
          <w:color w:val="111111"/>
          <w:sz w:val="28"/>
          <w:sz w:val="28"/>
          <w:szCs w:val="28"/>
          <w:rtl w:val="true"/>
          <w:lang w:bidi="ar-SA"/>
        </w:rPr>
        <w:t xml:space="preserve">للمفعول له في الخارج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ضربته تأديبا ، وقد لا يكون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قعد عن الحرب جبنا ، فإنّ القعود ليس سببا للجبن في الخارج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وشرط نصبه </w:t>
      </w:r>
      <w:r>
        <w:rPr>
          <w:rStyle w:val="FootnoteAnchor"/>
          <w:rtl w:val="true"/>
        </w:rPr>
        <w:footnoteReference w:id="7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اللّام مقدّرة ، لأنّها لو كانت ملفوظة لكان مجرورا ، وإنّما يجوز حذف اللّام بشرطين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المفعول له فعلا لفاعل الفعل المعلّل ، كما أنّ التأديب وهو المفعول له فعل لفاعل الضّرب وهو الفعل المعلّل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المفعول له مقارنا للفعل في الوجود فإن لم يكن فعلا له لم يجز حذف اللام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جئتك للسّمن ، وكذلك إن لم يقارنه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جئتك اليوم لمخاصمتك زيدا أمس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2" w:name="__RefHeading___Toc716726_996550957"/>
      <w:bookmarkStart w:id="283" w:name="_Toc104"/>
      <w:bookmarkEnd w:id="282"/>
      <w:r>
        <w:rPr/>
        <w:t>5</w:t>
      </w:r>
      <w:r>
        <w:rPr>
          <w:rtl w:val="true"/>
        </w:rPr>
        <w:t xml:space="preserve">- </w:t>
      </w:r>
      <w:r>
        <w:rPr>
          <w:rtl w:val="true"/>
        </w:rPr>
        <w:t>ذكر المفعول معه</w:t>
      </w:r>
      <w:bookmarkEnd w:id="283"/>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مذكور بعد الواو لمصاحبة معمول فعل لفظا أو معنى ، واحترز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الواو ، مما يذكر بعد الفاء وثمّ وغيرهما من حروف العطف لانتفاء معنى المصاحبة منهنّ ، واحترز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لمصاحبة معمول فعل ، عن المذكور بعد الواو وليس كذلك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وعمرو أخواك ، وكلّ رجل وضيعته ، فإنّه مذكور بعد الواو للمصاحبة لكن لا لمصاحبة معمول فعل ، وعن المذكور بعد معمول فعل ولكن لا للمصاحبة مثل جاءني زيد وعمرو قبله أو بعده فعمرو مذكور بعد الواو وبعد معمول فعل لكن لا </w:t>
      </w:r>
    </w:p>
    <w:p>
      <w:pPr>
        <w:pStyle w:val="BookText"/>
        <w:rPr/>
      </w:pPr>
      <w:r>
        <w:rPr>
          <w:rFonts w:ascii="Amiri" w:hAnsi="Amiri" w:eastAsia="Amiri" w:cs="Amiri"/>
          <w:color w:val="111111"/>
          <w:sz w:val="28"/>
          <w:sz w:val="28"/>
          <w:szCs w:val="28"/>
          <w:rtl w:val="true"/>
          <w:lang w:bidi="ar-SA"/>
        </w:rPr>
        <w:t xml:space="preserve">للمصاحبة لتخصيصه بالمجيء قبله أو بعده </w:t>
      </w:r>
      <w:r>
        <w:rPr>
          <w:rStyle w:val="FootnoteAnchor"/>
          <w:rtl w:val="true"/>
        </w:rPr>
        <w:footnoteReference w:id="7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والفعل العامل في المفعول معه يكون لفظا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جئتك وزيدا ، ويكون معنى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وزيدا </w:t>
      </w:r>
      <w:r>
        <w:rPr>
          <w:rStyle w:val="FootnoteAnchor"/>
          <w:rtl w:val="true"/>
        </w:rPr>
        <w:footnoteReference w:id="733"/>
      </w:r>
      <w:r>
        <w:rPr>
          <w:rFonts w:ascii="Amiri" w:hAnsi="Amiri" w:eastAsia="Amiri" w:cs="Amiri"/>
          <w:color w:val="111111"/>
          <w:sz w:val="28"/>
          <w:sz w:val="28"/>
          <w:szCs w:val="28"/>
          <w:rtl w:val="true"/>
          <w:lang w:bidi="ar-SA"/>
        </w:rPr>
        <w:t xml:space="preserve">والمراد بالفعل 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وشبهه من أسماء الفاعل ، والصفة المشبّهة ، والمصدر ونحوها ، والمراد بالفعل معنى ، أي تقديرا غير ما ذكر مما يستنبط فيه معنى الفعل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وزيدا ، وما شأنك وعمرا ، لأنّ التقدير ما تصنع وعمرا </w:t>
      </w:r>
      <w:r>
        <w:rPr>
          <w:rStyle w:val="FootnoteAnchor"/>
          <w:rtl w:val="true"/>
        </w:rPr>
        <w:footnoteReference w:id="734"/>
      </w:r>
      <w:r>
        <w:rPr>
          <w:rFonts w:ascii="Amiri" w:hAnsi="Amiri" w:eastAsia="Amiri" w:cs="Amiri"/>
          <w:color w:val="111111"/>
          <w:sz w:val="28"/>
          <w:sz w:val="28"/>
          <w:szCs w:val="28"/>
          <w:rtl w:val="true"/>
          <w:lang w:bidi="ar-SA"/>
        </w:rPr>
        <w:t xml:space="preserve">فأمّا إذا لم يكن في الكلام فعل ولا معنى فعل فلا يجوز النّصب ، 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وعبد الله ، وكيف أنت وقصعة من ثريد ، فالوجه الرفع </w:t>
      </w:r>
      <w:r>
        <w:rPr>
          <w:rStyle w:val="FootnoteAnchor"/>
          <w:rtl w:val="true"/>
        </w:rPr>
        <w:footnoteReference w:id="735"/>
      </w:r>
      <w:r>
        <w:rPr>
          <w:rFonts w:ascii="Amiri" w:hAnsi="Amiri" w:eastAsia="Amiri" w:cs="Amiri"/>
          <w:color w:val="111111"/>
          <w:sz w:val="28"/>
          <w:sz w:val="28"/>
          <w:szCs w:val="28"/>
          <w:rtl w:val="true"/>
          <w:lang w:bidi="ar-SA"/>
        </w:rPr>
        <w:t xml:space="preserve">لانتفاء الناصب وهو الفعل أو معناه بواسطة الواو بخلاف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زيد وعمرا ، بنصب عمرو لوجود الفعل لفظا ، وإن كان لازما لأنّ الواو هي المعدّية له حتى نصبه ، فالواو هنا بمعنى الباء ، والباء تعدّي الفعل فكذلك </w:t>
      </w:r>
      <w:r>
        <w:rPr>
          <w:rStyle w:val="FootnoteAnchor"/>
          <w:rtl w:val="true"/>
        </w:rPr>
        <w:footnoteReference w:id="736"/>
      </w:r>
      <w:r>
        <w:rPr>
          <w:rFonts w:ascii="Amiri" w:hAnsi="Amiri" w:eastAsia="Amiri" w:cs="Amiri"/>
          <w:color w:val="111111"/>
          <w:sz w:val="28"/>
          <w:sz w:val="28"/>
          <w:szCs w:val="28"/>
          <w:rtl w:val="true"/>
          <w:lang w:bidi="ar-SA"/>
        </w:rPr>
        <w:t xml:space="preserve">الواو ، والمفعول معه قياسيّ كسائر المفاعيل ، وبعضهم يقصره على السّماع فلا يكون قياسيّا </w:t>
      </w:r>
      <w:r>
        <w:rPr>
          <w:rStyle w:val="FootnoteAnchor"/>
          <w:rtl w:val="true"/>
        </w:rPr>
        <w:footnoteReference w:id="737"/>
      </w:r>
      <w:r>
        <w:rPr>
          <w:rFonts w:ascii="Amiri" w:hAnsi="Amiri" w:eastAsia="Amiri" w:cs="Amiri"/>
          <w:color w:val="111111"/>
          <w:sz w:val="28"/>
          <w:sz w:val="28"/>
          <w:szCs w:val="28"/>
          <w:rtl w:val="true"/>
          <w:lang w:bidi="ar-SA"/>
        </w:rPr>
        <w:t xml:space="preserve">والفعل العامل في المفعول معه إن كان لفظيّا وصحّ العطف جاز النّصب والرفع </w:t>
      </w:r>
      <w:r>
        <w:rPr>
          <w:rStyle w:val="FootnoteAnchor"/>
          <w:rtl w:val="true"/>
        </w:rPr>
        <w:footnoteReference w:id="738"/>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قمت أنا وزيد وزيدا ، فالرفع عطف على المضمر ، لوجود المؤكّد المسوّغ للعطف على المضمر ، والنّصب على أنه مفعول معه لمصاحبة الفعل ، قال الشّاعر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وكونوا أنتم وبني أبيكم</w:t>
      </w:r>
    </w:p>
    <w:p>
      <w:pPr>
        <w:pStyle w:val="BookText"/>
        <w:rPr/>
      </w:pPr>
      <w:r>
        <w:rPr>
          <w:rFonts w:ascii="Amiri" w:hAnsi="Amiri" w:eastAsia="Amiri" w:cs="Amiri"/>
          <w:color w:val="111111"/>
          <w:sz w:val="28"/>
          <w:sz w:val="28"/>
          <w:szCs w:val="28"/>
          <w:rtl w:val="true"/>
          <w:lang w:bidi="ar-SA"/>
        </w:rPr>
        <w:t>مكان الكليتين من الطّحال</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فنصب بني أبيكم على المفعول معه ، وإن لم يصحّ العطف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وزيدا ، تعيّن النّصب على المفعول معه على الأصحّ لعدم المؤكّد المنفصل المسوّغ للعطف </w:t>
      </w:r>
      <w:bookmarkStart w:id="284" w:name="pg14482_156149"/>
    </w:p>
    <w:p>
      <w:pPr>
        <w:pStyle w:val="BookText"/>
        <w:rPr/>
      </w:pPr>
      <w:bookmarkEnd w:id="284"/>
      <w:r>
        <w:rPr>
          <w:rFonts w:ascii="Amiri" w:hAnsi="Amiri" w:eastAsia="Amiri" w:cs="Amiri"/>
          <w:color w:val="111111"/>
          <w:sz w:val="28"/>
          <w:sz w:val="28"/>
          <w:szCs w:val="28"/>
          <w:rtl w:val="true"/>
          <w:lang w:bidi="ar-SA"/>
        </w:rPr>
        <w:t xml:space="preserve">لأنّ المضمر المتصل لا يعطف عليه إلّا بعد توكيده بمنفصل ، فلمّا تعذّر عطف زيد على التاء في جئت ، تعيّن النّصب على المفعول معه </w:t>
      </w:r>
      <w:r>
        <w:rPr>
          <w:rStyle w:val="FootnoteAnchor"/>
          <w:rtl w:val="true"/>
        </w:rPr>
        <w:footnoteReference w:id="740"/>
      </w:r>
      <w:r>
        <w:rPr>
          <w:rFonts w:ascii="Amiri" w:hAnsi="Amiri" w:eastAsia="Amiri" w:cs="Amiri"/>
          <w:color w:val="111111"/>
          <w:sz w:val="28"/>
          <w:sz w:val="28"/>
          <w:szCs w:val="28"/>
          <w:rtl w:val="true"/>
          <w:lang w:bidi="ar-SA"/>
        </w:rPr>
        <w:t xml:space="preserve">، وإن كان الفعل معنوّيا فإن صحّ العطف تعيّن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لزيد وعمرو ، وما شأن زيد وعمرو ، لأنّه لم يتقدمه فعل ، والإضمار خلاف الأصل فكان جرّه متعيّنا ، ومنهم من يجوّز النصب فيه ، ويجعل العطف راجحا لا واجبا </w:t>
      </w:r>
      <w:r>
        <w:rPr>
          <w:rStyle w:val="FootnoteAnchor"/>
          <w:rtl w:val="true"/>
        </w:rPr>
        <w:footnoteReference w:id="741"/>
      </w:r>
      <w:r>
        <w:rPr>
          <w:rFonts w:ascii="Amiri" w:hAnsi="Amiri" w:eastAsia="Amiri" w:cs="Amiri"/>
          <w:color w:val="111111"/>
          <w:sz w:val="28"/>
          <w:sz w:val="28"/>
          <w:szCs w:val="28"/>
          <w:rtl w:val="true"/>
          <w:lang w:bidi="ar-SA"/>
        </w:rPr>
        <w:t xml:space="preserve">وإن لم يصحّ العطف 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النصب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شأنك وزيدا ، وما لك وزيدا ، وإنّما تعيّن النصب لامتناع العطف على المضمر المجرور من غير إعادة الجار لتنزل المضمر مع الجار منزلة جزء الكلمة الواحدة </w:t>
      </w:r>
      <w:r>
        <w:rPr>
          <w:rStyle w:val="FootnoteAnchor"/>
          <w:rtl w:val="true"/>
        </w:rPr>
        <w:footnoteReference w:id="742"/>
      </w:r>
      <w:r>
        <w:rPr>
          <w:rFonts w:ascii="Amiri" w:hAnsi="Amiri" w:eastAsia="Amiri" w:cs="Amiri"/>
          <w:color w:val="111111"/>
          <w:sz w:val="28"/>
          <w:sz w:val="28"/>
          <w:szCs w:val="28"/>
          <w:rtl w:val="true"/>
          <w:lang w:bidi="ar-SA"/>
        </w:rPr>
        <w:t xml:space="preserve">ولا يجوز تقديم المفعول معه على الفعل </w:t>
      </w:r>
      <w:r>
        <w:rPr>
          <w:rStyle w:val="FootnoteAnchor"/>
          <w:rtl w:val="true"/>
        </w:rPr>
        <w:footnoteReference w:id="743"/>
      </w:r>
      <w:r>
        <w:rPr>
          <w:rFonts w:ascii="Amiri" w:hAnsi="Amiri" w:eastAsia="Amiri" w:cs="Amiri"/>
          <w:color w:val="111111"/>
          <w:sz w:val="28"/>
          <w:sz w:val="28"/>
          <w:szCs w:val="28"/>
          <w:rtl w:val="true"/>
          <w:lang w:bidi="ar-SA"/>
        </w:rPr>
        <w:t xml:space="preserve">ولا على الفاعل ، خلافا لابن جني </w:t>
      </w:r>
      <w:r>
        <w:rPr>
          <w:rStyle w:val="FootnoteAnchor"/>
          <w:rtl w:val="true"/>
        </w:rPr>
        <w:footnoteReference w:id="744"/>
      </w:r>
      <w:r>
        <w:rPr>
          <w:rFonts w:ascii="Amiri" w:hAnsi="Amiri" w:eastAsia="Amiri" w:cs="Amiri"/>
          <w:color w:val="111111"/>
          <w:sz w:val="28"/>
          <w:sz w:val="28"/>
          <w:szCs w:val="28"/>
          <w:rtl w:val="true"/>
          <w:lang w:bidi="ar-SA"/>
        </w:rPr>
        <w:t xml:space="preserve">فإنه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والطيالسة البرد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5" w:name="__RefHeading___Toc716728_996550957"/>
      <w:bookmarkStart w:id="286" w:name="_Toc105"/>
      <w:bookmarkEnd w:id="285"/>
      <w:r>
        <w:rPr/>
        <w:t>6</w:t>
      </w:r>
      <w:r>
        <w:rPr>
          <w:rtl w:val="true"/>
        </w:rPr>
        <w:t xml:space="preserve">- </w:t>
      </w:r>
      <w:r>
        <w:rPr>
          <w:rtl w:val="true"/>
        </w:rPr>
        <w:t>ذكر الحال</w:t>
      </w:r>
      <w:bookmarkEnd w:id="286"/>
    </w:p>
    <w:p>
      <w:pPr>
        <w:pStyle w:val="Heading6"/>
        <w:numPr>
          <w:ilvl w:val="5"/>
          <w:numId w:val="1"/>
        </w:numPr>
        <w:rPr/>
      </w:pPr>
      <w:bookmarkStart w:id="287" w:name="__RefHeading___Toc716730_996550957"/>
      <w:bookmarkStart w:id="288" w:name="_Toc106"/>
      <w:bookmarkEnd w:id="287"/>
      <w:r>
        <w:rPr>
          <w:rtl w:val="true"/>
        </w:rPr>
        <w:t>اشارة</w:t>
      </w:r>
      <w:bookmarkEnd w:id="288"/>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الأولى من المشبّهات بالمفعول ، ووجه شبهها به أنها فضلة </w:t>
      </w:r>
      <w:r>
        <w:rPr>
          <w:rStyle w:val="FootnoteAnchor"/>
          <w:rtl w:val="true"/>
        </w:rPr>
        <w:footnoteReference w:id="747"/>
      </w:r>
      <w:r>
        <w:rPr>
          <w:rFonts w:ascii="Amiri" w:hAnsi="Amiri" w:eastAsia="Amiri" w:cs="Amiri"/>
          <w:color w:val="111111"/>
          <w:sz w:val="28"/>
          <w:sz w:val="28"/>
          <w:szCs w:val="28"/>
          <w:rtl w:val="true"/>
          <w:lang w:bidi="ar-SA"/>
        </w:rPr>
        <w:t xml:space="preserve">، والحال يذكّر ويؤنّث ، وسمّيت حالا لعدم ثبوتها لأنّها من حال يحول إذا تغيّر ، ويدلّ على ذلك أنّ الحال لا يجوز أن يكون خلقة ، ولا يكون إلّا صفة غير لازمة غالبا ، فلذلك 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زيد طويلا ولا أحمر ، وحدّها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ما يبيّن هيئة الفاعل والمفعول لفظا أو معنى ، حالة الفاعلية والمفعولية فقولنا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يبيّن ، كالجنس ، وهيئة الفاعل أو المفعول فصل ، فخرج بالهيئة غير مبيّن الهيئة سواء كان مبيّنا للذات كالتمييز ، أو لم يكن كالنّعت ، وخرج بإضافة الهيئة إلى الفاعل أو المفعول ، النعت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w:t>
      </w:r>
      <w:bookmarkStart w:id="289" w:name="pg14482_156150"/>
    </w:p>
    <w:p>
      <w:pPr>
        <w:pStyle w:val="BookText"/>
        <w:rPr/>
      </w:pPr>
      <w:bookmarkEnd w:id="289"/>
      <w:r>
        <w:rPr>
          <w:rFonts w:ascii="Amiri" w:hAnsi="Amiri" w:eastAsia="Amiri" w:cs="Amiri"/>
          <w:color w:val="111111"/>
          <w:sz w:val="28"/>
          <w:sz w:val="28"/>
          <w:szCs w:val="28"/>
          <w:rtl w:val="true"/>
          <w:lang w:bidi="ar-SA"/>
        </w:rPr>
        <w:t xml:space="preserve">زيد الراكب ، لأنّ الراكب مبيّن لهيئة زيد لا بالنظر إلى كونه فاعلا أو مفعولا ، وكذلك خرج القهقرى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القهقرى ، فإنها مبيّنة لهيئة الفعل الذي هو الرجوع لا لهيئة الفاعل أو المفعول ، وإنّما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يبيّن 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يبيّن لأنّ الحال قد يكون جملة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أو معنى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الفاعل الذي هو صاحب الحال يكون فاعلا لفظا وفاعلا معنى ، وكذا المفعول الذي هو صاحب الحال يكون مفعولا لفظا ومفعولا معنى ، فمثال الفاعل لفظا أو المفعول لفظا ،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زيدا قائما ، فإن جعلت قائما حالا من التاء في ضربت فهو حال من الفاعل لفظا ، وإن جعلته حالا من زيد فهو حال من المفعول لفظا ، ومثال الفاعل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في الدار قائما ، لأنّ التقدير استقرّ في الدار </w:t>
      </w:r>
      <w:r>
        <w:rPr>
          <w:rStyle w:val="FootnoteAnchor"/>
          <w:rtl w:val="true"/>
        </w:rPr>
        <w:footnoteReference w:id="748"/>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واقفا ، فواقفا حال من الضمير المجرور وهو الكاف ، وهو فاعل لأنّه بمعنى ما تصنع ، ومثال المفعول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بَعْلِي شَيْخاً</w:t>
      </w:r>
      <w:r>
        <w:rPr>
          <w:rFonts w:eastAsia="Amiri" w:cs="Amiri" w:ascii="Amiri" w:hAnsi="Amiri"/>
          <w:color w:val="111111"/>
          <w:sz w:val="28"/>
          <w:szCs w:val="28"/>
          <w:rtl w:val="true"/>
          <w:lang w:bidi="ar-SA"/>
        </w:rPr>
        <w:t>)</w:t>
      </w:r>
      <w:r>
        <w:rPr>
          <w:rStyle w:val="FootnoteAnchor"/>
          <w:rtl w:val="true"/>
        </w:rPr>
        <w:footnoteReference w:id="749"/>
      </w:r>
      <w:r>
        <w:rPr>
          <w:rFonts w:ascii="Amiri" w:hAnsi="Amiri" w:eastAsia="Amiri" w:cs="Amiri"/>
          <w:color w:val="111111"/>
          <w:sz w:val="28"/>
          <w:sz w:val="28"/>
          <w:szCs w:val="28"/>
          <w:rtl w:val="true"/>
          <w:lang w:bidi="ar-SA"/>
        </w:rPr>
        <w:t xml:space="preserve">وهذا زيد قائما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نبّهت عليه وأشرت إليه شيخا أو قائما ، وقد يكون الحال من الفاعل والمفعول بلفظ واحد إذا اتّفقا فيها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لقيته راكبين ، ولقيته مسلّمين ، وأمّا إذا اختلفا فيها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لقيته مصعدا منحدرا ففيه مذهبان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تقديم أيّهما شئت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حال المفعول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90" w:name="__RefHeading___Toc716732_996550957"/>
      <w:bookmarkStart w:id="291" w:name="_Toc107"/>
      <w:bookmarkEnd w:id="290"/>
      <w:r>
        <w:rPr>
          <w:rtl w:val="true"/>
        </w:rPr>
        <w:t>وشرط الحال</w:t>
      </w:r>
      <w:bookmarkEnd w:id="291"/>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نكرة ، وصاحبها معرفة </w:t>
      </w:r>
      <w:r>
        <w:rPr>
          <w:rStyle w:val="FootnoteAnchor"/>
          <w:rtl w:val="true"/>
        </w:rPr>
        <w:footnoteReference w:id="752"/>
      </w:r>
      <w:r>
        <w:rPr>
          <w:rFonts w:ascii="Amiri" w:hAnsi="Amiri" w:eastAsia="Amiri" w:cs="Amiri"/>
          <w:color w:val="111111"/>
          <w:sz w:val="28"/>
          <w:sz w:val="28"/>
          <w:szCs w:val="28"/>
          <w:rtl w:val="true"/>
          <w:lang w:bidi="ar-SA"/>
        </w:rPr>
        <w:t xml:space="preserve">غالبا لأنّه محكوم عليه ، وحقّ المحكوم عليه أن يكون معرفة </w:t>
      </w:r>
      <w:r>
        <w:rPr>
          <w:rStyle w:val="FootnoteAnchor"/>
          <w:rtl w:val="true"/>
        </w:rPr>
        <w:footnoteReference w:id="753"/>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لأنّه قد يكون نكرة كما سيأتي ، وإنّما كانت الحال نكرة لعدم الاحتياج إلى تعريفها ، ولأنّها لو كانت معرفة لالتبست بالصفة في </w:t>
      </w:r>
    </w:p>
    <w:p>
      <w:pPr>
        <w:pStyle w:val="BookText"/>
        <w:rPr/>
      </w:pPr>
      <w:r>
        <w:rPr>
          <w:rFonts w:ascii="IRNazanin" w:hAnsi="IRNazanin" w:eastAsia="IRNazanin"/>
          <w:color w:val="111111"/>
          <w:sz w:val="28"/>
          <w:sz w:val="28"/>
          <w:szCs w:val="28"/>
          <w:rtl w:val="true"/>
          <w:lang w:bidi="fa-IR"/>
        </w:rPr>
        <w:t xml:space="preserve">بعض الصور </w:t>
      </w:r>
      <w:r>
        <w:rPr>
          <w:rStyle w:val="FootnoteAnchor"/>
          <w:rtl w:val="true"/>
        </w:rPr>
        <w:footnoteReference w:id="754"/>
      </w:r>
      <w:r>
        <w:rPr>
          <w:rFonts w:ascii="Amiri" w:hAnsi="Amiri" w:eastAsia="Amiri" w:cs="Amiri"/>
          <w:color w:val="111111"/>
          <w:sz w:val="28"/>
          <w:sz w:val="28"/>
          <w:szCs w:val="28"/>
          <w:rtl w:val="true"/>
          <w:lang w:bidi="ar-SA"/>
        </w:rPr>
        <w:t xml:space="preserve">وأمّا ما ورد منها غير منكّر فمؤوّل ، ومنه قول لبيد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فأرسلها العراك ولم يذدها</w:t>
      </w:r>
    </w:p>
    <w:p>
      <w:pPr>
        <w:pStyle w:val="BookText"/>
        <w:rPr/>
      </w:pPr>
      <w:r>
        <w:rPr>
          <w:rFonts w:ascii="Amiri" w:hAnsi="Amiri" w:eastAsia="Amiri" w:cs="Amiri"/>
          <w:color w:val="111111"/>
          <w:sz w:val="28"/>
          <w:sz w:val="28"/>
          <w:szCs w:val="28"/>
          <w:rtl w:val="true"/>
          <w:lang w:bidi="ar-SA"/>
        </w:rPr>
        <w:t>ولم يشفق على نغص الدّخال</w:t>
      </w:r>
    </w:p>
    <w:p>
      <w:pPr>
        <w:pStyle w:val="BookText"/>
        <w:rPr/>
      </w:pPr>
      <w:r>
        <w:rPr>
          <w:rFonts w:ascii="Amiri" w:hAnsi="Amiri" w:eastAsia="Amiri" w:cs="Amiri"/>
          <w:color w:val="111111"/>
          <w:sz w:val="28"/>
          <w:sz w:val="28"/>
          <w:szCs w:val="28"/>
          <w:rtl w:val="true"/>
          <w:lang w:bidi="ar-SA"/>
        </w:rPr>
        <w:t xml:space="preserve">يصف حمار الوحش أنّه أرسل الأتن إلى الماء مزدحمة ، فالعراك وإن كان لفظه معرفة فمعناه التنكير ، أي معتركة ، وقال أبو علي الفارسي </w:t>
      </w:r>
      <w:r>
        <w:rPr>
          <w:rFonts w:eastAsia="Amiri" w:cs="Amiri" w:ascii="Amiri" w:hAnsi="Amiri"/>
          <w:color w:val="111111"/>
          <w:sz w:val="28"/>
          <w:szCs w:val="28"/>
          <w:rtl w:val="true"/>
          <w:lang w:bidi="ar-SA"/>
        </w:rPr>
        <w:t xml:space="preserve">: </w:t>
      </w:r>
      <w:r>
        <w:rPr>
          <w:rStyle w:val="FootnoteAnchor"/>
          <w:rtl w:val="true"/>
        </w:rPr>
        <w:footnoteReference w:id="756"/>
      </w:r>
      <w:r>
        <w:rPr>
          <w:rFonts w:ascii="Amiri" w:hAnsi="Amiri" w:eastAsia="Amiri" w:cs="Amiri"/>
          <w:color w:val="111111"/>
          <w:sz w:val="28"/>
          <w:sz w:val="28"/>
          <w:szCs w:val="28"/>
          <w:rtl w:val="true"/>
          <w:lang w:bidi="ar-SA"/>
        </w:rPr>
        <w:t xml:space="preserve">تأويله تعترك العراك ، فتعترك المقدّر هو الحال ، والعراك منصوب على المصدر ، والعراك الزحام ، وكذلك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به وحده ، حال مع كونه معرفة ، وقد أوّلوه أنّه بمعنى منفرد ، 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به منفردا ، ويجوز نصبه على المصدر كما مرّ في العراك ، وتقديره يتوحّد توحّدا ، ثم حذف الفعل فبقي توحّدا ثم حذفت زوائد المصدر بقي وحده </w:t>
      </w:r>
      <w:r>
        <w:rPr>
          <w:rStyle w:val="FootnoteAnchor"/>
          <w:rtl w:val="true"/>
        </w:rPr>
        <w:footnoteReference w:id="757"/>
      </w:r>
      <w:r>
        <w:rPr>
          <w:rFonts w:ascii="Amiri" w:hAnsi="Amiri" w:eastAsia="Amiri" w:cs="Amiri"/>
          <w:color w:val="111111"/>
          <w:sz w:val="28"/>
          <w:sz w:val="28"/>
          <w:szCs w:val="28"/>
          <w:rtl w:val="true"/>
          <w:lang w:bidi="ar-SA"/>
        </w:rPr>
        <w:t xml:space="preserve">وكذلك القول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فعله جهده أي مجتهدا أو يجتهد جهده </w:t>
      </w:r>
      <w:r>
        <w:rPr>
          <w:rStyle w:val="FootnoteAnchor"/>
          <w:rtl w:val="true"/>
        </w:rPr>
        <w:footnoteReference w:id="758"/>
      </w:r>
      <w:r>
        <w:rPr>
          <w:rFonts w:ascii="Amiri" w:hAnsi="Amiri" w:eastAsia="Amiri" w:cs="Amiri"/>
          <w:color w:val="111111"/>
          <w:sz w:val="28"/>
          <w:sz w:val="28"/>
          <w:szCs w:val="28"/>
          <w:rtl w:val="true"/>
          <w:lang w:bidi="ar-SA"/>
        </w:rPr>
        <w:t xml:space="preserve">فإن كان صاحب الحال نكرة وجب تقديمها عليه في المفرد </w:t>
      </w:r>
      <w:r>
        <w:rPr>
          <w:rStyle w:val="FootnoteAnchor"/>
          <w:rtl w:val="true"/>
        </w:rPr>
        <w:footnoteReference w:id="759"/>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راكبا رجل ، وأنشدوا </w:t>
      </w:r>
      <w:r>
        <w:rPr>
          <w:rStyle w:val="FootnoteAnchor"/>
          <w:rtl w:val="true"/>
        </w:rPr>
        <w:footnoteReference w:id="760"/>
      </w:r>
    </w:p>
    <w:p>
      <w:pPr>
        <w:pStyle w:val="BookText"/>
        <w:rPr/>
      </w:pPr>
      <w:r>
        <w:rPr>
          <w:rFonts w:ascii="Amiri" w:hAnsi="Amiri" w:eastAsia="Amiri" w:cs="Amiri"/>
          <w:color w:val="111111"/>
          <w:sz w:val="28"/>
          <w:sz w:val="28"/>
          <w:szCs w:val="28"/>
          <w:rtl w:val="true"/>
          <w:lang w:bidi="ar-SA"/>
        </w:rPr>
        <w:t>عفاه كلّ أسحم مستديم</w:t>
      </w:r>
    </w:p>
    <w:p>
      <w:pPr>
        <w:pStyle w:val="BookText"/>
        <w:rPr/>
      </w:pPr>
      <w:r>
        <w:rPr>
          <w:rFonts w:ascii="Amiri" w:hAnsi="Amiri" w:eastAsia="Amiri" w:cs="Amiri"/>
          <w:color w:val="111111"/>
          <w:sz w:val="28"/>
          <w:sz w:val="28"/>
          <w:szCs w:val="28"/>
          <w:rtl w:val="true"/>
          <w:lang w:bidi="ar-SA"/>
        </w:rPr>
        <w:t xml:space="preserve">ورد في ديوانه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ونسب له في شرح المفصل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وشرح التصريح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غير نسبة في شرح الكافية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والبيت المشهور المستشهد به في هذا الموضع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لمية موحشا طلل</w:t>
      </w:r>
    </w:p>
    <w:p>
      <w:pPr>
        <w:pStyle w:val="BookText"/>
        <w:rPr/>
      </w:pPr>
      <w:r>
        <w:rPr>
          <w:rFonts w:ascii="Amiri" w:hAnsi="Amiri" w:eastAsia="Amiri" w:cs="Amiri"/>
          <w:color w:val="111111"/>
          <w:sz w:val="28"/>
          <w:sz w:val="28"/>
          <w:szCs w:val="28"/>
          <w:rtl w:val="true"/>
          <w:lang w:bidi="ar-SA"/>
        </w:rPr>
        <w:t>يلوح كأنّه خلل</w:t>
      </w:r>
    </w:p>
    <w:p>
      <w:pPr>
        <w:pStyle w:val="BookText"/>
        <w:rPr/>
      </w:pPr>
      <w:r>
        <w:rPr>
          <w:rFonts w:ascii="Amiri" w:hAnsi="Amiri" w:eastAsia="Amiri" w:cs="Amiri"/>
          <w:color w:val="111111"/>
          <w:sz w:val="28"/>
          <w:sz w:val="28"/>
          <w:szCs w:val="28"/>
          <w:rtl w:val="true"/>
          <w:lang w:bidi="ar-SA"/>
        </w:rPr>
        <w:t xml:space="preserve">وهو لكثير أيضا ورد في ديوانه ،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منسوبا له في الكتاب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وشرح التصريح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 الشواهد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وروي البيت من غير نسبة في الخصائص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 المفصل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والمغني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 التصريح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 الأشموني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خلل بكسر الخاء جمع خلّة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بطانة يغشى بها أجفان السيف</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bookmarkStart w:id="292" w:name="pg14482_156152"/>
    </w:p>
    <w:p>
      <w:pPr>
        <w:pStyle w:val="BookText"/>
        <w:rPr/>
      </w:pPr>
      <w:bookmarkEnd w:id="292"/>
      <w:r>
        <w:rPr>
          <w:rFonts w:ascii="Amiri" w:hAnsi="Amiri" w:eastAsia="Amiri" w:cs="Amiri"/>
          <w:color w:val="111111"/>
          <w:sz w:val="28"/>
          <w:sz w:val="28"/>
          <w:szCs w:val="28"/>
          <w:rtl w:val="true"/>
          <w:lang w:bidi="ar-SA"/>
        </w:rPr>
        <w:t>لعزّة موحشا طلل قديم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لأنّها لو أخّرت لالتبست بالصفة ، في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رجلا مجرّدا من ثيابه ، لأنّ الحال يتقدّم على ذي الحال ، والصفة لا تتقدّم على الموصوف</w:t>
      </w:r>
      <w:r>
        <w:rPr>
          <w:rFonts w:eastAsia="Amiri" w:cs="Amiri" w:ascii="Amiri" w:hAnsi="Amiri"/>
          <w:color w:val="111111"/>
          <w:sz w:val="28"/>
          <w:szCs w:val="28"/>
          <w:rtl w:val="true"/>
          <w:lang w:bidi="ar-SA"/>
        </w:rPr>
        <w:t>.</w:t>
      </w:r>
    </w:p>
    <w:p>
      <w:pPr>
        <w:pStyle w:val="Heading6"/>
        <w:numPr>
          <w:ilvl w:val="5"/>
          <w:numId w:val="1"/>
        </w:numPr>
        <w:rPr/>
      </w:pPr>
      <w:bookmarkStart w:id="293" w:name="__RefHeading___Toc716734_996550957"/>
      <w:bookmarkStart w:id="294" w:name="_Toc108"/>
      <w:bookmarkEnd w:id="293"/>
      <w:r>
        <w:rPr>
          <w:rtl w:val="true"/>
        </w:rPr>
        <w:t>وعامل الحال</w:t>
      </w:r>
      <w:bookmarkEnd w:id="294"/>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فعل أو شبه فعل أو معنى فعل ، لتحقّق الفاعل والمفعول بها ، أمّا الفعل فنحو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 وأمّا شبه الفعل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الصفات المشتقّة من الفعل الحقيقي الذي هو المصدر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زيدا قائما ، والمراد بالصفات المشتقّة من الفعل ؛ اسم الفاعل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ضارب عمرا </w:t>
      </w:r>
      <w:r>
        <w:rPr>
          <w:rStyle w:val="FootnoteAnchor"/>
          <w:rtl w:val="true"/>
        </w:rPr>
        <w:footnoteReference w:id="762"/>
      </w:r>
      <w:r>
        <w:rPr>
          <w:rFonts w:ascii="Amiri" w:hAnsi="Amiri" w:eastAsia="Amiri" w:cs="Amiri"/>
          <w:color w:val="111111"/>
          <w:sz w:val="28"/>
          <w:sz w:val="28"/>
          <w:szCs w:val="28"/>
          <w:rtl w:val="true"/>
          <w:lang w:bidi="ar-SA"/>
        </w:rPr>
        <w:t xml:space="preserve">قائما ، واسم المفعول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مضروب قائما ، وأفعل التفضيل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بسرا أطيب منه رطبا </w:t>
      </w:r>
      <w:r>
        <w:rPr>
          <w:rStyle w:val="FootnoteAnchor"/>
          <w:rtl w:val="true"/>
        </w:rPr>
        <w:footnoteReference w:id="763"/>
      </w:r>
      <w:r>
        <w:rPr>
          <w:rFonts w:ascii="Amiri" w:hAnsi="Amiri" w:eastAsia="Amiri" w:cs="Amiri"/>
          <w:color w:val="111111"/>
          <w:sz w:val="28"/>
          <w:sz w:val="28"/>
          <w:szCs w:val="28"/>
          <w:rtl w:val="true"/>
          <w:lang w:bidi="ar-SA"/>
        </w:rPr>
        <w:t xml:space="preserve">والصفة المشبّهة باسم الفاعل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بالحسن وجها قائما ، وأمّا معنى الفعل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أقيم مقام الفعل من غير الصفات والحروف واستنبط فيه معنى الفعل </w:t>
      </w:r>
      <w:r>
        <w:rPr>
          <w:rStyle w:val="FootnoteAnchor"/>
          <w:rtl w:val="true"/>
        </w:rPr>
        <w:footnoteReference w:id="764"/>
      </w:r>
      <w:r>
        <w:rPr>
          <w:rFonts w:ascii="Amiri" w:hAnsi="Amiri" w:eastAsia="Amiri" w:cs="Amiri"/>
          <w:color w:val="111111"/>
          <w:sz w:val="28"/>
          <w:sz w:val="28"/>
          <w:szCs w:val="28"/>
          <w:rtl w:val="true"/>
          <w:lang w:bidi="ar-SA"/>
        </w:rPr>
        <w:t xml:space="preserve">نحو اسم الإشارة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بَعْلِي شَيْخاً</w:t>
      </w:r>
      <w:r>
        <w:rPr>
          <w:rFonts w:eastAsia="Amiri" w:cs="Amiri" w:ascii="Amiri" w:hAnsi="Amiri"/>
          <w:color w:val="111111"/>
          <w:sz w:val="28"/>
          <w:szCs w:val="28"/>
          <w:rtl w:val="true"/>
          <w:lang w:bidi="ar-SA"/>
        </w:rPr>
        <w:t>)</w:t>
      </w:r>
      <w:r>
        <w:rPr>
          <w:rStyle w:val="FootnoteAnchor"/>
          <w:rtl w:val="true"/>
        </w:rPr>
        <w:footnoteReference w:id="765"/>
      </w:r>
      <w:r>
        <w:rPr>
          <w:rFonts w:ascii="Amiri" w:hAnsi="Amiri" w:eastAsia="Amiri" w:cs="Amiri"/>
          <w:color w:val="111111"/>
          <w:sz w:val="28"/>
          <w:sz w:val="28"/>
          <w:szCs w:val="28"/>
          <w:rtl w:val="true"/>
          <w:lang w:bidi="ar-SA"/>
        </w:rPr>
        <w:t xml:space="preserve">وقد تقدّم ، ونحو التمني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زيدا قائما ، أي أتمنّاه قائما </w:t>
      </w:r>
      <w:r>
        <w:rPr>
          <w:rStyle w:val="FootnoteAnchor"/>
          <w:rtl w:val="true"/>
        </w:rPr>
        <w:footnoteReference w:id="766"/>
      </w:r>
      <w:r>
        <w:rPr>
          <w:rFonts w:ascii="Amiri" w:hAnsi="Amiri" w:eastAsia="Amiri" w:cs="Amiri"/>
          <w:color w:val="111111"/>
          <w:sz w:val="28"/>
          <w:sz w:val="28"/>
          <w:szCs w:val="28"/>
          <w:rtl w:val="true"/>
          <w:lang w:bidi="ar-SA"/>
        </w:rPr>
        <w:t xml:space="preserve">ونحو التشبيه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زيدا قائما أسد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أشبّهه في حال قيامه بالأسد ، ونحو الظرف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في الدار قائما وقد تقدّم ونحو التنبيه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هو زيد قائما ، ونحو الجار والمجرور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واقفا ، وقد تقدّم أيضا ، فهذه وشبهها استنبط فيها معنى الفعل وليست مشتقة من فعل ، فالفعل وشبهه يعملان في الحال متقدّمة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قائما ضرب زيد ، وقائما زيد ضارب ، بخلاف معنى الفعل فإنّه 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قائما هذا زيد ، لضعف </w:t>
      </w:r>
    </w:p>
    <w:p>
      <w:pPr>
        <w:pStyle w:val="BookText"/>
        <w:rPr/>
      </w:pPr>
      <w:r>
        <w:rPr>
          <w:rFonts w:ascii="Amiri" w:hAnsi="Amiri" w:eastAsia="Amiri" w:cs="Amiri"/>
          <w:color w:val="111111"/>
          <w:sz w:val="28"/>
          <w:sz w:val="28"/>
          <w:szCs w:val="28"/>
          <w:rtl w:val="true"/>
          <w:lang w:bidi="ar-SA"/>
        </w:rPr>
        <w:t xml:space="preserve">معنى الفعل وقوّة الأوّلين </w:t>
      </w:r>
      <w:r>
        <w:rPr>
          <w:rStyle w:val="FootnoteAnchor"/>
          <w:rtl w:val="true"/>
        </w:rPr>
        <w:footnoteReference w:id="767"/>
      </w:r>
      <w:r>
        <w:rPr>
          <w:rFonts w:ascii="IRNazanin" w:hAnsi="IRNazanin" w:eastAsia="IRNazanin"/>
          <w:color w:val="111111"/>
          <w:sz w:val="28"/>
          <w:sz w:val="28"/>
          <w:szCs w:val="28"/>
          <w:rtl w:val="true"/>
          <w:lang w:bidi="fa-IR"/>
        </w:rPr>
        <w:t xml:space="preserve">بخلاف الظّرف </w:t>
      </w:r>
      <w:r>
        <w:rPr>
          <w:rStyle w:val="FootnoteAnchor"/>
          <w:rtl w:val="true"/>
        </w:rPr>
        <w:footnoteReference w:id="768"/>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يوم لك ثوب ، وإنّما لم تجر الحال مجرى الظّرف في جواز تقدّمها على الفعل المعنوي لاتساعهم في الظروف ، ولا يتقدّم حال المجرور عليه ، 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قائما بعمرو ، كان الحال من الضمير الفاعل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لا من عمرو ، ويتبيّن </w:t>
      </w:r>
      <w:r>
        <w:rPr>
          <w:rStyle w:val="FootnoteAnchor"/>
          <w:rtl w:val="true"/>
        </w:rPr>
        <w:footnoteReference w:id="769"/>
      </w:r>
      <w:r>
        <w:rPr>
          <w:rFonts w:ascii="Amiri" w:hAnsi="Amiri" w:eastAsia="Amiri" w:cs="Amiri"/>
          <w:color w:val="111111"/>
          <w:sz w:val="28"/>
          <w:sz w:val="28"/>
          <w:szCs w:val="28"/>
          <w:rtl w:val="true"/>
          <w:lang w:bidi="ar-SA"/>
        </w:rPr>
        <w:t xml:space="preserve">بمثل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قائمة بهند ، فيتعيّن للمنع ، ومررت قائما بهند ، فيتعيّن للجواز ، هذا قول الأكثرين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ويكون الحال جملة خبريّة </w:t>
      </w:r>
      <w:r>
        <w:rPr>
          <w:rStyle w:val="FootnoteAnchor"/>
          <w:rtl w:val="true"/>
        </w:rPr>
        <w:footnoteReference w:id="771"/>
      </w:r>
      <w:r>
        <w:rPr>
          <w:rFonts w:ascii="Amiri" w:hAnsi="Amiri" w:eastAsia="Amiri" w:cs="Amiri"/>
          <w:color w:val="111111"/>
          <w:sz w:val="28"/>
          <w:sz w:val="28"/>
          <w:szCs w:val="28"/>
          <w:rtl w:val="true"/>
          <w:lang w:bidi="ar-SA"/>
        </w:rPr>
        <w:t xml:space="preserve">لأنّ الحال خبر عن ذي الحال ، فكما جاز الإخبار عن الشيء بالجملة كذلك جاز وقوع الحال جملة وكما أنّ الجملة الإنشائيّة لا تقع خبرا فكذلك لا تقع حالا ، والجملة الخبريّة التي تقع حالا تكون اسميّة ، وتكون فعليّة ، والفعليّة بفعل مضارع وماض ، وكلّ منهما يكون مثبتا ومنفيّا كما سنمثله ، والجملة الاسميّة إذا وقعت حالا لزمها الواو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زيد ويده على رأسه ، وحذف الواو معها استغناء بالضمير شاذّ ، وحذف الضمير استغناء بالواو فصيح </w:t>
      </w:r>
      <w:r>
        <w:rPr>
          <w:rStyle w:val="FootnoteAnchor"/>
          <w:rtl w:val="true"/>
        </w:rPr>
        <w:footnoteReference w:id="772"/>
      </w:r>
      <w:r>
        <w:rPr>
          <w:rFonts w:ascii="Amiri" w:hAnsi="Amiri" w:eastAsia="Amiri" w:cs="Amiri"/>
          <w:color w:val="111111"/>
          <w:sz w:val="28"/>
          <w:sz w:val="28"/>
          <w:szCs w:val="28"/>
          <w:rtl w:val="true"/>
          <w:lang w:bidi="ar-SA"/>
        </w:rPr>
        <w:t xml:space="preserve">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زيد وعمرو منطلق ، وقد وردت بالضمير وحده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كلّمته فوه إلى فيّ وهو شاذّ </w:t>
      </w:r>
      <w:r>
        <w:rPr>
          <w:rStyle w:val="FootnoteAnchor"/>
          <w:rtl w:val="true"/>
        </w:rPr>
        <w:footnoteReference w:id="773"/>
      </w:r>
      <w:r>
        <w:rPr>
          <w:rFonts w:ascii="Amiri" w:hAnsi="Amiri" w:eastAsia="Amiri" w:cs="Amiri"/>
          <w:color w:val="111111"/>
          <w:sz w:val="28"/>
          <w:sz w:val="28"/>
          <w:szCs w:val="28"/>
          <w:rtl w:val="true"/>
          <w:lang w:bidi="ar-SA"/>
        </w:rPr>
        <w:t xml:space="preserve">وأما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الْقِيامَةِ تَرَى الَّذِينَ كَذَبُوا عَلَى اللهِ وُجُوهُهُمْ مُسْوَدَّةٌ</w:t>
      </w:r>
      <w:r>
        <w:rPr>
          <w:rFonts w:eastAsia="Amiri" w:cs="Amiri" w:ascii="Amiri" w:hAnsi="Amiri"/>
          <w:color w:val="111111"/>
          <w:sz w:val="28"/>
          <w:szCs w:val="28"/>
          <w:rtl w:val="true"/>
          <w:lang w:bidi="ar-SA"/>
        </w:rPr>
        <w:t>)</w:t>
      </w:r>
      <w:r>
        <w:rPr>
          <w:rStyle w:val="FootnoteAnchor"/>
          <w:rtl w:val="true"/>
        </w:rPr>
        <w:footnoteReference w:id="774"/>
      </w:r>
      <w:r>
        <w:rPr>
          <w:rFonts w:ascii="Amiri" w:hAnsi="Amiri" w:eastAsia="Amiri" w:cs="Amiri"/>
          <w:color w:val="111111"/>
          <w:sz w:val="28"/>
          <w:sz w:val="28"/>
          <w:szCs w:val="28"/>
          <w:rtl w:val="true"/>
          <w:lang w:bidi="ar-SA"/>
        </w:rPr>
        <w:t xml:space="preserve">وهو وقوع الجملة الاسميّة حالا بغير واو ، فيحتمل أن تكون وجوههم مسودّة مفعولا ثانيا لترى ، أو تكون حالا </w:t>
      </w:r>
      <w:r>
        <w:rPr>
          <w:rStyle w:val="FootnoteAnchor"/>
          <w:rtl w:val="true"/>
        </w:rPr>
        <w:footnoteReference w:id="775"/>
      </w:r>
      <w:r>
        <w:rPr>
          <w:rFonts w:ascii="Amiri" w:hAnsi="Amiri" w:eastAsia="Amiri" w:cs="Amiri"/>
          <w:color w:val="111111"/>
          <w:sz w:val="28"/>
          <w:sz w:val="28"/>
          <w:szCs w:val="28"/>
          <w:rtl w:val="true"/>
          <w:lang w:bidi="ar-SA"/>
        </w:rPr>
        <w:t xml:space="preserve">وحذفت الواو كراهة </w:t>
      </w:r>
    </w:p>
    <w:p>
      <w:pPr>
        <w:pStyle w:val="BookText"/>
        <w:rPr/>
      </w:pPr>
      <w:r>
        <w:rPr>
          <w:rFonts w:ascii="Amiri" w:hAnsi="Amiri" w:eastAsia="Amiri" w:cs="Amiri"/>
          <w:color w:val="111111"/>
          <w:sz w:val="28"/>
          <w:sz w:val="28"/>
          <w:szCs w:val="28"/>
          <w:rtl w:val="true"/>
          <w:lang w:bidi="ar-SA"/>
        </w:rPr>
        <w:t xml:space="preserve">اجتماع الواوين كما حذفت واو العطف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وُجُوهٌ يَوْمَئِذٍ ناعِمَةٌ</w:t>
      </w:r>
      <w:r>
        <w:rPr>
          <w:rFonts w:eastAsia="Amiri" w:cs="Amiri" w:ascii="Amiri" w:hAnsi="Amiri"/>
          <w:color w:val="111111"/>
          <w:sz w:val="28"/>
          <w:szCs w:val="28"/>
          <w:rtl w:val="true"/>
          <w:lang w:bidi="ar-SA"/>
        </w:rPr>
        <w:t>)</w:t>
      </w:r>
      <w:r>
        <w:rPr>
          <w:rStyle w:val="FootnoteAnchor"/>
          <w:rtl w:val="true"/>
        </w:rPr>
        <w:footnoteReference w:id="776"/>
      </w:r>
      <w:r>
        <w:rPr>
          <w:rFonts w:ascii="Amiri" w:hAnsi="Amiri" w:eastAsia="Amiri" w:cs="Amiri"/>
          <w:color w:val="111111"/>
          <w:sz w:val="28"/>
          <w:sz w:val="28"/>
          <w:szCs w:val="28"/>
          <w:rtl w:val="true"/>
          <w:lang w:bidi="ar-SA"/>
        </w:rPr>
        <w:t xml:space="preserve">تخفيفا لاجتماع الواوين إذ المعنى ، ووجوه يومئذ ناعمة ، وتحذف الواو من الجملة الفعليّة إذا كان فعلها مضارعا مثبتا كقولك جاء زيد يقرأ ، ولا يقال في مثله ويقرأ ، لأنّه في معنى قارئا معنى وزنة </w:t>
      </w:r>
      <w:r>
        <w:rPr>
          <w:rStyle w:val="FootnoteAnchor"/>
          <w:rtl w:val="true"/>
        </w:rPr>
        <w:footnoteReference w:id="777"/>
      </w:r>
      <w:r>
        <w:rPr>
          <w:rFonts w:ascii="Amiri" w:hAnsi="Amiri" w:eastAsia="Amiri" w:cs="Amiri"/>
          <w:color w:val="111111"/>
          <w:sz w:val="28"/>
          <w:sz w:val="28"/>
          <w:szCs w:val="28"/>
          <w:rtl w:val="true"/>
          <w:lang w:bidi="ar-SA"/>
        </w:rPr>
        <w:t xml:space="preserve">وإن لم يكن المضارع مثبتا أو كان الفعل ماضيا مثبتا ، أو منفيّا ، جاز أن تأتي بالواو والضمير معا ، وبالواو وحدها ، وبالضمير وحده ، ولا بدّ في الماضي من قد ظاهرة أو مقدّرة </w:t>
      </w:r>
      <w:r>
        <w:rPr>
          <w:rStyle w:val="FootnoteAnchor"/>
          <w:rtl w:val="true"/>
        </w:rPr>
        <w:footnoteReference w:id="778"/>
      </w:r>
      <w:r>
        <w:rPr>
          <w:rFonts w:ascii="Amiri" w:hAnsi="Amiri" w:eastAsia="Amiri" w:cs="Amiri"/>
          <w:color w:val="111111"/>
          <w:sz w:val="28"/>
          <w:sz w:val="28"/>
          <w:szCs w:val="28"/>
          <w:rtl w:val="true"/>
          <w:lang w:bidi="ar-SA"/>
        </w:rPr>
        <w:t xml:space="preserve">فذلك تسعة أقسام ، ثلاثة مع الواو والضمير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زيد وما يتكلّم غلامه ، وماض مثبت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زيد وقد تكلّم غلامه ، وماض منفيّ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زيد وما خرج غلامه ، وثلاثة بالواو فقط وهي مضارع منفيّ ، مثل جاءني زيد ولم يتكلّم عمرو ، وماض مثبت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زيد وقد تكلّم عمرو ، وماض منفيّ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زيد وما تكلّم عمرو ، وثلاثة بالضمير فقط ، مضارع منفيّ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زيد ما يتكلّم غلامه ، وماض مثبت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زيد قد تكلّم غلامه ، وماض منفيّ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زيد ما تكلّم غلامه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ما دلّ على هيئة صحّ وقوعه حالا </w:t>
      </w:r>
      <w:r>
        <w:rPr>
          <w:rStyle w:val="FootnoteAnchor"/>
          <w:rtl w:val="true"/>
        </w:rPr>
        <w:footnoteReference w:id="780"/>
      </w:r>
      <w:r>
        <w:rPr>
          <w:rFonts w:ascii="Amiri" w:hAnsi="Amiri" w:eastAsia="Amiri" w:cs="Amiri"/>
          <w:color w:val="111111"/>
          <w:sz w:val="28"/>
          <w:sz w:val="28"/>
          <w:szCs w:val="28"/>
          <w:rtl w:val="true"/>
          <w:lang w:bidi="ar-SA"/>
        </w:rPr>
        <w:t xml:space="preserve">سواء كان مشتقّا أو لم يكن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بسرا أطيب منه رطبا ، أي هذا حال كونه بسرا أطيب منه حال كونه رطبا ، فالبسر والرّطب حالان مع أنّهما ليسا بمشتقّين ولكن لدلالتهما على الهيئة صحّ وقوعهما حالا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والعامل في رطبا هو أطيب بالاتفاق ، وفي بسرا خلاف ؛ فقال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هذا أي اسم الإشارة أو حرف التنبيه ، وقال ابن الحاجب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أطيب ، وجوّز عمل أفعل التفضيل فيما قبله لأنه مثل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 نخلتي بسرا أطيب منه رطبا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العامل في بسرا هو أفعل التفضيل بالاتفاق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 xml:space="preserve">. </w:t>
      </w:r>
      <w:bookmarkStart w:id="295" w:name="pg14482_156155"/>
    </w:p>
    <w:p>
      <w:pPr>
        <w:pStyle w:val="BookText"/>
        <w:rPr/>
      </w:pPr>
      <w:bookmarkEnd w:id="295"/>
      <w:r>
        <w:rPr>
          <w:rFonts w:ascii="Amiri" w:hAnsi="Amiri" w:eastAsia="Amiri" w:cs="Amiri"/>
          <w:color w:val="111111"/>
          <w:sz w:val="28"/>
          <w:sz w:val="28"/>
          <w:szCs w:val="28"/>
          <w:rtl w:val="true"/>
          <w:lang w:bidi="ar-SA"/>
        </w:rPr>
        <w:t xml:space="preserve">ويجوز حذف عامل الحال إذا دلّت عليه قرينة كما جاز حذف غيره كقولك للمسافر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راشدا ومرشدا مهديّا أي اذهب راشدا مرشدا ، ويجب حذف العامل في الحال المؤكّدة </w:t>
      </w:r>
      <w:r>
        <w:rPr>
          <w:rStyle w:val="FootnoteAnchor"/>
          <w:rtl w:val="true"/>
        </w:rPr>
        <w:footnoteReference w:id="782"/>
      </w:r>
      <w:r>
        <w:rPr>
          <w:rFonts w:ascii="Amiri" w:hAnsi="Amiri" w:eastAsia="Amiri" w:cs="Amiri"/>
          <w:color w:val="111111"/>
          <w:sz w:val="28"/>
          <w:sz w:val="28"/>
          <w:szCs w:val="28"/>
          <w:rtl w:val="true"/>
          <w:lang w:bidi="ar-SA"/>
        </w:rPr>
        <w:t xml:space="preserve">وهي التي لا ينتقل ذو الحال عنها ما دام موجودا غالبا ، 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أبوك عطوفا فإنّ الأب لا ينفكّ عن العطف غالبا ، ووجب حذف العامل لأنّ الأب يشعر بالعطف فاستغني عن التصريح بالعامل الذي هو أحقّه أو أثبته ، فحصلت القرينة ، وعطوفا لفظ التزم موضعه فوجب الحذف </w:t>
      </w:r>
      <w:r>
        <w:rPr>
          <w:rStyle w:val="FootnoteAnchor"/>
          <w:rtl w:val="true"/>
        </w:rPr>
        <w:footnoteReference w:id="783"/>
      </w:r>
      <w:r>
        <w:rPr>
          <w:rFonts w:ascii="Amiri" w:hAnsi="Amiri" w:eastAsia="Amiri" w:cs="Amiri"/>
          <w:color w:val="111111"/>
          <w:sz w:val="28"/>
          <w:sz w:val="28"/>
          <w:szCs w:val="28"/>
          <w:rtl w:val="true"/>
          <w:lang w:bidi="ar-SA"/>
        </w:rPr>
        <w:t xml:space="preserve">، وشرط هذه الحال أن تكون مؤكّدة ومقرّرة وتابعة لمضمون جملة اسميّة </w:t>
      </w:r>
      <w:r>
        <w:rPr>
          <w:rStyle w:val="FootnoteAnchor"/>
          <w:rtl w:val="true"/>
        </w:rPr>
        <w:footnoteReference w:id="784"/>
      </w:r>
      <w:r>
        <w:rPr>
          <w:rStyle w:val="FootnoteAnchor"/>
          <w:rtl w:val="true"/>
        </w:rPr>
        <w:footnoteReference w:id="785"/>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أبوك عطوفا فإنّ عطوفا مقرّر لمضمون زيد أبوك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اسميّة لأنّها لو كانت مقرّرة لمضمون جملة فعليّة لم يكن فعلها واجب الحذف </w:t>
      </w:r>
      <w:r>
        <w:rPr>
          <w:rStyle w:val="FootnoteAnchor"/>
          <w:rtl w:val="true"/>
        </w:rPr>
        <w:footnoteReference w:id="7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كونها مؤكّدة ، أنها تعلم قبل ذكرها فيكون ذكرها توكيدا لها وهل هي من الفاعل أو من المفعول؟ 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إن قدّرت ثبت أو تحقّق عطوفا فهي من الفاعل ، وإن قدّرت أحقّه أو أثبته عطوفا فهي من المفعول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6" w:name="__RefHeading___Toc716736_996550957"/>
      <w:bookmarkStart w:id="297" w:name="_Toc109"/>
      <w:bookmarkEnd w:id="296"/>
      <w:r>
        <w:rPr/>
        <w:t>7</w:t>
      </w:r>
      <w:r>
        <w:rPr>
          <w:rtl w:val="true"/>
        </w:rPr>
        <w:t xml:space="preserve">- </w:t>
      </w:r>
      <w:r>
        <w:rPr>
          <w:rtl w:val="true"/>
        </w:rPr>
        <w:t>ذكر التمييز</w:t>
      </w:r>
      <w:bookmarkEnd w:id="297"/>
    </w:p>
    <w:p>
      <w:pPr>
        <w:pStyle w:val="Heading6"/>
        <w:numPr>
          <w:ilvl w:val="5"/>
          <w:numId w:val="1"/>
        </w:numPr>
        <w:rPr/>
      </w:pPr>
      <w:bookmarkStart w:id="298" w:name="__RefHeading___Toc716738_996550957"/>
      <w:bookmarkStart w:id="299" w:name="_Toc110"/>
      <w:bookmarkEnd w:id="298"/>
      <w:r>
        <w:rPr>
          <w:rtl w:val="true"/>
        </w:rPr>
        <w:t>اشارة</w:t>
      </w:r>
      <w:bookmarkEnd w:id="299"/>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ثاني المنصوبات المشبّهة بالمفعول ، ووجه الشّبه أنّ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زيد نفسا ، يشبه ضرب زيد عمرا ، وعشرون درهما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ضاربون زيدا ، والتمييز تفعيل </w:t>
      </w:r>
    </w:p>
    <w:p>
      <w:pPr>
        <w:pStyle w:val="BookText"/>
        <w:rPr/>
      </w:pPr>
      <w:r>
        <w:rPr>
          <w:rFonts w:ascii="Amiri" w:hAnsi="Amiri" w:eastAsia="Amiri" w:cs="Amiri"/>
          <w:color w:val="111111"/>
          <w:sz w:val="28"/>
          <w:sz w:val="28"/>
          <w:szCs w:val="28"/>
          <w:rtl w:val="true"/>
          <w:lang w:bidi="ar-SA"/>
        </w:rPr>
        <w:t xml:space="preserve">من ميّزت ، وهو الاسم النكرة الذي يرفع الإبهام المستقرّ عن ذات مذكورة أو مقدّرة والإبهام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الإجمال وهو ضدّ الإيضاح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الإبهام المستقرّ ، احتراز به عن الأسماء المشتركة فإنّك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عينا مبصرة أو جارية ، لم ترفع عن تلك العين إبهاما مستقرّا بالوضع بل إبهاما عارضا للسّامع ، فإنّها وضعت لشيء بعينه معلوم للمتكلم بخلاف عشرين ، فإنّها وضعت مبهمة لا لدنانير ولا لدراهم </w:t>
      </w:r>
      <w:r>
        <w:rPr>
          <w:rStyle w:val="FootnoteAnchor"/>
          <w:rtl w:val="true"/>
        </w:rPr>
        <w:footnoteReference w:id="789"/>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ذات ، احتراز به عن نحو المصادر الدّالة على الهيئات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جلست جلسة ، وعن الحال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زيد راكبا ، فإنّه إنّما يرفع الإبهام عن صفة المجيء لا عن ذات زيد ، لأنّ ذات زيد لا إبهام فيها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الاسم النكرة ، إنّما هو على المختار وهو مذهب البصريين ، فإنّ المميّز </w:t>
      </w:r>
      <w:r>
        <w:rPr>
          <w:rStyle w:val="FootnoteAnchor"/>
          <w:rtl w:val="true"/>
        </w:rPr>
        <w:footnoteReference w:id="790"/>
      </w:r>
      <w:r>
        <w:rPr>
          <w:rFonts w:ascii="Amiri" w:hAnsi="Amiri" w:eastAsia="Amiri" w:cs="Amiri"/>
          <w:color w:val="111111"/>
          <w:sz w:val="28"/>
          <w:sz w:val="28"/>
          <w:szCs w:val="28"/>
          <w:rtl w:val="true"/>
          <w:lang w:bidi="ar-SA"/>
        </w:rPr>
        <w:t xml:space="preserve">عندهم لا يكون إلا نكرة ، والكوفيون يجيزون أن يكون التمييز نكرة ومعرفة </w:t>
      </w:r>
      <w:r>
        <w:rPr>
          <w:rStyle w:val="FootnoteAnchor"/>
          <w:rtl w:val="true"/>
        </w:rPr>
        <w:footnoteReference w:id="791"/>
      </w:r>
      <w:r>
        <w:rPr>
          <w:rFonts w:ascii="Amiri" w:hAnsi="Amiri" w:eastAsia="Amiri" w:cs="Amiri"/>
          <w:color w:val="111111"/>
          <w:sz w:val="28"/>
          <w:sz w:val="28"/>
          <w:szCs w:val="28"/>
          <w:rtl w:val="true"/>
          <w:lang w:bidi="ar-SA"/>
        </w:rPr>
        <w:t xml:space="preserve">ويستشهدون بمثل قوله </w:t>
      </w:r>
      <w:r>
        <w:rPr>
          <w:rFonts w:eastAsia="Amiri" w:cs="Amiri" w:ascii="Amiri" w:hAnsi="Amiri"/>
          <w:color w:val="111111"/>
          <w:sz w:val="28"/>
          <w:szCs w:val="28"/>
          <w:rtl w:val="true"/>
          <w:lang w:bidi="ar-SA"/>
        </w:rPr>
        <w:t xml:space="preserve">:/ </w:t>
      </w:r>
      <w:r>
        <w:rPr>
          <w:rStyle w:val="FootnoteAnchor"/>
          <w:rtl w:val="true"/>
        </w:rPr>
        <w:footnoteReference w:id="792"/>
      </w:r>
    </w:p>
    <w:p>
      <w:pPr>
        <w:pStyle w:val="BookText"/>
        <w:rPr/>
      </w:pPr>
      <w:r>
        <w:rPr>
          <w:rFonts w:ascii="Amiri" w:hAnsi="Amiri" w:eastAsia="Amiri" w:cs="Amiri"/>
          <w:color w:val="111111"/>
          <w:sz w:val="28"/>
          <w:sz w:val="28"/>
          <w:szCs w:val="28"/>
          <w:rtl w:val="true"/>
          <w:lang w:bidi="ar-SA"/>
        </w:rPr>
        <w:t>النازلين بكلّ معترك</w:t>
      </w:r>
    </w:p>
    <w:p>
      <w:pPr>
        <w:pStyle w:val="BookText"/>
        <w:rPr/>
      </w:pPr>
      <w:r>
        <w:rPr>
          <w:rFonts w:ascii="Amiri" w:hAnsi="Amiri" w:eastAsia="Amiri" w:cs="Amiri"/>
          <w:color w:val="111111"/>
          <w:sz w:val="28"/>
          <w:sz w:val="28"/>
          <w:szCs w:val="28"/>
          <w:rtl w:val="true"/>
          <w:lang w:bidi="ar-SA"/>
        </w:rPr>
        <w:t>والطيّبون معاقد الأزر</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ويجوز أن يدفعوا بأنّ الإضافة إلى الأجناس لا تفيد التعريف ، ويستشهدون أيضا بمثل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غبن رأيه ، ووجع ظهره ، وفي التنزيل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سَفِهَ نَفْسَهُ</w:t>
      </w:r>
      <w:r>
        <w:rPr>
          <w:rFonts w:eastAsia="Amiri" w:cs="Amiri" w:ascii="Amiri" w:hAnsi="Amiri"/>
          <w:color w:val="111111"/>
          <w:sz w:val="28"/>
          <w:szCs w:val="28"/>
          <w:rtl w:val="true"/>
          <w:lang w:bidi="ar-SA"/>
        </w:rPr>
        <w:t>)</w:t>
      </w:r>
      <w:r>
        <w:rPr>
          <w:rStyle w:val="FootnoteAnchor"/>
          <w:rtl w:val="true"/>
        </w:rPr>
        <w:footnoteReference w:id="793"/>
      </w:r>
      <w:r>
        <w:rPr>
          <w:rFonts w:ascii="Amiri" w:hAnsi="Amiri" w:eastAsia="Amiri" w:cs="Amiri"/>
          <w:color w:val="111111"/>
          <w:sz w:val="28"/>
          <w:sz w:val="28"/>
          <w:szCs w:val="28"/>
          <w:rtl w:val="true"/>
          <w:lang w:bidi="ar-SA"/>
        </w:rPr>
        <w:t xml:space="preserve">والبصريون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منصوب على التشبيه بالمفعول </w:t>
      </w:r>
      <w:r>
        <w:rPr>
          <w:rStyle w:val="FootnoteAnchor"/>
          <w:rtl w:val="true"/>
        </w:rPr>
        <w:footnoteReference w:id="794"/>
      </w:r>
      <w:r>
        <w:rPr>
          <w:rFonts w:ascii="Amiri" w:hAnsi="Amiri" w:eastAsia="Amiri" w:cs="Amiri"/>
          <w:color w:val="111111"/>
          <w:sz w:val="28"/>
          <w:sz w:val="28"/>
          <w:szCs w:val="28"/>
          <w:rtl w:val="true"/>
          <w:lang w:bidi="ar-SA"/>
        </w:rPr>
        <w:t xml:space="preserve">ويستشهد الكوفيّون أيضا بقول الشاعر </w:t>
      </w:r>
      <w:r>
        <w:rPr>
          <w:rFonts w:eastAsia="Amiri" w:cs="Amiri" w:ascii="Amiri" w:hAnsi="Amiri"/>
          <w:color w:val="111111"/>
          <w:sz w:val="28"/>
          <w:szCs w:val="28"/>
          <w:rtl w:val="true"/>
          <w:lang w:bidi="ar-SA"/>
        </w:rPr>
        <w:t xml:space="preserve">: </w:t>
      </w:r>
      <w:r>
        <w:rPr>
          <w:rStyle w:val="FootnoteAnchor"/>
          <w:rtl w:val="true"/>
        </w:rPr>
        <w:footnoteReference w:id="795"/>
      </w:r>
      <w:bookmarkStart w:id="300" w:name="pg14482_156157"/>
    </w:p>
    <w:p>
      <w:pPr>
        <w:pStyle w:val="BookText"/>
        <w:rPr/>
      </w:pPr>
      <w:bookmarkEnd w:id="300"/>
      <w:r>
        <w:rPr>
          <w:rFonts w:ascii="Amiri" w:hAnsi="Amiri" w:eastAsia="Amiri" w:cs="Amiri"/>
          <w:color w:val="111111"/>
          <w:sz w:val="28"/>
          <w:sz w:val="28"/>
          <w:szCs w:val="28"/>
          <w:rtl w:val="true"/>
          <w:lang w:bidi="ar-SA"/>
        </w:rPr>
        <w:t>رأيتك لمّا أن عرفت جلادنا</w:t>
      </w:r>
    </w:p>
    <w:p>
      <w:pPr>
        <w:pStyle w:val="BookText"/>
        <w:rPr/>
      </w:pPr>
      <w:r>
        <w:rPr>
          <w:rFonts w:ascii="Amiri" w:hAnsi="Amiri" w:eastAsia="Amiri" w:cs="Amiri"/>
          <w:color w:val="111111"/>
          <w:sz w:val="28"/>
          <w:sz w:val="28"/>
          <w:szCs w:val="28"/>
          <w:rtl w:val="true"/>
          <w:lang w:bidi="ar-SA"/>
        </w:rPr>
        <w:t>رضيت وطبت النّفس يا بكر عن عمرو</w:t>
      </w:r>
    </w:p>
    <w:p>
      <w:pPr>
        <w:pStyle w:val="BookText"/>
        <w:rPr/>
      </w:pPr>
      <w:r>
        <w:rPr>
          <w:rFonts w:ascii="Amiri" w:hAnsi="Amiri" w:eastAsia="Amiri" w:cs="Amiri"/>
          <w:color w:val="111111"/>
          <w:sz w:val="28"/>
          <w:sz w:val="28"/>
          <w:szCs w:val="28"/>
          <w:rtl w:val="true"/>
          <w:lang w:bidi="ar-SA"/>
        </w:rPr>
        <w:t xml:space="preserve">فأراد طبت نفسا ، والبصريون يردّونه بأنه لضرورة الشعر </w:t>
      </w:r>
      <w:r>
        <w:rPr>
          <w:rStyle w:val="FootnoteAnchor"/>
          <w:rtl w:val="true"/>
        </w:rPr>
        <w:footnoteReference w:id="7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مذكورة أو مقدّرة ، تفصيل للذّات التي تميّز ، فالمقدّرة ما تقدّر 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طيّب أبا ، وطاب زيد نفسا ، وحسن زيد علما ، ومعناه أنّ الفعل الذي هو حسن مسند في اللفظ إلى زيد ، وفي المعنى إلى مقدّر لزيد به تعلّق ، وتقديره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علم زيد علما ، فالذّات المقدّرة التي لا تذكر في اللفظ هي علم زيد ومميزها قولك علما ، وكذا التقدير أبو زيد ، في طيّب أبا ، وطابت نفس زيد نفسا ، وكذلك جميع أمثلة الذّات المقدّرة </w:t>
      </w:r>
      <w:r>
        <w:rPr>
          <w:rStyle w:val="FootnoteAnchor"/>
          <w:rtl w:val="true"/>
        </w:rPr>
        <w:footnoteReference w:id="797"/>
      </w:r>
      <w:r>
        <w:rPr>
          <w:rFonts w:ascii="IRNazanin" w:hAnsi="IRNazanin" w:eastAsia="IRNazanin"/>
          <w:color w:val="111111"/>
          <w:sz w:val="28"/>
          <w:sz w:val="28"/>
          <w:szCs w:val="28"/>
          <w:rtl w:val="true"/>
          <w:lang w:bidi="fa-IR"/>
        </w:rPr>
        <w:t>فافهمه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الذات المذكورة فهي المفردة </w:t>
      </w:r>
      <w:r>
        <w:rPr>
          <w:rFonts w:eastAsia="Amiri" w:cs="Amiri" w:ascii="Amiri" w:hAnsi="Amiri"/>
          <w:color w:val="111111"/>
          <w:sz w:val="28"/>
          <w:szCs w:val="28"/>
          <w:rtl w:val="true"/>
          <w:lang w:bidi="ar-SA"/>
        </w:rPr>
        <w:t xml:space="preserve">: </w:t>
      </w:r>
      <w:r>
        <w:rPr>
          <w:rStyle w:val="FootnoteAnchor"/>
          <w:rtl w:val="true"/>
        </w:rPr>
        <w:footnoteReference w:id="798"/>
      </w:r>
      <w:r>
        <w:rPr>
          <w:rFonts w:ascii="IRNazanin" w:hAnsi="IRNazanin" w:eastAsia="IRNazanin"/>
          <w:color w:val="111111"/>
          <w:sz w:val="28"/>
          <w:sz w:val="28"/>
          <w:szCs w:val="28"/>
          <w:rtl w:val="true"/>
          <w:lang w:bidi="fa-IR"/>
        </w:rPr>
        <w:t xml:space="preserve">وتنقسم </w:t>
      </w:r>
      <w:r>
        <w:rPr>
          <w:rStyle w:val="FootnoteAnchor"/>
          <w:rtl w:val="true"/>
        </w:rPr>
        <w:footnoteReference w:id="799"/>
      </w:r>
      <w:r>
        <w:rPr>
          <w:rFonts w:ascii="Amiri" w:hAnsi="Amiri" w:eastAsia="Amiri" w:cs="Amiri"/>
          <w:color w:val="111111"/>
          <w:sz w:val="28"/>
          <w:sz w:val="28"/>
          <w:szCs w:val="28"/>
          <w:rtl w:val="true"/>
          <w:lang w:bidi="ar-SA"/>
        </w:rPr>
        <w:t xml:space="preserve">إلى غير مقدار كباب وثوب وخاتم ، وإلى مقدار غالبا </w:t>
      </w:r>
      <w:r>
        <w:rPr>
          <w:rStyle w:val="FootnoteAnchor"/>
          <w:rtl w:val="true"/>
        </w:rPr>
        <w:footnoteReference w:id="800"/>
      </w:r>
      <w:r>
        <w:rPr>
          <w:rFonts w:ascii="Amiri" w:hAnsi="Amiri" w:eastAsia="Amiri" w:cs="Amiri"/>
          <w:color w:val="111111"/>
          <w:sz w:val="28"/>
          <w:sz w:val="28"/>
          <w:szCs w:val="28"/>
          <w:rtl w:val="true"/>
          <w:lang w:bidi="ar-SA"/>
        </w:rPr>
        <w:t xml:space="preserve">، وهو إمّا عدد كعشرين درهما وسيأتي بيانه في باب العدد </w:t>
      </w:r>
      <w:r>
        <w:rPr>
          <w:rStyle w:val="FootnoteAnchor"/>
          <w:rtl w:val="true"/>
        </w:rPr>
        <w:footnoteReference w:id="801"/>
      </w:r>
      <w:r>
        <w:rPr>
          <w:rFonts w:ascii="Amiri" w:hAnsi="Amiri" w:eastAsia="Amiri" w:cs="Amiri"/>
          <w:color w:val="111111"/>
          <w:sz w:val="28"/>
          <w:sz w:val="28"/>
          <w:szCs w:val="28"/>
          <w:rtl w:val="true"/>
          <w:lang w:bidi="ar-SA"/>
        </w:rPr>
        <w:t xml:space="preserve">وإمّا غير عدد وهو إمّا موزون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منوان سمنا ، أو مكيل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فقيزان برّا ، أو ممسوح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السماء قدر راحة سحابا ، وعلى التمرة مثلها زبدا ، والمراد على التمرة مثل مقدارها زبدا فحذف المضاف الذي هو المقدار وأقيم المضاف إليه الذي هو الضمير مقامه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01" w:name="__RefHeading___Toc716740_996550957"/>
      <w:bookmarkStart w:id="302" w:name="_Toc111"/>
      <w:bookmarkEnd w:id="301"/>
      <w:r>
        <w:rPr>
          <w:rtl w:val="true"/>
        </w:rPr>
        <w:t>ذكر تمييز الذّات المذكورة التي هي مقدار وهي غير عدد</w:t>
      </w:r>
      <w:bookmarkEnd w:id="302"/>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المقدار الذي هو غير عدد سواء كان موزونا أو مكيلا أو ممسوحا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مميزه من أسماء الأجناس فيفرد حال التثنية والجمع ، والمراد بالجنس هنا ، كلّ معنى عام يقع بلفظ واحد على القليل والكثير كالتمر والزيت والخبز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رطلان جبنا ، وقفيزان برّا ، والقفيز مكيال وهو ثمانية مكاكيك </w:t>
      </w:r>
      <w:r>
        <w:rPr>
          <w:rStyle w:val="FootnoteAnchor"/>
          <w:rtl w:val="true"/>
        </w:rPr>
        <w:footnoteReference w:id="804"/>
      </w:r>
      <w:r>
        <w:rPr>
          <w:rFonts w:ascii="Amiri" w:hAnsi="Amiri" w:eastAsia="Amiri" w:cs="Amiri"/>
          <w:color w:val="111111"/>
          <w:sz w:val="28"/>
          <w:sz w:val="28"/>
          <w:szCs w:val="28"/>
          <w:rtl w:val="true"/>
          <w:lang w:bidi="ar-SA"/>
        </w:rPr>
        <w:t xml:space="preserve">وصاعان عسلا ، وعلى التمرة مثلاها زبدا ، بإفراد اسم الجنس الذي هو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الخبز أو العسل أو الزبد ، وإنما أفرد اسم الجنس لعدم احتياجه إلى التثنية والجمع لوقوع الجنس على القليل والكثير </w:t>
      </w:r>
      <w:r>
        <w:rPr>
          <w:rStyle w:val="FootnoteAnchor"/>
          <w:rtl w:val="true"/>
        </w:rPr>
        <w:footnoteReference w:id="805"/>
      </w:r>
      <w:r>
        <w:rPr>
          <w:rFonts w:ascii="Amiri" w:hAnsi="Amiri" w:eastAsia="Amiri" w:cs="Amiri"/>
          <w:color w:val="111111"/>
          <w:sz w:val="28"/>
          <w:sz w:val="28"/>
          <w:szCs w:val="28"/>
          <w:rtl w:val="true"/>
          <w:lang w:bidi="ar-SA"/>
        </w:rPr>
        <w:t xml:space="preserve">ولذلك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زيت قليل وزيت كثير ، وإذا كان صادقا على الكثير فلا يحتاج إلى تكثرة مرة أخرى بالتثنية والجمع إلّا أن يقصد الأنواع المختلفة فيطابق بالتمييز ما قصد لعدم دلالته عليها </w:t>
      </w:r>
      <w:r>
        <w:rPr>
          <w:rStyle w:val="FootnoteAnchor"/>
          <w:rtl w:val="true"/>
        </w:rPr>
        <w:footnoteReference w:id="806"/>
      </w:r>
      <w:r>
        <w:rPr>
          <w:rFonts w:ascii="Amiri" w:hAnsi="Amiri" w:eastAsia="Amiri" w:cs="Amiri"/>
          <w:color w:val="111111"/>
          <w:sz w:val="28"/>
          <w:sz w:val="28"/>
          <w:szCs w:val="28"/>
          <w:rtl w:val="true"/>
          <w:lang w:bidi="ar-SA"/>
        </w:rPr>
        <w:t xml:space="preserve">،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رطل زيتا ، ورطلان زيتين وأرطال زيوتا وإن كان المميّز اسم جنس ولكن لا يقع على القليل والكثير بلفظ واحد كالثوب ، فيجمع وجوبا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قنطار أثوابا ، وملء بيت كتبا ، لأنّ ذكره مجموعا أدلّ منه على الجنس لتقديره بمن الجنسيّة ، فيقدّر حينئذ قنطار من ثياب كما يقدّر قنطار من عسل </w:t>
      </w:r>
      <w:r>
        <w:rPr>
          <w:rStyle w:val="FootnoteAnchor"/>
          <w:rtl w:val="true"/>
        </w:rPr>
        <w:footnoteReference w:id="807"/>
      </w:r>
      <w:r>
        <w:rPr>
          <w:rFonts w:ascii="Amiri" w:hAnsi="Amiri" w:eastAsia="Amiri" w:cs="Amiri"/>
          <w:color w:val="111111"/>
          <w:sz w:val="28"/>
          <w:sz w:val="28"/>
          <w:szCs w:val="28"/>
          <w:rtl w:val="true"/>
          <w:lang w:bidi="ar-SA"/>
        </w:rPr>
        <w:t xml:space="preserve">وكلّ ما جاء من المقادير بالتنوين أو نون التثنية فحذف التنوين والنون ، وخفض التمييز بالإضافة أولى </w:t>
      </w:r>
      <w:r>
        <w:rPr>
          <w:rStyle w:val="FootnoteAnchor"/>
          <w:rtl w:val="true"/>
        </w:rPr>
        <w:footnoteReference w:id="808"/>
      </w:r>
      <w:r>
        <w:rPr>
          <w:rFonts w:ascii="Amiri" w:hAnsi="Amiri" w:eastAsia="Amiri" w:cs="Amiri"/>
          <w:color w:val="111111"/>
          <w:sz w:val="28"/>
          <w:sz w:val="28"/>
          <w:szCs w:val="28"/>
          <w:rtl w:val="true"/>
          <w:lang w:bidi="ar-SA"/>
        </w:rPr>
        <w:t xml:space="preserve">،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رطل زيت ، ورطلا زيت ، وجاز ذلك لأنّه كما يرفع الإبهام بالنّصب ، يرفع بالإضافة ، وأمّا إذا كانت النون شبيهة بنون الجمع كما في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عشرين فإنّ الحذف والإضافة إلى التمييز كعشري درهم لا يجوز لأنّ نون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عشرين من نفس الكلمة فلا يجوز حذفها للإضافة </w:t>
      </w:r>
      <w:r>
        <w:rPr>
          <w:rStyle w:val="FootnoteAnchor"/>
          <w:rtl w:val="true"/>
        </w:rPr>
        <w:footnoteReference w:id="809"/>
      </w:r>
      <w:r>
        <w:rPr>
          <w:rFonts w:ascii="Amiri" w:hAnsi="Amiri" w:eastAsia="Amiri" w:cs="Amiri"/>
          <w:color w:val="111111"/>
          <w:sz w:val="28"/>
          <w:sz w:val="28"/>
          <w:szCs w:val="28"/>
          <w:rtl w:val="true"/>
          <w:lang w:bidi="ar-SA"/>
        </w:rPr>
        <w:t xml:space="preserve">ولا تجوز الإضافة مع هذه النون لشبهها بنون الجمع ، وأمّا حذفها والإضافة إلى غير التمييز فجائز بالاتفاق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عشريك وعشري رمضان ، وفي تعليل ثبوت النون في </w:t>
      </w:r>
      <w:bookmarkStart w:id="303" w:name="pg14482_156159"/>
    </w:p>
    <w:p>
      <w:pPr>
        <w:pStyle w:val="BookText"/>
        <w:rPr/>
      </w:pPr>
      <w:bookmarkEnd w:id="303"/>
      <w:r>
        <w:rPr>
          <w:rFonts w:ascii="Amiri" w:hAnsi="Amiri" w:eastAsia="Amiri" w:cs="Amiri"/>
          <w:color w:val="111111"/>
          <w:sz w:val="28"/>
          <w:sz w:val="28"/>
          <w:szCs w:val="28"/>
          <w:rtl w:val="true"/>
          <w:lang w:bidi="ar-SA"/>
        </w:rPr>
        <w:t xml:space="preserve">التمييز وحذفها في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عشروك وعشرو الشهر ، نظر ؛ وقد قيل في ذلك </w:t>
      </w:r>
      <w:r>
        <w:rPr>
          <w:rFonts w:eastAsia="Amiri" w:cs="Amiri" w:ascii="Amiri" w:hAnsi="Amiri"/>
          <w:color w:val="111111"/>
          <w:sz w:val="28"/>
          <w:szCs w:val="28"/>
          <w:rtl w:val="true"/>
          <w:lang w:bidi="ar-SA"/>
        </w:rPr>
        <w:t xml:space="preserve">: </w:t>
      </w:r>
      <w:r>
        <w:rPr>
          <w:rStyle w:val="FootnoteAnchor"/>
          <w:rtl w:val="true"/>
        </w:rPr>
        <w:footnoteReference w:id="810"/>
      </w:r>
      <w:r>
        <w:rPr>
          <w:rFonts w:ascii="Amiri" w:hAnsi="Amiri" w:eastAsia="Amiri" w:cs="Amiri"/>
          <w:color w:val="111111"/>
          <w:sz w:val="28"/>
          <w:sz w:val="28"/>
          <w:szCs w:val="28"/>
          <w:rtl w:val="true"/>
          <w:lang w:bidi="ar-SA"/>
        </w:rPr>
        <w:t xml:space="preserve">إنّما لم تجز إضافة العشرين إلى المميّز وجازت في غيره أعني في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عشروك ، لأنّ العشرين في الأصل صفة لمميّزها لأنّ أصل عشرين درهما دراهم عشرون ، وصفة الشيء لا تضاف إليه ، ولا يضاف الموصوف إلى صفته ، وليس كذلك عشروك فافترقا</w:t>
      </w:r>
      <w:r>
        <w:rPr>
          <w:rFonts w:eastAsia="Amiri" w:cs="Amiri" w:ascii="Amiri" w:hAnsi="Amiri"/>
          <w:color w:val="111111"/>
          <w:sz w:val="28"/>
          <w:szCs w:val="28"/>
          <w:rtl w:val="true"/>
          <w:lang w:bidi="ar-SA"/>
        </w:rPr>
        <w:t>.</w:t>
      </w:r>
    </w:p>
    <w:p>
      <w:pPr>
        <w:pStyle w:val="Heading6"/>
        <w:numPr>
          <w:ilvl w:val="5"/>
          <w:numId w:val="1"/>
        </w:numPr>
        <w:rPr/>
      </w:pPr>
      <w:bookmarkStart w:id="304" w:name="__RefHeading___Toc716742_996550957"/>
      <w:bookmarkStart w:id="305" w:name="_Toc112"/>
      <w:bookmarkEnd w:id="304"/>
      <w:r>
        <w:rPr>
          <w:rtl w:val="true"/>
        </w:rPr>
        <w:t>ذكر تمييز الذات التي هي غير مقدار</w:t>
      </w:r>
      <w:bookmarkEnd w:id="305"/>
    </w:p>
    <w:p>
      <w:pPr>
        <w:pStyle w:val="BookText"/>
        <w:rPr/>
      </w:pPr>
      <w:r>
        <w:rPr>
          <w:rStyle w:val="FootnoteAnchor"/>
          <w:rtl w:val="true"/>
        </w:rPr>
        <w:footnoteReference w:id="8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وخاتم وثوب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ساجا ، وخاتم حديدا ، وثوب خزّا ، وهو كلّ نوع أضيف إلى جنسه ويجوز فيه الإضافة وهي الأكثر </w:t>
      </w:r>
      <w:r>
        <w:rPr>
          <w:rStyle w:val="FootnoteAnchor"/>
          <w:rtl w:val="true"/>
        </w:rPr>
        <w:footnoteReference w:id="812"/>
      </w:r>
      <w:r>
        <w:rPr>
          <w:rFonts w:ascii="Amiri" w:hAnsi="Amiri" w:eastAsia="Amiri" w:cs="Amiri"/>
          <w:color w:val="111111"/>
          <w:sz w:val="28"/>
          <w:sz w:val="28"/>
          <w:szCs w:val="28"/>
          <w:rtl w:val="true"/>
          <w:lang w:bidi="ar-SA"/>
        </w:rPr>
        <w:t xml:space="preserve">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ساج بخفضه مع إفادة التخفيف</w:t>
      </w:r>
      <w:r>
        <w:rPr>
          <w:rFonts w:eastAsia="Amiri" w:cs="Amiri" w:ascii="Amiri" w:hAnsi="Amiri"/>
          <w:color w:val="111111"/>
          <w:sz w:val="28"/>
          <w:szCs w:val="28"/>
          <w:rtl w:val="true"/>
          <w:lang w:bidi="ar-SA"/>
        </w:rPr>
        <w:t>.</w:t>
      </w:r>
    </w:p>
    <w:p>
      <w:pPr>
        <w:pStyle w:val="Heading6"/>
        <w:numPr>
          <w:ilvl w:val="5"/>
          <w:numId w:val="1"/>
        </w:numPr>
        <w:rPr/>
      </w:pPr>
      <w:bookmarkStart w:id="306" w:name="__RefHeading___Toc716744_996550957"/>
      <w:bookmarkStart w:id="307" w:name="_Toc113"/>
      <w:bookmarkEnd w:id="306"/>
      <w:r>
        <w:rPr>
          <w:rtl w:val="true"/>
        </w:rPr>
        <w:t>ذكر تمييز الذات المقدّرة</w:t>
      </w:r>
      <w:bookmarkEnd w:id="307"/>
    </w:p>
    <w:p>
      <w:pPr>
        <w:pStyle w:val="BookText"/>
        <w:rPr/>
      </w:pPr>
      <w:r>
        <w:rPr>
          <w:rStyle w:val="FootnoteAnchor"/>
          <w:rtl w:val="true"/>
        </w:rPr>
        <w:footnoteReference w:id="8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أنّ الذات التي تميّز تنقسم إلى مذكورة كما تقدّم شرحه ، وإلى مقدّرة كما شرحناه في حدّ التمييز أيضا ، وإنّما تقدّر في النّسب الإسناديّة وفي النّسب المشابهة للنسب الإسنادية ، وفي النّسب الإضافية فذلك ثلاث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الذّات المقدّرة في نسبة في جملة إسناديّة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زيد نفسا وتصبّب عرقا وامتلأ الإناء ماء ، 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وَاشْتَعَلَ الرَّأْسُ شَيْباً</w:t>
      </w:r>
      <w:r>
        <w:rPr>
          <w:rFonts w:eastAsia="Amiri" w:cs="Amiri" w:ascii="Amiri" w:hAnsi="Amiri"/>
          <w:color w:val="111111"/>
          <w:sz w:val="28"/>
          <w:szCs w:val="28"/>
          <w:rtl w:val="true"/>
          <w:lang w:bidi="ar-SA"/>
        </w:rPr>
        <w:t>)</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الذّات المقدّرة في نسبة فيما يشابه الجملة ، والمراد بمشابه الجملة ، الصفة المشبّهة واسم الفاعل والمفعول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طيّب أبا وأبّوة وعلما ودارا ، وزيد مكرم أبا وأبّوة وعلما ودارا</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الذّات المقدّرة في نسبة في إضافة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أعجبني طيب زيد أبا وأبوّة وعلما ودارا ، ومن هذا الباب لله درّه فارسا ، وحسب زيد بطلا ، فإنّه من تمييز الذات </w:t>
      </w:r>
    </w:p>
    <w:p>
      <w:pPr>
        <w:pStyle w:val="BookText"/>
        <w:rPr/>
      </w:pPr>
      <w:r>
        <w:rPr>
          <w:rFonts w:ascii="Amiri" w:hAnsi="Amiri" w:eastAsia="Amiri" w:cs="Amiri"/>
          <w:color w:val="111111"/>
          <w:sz w:val="28"/>
          <w:sz w:val="28"/>
          <w:szCs w:val="28"/>
          <w:rtl w:val="true"/>
          <w:lang w:bidi="ar-SA"/>
        </w:rPr>
        <w:t xml:space="preserve">المقدّرة لا الذات المذكورة كما توهمه بعضهم </w:t>
      </w:r>
      <w:r>
        <w:rPr>
          <w:rStyle w:val="FootnoteAnchor"/>
          <w:rtl w:val="true"/>
        </w:rPr>
        <w:footnoteReference w:id="815"/>
      </w:r>
      <w:r>
        <w:rPr>
          <w:rFonts w:ascii="Amiri" w:hAnsi="Amiri" w:eastAsia="Amiri" w:cs="Amiri"/>
          <w:color w:val="111111"/>
          <w:sz w:val="28"/>
          <w:sz w:val="28"/>
          <w:szCs w:val="28"/>
          <w:rtl w:val="true"/>
          <w:lang w:bidi="ar-SA"/>
        </w:rPr>
        <w:t xml:space="preserve">وتعلّق فارسا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درّه فارسا وشبهه بمن هو له ، إنّما هو تعلّق الوصف بالموصوف ، فالتمييز في هذه الأمور الثلاثة إنّما هو عن ذات مقدّرة ، لأنّ المقصود إنّما هو نسبة الفعل أو ما أشبهه إلى ما هو متعلّق بالاسم المنتصب عنه التمييز ، لأنّ الفعل الذي هو طاب في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زيد أبا ، مسند في اللفظ إلى زيد ، وهو في المعنى مسند إلى شيء آخر مقدّر متعلّق بزيد غير مذكور ، وهو مبهم لاحتمال جميع متعلّقات زيد ، فإذا قلت أبا ، فقد رفعت به الإبهام عن الذّات المقدّرة كما رفعت بالدرهم الإبهام عن عشرين في الذات المذكورة ،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أبو زيد أبا ، وطاب علم زيد علما وتصبّب عرق زيد عرقا ، وكذلك ما أشبه ذلك ، فالذات المقدّرة هي أبو زيد أو علمه ونحوهما ، فالفعل منسوب في اللفظ إلى زيد ، وفي المعنى إلى أبيه أو إلى علمه ونحوهما إذا قصد ذلك ، والإبهام إنّما نشأ من نسبة الطيب مثلا إلى متعلّق زيد ، لأنّ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 زيد ، لا إبهام في واحد منهما ، وإنّما الإبهام في نسبة الطيب إلى أمر يتعلّق بزيد ، ولو لا ذلك لم يكن ثمّ ما يحتاج إلى تمييز ، ومتعلقاته تحتمل وجوها كثيرة فاحتيج إلى تفسير المقصود منها فجيء بالتمييز ، وكذلك الحال في الإضافة فإنّه قد يضاف الشيء إلى أمر ، والمراد إضافته إلى متعلّقه مثلما قيل في الجملة فيأتي التمييز أيضا</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الاسم المنصوب على التمييز قد يكون صالحا أن يرجع إلى من انتصب عنه وإلى متعلّقه ، وذلك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في طاب زيد أبا ، فجائز أن يكون الأب هو زيد ، وجائز أن يكون الأب هو والد زيد وكذا الأبّوة أيضا ، فإنّها تصلح لكلّ واحد منهما ، فإن كان المقصود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زيد أبا ، بالطيب هو زيد نفسه كان التقدير طاب الأب زيدا أبا ، فتكون الذات المقدّرة هي الأب وإن كان المقصود والد زيد ، كان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 أبو زيد أبا ، فالذات المقدّرة هي أبو زيد ، وكذا القول في الأبوّة وغيرهما مما يأتي في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يصلح أن يرجع إليهما فهو لمتعلّقه خاصة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زيد علما ودارا ، فليس يحتمل علما ودارا جهتين كما احتمله أبا وأبّوة بل إنما يحتمل جهة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واحدة وهي علم زيد وداره ، لأنّ التقدير طاب علم زيد علما وطابت دار زيد دارا لا غير ذلك ، والذي يحتمل الرجوع إليهما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إلى من انتصب عنه التمييز وإلى متعلّقه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تجب فيه المطابقة أعني إفراد التمييز ، وتثنيته وجمعه وتذكيره وتأنيثه على وفق من هو له إلّا </w:t>
      </w:r>
      <w:r>
        <w:rPr>
          <w:rStyle w:val="FootnoteAnchor"/>
          <w:rtl w:val="true"/>
        </w:rPr>
        <w:footnoteReference w:id="816"/>
      </w:r>
      <w:r>
        <w:rPr>
          <w:rFonts w:ascii="Amiri" w:hAnsi="Amiri" w:eastAsia="Amiri" w:cs="Amiri"/>
          <w:color w:val="111111"/>
          <w:sz w:val="28"/>
          <w:sz w:val="28"/>
          <w:szCs w:val="28"/>
          <w:rtl w:val="true"/>
          <w:lang w:bidi="ar-SA"/>
        </w:rPr>
        <w:t xml:space="preserve">إن كان التمييز اسم جنس كالأبّوة والعلم فإنّه لا يثنّى ولا يجمع إلا أن يقصد الأنواع فيطابق به حينئذ ، فإذا قصدت إلى أنّ الأب هو زيد نفسه ، قلت طاب زيد أبا ، فلو ثنّيت زيدا أو جمعته على هذا المعنى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الزيدان أن أبوين وطاب الزيدون آباء وكذلك </w:t>
      </w:r>
      <w:r>
        <w:rPr>
          <w:rStyle w:val="FootnoteAnchor"/>
          <w:rtl w:val="true"/>
        </w:rPr>
        <w:footnoteReference w:id="817"/>
      </w:r>
      <w:r>
        <w:rPr>
          <w:rFonts w:ascii="Amiri" w:hAnsi="Amiri" w:eastAsia="Amiri" w:cs="Amiri"/>
          <w:color w:val="111111"/>
          <w:sz w:val="28"/>
          <w:sz w:val="28"/>
          <w:szCs w:val="28"/>
          <w:rtl w:val="true"/>
          <w:lang w:bidi="ar-SA"/>
        </w:rPr>
        <w:t xml:space="preserve">تجب المطابقة إذا قصدت إلى متعلّق زيد ، وهو والده مثلا ، فإن قصدت أباه وجدّه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زيدا ، وإن قصدت أباه وأمّه أو أبا وجدّا له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زيد أبوين ، وإن قصدت إلى جماعة من آبائه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زيد آباء ، فيطابق بالأب من هو له بخلاف ما إذا كان التمييز اسم جنس كالأبّوة والعلم ، فإنّك تأتي به مفردا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الزيدان أو الزيدون أبّوة وعلما ، ونحو ذلك إلا أن يقصد الأنواع فيطابق حينئذ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زيد علمين إذا كان المراد به طاب بسبب علمين مختلفين ، وطاب زيد علوما ، إذا كان المراد به بسبب علوم كثيرة ، وتقديره طابت علوم زيد علوما ، وكذلك التقدير في التثنية وغيرها </w:t>
      </w:r>
      <w:r>
        <w:rPr>
          <w:rStyle w:val="FootnoteAnchor"/>
          <w:rtl w:val="true"/>
        </w:rPr>
        <w:footnoteReference w:id="818"/>
      </w:r>
      <w:r>
        <w:rPr>
          <w:rFonts w:ascii="Amiri" w:hAnsi="Amiri" w:eastAsia="Amiri" w:cs="Amiri"/>
          <w:color w:val="111111"/>
          <w:sz w:val="28"/>
          <w:sz w:val="28"/>
          <w:szCs w:val="28"/>
          <w:rtl w:val="true"/>
          <w:lang w:bidi="ar-SA"/>
        </w:rPr>
        <w:t xml:space="preserve">وكذلك تجب المطابقة في التمييز الذي هو صفة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زيد فارسا والزيدان فارسين والزيدون فرسانا ، وكذلك لله درّه فارسا ودرّهما فارسين ودرّهم فوارس ، وإذا كان التمييز صفة احتمل أن يكون حالا لكنّ التمييز أولى </w:t>
      </w:r>
      <w:r>
        <w:rPr>
          <w:rStyle w:val="FootnoteAnchor"/>
          <w:rtl w:val="true"/>
        </w:rPr>
        <w:footnoteReference w:id="819"/>
      </w:r>
      <w:r>
        <w:rPr>
          <w:rFonts w:ascii="Amiri" w:hAnsi="Amiri" w:eastAsia="Amiri" w:cs="Amiri"/>
          <w:color w:val="111111"/>
          <w:sz w:val="28"/>
          <w:sz w:val="28"/>
          <w:szCs w:val="28"/>
          <w:rtl w:val="true"/>
          <w:lang w:bidi="ar-SA"/>
        </w:rPr>
        <w:t xml:space="preserve">لأنّ المراد مدحه مطلقا سواء كان حال كونه فارسا وهذا يفهم من التمييز دون الحال ، لأنه إذا كان حالا اختصّ بالمدح فيتقيّد ، فيتغيّر المعنى المقصود </w:t>
      </w:r>
      <w:r>
        <w:rPr>
          <w:rStyle w:val="FootnoteAnchor"/>
          <w:rtl w:val="true"/>
        </w:rPr>
        <w:footnoteReference w:id="820"/>
      </w:r>
      <w:r>
        <w:rPr>
          <w:rFonts w:ascii="Amiri" w:hAnsi="Amiri" w:eastAsia="Amiri" w:cs="Amiri"/>
          <w:color w:val="111111"/>
          <w:sz w:val="28"/>
          <w:sz w:val="28"/>
          <w:szCs w:val="28"/>
          <w:rtl w:val="true"/>
          <w:lang w:bidi="ar-SA"/>
        </w:rPr>
        <w:t xml:space="preserve">، والفرق بين تمييز </w:t>
      </w:r>
      <w:r>
        <w:rPr>
          <w:rStyle w:val="FootnoteAnchor"/>
          <w:rtl w:val="true"/>
        </w:rPr>
        <w:footnoteReference w:id="821"/>
      </w:r>
      <w:r>
        <w:rPr>
          <w:rFonts w:ascii="Amiri" w:hAnsi="Amiri" w:eastAsia="Amiri" w:cs="Amiri"/>
          <w:color w:val="111111"/>
          <w:sz w:val="28"/>
          <w:sz w:val="28"/>
          <w:szCs w:val="28"/>
          <w:rtl w:val="true"/>
          <w:lang w:bidi="ar-SA"/>
        </w:rPr>
        <w:t xml:space="preserve">الذات المقدّرة 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درّه فارسا وبين تمييز الذات المذكورة 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التمرة مثلها زبدا ، أنّ الفارس يرفع الإبهام عن نسبة الدّرّ إلى الضمير لا عن نفس الدّرّ ، وأنّ الزبد يرفع </w:t>
      </w:r>
      <w:bookmarkStart w:id="308" w:name="pg14482_156162"/>
    </w:p>
    <w:p>
      <w:pPr>
        <w:pStyle w:val="BookText"/>
        <w:rPr/>
      </w:pPr>
      <w:bookmarkEnd w:id="308"/>
      <w:r>
        <w:rPr>
          <w:rFonts w:ascii="Amiri" w:hAnsi="Amiri" w:eastAsia="Amiri" w:cs="Amiri"/>
          <w:color w:val="111111"/>
          <w:sz w:val="28"/>
          <w:sz w:val="28"/>
          <w:szCs w:val="28"/>
          <w:rtl w:val="true"/>
          <w:lang w:bidi="ar-SA"/>
        </w:rPr>
        <w:t>الإبهام عن نفس المثل إذ لا إبهام في إضافة المثل إلى الضمير بل في نفس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يتقدّم التمييز على العامل </w:t>
      </w:r>
      <w:r>
        <w:rPr>
          <w:rStyle w:val="FootnoteAnchor"/>
          <w:rtl w:val="true"/>
        </w:rPr>
        <w:footnoteReference w:id="822"/>
      </w:r>
      <w:r>
        <w:rPr>
          <w:rFonts w:ascii="Amiri" w:hAnsi="Amiri" w:eastAsia="Amiri" w:cs="Amiri"/>
          <w:color w:val="111111"/>
          <w:sz w:val="28"/>
          <w:sz w:val="28"/>
          <w:szCs w:val="28"/>
          <w:rtl w:val="true"/>
          <w:lang w:bidi="ar-SA"/>
        </w:rPr>
        <w:t xml:space="preserve">لأنّ العامل إن كان غير فعل كان ضعيفا ، فلا يعمل في التمييز المتقدّم عليه بالاتفاق </w:t>
      </w:r>
      <w:r>
        <w:rPr>
          <w:rStyle w:val="FootnoteAnchor"/>
          <w:rtl w:val="true"/>
        </w:rPr>
        <w:footnoteReference w:id="823"/>
      </w:r>
      <w:r>
        <w:rPr>
          <w:rFonts w:ascii="Amiri" w:hAnsi="Amiri" w:eastAsia="Amiri" w:cs="Amiri"/>
          <w:color w:val="111111"/>
          <w:sz w:val="28"/>
          <w:sz w:val="28"/>
          <w:szCs w:val="28"/>
          <w:rtl w:val="true"/>
          <w:lang w:bidi="ar-SA"/>
        </w:rPr>
        <w:t xml:space="preserve">وإن كان فعلا فمذهب سيبويه أن لا يتقدم عليه التمييز </w:t>
      </w:r>
      <w:r>
        <w:rPr>
          <w:rStyle w:val="FootnoteAnchor"/>
          <w:rtl w:val="true"/>
        </w:rPr>
        <w:footnoteReference w:id="824"/>
      </w:r>
      <w:r>
        <w:rPr>
          <w:rFonts w:ascii="Amiri" w:hAnsi="Amiri" w:eastAsia="Amiri" w:cs="Amiri"/>
          <w:color w:val="111111"/>
          <w:sz w:val="28"/>
          <w:sz w:val="28"/>
          <w:szCs w:val="28"/>
          <w:rtl w:val="true"/>
          <w:lang w:bidi="ar-SA"/>
        </w:rPr>
        <w:t xml:space="preserve">أيضا ، لأنّ التمييز في المعنى فاعل فكما لا يتقدّم الفاعل على الفعل ، لا يتقدّم التمييز على الفعل ، لأنّ الأصل 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زيد نفسا طاب نفس زيد ، فعدل عن ذلك ليكون مبهما أوّلا ثم يفسّر ، فيكون أبلغ موقعا عند السّامع ، والمازنيّ أجاز تقديم التمييز على عامله إذا كان فعلا خاصة كقولنا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نفسا طاب زيد ، ووافق في غير الفعل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9" w:name="__RefHeading___Toc716746_996550957"/>
      <w:bookmarkStart w:id="310" w:name="_Toc114"/>
      <w:bookmarkEnd w:id="309"/>
      <w:r>
        <w:rPr/>
        <w:t>8</w:t>
      </w:r>
      <w:r>
        <w:rPr>
          <w:rtl w:val="true"/>
        </w:rPr>
        <w:t xml:space="preserve">- </w:t>
      </w:r>
      <w:r>
        <w:rPr>
          <w:rtl w:val="true"/>
        </w:rPr>
        <w:t>ذكر الاستثناء</w:t>
      </w:r>
      <w:bookmarkEnd w:id="310"/>
    </w:p>
    <w:p>
      <w:pPr>
        <w:pStyle w:val="Heading6"/>
        <w:numPr>
          <w:ilvl w:val="5"/>
          <w:numId w:val="1"/>
        </w:numPr>
        <w:rPr/>
      </w:pPr>
      <w:bookmarkStart w:id="311" w:name="__RefHeading___Toc716748_996550957"/>
      <w:bookmarkStart w:id="312" w:name="_Toc115"/>
      <w:bookmarkEnd w:id="311"/>
      <w:r>
        <w:rPr>
          <w:rtl w:val="true"/>
        </w:rPr>
        <w:t>اشارة</w:t>
      </w:r>
      <w:bookmarkEnd w:id="312"/>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المستثنى هو ثالث المنصوبات المشبّهات بالمفعول ، وهو ضربان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متصل ومنقطع ، فالمتصل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المخرج من حكم على متعدّد لفظا أو تقديرا بإلّا وأخواتها ، فاللفظ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القوم إلّا زيدا ، والتقدير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قام إلّا زيد ، لأنّ معناه ما قام أحد إلا زيد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بإلّا وأخواتها ، ليخرج عنه المخرج عن متعدّد بالصفة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بني تميم العلماء ، فإنّ الجهال مخرجة منه لعدم اتصافهم بالعلم ، وكذلك المخرج بالبدل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عَلَى النَّاسِ حِجُّ الْبَيْتِ مَنِ اسْتَطاعَ إِلَيْهِ سَبِيلاً</w:t>
      </w:r>
      <w:r>
        <w:rPr>
          <w:rFonts w:eastAsia="Amiri" w:cs="Amiri" w:ascii="Amiri" w:hAnsi="Amiri"/>
          <w:color w:val="111111"/>
          <w:sz w:val="28"/>
          <w:szCs w:val="28"/>
          <w:rtl w:val="true"/>
          <w:lang w:bidi="ar-SA"/>
        </w:rPr>
        <w:t>)</w:t>
      </w:r>
      <w:r>
        <w:rPr>
          <w:rStyle w:val="FootnoteAnchor"/>
          <w:rtl w:val="true"/>
        </w:rPr>
        <w:footnoteReference w:id="827"/>
      </w:r>
      <w:r>
        <w:rPr>
          <w:rFonts w:ascii="Amiri" w:hAnsi="Amiri" w:eastAsia="Amiri" w:cs="Amiri"/>
          <w:color w:val="111111"/>
          <w:sz w:val="28"/>
          <w:sz w:val="28"/>
          <w:szCs w:val="28"/>
          <w:rtl w:val="true"/>
          <w:lang w:bidi="ar-SA"/>
        </w:rPr>
        <w:t xml:space="preserve">وكذلك المخرج بالشّرط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القوم إن دخلوا الدّار ، وبالجملة المخرج بغير إلّا وأخواتها لا يسمّى استثناء ، وأخوات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وخلا وعدا وما خلا وما عدا وليس ولا يكون </w:t>
      </w:r>
      <w:bookmarkStart w:id="313" w:name="pg14482_156163"/>
    </w:p>
    <w:p>
      <w:pPr>
        <w:pStyle w:val="BookText"/>
        <w:rPr/>
      </w:pPr>
      <w:bookmarkEnd w:id="313"/>
      <w:r>
        <w:rPr>
          <w:rFonts w:ascii="Amiri" w:hAnsi="Amiri" w:eastAsia="Amiri" w:cs="Amiri"/>
          <w:color w:val="111111"/>
          <w:sz w:val="28"/>
          <w:sz w:val="28"/>
          <w:szCs w:val="28"/>
          <w:rtl w:val="true"/>
          <w:lang w:bidi="ar-SA"/>
        </w:rPr>
        <w:t xml:space="preserve">وسوى وسواء ، والمنقطع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المذكور بعد إلّا وأخواتها غير مخرج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الناس إلّا حمارا ، وسمّي بذلك لانقطاعه عمّا قبله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تعقّب الاستثناء جملا بالواو عاد إلى كلّ منها عند عدم القرينة على الأصحّ </w:t>
      </w:r>
      <w:r>
        <w:rPr>
          <w:rStyle w:val="FootnoteAnchor"/>
          <w:rtl w:val="true"/>
        </w:rPr>
        <w:footnoteReference w:id="829"/>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الأصح ، أنه يعود إلى جميعها ما لم يخصه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مذهب الشافعي وأصحابه ونسب إلى مالك ، والحنابلة أيضا واختاره ابن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جرى المصنف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خاص بالجملة الأخيرة إلّا أن يقوم دليل على التعميم ، وهو مذهب أبي حنيفة وجمهور أصحابه ، وإليه ذهب أبو علي الفارسي واختاره أبو حيان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يعود للكل ، إن سيق لغرض واحد ، وإن لم يسق الكل لغرض واحد فللأخيرة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إن عطف بالواو عاد للكل ، أو بالفاء أو ثم عاد للأخيرة ، وعليه ابن الحاجب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إن اتحد العامل فللكل ، أو اختلف فللأخيرة خاصة ، انظر لذلك ، الصاحبي ،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وتسهيل الفوائد ،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والمساعد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والهمع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وإرشاد الفحول للشوكاني ،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نحو أكرم ربيعة ، وأكرم مضر إلّا الطوال ، وقول من قال باختصاصه بالأخيرة تحكّم ، والترجيح بالقرب قياسا على تنازع العاملين منع للخلاف فيه ، والقول بالاشتراك فيه أو بالوقف يوجب التعطيل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14" w:name="__RefHeading___Toc716750_996550957"/>
      <w:bookmarkStart w:id="315" w:name="_Toc116"/>
      <w:bookmarkEnd w:id="314"/>
      <w:r>
        <w:rPr>
          <w:rtl w:val="true"/>
        </w:rPr>
        <w:t>ذكر وجوب نصب المستثنى</w:t>
      </w:r>
      <w:bookmarkEnd w:id="315"/>
    </w:p>
    <w:p>
      <w:pPr>
        <w:pStyle w:val="BookText"/>
        <w:rPr/>
      </w:pPr>
      <w:r>
        <w:rPr>
          <w:rStyle w:val="FootnoteAnchor"/>
          <w:rtl w:val="true"/>
        </w:rPr>
        <w:footnoteReference w:id="8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نصبه إذا كان مستثنى بعد إلّا غير الصّفة في كلام موجب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القوم إلّا زيدا ، لامتناع البدل فيه ، لأن البدل يقوم مقام المبدل منه ، فلو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إلّا زيد ، على البدل من القوم لم يصحّ ، وكذلك يجب نصبه إذا تقدّم المستثنى على المستثنى منه نحو قوله </w:t>
      </w:r>
      <w:r>
        <w:rPr>
          <w:rFonts w:eastAsia="Amiri" w:cs="Amiri" w:ascii="Amiri" w:hAnsi="Amiri"/>
          <w:color w:val="111111"/>
          <w:sz w:val="28"/>
          <w:szCs w:val="28"/>
          <w:rtl w:val="true"/>
          <w:lang w:bidi="ar-SA"/>
        </w:rPr>
        <w:t xml:space="preserve">: </w:t>
      </w:r>
      <w:r>
        <w:rPr>
          <w:rStyle w:val="FootnoteAnchor"/>
          <w:rtl w:val="true"/>
        </w:rPr>
        <w:footnoteReference w:id="831"/>
      </w:r>
    </w:p>
    <w:p>
      <w:pPr>
        <w:pStyle w:val="BookText"/>
        <w:rPr/>
      </w:pPr>
      <w:r>
        <w:rPr>
          <w:rFonts w:ascii="Amiri" w:hAnsi="Amiri" w:eastAsia="Amiri" w:cs="Amiri"/>
          <w:color w:val="111111"/>
          <w:sz w:val="28"/>
          <w:sz w:val="28"/>
          <w:szCs w:val="28"/>
          <w:rtl w:val="true"/>
          <w:lang w:bidi="ar-SA"/>
        </w:rPr>
        <w:t>وما لي إلا مذهب الحقّ مذهب</w:t>
      </w:r>
    </w:p>
    <w:p>
      <w:pPr>
        <w:pStyle w:val="BookText"/>
        <w:rPr/>
      </w:pPr>
      <w:r>
        <w:rPr>
          <w:rFonts w:ascii="Amiri" w:hAnsi="Amiri" w:eastAsia="Amiri" w:cs="Amiri"/>
          <w:color w:val="111111"/>
          <w:sz w:val="28"/>
          <w:sz w:val="28"/>
          <w:szCs w:val="28"/>
          <w:rtl w:val="true"/>
          <w:lang w:bidi="ar-SA"/>
        </w:rPr>
        <w:t>وما لي إلّا آل أحمد شيعة</w:t>
      </w:r>
    </w:p>
    <w:p>
      <w:pPr>
        <w:pStyle w:val="BookText"/>
        <w:rPr/>
      </w:pPr>
      <w:r>
        <w:rPr>
          <w:rFonts w:ascii="Amiri" w:hAnsi="Amiri" w:eastAsia="Amiri" w:cs="Amiri"/>
          <w:color w:val="111111"/>
          <w:sz w:val="28"/>
          <w:sz w:val="28"/>
          <w:szCs w:val="28"/>
          <w:rtl w:val="true"/>
          <w:lang w:bidi="ar-SA"/>
        </w:rPr>
        <w:t>وما لي إلّا مشعب الحقّ مشعب</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فآل أحمد مستثنى قدّم على المستثنى منه الذي هو شيعة ، وكذلك مشعب </w:t>
      </w:r>
    </w:p>
    <w:p>
      <w:pPr>
        <w:pStyle w:val="BookText"/>
        <w:rPr/>
      </w:pPr>
      <w:r>
        <w:rPr>
          <w:rFonts w:ascii="Amiri" w:hAnsi="Amiri" w:eastAsia="Amiri" w:cs="Amiri"/>
          <w:color w:val="111111"/>
          <w:sz w:val="28"/>
          <w:sz w:val="28"/>
          <w:szCs w:val="28"/>
          <w:rtl w:val="true"/>
          <w:lang w:bidi="ar-SA"/>
        </w:rPr>
        <w:t xml:space="preserve">الحقّ ، وإنّما وجب نصبه لأنّه لا يصلح أن يكون بدلا ولا صفة ، لامتناع تقدّم البدل على المبدل منه ، وتقدّم الصفة على الموصوف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يجب نصب المستثنى المنقطع على الأكثر </w:t>
      </w:r>
      <w:r>
        <w:rPr>
          <w:rStyle w:val="FootnoteAnchor"/>
          <w:rtl w:val="true"/>
        </w:rPr>
        <w:footnoteReference w:id="833"/>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جاءني أحد إلّا حمارا في لغة أهل الحجاز ، لأنّ بني تميم لا يوجبون نصبه ، وعلى لغة بني تميم قول الشّاعر </w:t>
      </w:r>
      <w:r>
        <w:rPr>
          <w:rFonts w:eastAsia="Amiri" w:cs="Amiri" w:ascii="Amiri" w:hAnsi="Amiri"/>
          <w:color w:val="111111"/>
          <w:sz w:val="28"/>
          <w:szCs w:val="28"/>
          <w:rtl w:val="true"/>
          <w:lang w:bidi="ar-SA"/>
        </w:rPr>
        <w:t xml:space="preserve">: </w:t>
      </w:r>
      <w:r>
        <w:rPr>
          <w:rStyle w:val="FootnoteAnchor"/>
          <w:rtl w:val="true"/>
        </w:rPr>
        <w:footnoteReference w:id="834"/>
      </w:r>
    </w:p>
    <w:p>
      <w:pPr>
        <w:pStyle w:val="BookText"/>
        <w:rPr/>
      </w:pPr>
      <w:r>
        <w:rPr>
          <w:rFonts w:ascii="Amiri" w:hAnsi="Amiri" w:eastAsia="Amiri" w:cs="Amiri"/>
          <w:color w:val="111111"/>
          <w:sz w:val="28"/>
          <w:sz w:val="28"/>
          <w:szCs w:val="28"/>
          <w:rtl w:val="true"/>
          <w:lang w:bidi="ar-SA"/>
        </w:rPr>
        <w:t>بسابسا ليس به أنيس</w:t>
      </w:r>
    </w:p>
    <w:p>
      <w:pPr>
        <w:pStyle w:val="BookText"/>
        <w:rPr/>
      </w:pPr>
      <w:r>
        <w:rPr>
          <w:rFonts w:ascii="Amiri" w:hAnsi="Amiri" w:eastAsia="Amiri" w:cs="Amiri"/>
          <w:color w:val="111111"/>
          <w:sz w:val="28"/>
          <w:sz w:val="28"/>
          <w:szCs w:val="28"/>
          <w:rtl w:val="true"/>
          <w:lang w:bidi="ar-SA"/>
        </w:rPr>
        <w:t>إلّا اليعافير وإلّا العيس</w:t>
      </w:r>
    </w:p>
    <w:p>
      <w:pPr>
        <w:pStyle w:val="BookText"/>
        <w:rPr/>
      </w:pPr>
      <w:r>
        <w:rPr>
          <w:rFonts w:ascii="Amiri" w:hAnsi="Amiri" w:eastAsia="Amiri" w:cs="Amiri"/>
          <w:color w:val="111111"/>
          <w:sz w:val="28"/>
          <w:sz w:val="28"/>
          <w:szCs w:val="28"/>
          <w:rtl w:val="true"/>
          <w:lang w:bidi="ar-SA"/>
        </w:rPr>
        <w:t xml:space="preserve">وروي منسوبا له في شرح الشواهد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 التصريح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غير نسبة في الكتاب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والمقتضب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والإنصاف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وشرح المفصل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اليعافير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يعفور وهو ولد البقرة الوحشية والعيس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عيساء وهي الإبل البيض يخالط بياضها شيء من الشقرة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وبلدة ليس بها أنيس</w:t>
      </w:r>
    </w:p>
    <w:p>
      <w:pPr>
        <w:pStyle w:val="BookText"/>
        <w:rPr/>
      </w:pPr>
      <w:r>
        <w:rPr>
          <w:rFonts w:ascii="Amiri" w:hAnsi="Amiri" w:eastAsia="Amiri" w:cs="Amiri"/>
          <w:color w:val="111111"/>
          <w:sz w:val="28"/>
          <w:sz w:val="28"/>
          <w:szCs w:val="28"/>
          <w:rtl w:val="true"/>
          <w:lang w:bidi="ar-SA"/>
        </w:rPr>
        <w:t>إلّا اليعافير وإلّا العيس</w:t>
      </w:r>
    </w:p>
    <w:p>
      <w:pPr>
        <w:pStyle w:val="BookText"/>
        <w:rPr/>
      </w:pPr>
      <w:r>
        <w:rPr>
          <w:rFonts w:ascii="Amiri" w:hAnsi="Amiri" w:eastAsia="Amiri" w:cs="Amiri"/>
          <w:color w:val="111111"/>
          <w:sz w:val="28"/>
          <w:sz w:val="28"/>
          <w:szCs w:val="28"/>
          <w:rtl w:val="true"/>
          <w:lang w:bidi="ar-SA"/>
        </w:rPr>
        <w:t xml:space="preserve">فاليعافير والعيس ليست من الأنيس فهو مستثنى منقطع بعد إلّا مع رفعه على البدل ، وقد أجابوا عن هذا البيت بأنّ المراد بالأنيس ما يؤانس ويلازم المكان فهو أعمّ من الإنسان ، واليعافير والعيس بدل من الأنيس بدل البعض من الكلّ فلا يكون مستثنى منقطعا ، وإنّما أوجب أهل الحجاز نصب المستثنى المنقطع لامتناع البدل فيه ، وليكون مخالفا للمستثنى منه في الإعراب كما خالفه في الحكم والنّوع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يجب نصب المستثنى بعد خلا وعدا عند الأكثرين </w:t>
      </w:r>
      <w:r>
        <w:rPr>
          <w:rStyle w:val="FootnoteAnchor"/>
          <w:rtl w:val="true"/>
        </w:rPr>
        <w:footnoteReference w:id="836"/>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القوم عدا زيدا أي عدا بعضهم زيدا ، وخلا بعضهم زيدا بمعنى جاوز وجانب ، وقال بعضهم </w:t>
      </w:r>
      <w:r>
        <w:rPr>
          <w:rFonts w:eastAsia="Amiri" w:cs="Amiri" w:ascii="Amiri" w:hAnsi="Amiri"/>
          <w:color w:val="111111"/>
          <w:sz w:val="28"/>
          <w:szCs w:val="28"/>
          <w:rtl w:val="true"/>
          <w:lang w:bidi="ar-SA"/>
        </w:rPr>
        <w:t xml:space="preserve">: </w:t>
      </w:r>
      <w:r>
        <w:rPr>
          <w:rStyle w:val="FootnoteAnchor"/>
          <w:rtl w:val="true"/>
        </w:rPr>
        <w:footnoteReference w:id="837"/>
      </w:r>
      <w:r>
        <w:rPr>
          <w:rFonts w:ascii="Amiri" w:hAnsi="Amiri" w:eastAsia="Amiri" w:cs="Amiri"/>
          <w:color w:val="111111"/>
          <w:sz w:val="28"/>
          <w:sz w:val="28"/>
          <w:szCs w:val="28"/>
          <w:rtl w:val="true"/>
          <w:lang w:bidi="ar-SA"/>
        </w:rPr>
        <w:t>إنّهما حرفا جرّ فيكون ما بعدهما مخفوضا ، والنّصب بخلا وعدا هو المشهور</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ويجب نصب المستثنى بعد ليس وما عدا وما خلا ولا يكون ، لأنّ ما مصدريّة </w:t>
      </w:r>
      <w:bookmarkStart w:id="316" w:name="pg14482_156165"/>
    </w:p>
    <w:p>
      <w:pPr>
        <w:pStyle w:val="BookText"/>
        <w:rPr/>
      </w:pPr>
      <w:bookmarkEnd w:id="316"/>
      <w:r>
        <w:rPr>
          <w:rFonts w:ascii="Amiri" w:hAnsi="Amiri" w:eastAsia="Amiri" w:cs="Amiri"/>
          <w:color w:val="111111"/>
          <w:sz w:val="28"/>
          <w:sz w:val="28"/>
          <w:szCs w:val="28"/>
          <w:rtl w:val="true"/>
          <w:lang w:bidi="ar-SA"/>
        </w:rPr>
        <w:t xml:space="preserve">لا تدخل إلّا على الفعل فوجب أن يكون خلا وعدا فعلين وفاعلهما مضمر ، والمستثنى مفعول به فوجب نصبه ، وأما ليس ولا يكون فلأنّهما فعلان ناقصان اسمهما مضمر فيهما ، والمستثنى خبرهما فيجب نصبه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القوم ليس بعضهم زيدا ولا يكون بعضهم عمرا </w:t>
      </w:r>
      <w:r>
        <w:rPr>
          <w:rStyle w:val="FootnoteAnchor"/>
          <w:rtl w:val="true"/>
        </w:rPr>
        <w:footnoteReference w:id="8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القياس أن تورد هذه المفاعيل في المفعول به وفي خبر كان وأخواتها ، لا في الاستثناء ولكن ذكرناها فيه حسبما ذكرها غيرنا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17" w:name="__RefHeading___Toc716752_996550957"/>
      <w:bookmarkStart w:id="318" w:name="_Toc117"/>
      <w:bookmarkEnd w:id="317"/>
      <w:r>
        <w:rPr>
          <w:rtl w:val="true"/>
        </w:rPr>
        <w:t>ذكر جواز نصب المستثنى</w:t>
      </w:r>
      <w:bookmarkEnd w:id="318"/>
    </w:p>
    <w:p>
      <w:pPr>
        <w:pStyle w:val="BookText"/>
        <w:rPr/>
      </w:pPr>
      <w:r>
        <w:rPr>
          <w:rStyle w:val="FootnoteAnchor"/>
          <w:rtl w:val="true"/>
        </w:rPr>
        <w:footnoteReference w:id="8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نصب المستثنى ويختار إبداله ، إذا وقع بعد إلّا في كلام غير موجب وذكر المستثنى منه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قام أحد إلّا زيد وزيدا ، برفعه على البدل من المستثنى منه ، ونصبه على الاستثناء ، والمراد بغير الموجب الكلام الواقع في سياق النفي ، أو النهي ، أو الاستفهام ، وخرج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إلّا ، ما هو بعد أخواتها لتعذّر البدل فيما بعدهنّ ، وإنّما اشترط أن يكون في غير موجب ، لأنّه لو كان في كلام موجب لم يجز البدل ، ووجب النّصب كما تقدّم ، وفي جعله بدلا إشكال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بدل البعض من الكل لعموم النكرة في سياق النفي أعني أحدا وبدل البعض لا بدّ فيه من ضمير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زيدا يده أو يدا له ، ولا ضمير إذا جعل بدلا ، إذ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قام إلّا زيد ، فلا يصحّ البدل</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زيدا مثبت والمبدل منه منفيّ ، فيباين البدل المبدل منه </w:t>
      </w:r>
      <w:r>
        <w:rPr>
          <w:rStyle w:val="FootnoteAnchor"/>
          <w:rtl w:val="true"/>
        </w:rPr>
        <w:footnoteReference w:id="841"/>
      </w:r>
      <w:r>
        <w:rPr>
          <w:rFonts w:ascii="Amiri" w:hAnsi="Amiri" w:eastAsia="Amiri" w:cs="Amiri"/>
          <w:color w:val="111111"/>
          <w:sz w:val="28"/>
          <w:sz w:val="28"/>
          <w:szCs w:val="28"/>
          <w:rtl w:val="true"/>
          <w:lang w:bidi="ar-SA"/>
        </w:rPr>
        <w:t xml:space="preserve">وقد أجابوا عن ذلك بما لا يخلو من تكلّف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الضمير في زيد فهو محذوف مراد ، إذ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قام إلّا زيد منهم ، وإن اختلاف الحكم نفيا وإثباتا لا يمنع البدليّة </w:t>
      </w:r>
      <w:bookmarkStart w:id="319" w:name="pg14482_156166"/>
    </w:p>
    <w:p>
      <w:pPr>
        <w:pStyle w:val="BookText"/>
        <w:rPr/>
      </w:pPr>
      <w:bookmarkEnd w:id="319"/>
      <w:r>
        <w:rPr>
          <w:rFonts w:ascii="Amiri" w:hAnsi="Amiri" w:eastAsia="Amiri" w:cs="Amiri"/>
          <w:color w:val="111111"/>
          <w:sz w:val="28"/>
          <w:sz w:val="28"/>
          <w:szCs w:val="28"/>
          <w:rtl w:val="true"/>
          <w:lang w:bidi="ar-SA"/>
        </w:rPr>
        <w:t xml:space="preserve">قياسا على جواز اختلاف الصّفة والموصوف في الحكم 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برجل لا صالح ولا طالح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20" w:name="__RefHeading___Toc716754_996550957"/>
      <w:bookmarkStart w:id="321" w:name="_Toc118"/>
      <w:bookmarkEnd w:id="320"/>
      <w:r>
        <w:rPr>
          <w:rtl w:val="true"/>
        </w:rPr>
        <w:t>ذكر الاستثناء المفرّغ</w:t>
      </w:r>
      <w:bookmarkEnd w:id="321"/>
    </w:p>
    <w:p>
      <w:pPr>
        <w:pStyle w:val="BookText"/>
        <w:rPr/>
      </w:pPr>
      <w:r>
        <w:rPr>
          <w:rStyle w:val="FootnoteAnchor"/>
          <w:rtl w:val="true"/>
        </w:rPr>
        <w:footnoteReference w:id="8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المستثنى الذي لم يذكر المستثنى منه معه ، وكان في كلام غير موجب غالبا ، ويعرب على حسب العوامل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جاءني إلّا زيد ، وما ضربت إلّا زيدا وما مررت إلّا بزيد ، وإنّما كان في كلام غير موجب ليفيد أنّ المستثنى منه المحذوف عامّ ، لأنّ النكرة تعمّ في سياق النفي ، فإنّ التقدير في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ضربت إلّا زيدا ، ما ضربت أحدا إلّا زيدا ، فلو جاء في كلام موجب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إلّا زيدا لم يستقم ، لعدم جواز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كلّ أحد إلّا زيدا فيستحيل تقدير المستثنى منه المحذوف عامّا فيمتنع ، فأمّا إذا أمكن تقدير المستثنى منه المحذوف عامّا في كلام موجب فإنّه يجوز وقوع المفرغ في الموجب حينئذ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إلّا سورة كذا ، وصمت إلّا يوم العيد ، لإمكان قراءة القرآن كلّه إلّا تلك السورة ، وصوم كلّ الأيام إلّا يوم العيد فأمكن تقدير المستثنى منه المحذوف عامّا ، فاستقام المعنى بخلاف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إلّا زيدا ، لاستحالة تقدير ضرب جميع الناس ، وسمّي مفرّغا لأنّ العامل فرّغ له ، بحذف المستثنى منه ، ومن جهة أنّ المعنى لا يستقيم في المفرغ إلّا في غير الموجب لم يجز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زلت إلّا قائما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للنفي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للنفي ونفي النّفيّ ، إثبات ، فيؤدي إلى أن يكون قائما مثبتا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في سياق ما 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منفيّا لأنّه بعد إلّا في كلام مثبت ؛ فيمتنع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22" w:name="__RefHeading___Toc716756_996550957"/>
      <w:bookmarkStart w:id="323" w:name="_Toc119"/>
      <w:bookmarkEnd w:id="322"/>
      <w:r>
        <w:rPr>
          <w:rtl w:val="true"/>
        </w:rPr>
        <w:t>ذكر البدل على المحلّ</w:t>
      </w:r>
      <w:bookmarkEnd w:id="323"/>
    </w:p>
    <w:p>
      <w:pPr>
        <w:pStyle w:val="BookText"/>
        <w:rPr/>
      </w:pPr>
      <w:r>
        <w:rPr>
          <w:rStyle w:val="FootnoteAnchor"/>
          <w:rtl w:val="true"/>
        </w:rPr>
        <w:footnoteReference w:id="8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تعذّر البدل على اللفظ أبدل على المحلّ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والمذكور هنا لذلك ثلاثة أمثلة </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جاءني من أحد إلّا زيد ، فيجوز نصب زيد على الاستثناء ورفعه على البدل من محل أحد ، لأنّ محلّه الرفع بأنه فاعل جاءني ، ويمتنع البدل من لفظه ، لأنه </w:t>
      </w:r>
    </w:p>
    <w:p>
      <w:pPr>
        <w:pStyle w:val="BookText"/>
        <w:rPr/>
      </w:pPr>
      <w:r>
        <w:rPr>
          <w:rFonts w:ascii="Amiri" w:hAnsi="Amiri" w:eastAsia="Amiri" w:cs="Amiri"/>
          <w:color w:val="111111"/>
          <w:sz w:val="28"/>
          <w:sz w:val="28"/>
          <w:szCs w:val="28"/>
          <w:rtl w:val="true"/>
          <w:lang w:bidi="ar-SA"/>
        </w:rPr>
        <w:t xml:space="preserve">لو أبدل من لفظه كان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من زيد ، فتزاد من في الإثبات وهو غير جائز عند سيبويه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أحد في الدار إلّا زيد ، ولا إله إلّا الله بالرفع على البدل من المحلّ </w:t>
      </w:r>
      <w:r>
        <w:rPr>
          <w:rStyle w:val="FootnoteAnchor"/>
          <w:rtl w:val="true"/>
        </w:rPr>
        <w:footnoteReference w:id="847"/>
      </w:r>
      <w:r>
        <w:rPr>
          <w:rFonts w:ascii="Amiri" w:hAnsi="Amiri" w:eastAsia="Amiri" w:cs="Amiri"/>
          <w:color w:val="111111"/>
          <w:sz w:val="28"/>
          <w:sz w:val="28"/>
          <w:szCs w:val="28"/>
          <w:rtl w:val="true"/>
          <w:lang w:bidi="ar-SA"/>
        </w:rPr>
        <w:t xml:space="preserve">ولا يجوز النّصب على البدل من لفظ أحد وإله خلافا للزجاج ، وإنّما تعيّن البدل من المحلّ دون اللفظ ، لأنّ العامل لفظا لمّا كان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إنّما تعمل للنفي وما بعد إلّا إذا وقع في سياق النفي كان مثبتا ، والبدل في حكم تكرير العامل فلو قدّرت بعد إلّا ، لزم الجمع بين المتناقضين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تقتضي نفي ما بعدها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تقتضي إثباته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زيد شيئا إلّا شيء لا يعبأ به ، فلا يجوز نصب شيء الثاني على البدل من لفظ شيئا الأول الذي هو خبر ما ، إذ يبقى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زيد إلّا شيئا ، فيلزم تقدير ما عاملة بعد إلّا وهي لا تعمل بعدها لانتقاض النفي ، فيتعذّر البدل على اللفظ ، فيجب حمله على المحل ، ومحلّه رفع في الأصل قبل دخول ما بخلاف ليس فإنه يجب النصب في مثل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زيد إلّا شيئا لا يعبأ به ، لأنّ ليس إنما عملت للفعليّة لا للنفي ، فهي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زيد إلّا قائما ، 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فإنّهما إنما عملا للنفي ، فإذا انتقض بنحو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بطل عملهما ، فلذلك وجب النصب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زيد إلّا قائما وامتنع النصب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زيد إلّا قائما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والمستثنى بغير وسوى وسواء لا يكون إلّا مخفوضا </w:t>
      </w:r>
      <w:r>
        <w:rPr>
          <w:rStyle w:val="FootnoteAnchor"/>
          <w:rtl w:val="true"/>
        </w:rPr>
        <w:footnoteReference w:id="849"/>
      </w:r>
      <w:r>
        <w:rPr>
          <w:rFonts w:ascii="Amiri" w:hAnsi="Amiri" w:eastAsia="Amiri" w:cs="Amiri"/>
          <w:color w:val="111111"/>
          <w:sz w:val="28"/>
          <w:sz w:val="28"/>
          <w:szCs w:val="28"/>
          <w:rtl w:val="true"/>
          <w:lang w:bidi="ar-SA"/>
        </w:rPr>
        <w:t xml:space="preserve">لأنّه مضاف إليه ، وكذلك حاشا على الأكثر </w:t>
      </w:r>
      <w:r>
        <w:rPr>
          <w:rStyle w:val="FootnoteAnchor"/>
          <w:rtl w:val="true"/>
        </w:rPr>
        <w:footnoteReference w:id="850"/>
      </w:r>
      <w:r>
        <w:rPr>
          <w:rFonts w:ascii="Amiri" w:hAnsi="Amiri" w:eastAsia="Amiri" w:cs="Amiri"/>
          <w:color w:val="111111"/>
          <w:sz w:val="28"/>
          <w:sz w:val="28"/>
          <w:szCs w:val="28"/>
          <w:rtl w:val="true"/>
          <w:lang w:bidi="ar-SA"/>
        </w:rPr>
        <w:t xml:space="preserve">وقلّ النصب بها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لي ولمن سمع حاشا الشيطان وابن الأصبغ </w:t>
      </w:r>
      <w:r>
        <w:rPr>
          <w:rStyle w:val="FootnoteAnchor"/>
          <w:rtl w:val="true"/>
        </w:rPr>
        <w:footnoteReference w:id="8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حرف جرّ غالبا ، ومنهم من ينصب بحاشا على أنه </w:t>
      </w:r>
    </w:p>
    <w:p>
      <w:pPr>
        <w:pStyle w:val="BookText"/>
        <w:rPr/>
      </w:pPr>
      <w:r>
        <w:rPr>
          <w:rFonts w:ascii="IRNazanin" w:hAnsi="IRNazanin" w:eastAsia="IRNazanin"/>
          <w:color w:val="111111"/>
          <w:sz w:val="28"/>
          <w:sz w:val="28"/>
          <w:szCs w:val="28"/>
          <w:rtl w:val="true"/>
          <w:lang w:bidi="fa-IR"/>
        </w:rPr>
        <w:t xml:space="preserve">فعل </w:t>
      </w:r>
      <w:r>
        <w:rPr>
          <w:rStyle w:val="FootnoteAnchor"/>
          <w:rtl w:val="true"/>
        </w:rPr>
        <w:footnoteReference w:id="852"/>
      </w:r>
      <w:r>
        <w:rPr>
          <w:rFonts w:ascii="Amiri" w:hAnsi="Amiri" w:eastAsia="Amiri" w:cs="Amiri"/>
          <w:color w:val="111111"/>
          <w:sz w:val="28"/>
          <w:sz w:val="28"/>
          <w:szCs w:val="28"/>
          <w:rtl w:val="true"/>
          <w:lang w:bidi="ar-SA"/>
        </w:rPr>
        <w:t xml:space="preserve">بمعنى جانب بعضهم زيدا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من الحشا وهو الجانب </w:t>
      </w:r>
      <w:r>
        <w:rPr>
          <w:rStyle w:val="FootnoteAnchor"/>
          <w:rtl w:val="true"/>
        </w:rPr>
        <w:footnoteReference w:id="853"/>
      </w:r>
      <w:r>
        <w:rPr>
          <w:rFonts w:ascii="Amiri" w:hAnsi="Amiri" w:eastAsia="Amiri" w:cs="Amiri"/>
          <w:color w:val="111111"/>
          <w:sz w:val="28"/>
          <w:sz w:val="28"/>
          <w:szCs w:val="28"/>
          <w:rtl w:val="true"/>
          <w:lang w:bidi="ar-SA"/>
        </w:rPr>
        <w:t xml:space="preserve">وسوى بكسر السين وضمّها مع القصر وبفتحها مع المدّ ظرف مكان عند سيبويه </w:t>
      </w:r>
      <w:r>
        <w:rPr>
          <w:rStyle w:val="FootnoteAnchor"/>
          <w:rtl w:val="true"/>
        </w:rPr>
        <w:footnoteReference w:id="854"/>
      </w:r>
      <w:r>
        <w:rPr>
          <w:rFonts w:ascii="Amiri" w:hAnsi="Amiri" w:eastAsia="Amiri" w:cs="Amiri"/>
          <w:color w:val="111111"/>
          <w:sz w:val="28"/>
          <w:sz w:val="28"/>
          <w:szCs w:val="28"/>
          <w:rtl w:val="true"/>
          <w:lang w:bidi="ar-SA"/>
        </w:rPr>
        <w:t xml:space="preserve">وإعرابها النّصب على الظرفيّة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القوم سوى زيد ، ومعناه جاء القوم مكان زيد ، وقال قوم حكمها حكم غير </w:t>
      </w:r>
      <w:r>
        <w:rPr>
          <w:rStyle w:val="FootnoteAnchor"/>
          <w:rtl w:val="true"/>
        </w:rPr>
        <w:footnoteReference w:id="855"/>
      </w:r>
      <w:r>
        <w:rPr>
          <w:rFonts w:ascii="Amiri" w:hAnsi="Amiri" w:eastAsia="Amiri" w:cs="Amiri"/>
          <w:color w:val="111111"/>
          <w:sz w:val="28"/>
          <w:sz w:val="28"/>
          <w:szCs w:val="28"/>
          <w:rtl w:val="true"/>
          <w:lang w:bidi="ar-SA"/>
        </w:rPr>
        <w:t xml:space="preserve">وعليه قوله </w:t>
      </w:r>
      <w:r>
        <w:rPr>
          <w:rFonts w:eastAsia="Amiri" w:cs="Amiri" w:ascii="Amiri" w:hAnsi="Amiri"/>
          <w:color w:val="111111"/>
          <w:sz w:val="28"/>
          <w:szCs w:val="28"/>
          <w:rtl w:val="true"/>
          <w:lang w:bidi="ar-SA"/>
        </w:rPr>
        <w:t xml:space="preserve">: </w:t>
      </w:r>
      <w:r>
        <w:rPr>
          <w:rStyle w:val="FootnoteAnchor"/>
          <w:rtl w:val="true"/>
        </w:rPr>
        <w:footnoteReference w:id="856"/>
      </w:r>
    </w:p>
    <w:p>
      <w:pPr>
        <w:pStyle w:val="BookText"/>
        <w:rPr/>
      </w:pPr>
      <w:r>
        <w:rPr>
          <w:rFonts w:ascii="Amiri" w:hAnsi="Amiri" w:eastAsia="Amiri" w:cs="Amiri"/>
          <w:color w:val="111111"/>
          <w:sz w:val="28"/>
          <w:sz w:val="28"/>
          <w:szCs w:val="28"/>
          <w:rtl w:val="true"/>
          <w:lang w:bidi="ar-SA"/>
        </w:rPr>
        <w:t>ولم يبق سوى العدوا</w:t>
      </w:r>
    </w:p>
    <w:p>
      <w:pPr>
        <w:pStyle w:val="BookText"/>
        <w:rPr/>
      </w:pPr>
      <w:r>
        <w:rPr>
          <w:rFonts w:ascii="Amiri" w:hAnsi="Amiri" w:eastAsia="Amiri" w:cs="Amiri"/>
          <w:color w:val="111111"/>
          <w:sz w:val="28"/>
          <w:sz w:val="28"/>
          <w:szCs w:val="28"/>
          <w:rtl w:val="true"/>
          <w:lang w:bidi="ar-SA"/>
        </w:rPr>
        <w:t>ن دنّاهم كما دانوا</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فسوى فاعل لم يبق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يبق غير العدوان </w:t>
      </w:r>
      <w:r>
        <w:rPr>
          <w:rStyle w:val="FootnoteAnchor"/>
          <w:rtl w:val="true"/>
        </w:rPr>
        <w:footnoteReference w:id="8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ومما يذكر مع أدوات الاستثناء لا سيّما ، وإن لم تكن في الحقيقة أداة استثناء لأنّ الاستثناء يثبت للمستثنى حكما </w:t>
      </w:r>
      <w:r>
        <w:rPr>
          <w:rStyle w:val="FootnoteAnchor"/>
          <w:rtl w:val="true"/>
        </w:rPr>
        <w:footnoteReference w:id="858"/>
      </w:r>
      <w:r>
        <w:rPr>
          <w:rFonts w:ascii="Amiri" w:hAnsi="Amiri" w:eastAsia="Amiri" w:cs="Amiri"/>
          <w:color w:val="111111"/>
          <w:sz w:val="28"/>
          <w:sz w:val="28"/>
          <w:szCs w:val="28"/>
          <w:rtl w:val="true"/>
          <w:lang w:bidi="ar-SA"/>
        </w:rPr>
        <w:t xml:space="preserve">ضدّ حكم المستثنى منه وليست لا سيّما كذلك ، لأنّها تثبت للثاني حكم الأول بطريق الزيادة </w:t>
      </w:r>
      <w:r>
        <w:rPr>
          <w:rStyle w:val="FootnoteAnchor"/>
          <w:rtl w:val="true"/>
        </w:rPr>
        <w:footnoteReference w:id="859"/>
      </w:r>
      <w:r>
        <w:rPr>
          <w:rFonts w:ascii="Amiri" w:hAnsi="Amiri" w:eastAsia="Amiri" w:cs="Amiri"/>
          <w:color w:val="111111"/>
          <w:sz w:val="28"/>
          <w:sz w:val="28"/>
          <w:szCs w:val="28"/>
          <w:rtl w:val="true"/>
          <w:lang w:bidi="ar-SA"/>
        </w:rPr>
        <w:t xml:space="preserve">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إليّ القوم لا سيّما زيد ، كان في الكلام إيذان بأنّ زيدا كان أوفر القوم إحسانا ، ووجه ذكرها مع أدوات الاستثناء أنّ ما بعدها يخالف ما قبلها في الإخراج من المساواة إلى الترجيح بإثبات الزيادة له ، وكان حكمه غير حكم الأول ، واعلم أنّ لا سيّما ثلاث كلمات ، 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وسيّ ، 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فعند أكثر النحويين هي التي لنفي الجنس </w:t>
      </w:r>
      <w:r>
        <w:rPr>
          <w:rStyle w:val="FootnoteAnchor"/>
          <w:rtl w:val="true"/>
        </w:rPr>
        <w:footnoteReference w:id="860"/>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السين فهو المثل </w:t>
      </w:r>
      <w:r>
        <w:rPr>
          <w:rStyle w:val="FootnoteAnchor"/>
          <w:rtl w:val="true"/>
        </w:rPr>
        <w:footnoteReference w:id="861"/>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فقيل هي حرف زائد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اسم بمعنى الذي </w:t>
      </w:r>
      <w:r>
        <w:rPr>
          <w:rStyle w:val="FootnoteAnchor"/>
          <w:rtl w:val="true"/>
        </w:rPr>
        <w:footnoteReference w:id="862"/>
      </w:r>
      <w:r>
        <w:rPr>
          <w:rFonts w:ascii="Amiri" w:hAnsi="Amiri" w:eastAsia="Amiri" w:cs="Amiri"/>
          <w:color w:val="111111"/>
          <w:sz w:val="28"/>
          <w:sz w:val="28"/>
          <w:szCs w:val="28"/>
          <w:rtl w:val="true"/>
          <w:lang w:bidi="ar-SA"/>
        </w:rPr>
        <w:t xml:space="preserve">فإذا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لا في لا سيّما هي التي لنفي الجنس ، كانت سيّ إمّا نكرة مبنية معها على الفتح ، أو معربة منصوبة مضافة إلى زيد مثلا ، وما زائدة ، والخبر محذوف أي حاصل أو موجود ،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مثل زيد موجود ، ويجوز في الاسم الواقع بعد لا سيّما الرفع والنّصب والجرّ ، لكنّ الجرّ هو الكثير ، والرّفع قليل والنّصب أقلّ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روي بالوجوه الثلاثة قول امرىء القيس </w:t>
      </w:r>
      <w:r>
        <w:rPr>
          <w:rFonts w:eastAsia="Amiri" w:cs="Amiri" w:ascii="Amiri" w:hAnsi="Amiri"/>
          <w:color w:val="111111"/>
          <w:sz w:val="28"/>
          <w:szCs w:val="28"/>
          <w:rtl w:val="true"/>
          <w:lang w:bidi="ar-SA"/>
        </w:rPr>
        <w:t xml:space="preserve">: </w:t>
      </w:r>
      <w:r>
        <w:rPr>
          <w:rStyle w:val="FootnoteAnchor"/>
          <w:rtl w:val="true"/>
        </w:rPr>
        <w:footnoteReference w:id="864"/>
      </w:r>
    </w:p>
    <w:p>
      <w:pPr>
        <w:pStyle w:val="BookText"/>
        <w:rPr/>
      </w:pPr>
      <w:r>
        <w:rPr>
          <w:rFonts w:ascii="Amiri" w:hAnsi="Amiri" w:eastAsia="Amiri" w:cs="Amiri"/>
          <w:color w:val="111111"/>
          <w:sz w:val="28"/>
          <w:sz w:val="28"/>
          <w:szCs w:val="28"/>
          <w:rtl w:val="true"/>
          <w:lang w:bidi="ar-SA"/>
        </w:rPr>
        <w:t>ألا ربّ يوم صالح لك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ربّ يوم لك منهنّ صالح</w:t>
      </w:r>
    </w:p>
    <w:p>
      <w:pPr>
        <w:pStyle w:val="BookText"/>
        <w:rPr/>
      </w:pPr>
      <w:r>
        <w:rPr>
          <w:rFonts w:ascii="Amiri" w:hAnsi="Amiri" w:eastAsia="Amiri" w:cs="Amiri"/>
          <w:color w:val="111111"/>
          <w:sz w:val="28"/>
          <w:sz w:val="28"/>
          <w:szCs w:val="28"/>
          <w:rtl w:val="true"/>
          <w:lang w:bidi="ar-SA"/>
        </w:rPr>
        <w:t xml:space="preserve">ولا سيّما يوم بدارة جلجل </w:t>
      </w:r>
      <w:r>
        <w:rPr>
          <w:rStyle w:val="FootnoteAnchor"/>
          <w:rtl w:val="true"/>
        </w:rPr>
        <w:footnoteReference w:id="865"/>
      </w:r>
    </w:p>
    <w:p>
      <w:pPr>
        <w:pStyle w:val="BookText"/>
        <w:rPr/>
      </w:pPr>
      <w:r>
        <w:rPr>
          <w:rFonts w:ascii="Amiri" w:hAnsi="Amiri" w:eastAsia="Amiri" w:cs="Amiri"/>
          <w:color w:val="111111"/>
          <w:sz w:val="28"/>
          <w:sz w:val="28"/>
          <w:szCs w:val="28"/>
          <w:rtl w:val="true"/>
          <w:lang w:bidi="ar-SA"/>
        </w:rPr>
        <w:t xml:space="preserve">فالجرّ على أن تكون ما زائدة والاسم مجرور بإضافة سي إليه ،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مثل يوم ، والرّفع على أن تكون ما موصولة مجرورة بإضافة سيّ إليها ، والاسم بعدها خبر مبتدأ محذوف ،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مثل الذي هو يوم بدارة جلجل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الجملة لا موضع لها من الإعراب ، لأنّها صلة الموصول والنّصب على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منصوبا بفعل محذوف ، وما زائدة أي لا مثل أعني يوما</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تجعل لا سيّما بمنزلة إلّا فينتصب ما بعدها وهذا ضعيف ، لما بيّنّا من كونها ليست بمنزلة إلّا في صدر هذا الكلام ، ويجوز تخفيف لا سيّما ، ويجوز أيضا حذف لا منها للعلم بها </w:t>
      </w:r>
      <w:r>
        <w:rPr>
          <w:rStyle w:val="FootnoteAnchor"/>
          <w:rtl w:val="true"/>
        </w:rPr>
        <w:footnoteReference w:id="866"/>
      </w:r>
      <w:r>
        <w:rPr>
          <w:rFonts w:ascii="Amiri" w:hAnsi="Amiri" w:eastAsia="Amiri" w:cs="Amiri"/>
          <w:color w:val="111111"/>
          <w:sz w:val="28"/>
          <w:sz w:val="28"/>
          <w:szCs w:val="28"/>
          <w:rtl w:val="true"/>
          <w:lang w:bidi="ar-SA"/>
        </w:rPr>
        <w:t xml:space="preserve">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أكرمه النّاس سيّما زيد</w:t>
      </w:r>
      <w:r>
        <w:rPr>
          <w:rFonts w:eastAsia="Amiri" w:cs="Amiri" w:ascii="Amiri" w:hAnsi="Amiri"/>
          <w:color w:val="111111"/>
          <w:sz w:val="28"/>
          <w:szCs w:val="28"/>
          <w:rtl w:val="true"/>
          <w:lang w:bidi="ar-SA"/>
        </w:rPr>
        <w:t>]</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 xml:space="preserve">. </w:t>
      </w:r>
      <w:bookmarkStart w:id="324" w:name="pg14482_156170"/>
    </w:p>
    <w:p>
      <w:pPr>
        <w:pStyle w:val="Heading6"/>
        <w:numPr>
          <w:ilvl w:val="5"/>
          <w:numId w:val="1"/>
        </w:numPr>
        <w:rPr/>
      </w:pPr>
      <w:bookmarkStart w:id="325" w:name="__RefHeading___Toc716758_996550957"/>
      <w:bookmarkStart w:id="326" w:name="_Toc120"/>
      <w:bookmarkEnd w:id="324"/>
      <w:bookmarkEnd w:id="325"/>
      <w:r>
        <w:rPr>
          <w:rtl w:val="true"/>
        </w:rPr>
        <w:t>ذكر إعراب غير</w:t>
      </w:r>
      <w:bookmarkEnd w:id="326"/>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اسم متمكّن يعرب إعراب المستثنى بإلّا ، فينصب في الموجب وفي التقديم وجوبا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القوم غير زيد ، وما جاءني غير زيد أحد ، ويجب أيضا فيه النصب في المنقطع على لغة أهل الحجاز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جاءني أحد غير حمار ، ويختار فيه البدل في غير الموجب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جاءني أحد غير زيد ، ويعرب على حسب العوامل في المفرغ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جاءني غير زيد ، وما ضربت غير زيد ، وما مررت بغير زيد </w:t>
      </w:r>
      <w:r>
        <w:rPr>
          <w:rStyle w:val="FootnoteAnchor"/>
          <w:rtl w:val="true"/>
        </w:rPr>
        <w:footnoteReference w:id="869"/>
      </w:r>
      <w:r>
        <w:rPr>
          <w:rFonts w:ascii="Amiri" w:hAnsi="Amiri" w:eastAsia="Amiri" w:cs="Amiri"/>
          <w:color w:val="111111"/>
          <w:sz w:val="28"/>
          <w:sz w:val="28"/>
          <w:szCs w:val="28"/>
          <w:rtl w:val="true"/>
          <w:lang w:bidi="ar-SA"/>
        </w:rPr>
        <w:t xml:space="preserve">وما بعد غير مخالف لما قبلها في النفي والإثبات فهي تشابه إلّا بذلك وغير أصل في باب الصّفة ، وهي دخيلة ومحمولة على إلّا في الاستثناء ، وإلّا أصل في الاستثناء وهي دخيلة ومحمولة على غير في الصفة لكون إلّا حرفا ، وأصل الحرف ألّا يقع صفة ، والفرق بين غير إذا استثني بها ، وبينها إذا كانت صفة ، أنّها إذا استثني بها تقتضي إخراج ما بعدها ، وإذا كانت صفة دلّت على المغايرة من غير إخراج ، فإنّه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مائة درهم غير درهم ، بنصب غير لزمه تسعة وتسعون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r>
        <w:rPr>
          <w:rStyle w:val="FootnoteAnchor"/>
          <w:rtl w:val="true"/>
        </w:rPr>
        <w:footnoteReference w:id="870"/>
      </w:r>
      <w:r>
        <w:rPr>
          <w:rFonts w:ascii="Amiri" w:hAnsi="Amiri" w:eastAsia="Amiri" w:cs="Amiri"/>
          <w:color w:val="111111"/>
          <w:sz w:val="28"/>
          <w:sz w:val="28"/>
          <w:szCs w:val="28"/>
          <w:rtl w:val="true"/>
          <w:lang w:bidi="ar-SA"/>
        </w:rPr>
        <w:t xml:space="preserve">التقدير له عليّ مائة إلّا درهما ، 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مائة غير درهم بالرفع لزمه المائة لعدم الإخراج ، إذ التقدير له عليّ مائة مغايرة لدرهم </w:t>
      </w:r>
      <w:r>
        <w:rPr>
          <w:rStyle w:val="FootnoteAnchor"/>
          <w:rtl w:val="true"/>
        </w:rPr>
        <w:footnoteReference w:id="871"/>
      </w:r>
      <w:r>
        <w:rPr>
          <w:rFonts w:ascii="Amiri" w:hAnsi="Amiri" w:eastAsia="Amiri" w:cs="Amiri"/>
          <w:color w:val="111111"/>
          <w:sz w:val="28"/>
          <w:sz w:val="28"/>
          <w:szCs w:val="28"/>
          <w:rtl w:val="true"/>
          <w:lang w:bidi="ar-SA"/>
        </w:rPr>
        <w:t xml:space="preserve">ولا يجوز وقوع إلّا صفة إلّا إذا تعذّر الاستثناء بها وذلك إنّما يكون إذا كانت تابعة لجمع منكور غير محصور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فِيهِما آلِهَةٌ إِلَّا اللهُ لَفَسَدَتا</w:t>
      </w:r>
      <w:r>
        <w:rPr>
          <w:rFonts w:eastAsia="Amiri" w:cs="Amiri" w:ascii="Amiri" w:hAnsi="Amiri"/>
          <w:color w:val="111111"/>
          <w:sz w:val="28"/>
          <w:szCs w:val="28"/>
          <w:rtl w:val="true"/>
          <w:lang w:bidi="ar-SA"/>
        </w:rPr>
        <w:t>)</w:t>
      </w:r>
      <w:r>
        <w:rPr>
          <w:rStyle w:val="FootnoteAnchor"/>
          <w:rtl w:val="true"/>
        </w:rPr>
        <w:footnoteReference w:id="872"/>
      </w:r>
      <w:r>
        <w:rPr>
          <w:rFonts w:ascii="Amiri" w:hAnsi="Amiri" w:eastAsia="Amiri" w:cs="Amiri"/>
          <w:color w:val="111111"/>
          <w:sz w:val="28"/>
          <w:sz w:val="28"/>
          <w:szCs w:val="28"/>
          <w:rtl w:val="true"/>
          <w:lang w:bidi="ar-SA"/>
        </w:rPr>
        <w:t xml:space="preserve">فإلّا وقعت تابعة لآلهة وهي جمع منكور غير محصور فهي صفة </w:t>
      </w:r>
      <w:r>
        <w:rPr>
          <w:rStyle w:val="FootnoteAnchor"/>
          <w:rtl w:val="true"/>
        </w:rPr>
        <w:footnoteReference w:id="873"/>
      </w:r>
      <w:r>
        <w:rPr>
          <w:rFonts w:ascii="Amiri" w:hAnsi="Amiri" w:eastAsia="Amiri" w:cs="Amiri"/>
          <w:color w:val="111111"/>
          <w:sz w:val="28"/>
          <w:sz w:val="28"/>
          <w:szCs w:val="28"/>
          <w:rtl w:val="true"/>
          <w:lang w:bidi="ar-SA"/>
        </w:rPr>
        <w:t xml:space="preserve">وإنما اشترط أن تكون تابعة ، لأنّها لو وقعت غير تابعة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إلّا زيد ؛ بحذف الموصوف بمعنى ؛ قام رجال إلّا زيد ، لم يجز ذلك ، بخلاف قام غير زيد ، فإنّه يجوز وإنّما افتقرت إلّا إلى وجود الموصوف دون غير لكون إلّا حرفا وهو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يقبل أن يلي العوامل فلا يجوز أن يقام مقام الموصوف كما جاز ذلك في غير ، لأنّه اسم متمكن ، ولذلك شبّه سيبويه إلّا إذا وقعت صفة بأجمعين في كونها لا تلي العوامل </w:t>
      </w:r>
      <w:r>
        <w:rPr>
          <w:rStyle w:val="FootnoteAnchor"/>
          <w:rtl w:val="true"/>
        </w:rPr>
        <w:footnoteReference w:id="874"/>
      </w:r>
      <w:r>
        <w:rPr>
          <w:rFonts w:ascii="Amiri" w:hAnsi="Amiri" w:eastAsia="Amiri" w:cs="Amiri"/>
          <w:color w:val="111111"/>
          <w:sz w:val="28"/>
          <w:sz w:val="28"/>
          <w:szCs w:val="28"/>
          <w:rtl w:val="true"/>
          <w:lang w:bidi="ar-SA"/>
        </w:rPr>
        <w:t xml:space="preserve">فكما 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أجمعون بمعنى قام القوم أجمعون كذلك 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إلّا زيد ، بمعنى قام رجال إلّا زيد ، وإنّما اشترط أن تكون إلّا تابعة لجمع منكور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رجال إلّا زيد ، لأنّها حينئذ تتعيّن للصّفة لامتناع الاستثناء ، لأنّ شرط الاستثناء أن يدخل المستثنى وجوبا في المستثنى منه لو سكت عنه ، ولا يدخل ما بعد إلّا هنا في رجال ، لأنّ رجالا </w:t>
      </w:r>
      <w:r>
        <w:rPr>
          <w:rStyle w:val="FootnoteAnchor"/>
          <w:rtl w:val="true"/>
        </w:rPr>
        <w:footnoteReference w:id="875"/>
      </w:r>
      <w:r>
        <w:rPr>
          <w:rFonts w:ascii="Amiri" w:hAnsi="Amiri" w:eastAsia="Amiri" w:cs="Amiri"/>
          <w:color w:val="111111"/>
          <w:sz w:val="28"/>
          <w:sz w:val="28"/>
          <w:szCs w:val="28"/>
          <w:rtl w:val="true"/>
          <w:lang w:bidi="ar-SA"/>
        </w:rPr>
        <w:t xml:space="preserve">نكرة في سياق الإثبات فلا تعمّ </w:t>
      </w:r>
      <w:r>
        <w:rPr>
          <w:rStyle w:val="FootnoteAnchor"/>
          <w:rtl w:val="true"/>
        </w:rPr>
        <w:footnoteReference w:id="876"/>
      </w:r>
      <w:r>
        <w:rPr>
          <w:rFonts w:ascii="Amiri" w:hAnsi="Amiri" w:eastAsia="Amiri" w:cs="Amiri"/>
          <w:color w:val="111111"/>
          <w:sz w:val="28"/>
          <w:sz w:val="28"/>
          <w:szCs w:val="28"/>
          <w:rtl w:val="true"/>
          <w:lang w:bidi="ar-SA"/>
        </w:rPr>
        <w:t xml:space="preserve">فلا يدخل المستثنى الذي هو زيد فيها ، لعدم العموم بخلاف ما لو كانت إلّا تابعة لجمع معرّف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الرجال إلّا زيدا ، فإنّها لا تكون حينئذ صفة لصحّة الاستثناء ، وإنّما اشترط أن يكون الجمع المنكور غير محصور ، لأنّه لو كان محصورا لجاز الاستثناء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عليّ عشرة إلّا درهما </w:t>
      </w:r>
      <w:r>
        <w:rPr>
          <w:rStyle w:val="FootnoteAnchor"/>
          <w:rtl w:val="true"/>
        </w:rPr>
        <w:footnoteReference w:id="877"/>
      </w:r>
      <w:r>
        <w:rPr>
          <w:rFonts w:ascii="Amiri" w:hAnsi="Amiri" w:eastAsia="Amiri" w:cs="Amiri"/>
          <w:color w:val="111111"/>
          <w:sz w:val="28"/>
          <w:sz w:val="28"/>
          <w:szCs w:val="28"/>
          <w:rtl w:val="true"/>
          <w:lang w:bidi="ar-SA"/>
        </w:rPr>
        <w:t xml:space="preserve">وإنّما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إلّا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فِيهِما آلِهَةٌ إِلَّا اللهُ لَفَسَدَتا</w:t>
      </w:r>
      <w:r>
        <w:rPr>
          <w:rFonts w:eastAsia="Amiri" w:cs="Amiri" w:ascii="Amiri" w:hAnsi="Amiri"/>
          <w:color w:val="111111"/>
          <w:sz w:val="28"/>
          <w:szCs w:val="28"/>
          <w:rtl w:val="true"/>
          <w:lang w:bidi="ar-SA"/>
        </w:rPr>
        <w:t>)</w:t>
      </w:r>
      <w:r>
        <w:rPr>
          <w:rStyle w:val="FootnoteAnchor"/>
          <w:rtl w:val="true"/>
        </w:rPr>
        <w:footnoteReference w:id="878"/>
      </w:r>
      <w:r>
        <w:rPr>
          <w:rFonts w:ascii="Amiri" w:hAnsi="Amiri" w:eastAsia="Amiri" w:cs="Amiri"/>
          <w:color w:val="111111"/>
          <w:sz w:val="28"/>
          <w:sz w:val="28"/>
          <w:szCs w:val="28"/>
          <w:rtl w:val="true"/>
          <w:lang w:bidi="ar-SA"/>
        </w:rPr>
        <w:t xml:space="preserve">صفة ، ولا يجوز أن تكون للاستثناء ، لأنّ الجمع المنكور ليس بعامّ لما تقدّم ، لأنّه نكرة في سياق الإثبات فليس بعامّ ، ولذلك يصحّ إخراجه من الجمع المعرّف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رجال من الرجال دون العكس ، وإذا كان آلهة جمعا منكرا لم يعمّ جميع الأفراد ، فلم يكن اسم الله مخرجا عنها ، وإذا لم يكن مخرجا لم يكن استثناء فيتعيّن للصفة ، ومعنى وقوعها صفة أنّ ما بعدها مغاير لما قبلها دون إخراجه ، ومنهم من جوّز وقوع إلّا صفة مع جواز الاستثناء </w:t>
      </w:r>
      <w:r>
        <w:rPr>
          <w:rStyle w:val="FootnoteAnchor"/>
          <w:rtl w:val="true"/>
        </w:rPr>
        <w:footnoteReference w:id="879"/>
      </w:r>
      <w:r>
        <w:rPr>
          <w:rFonts w:ascii="IRNazanin" w:hAnsi="IRNazanin" w:eastAsia="IRNazanin"/>
          <w:color w:val="111111"/>
          <w:sz w:val="28"/>
          <w:sz w:val="28"/>
          <w:szCs w:val="28"/>
          <w:rtl w:val="true"/>
          <w:lang w:bidi="fa-IR"/>
        </w:rPr>
        <w:t xml:space="preserve">نحو قوله </w:t>
      </w:r>
      <w:r>
        <w:rPr>
          <w:rFonts w:eastAsia="IRNazanin" w:cs="IRNazanin"/>
          <w:color w:val="111111"/>
          <w:sz w:val="28"/>
          <w:szCs w:val="28"/>
          <w:rtl w:val="true"/>
          <w:lang w:bidi="fa-IR"/>
        </w:rPr>
        <w:t xml:space="preserve">: </w:t>
      </w:r>
      <w:r>
        <w:rPr>
          <w:rStyle w:val="FootnoteAnchor"/>
          <w:rtl w:val="true"/>
        </w:rPr>
        <w:footnoteReference w:id="880"/>
      </w:r>
      <w:bookmarkStart w:id="327" w:name="pg14482_156172"/>
    </w:p>
    <w:p>
      <w:pPr>
        <w:pStyle w:val="BookText"/>
        <w:rPr/>
      </w:pPr>
      <w:bookmarkEnd w:id="327"/>
      <w:r>
        <w:rPr>
          <w:rFonts w:ascii="Amiri" w:hAnsi="Amiri" w:eastAsia="Amiri" w:cs="Amiri"/>
          <w:color w:val="111111"/>
          <w:sz w:val="28"/>
          <w:sz w:val="28"/>
          <w:szCs w:val="28"/>
          <w:rtl w:val="true"/>
          <w:lang w:bidi="ar-SA"/>
        </w:rPr>
        <w:t>وكلّ أخ مفارقه أخوه</w:t>
      </w:r>
    </w:p>
    <w:p>
      <w:pPr>
        <w:pStyle w:val="BookText"/>
        <w:rPr/>
      </w:pPr>
      <w:r>
        <w:rPr>
          <w:rFonts w:ascii="Amiri" w:hAnsi="Amiri" w:eastAsia="Amiri" w:cs="Amiri"/>
          <w:color w:val="111111"/>
          <w:sz w:val="28"/>
          <w:sz w:val="28"/>
          <w:szCs w:val="28"/>
          <w:rtl w:val="true"/>
          <w:lang w:bidi="ar-SA"/>
        </w:rPr>
        <w:t>لعمر أبيك إلّا الفرقدان</w:t>
      </w:r>
    </w:p>
    <w:p>
      <w:pPr>
        <w:pStyle w:val="BookText"/>
        <w:rPr/>
      </w:pPr>
      <w:r>
        <w:rPr>
          <w:rFonts w:ascii="Amiri" w:hAnsi="Amiri" w:eastAsia="Amiri" w:cs="Amiri"/>
          <w:color w:val="111111"/>
          <w:sz w:val="28"/>
          <w:sz w:val="28"/>
          <w:szCs w:val="28"/>
          <w:rtl w:val="true"/>
          <w:lang w:bidi="ar-SA"/>
        </w:rPr>
        <w:t xml:space="preserve">فإلّا الفرقدان صفة لكل أخ ، وتقديره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أخ غير الفرقدين مفارقه أخوه ، وفيه شذوذان </w:t>
      </w:r>
      <w:r>
        <w:rPr>
          <w:rFonts w:eastAsia="Amiri" w:cs="Amiri" w:ascii="Amiri" w:hAnsi="Amiri"/>
          <w:color w:val="111111"/>
          <w:sz w:val="28"/>
          <w:szCs w:val="28"/>
          <w:rtl w:val="true"/>
          <w:lang w:bidi="ar-SA"/>
        </w:rPr>
        <w:t xml:space="preserve">: </w:t>
      </w:r>
      <w:r>
        <w:rPr>
          <w:rStyle w:val="FootnoteAnchor"/>
          <w:rtl w:val="true"/>
        </w:rPr>
        <w:footnoteReference w:id="881"/>
      </w:r>
      <w:r>
        <w:rPr>
          <w:rFonts w:ascii="Amiri" w:hAnsi="Amiri" w:eastAsia="Amiri" w:cs="Amiri"/>
          <w:color w:val="111111"/>
          <w:sz w:val="28"/>
          <w:sz w:val="28"/>
          <w:szCs w:val="28"/>
          <w:rtl w:val="true"/>
          <w:lang w:bidi="ar-SA"/>
        </w:rPr>
        <w:t xml:space="preserve">أمّا أولا فلأنه وصف المضاف وهو كل ، والقياس وصف المضاف إليه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مِنَ الْماءِ كُلَّ شَيْءٍ حَيٍ</w:t>
      </w:r>
      <w:r>
        <w:rPr>
          <w:rFonts w:eastAsia="Amiri" w:cs="Amiri" w:ascii="Amiri" w:hAnsi="Amiri"/>
          <w:color w:val="111111"/>
          <w:sz w:val="28"/>
          <w:szCs w:val="28"/>
          <w:rtl w:val="true"/>
          <w:lang w:bidi="ar-SA"/>
        </w:rPr>
        <w:t>)</w:t>
      </w:r>
      <w:r>
        <w:rPr>
          <w:rStyle w:val="FootnoteAnchor"/>
          <w:rtl w:val="true"/>
        </w:rPr>
        <w:footnoteReference w:id="882"/>
      </w:r>
      <w:r>
        <w:rPr>
          <w:rFonts w:ascii="Amiri" w:hAnsi="Amiri" w:eastAsia="Amiri" w:cs="Amiri"/>
          <w:color w:val="111111"/>
          <w:sz w:val="28"/>
          <w:sz w:val="28"/>
          <w:szCs w:val="28"/>
          <w:rtl w:val="true"/>
          <w:lang w:bidi="ar-SA"/>
        </w:rPr>
        <w:t>وأمّا ثانيا فلأنّه فصل بين الصّفة والموصوف بالخبر الذي هو مفارقه أخوه وهو ضعيف ، وكان قياسه إلّا الفرقدين نصبا على الاستثناء</w:t>
      </w:r>
      <w:r>
        <w:rPr>
          <w:rFonts w:eastAsia="Amiri" w:cs="Amiri" w:ascii="Amiri" w:hAnsi="Amiri"/>
          <w:color w:val="111111"/>
          <w:sz w:val="28"/>
          <w:szCs w:val="28"/>
          <w:rtl w:val="true"/>
          <w:lang w:bidi="ar-SA"/>
        </w:rPr>
        <w:t>.</w:t>
      </w:r>
    </w:p>
    <w:p>
      <w:pPr>
        <w:pStyle w:val="Heading5"/>
        <w:numPr>
          <w:ilvl w:val="4"/>
          <w:numId w:val="1"/>
        </w:numPr>
        <w:rPr/>
      </w:pPr>
      <w:bookmarkStart w:id="328" w:name="__RefHeading___Toc716760_996550957"/>
      <w:bookmarkStart w:id="329" w:name="_Toc121"/>
      <w:bookmarkEnd w:id="328"/>
      <w:r>
        <w:rPr/>
        <w:t>9</w:t>
      </w:r>
      <w:r>
        <w:rPr>
          <w:rtl w:val="true"/>
        </w:rPr>
        <w:t xml:space="preserve">- </w:t>
      </w:r>
      <w:r>
        <w:rPr>
          <w:rtl w:val="true"/>
        </w:rPr>
        <w:t>ذكر خبر كان وأخواتها</w:t>
      </w:r>
      <w:bookmarkEnd w:id="329"/>
    </w:p>
    <w:p>
      <w:pPr>
        <w:pStyle w:val="BookText"/>
        <w:rPr/>
      </w:pPr>
      <w:r>
        <w:rPr>
          <w:rStyle w:val="FootnoteAnchor"/>
          <w:rtl w:val="true"/>
        </w:rPr>
        <w:footnoteReference w:id="8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رابع المنصوبات المشبّهات بالمفعول ، وهو المسند بعد دخول كان أو إحدى أخواتها ، فقولنا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المسند ، يشمل خبر المبتدأ وخبر إنّ وما ولا ، وغيرها وقولنا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دخول كان أو إحدى أخواتها ، يخرج ذلك جميعه وذلك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زيد قائما ، فقائما هو المسند بعد دخول كان ، ويجوز تقديم خبر كان على الاسم ، وإن كان معرفة لعدم اشتباهه بالاسم ، لاختلافهما في الإعراب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أخاك زيد ، بخلاف خبر المبتدأ ، فإنّه إذا كان معرفة لم يجز تقديمه ، ولكن إذا التبس خبر كان باسمها لم يجز تقديمه أيضا </w:t>
      </w:r>
      <w:r>
        <w:rPr>
          <w:rStyle w:val="FootnoteAnchor"/>
          <w:rtl w:val="true"/>
        </w:rPr>
        <w:footnoteReference w:id="884"/>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الحبلى السّكرى ، ويجوز حذف عامل خبر كان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مجزيّون بأعمالهم إن خيرا فخير ، وإن شرّا فشرّ</w:t>
      </w:r>
      <w:r>
        <w:rPr>
          <w:rFonts w:eastAsia="Amiri" w:cs="Amiri" w:ascii="Amiri" w:hAnsi="Amiri"/>
          <w:color w:val="111111"/>
          <w:sz w:val="28"/>
          <w:szCs w:val="28"/>
          <w:rtl w:val="true"/>
          <w:lang w:bidi="ar-SA"/>
        </w:rPr>
        <w:t xml:space="preserve">» </w:t>
      </w:r>
      <w:r>
        <w:rPr>
          <w:rStyle w:val="FootnoteAnchor"/>
          <w:rtl w:val="true"/>
        </w:rPr>
        <w:footnoteReference w:id="885"/>
      </w:r>
      <w:r>
        <w:rPr>
          <w:rFonts w:ascii="Amiri" w:hAnsi="Amiri" w:eastAsia="Amiri" w:cs="Amiri"/>
          <w:color w:val="111111"/>
          <w:sz w:val="28"/>
          <w:sz w:val="28"/>
          <w:szCs w:val="28"/>
          <w:rtl w:val="true"/>
          <w:lang w:bidi="ar-SA"/>
        </w:rPr>
        <w:t xml:space="preserve">، وفي مثله أربعة أوجه </w:t>
      </w:r>
      <w:r>
        <w:rPr>
          <w:rFonts w:eastAsia="Amiri" w:cs="Amiri" w:ascii="Amiri" w:hAnsi="Amiri"/>
          <w:color w:val="111111"/>
          <w:sz w:val="28"/>
          <w:szCs w:val="28"/>
          <w:rtl w:val="true"/>
          <w:lang w:bidi="ar-SA"/>
        </w:rPr>
        <w:t xml:space="preserve">: </w:t>
      </w:r>
      <w:r>
        <w:rPr>
          <w:rStyle w:val="FootnoteAnchor"/>
          <w:rtl w:val="true"/>
        </w:rPr>
        <w:footnoteReference w:id="886"/>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نصب الأوّل ورفع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أقواها لقلّة الحذف وتقديره ، إن كان عمله خيرا </w:t>
      </w:r>
      <w:bookmarkStart w:id="330" w:name="pg14482_156173"/>
    </w:p>
    <w:p>
      <w:pPr>
        <w:pStyle w:val="BookText"/>
        <w:rPr/>
      </w:pPr>
      <w:bookmarkEnd w:id="330"/>
      <w:r>
        <w:rPr>
          <w:rFonts w:ascii="Amiri" w:hAnsi="Amiri" w:eastAsia="Amiri" w:cs="Amiri"/>
          <w:color w:val="111111"/>
          <w:sz w:val="28"/>
          <w:sz w:val="28"/>
          <w:szCs w:val="28"/>
          <w:rtl w:val="true"/>
          <w:lang w:bidi="ar-SA"/>
        </w:rPr>
        <w:t>فجزاؤه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الأول ونصب الثاني ؛ وهو أضعفها ، لكثرة الحذف وتقديره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 عمله خير ، كان جزاؤه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رفعهما وتقديره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 عمله خير ، فجزاؤه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نصبهما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عمله خيرا كان جزاؤه خيرا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وتحذف كان وجوبا </w:t>
      </w:r>
      <w:r>
        <w:rPr>
          <w:rStyle w:val="FootnoteAnchor"/>
          <w:rtl w:val="true"/>
        </w:rPr>
        <w:footnoteReference w:id="888"/>
      </w:r>
      <w:r>
        <w:rPr>
          <w:rFonts w:ascii="Amiri" w:hAnsi="Amiri" w:eastAsia="Amiri" w:cs="Amiri"/>
          <w:color w:val="111111"/>
          <w:sz w:val="28"/>
          <w:sz w:val="28"/>
          <w:szCs w:val="28"/>
          <w:rtl w:val="true"/>
          <w:lang w:bidi="ar-SA"/>
        </w:rPr>
        <w:t xml:space="preserve">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أنت منطلقا انطلقت وتقديره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كنت منطلقا انطلقت فحذفت اللام الجارة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المألوف في كلامهم ثمّ حذفت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لجواز حذفها في كلامهم ، فوجب العدول من الضمير المتّصل إلى المنفصل ، فصار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أنت منطلقا ، فزادوا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للتأكيد ، وليكون كالبدل عن كان فصار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أنت منطلقا ثم قلبت النون ميما وأدغمت الميم في الميم فصار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 منطلقا انطلقت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ووجب حذف كان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عوض عنها ، فلو ذكرت لزم اجتماع العوض والمعوّض وهو غير جائز </w:t>
      </w:r>
      <w:r>
        <w:rPr>
          <w:rStyle w:val="FootnoteAnchor"/>
          <w:rtl w:val="true"/>
        </w:rPr>
        <w:footnoteReference w:id="889"/>
      </w:r>
    </w:p>
    <w:p>
      <w:pPr>
        <w:pStyle w:val="BookText"/>
        <w:rPr/>
      </w:pPr>
      <w:r>
        <w:rPr>
          <w:rFonts w:ascii="Amiri" w:hAnsi="Amiri" w:eastAsia="Amiri" w:cs="Amiri"/>
          <w:color w:val="111111"/>
          <w:sz w:val="28"/>
          <w:sz w:val="28"/>
          <w:szCs w:val="28"/>
          <w:rtl w:val="true"/>
          <w:lang w:bidi="ar-SA"/>
        </w:rPr>
        <w:t xml:space="preserve">وقد تحذف كان جوازا مع الاسم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فقيها ، لمن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زيد ، ومع الخبر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 لمن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صاحبك ، ومع الاسم والخبر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زيد قائما</w:t>
      </w:r>
      <w:r>
        <w:rPr>
          <w:rFonts w:eastAsia="Amiri" w:cs="Amiri" w:ascii="Amiri" w:hAnsi="Amiri"/>
          <w:color w:val="111111"/>
          <w:sz w:val="28"/>
          <w:szCs w:val="28"/>
          <w:rtl w:val="true"/>
          <w:lang w:bidi="ar-SA"/>
        </w:rPr>
        <w:t>.</w:t>
      </w:r>
    </w:p>
    <w:p>
      <w:pPr>
        <w:pStyle w:val="Heading5"/>
        <w:numPr>
          <w:ilvl w:val="4"/>
          <w:numId w:val="1"/>
        </w:numPr>
        <w:rPr/>
      </w:pPr>
      <w:bookmarkStart w:id="331" w:name="__RefHeading___Toc716762_996550957"/>
      <w:bookmarkStart w:id="332" w:name="_Toc122"/>
      <w:bookmarkEnd w:id="331"/>
      <w:r>
        <w:rPr/>
        <w:t>10</w:t>
      </w:r>
      <w:r>
        <w:rPr>
          <w:rtl w:val="true"/>
        </w:rPr>
        <w:t xml:space="preserve">- </w:t>
      </w:r>
      <w:r>
        <w:rPr>
          <w:rtl w:val="true"/>
        </w:rPr>
        <w:t>ذكر اسم إنّ وأخواتها</w:t>
      </w:r>
      <w:bookmarkEnd w:id="332"/>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خامس المنصوبات المشبّهات بالمفعول ، وهو المسند إليه بعد دخول إنّ أو إحدى أخواتها ، ومثاله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زيدا قائم ، فزيد هو المسند إليه بعد دخول إنّ ، وحكمه حكم المبتدأ إلّا في تأخيره ، إلّا إذا كان الخبر ظرفا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الدّار زيدا </w:t>
      </w:r>
      <w:r>
        <w:rPr>
          <w:rStyle w:val="FootnoteAnchor"/>
          <w:rtl w:val="true"/>
        </w:rPr>
        <w:footnoteReference w:id="891"/>
      </w:r>
      <w:bookmarkStart w:id="333" w:name="pg14482_156174"/>
    </w:p>
    <w:p>
      <w:pPr>
        <w:pStyle w:val="Heading5"/>
        <w:numPr>
          <w:ilvl w:val="4"/>
          <w:numId w:val="1"/>
        </w:numPr>
        <w:rPr/>
      </w:pPr>
      <w:bookmarkStart w:id="334" w:name="__RefHeading___Toc716764_996550957"/>
      <w:bookmarkStart w:id="335" w:name="_Toc123"/>
      <w:bookmarkEnd w:id="333"/>
      <w:bookmarkEnd w:id="334"/>
      <w:r>
        <w:rPr/>
        <w:t>11</w:t>
      </w:r>
      <w:r>
        <w:rPr>
          <w:rtl w:val="true"/>
        </w:rPr>
        <w:t xml:space="preserve">- </w:t>
      </w:r>
      <w:r>
        <w:rPr>
          <w:rtl w:val="true"/>
        </w:rPr>
        <w:t>ذكر منصوب لا التي لنفي الجنس</w:t>
      </w:r>
      <w:bookmarkEnd w:id="335"/>
    </w:p>
    <w:p>
      <w:pPr>
        <w:pStyle w:val="BookText"/>
        <w:rPr/>
      </w:pPr>
      <w:r>
        <w:rPr>
          <w:rStyle w:val="FootnoteAnchor"/>
          <w:rtl w:val="true"/>
        </w:rPr>
        <w:footnoteReference w:id="8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سادس المنصوبات المشبّهات بالمفعول ، ومنصوب لا التي لنفي الجنس ، هو المسند إليه بعد دخولها ، يليها نكرة ، مضافا أو مشبّها به ، وإنّما اشترط أن يليها ، لأنّه إذا فصل بين الاسم وبين لا ، لم ينصبه كما يجيء ، واشترط أن يكون نكرة ، لأنّه إذا كان معرفة لم ينصب كما سيجيء ، واشترط أن يكون مضافا أو مشبّها به لأنه لو كان نكرة مفردة ، كان مبنيّا كما يجيء ، ومثال المضاف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غلام رجل في الدّار ، ومثال المشبّه بالمضاف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عشرين درهما لك ، ومشابهته للمضاف من حيث إنّ ما بعدهما متمّم ومخصص لهما ، وتحقيق المشبّه بالمضاف أن تكون لا داخلة على اسم عامل فيما بعده نصبا أو رفعا ، مثال الناصب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ضاربا زيدا عندك ، ومثال الرافع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حسنا وجهه عندك </w:t>
      </w:r>
      <w:r>
        <w:rPr>
          <w:rStyle w:val="FootnoteAnchor"/>
          <w:rtl w:val="true"/>
        </w:rPr>
        <w:footnoteReference w:id="893"/>
      </w:r>
      <w:r>
        <w:rPr>
          <w:rFonts w:ascii="Amiri" w:hAnsi="Amiri" w:eastAsia="Amiri" w:cs="Amiri"/>
          <w:color w:val="111111"/>
          <w:sz w:val="28"/>
          <w:sz w:val="28"/>
          <w:szCs w:val="28"/>
          <w:rtl w:val="true"/>
          <w:lang w:bidi="ar-SA"/>
        </w:rPr>
        <w:t>لأنّ الاسم إن عمل فيما بعده جرّا فهو مضاف ، وإن عمل غير الجرّ فهو مشابه للمضاف</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الاسم الذي يليها مفردا بني على ما ينصب به ، والمراد بالمفرد ما لا يكون مضافا ولا مشبها به </w:t>
      </w:r>
      <w:r>
        <w:rPr>
          <w:rStyle w:val="FootnoteAnchor"/>
          <w:rtl w:val="true"/>
        </w:rPr>
        <w:footnoteReference w:id="894"/>
      </w:r>
      <w:r>
        <w:rPr>
          <w:rFonts w:ascii="Amiri" w:hAnsi="Amiri" w:eastAsia="Amiri" w:cs="Amiri"/>
          <w:color w:val="111111"/>
          <w:sz w:val="28"/>
          <w:sz w:val="28"/>
          <w:szCs w:val="28"/>
          <w:rtl w:val="true"/>
          <w:lang w:bidi="ar-SA"/>
        </w:rPr>
        <w:t xml:space="preserve">فإن كان نصبه بالفتح بني على الفتح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غلام في الدّار ، وإن كان نصبه بالياء بني على الياء نحو ؛ لا غلامين لك ، ولا مسلمين لك </w:t>
      </w:r>
      <w:r>
        <w:rPr>
          <w:rStyle w:val="FootnoteAnchor"/>
          <w:rtl w:val="true"/>
        </w:rPr>
        <w:footnoteReference w:id="895"/>
      </w:r>
      <w:r>
        <w:rPr>
          <w:rFonts w:ascii="Amiri" w:hAnsi="Amiri" w:eastAsia="Amiri" w:cs="Amiri"/>
          <w:color w:val="111111"/>
          <w:sz w:val="28"/>
          <w:sz w:val="28"/>
          <w:szCs w:val="28"/>
          <w:rtl w:val="true"/>
          <w:lang w:bidi="ar-SA"/>
        </w:rPr>
        <w:t xml:space="preserve">وإن كان نصبه بالكسر بني على الكسر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مسلمات في الدّار ، وإنّما بني الاسم المذكور لتضمّنه معنى حرف الجرّ لأنّ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رجل في الدّار ، جواب سؤال مقدّر ، 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رجل في الدّار </w:t>
      </w:r>
      <w:r>
        <w:rPr>
          <w:rStyle w:val="FootnoteAnchor"/>
          <w:rtl w:val="true"/>
        </w:rPr>
        <w:footnoteReference w:id="896"/>
      </w:r>
      <w:r>
        <w:rPr>
          <w:rFonts w:ascii="Amiri" w:hAnsi="Amiri" w:eastAsia="Amiri" w:cs="Amiri"/>
          <w:color w:val="111111"/>
          <w:sz w:val="28"/>
          <w:sz w:val="28"/>
          <w:szCs w:val="28"/>
          <w:rtl w:val="true"/>
          <w:lang w:bidi="ar-SA"/>
        </w:rPr>
        <w:t xml:space="preserve">فكان من الواجب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رجل في الدّار ، ليطابق الجواب السؤال فحذف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رجل في الدّار ، فبني لتضمّنه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وأفاد تضمّن الاسم معنى من بعد النفي ، الاستغراق والعموم </w:t>
      </w:r>
      <w:r>
        <w:rPr>
          <w:rStyle w:val="FootnoteAnchor"/>
          <w:rtl w:val="true"/>
        </w:rPr>
        <w:footnoteReference w:id="897"/>
      </w:r>
      <w:r>
        <w:rPr>
          <w:rFonts w:ascii="Amiri" w:hAnsi="Amiri" w:eastAsia="Amiri" w:cs="Amiri"/>
          <w:color w:val="111111"/>
          <w:sz w:val="28"/>
          <w:sz w:val="28"/>
          <w:szCs w:val="28"/>
          <w:rtl w:val="true"/>
          <w:lang w:bidi="ar-SA"/>
        </w:rPr>
        <w:t xml:space="preserve">، وإذا كان الاسم معرفة ، أو فصل بينه وبين لا ، وجب رفعه على الابتداء وتكريره </w:t>
      </w:r>
      <w:r>
        <w:rPr>
          <w:rStyle w:val="FootnoteAnchor"/>
          <w:rtl w:val="true"/>
        </w:rPr>
        <w:footnoteReference w:id="898"/>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زيد في الدار ولا عمرو ، ولا في الدار رجل ولا امرأة ، وإنّما وجب رفع المعرفة ، لأنّ لا </w:t>
      </w:r>
    </w:p>
    <w:p>
      <w:pPr>
        <w:pStyle w:val="BookText"/>
        <w:rPr/>
      </w:pPr>
      <w:r>
        <w:rPr>
          <w:rFonts w:ascii="Amiri" w:hAnsi="Amiri" w:eastAsia="Amiri" w:cs="Amiri"/>
          <w:color w:val="111111"/>
          <w:sz w:val="28"/>
          <w:sz w:val="28"/>
          <w:szCs w:val="28"/>
          <w:rtl w:val="true"/>
          <w:lang w:bidi="ar-SA"/>
        </w:rPr>
        <w:t xml:space="preserve">لا تعمل إلا في النكرات لكونها لنفي الجنس </w:t>
      </w:r>
      <w:r>
        <w:rPr>
          <w:rStyle w:val="FootnoteAnchor"/>
          <w:rtl w:val="true"/>
        </w:rPr>
        <w:footnoteReference w:id="899"/>
      </w:r>
      <w:r>
        <w:rPr>
          <w:rFonts w:ascii="Amiri" w:hAnsi="Amiri" w:eastAsia="Amiri" w:cs="Amiri"/>
          <w:color w:val="111111"/>
          <w:sz w:val="28"/>
          <w:sz w:val="28"/>
          <w:szCs w:val="28"/>
          <w:rtl w:val="true"/>
          <w:lang w:bidi="ar-SA"/>
        </w:rPr>
        <w:t xml:space="preserve">وأما وجوب رفع المفصول فلبطلان عملها بالفصل ، ووجب التكرير لأنّه جواب أزيد في الدّار أم عمرو ، وأفي الدّار رجل أم امرأة ، فوجب التكرير في الجواب ليكون مطابقا للسؤال ، 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ورد قولهم </w:t>
      </w:r>
      <w:r>
        <w:rPr>
          <w:rFonts w:eastAsia="Amiri" w:cs="Amiri" w:ascii="Amiri" w:hAnsi="Amiri"/>
          <w:color w:val="111111"/>
          <w:sz w:val="28"/>
          <w:szCs w:val="28"/>
          <w:rtl w:val="true"/>
          <w:lang w:bidi="ar-SA"/>
        </w:rPr>
        <w:t xml:space="preserve">: </w:t>
      </w:r>
      <w:r>
        <w:rPr>
          <w:rStyle w:val="FootnoteAnchor"/>
          <w:rtl w:val="true"/>
        </w:rPr>
        <w:footnoteReference w:id="900"/>
      </w:r>
      <w:r>
        <w:rPr>
          <w:rFonts w:ascii="Amiri" w:hAnsi="Amiri" w:eastAsia="Amiri" w:cs="Amiri"/>
          <w:color w:val="111111"/>
          <w:sz w:val="28"/>
          <w:sz w:val="28"/>
          <w:szCs w:val="28"/>
          <w:rtl w:val="true"/>
          <w:lang w:bidi="ar-SA"/>
        </w:rPr>
        <w:t xml:space="preserve">قضيّة ولا أبا حسن لها ، فأبا حسن معرفة من غير رفع ولا تكرير ، 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متأوّل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قضيّة ولا مثل أبي حسن لها ، فحذف المضاف وأقيم المضاف إليه مقامه </w:t>
      </w:r>
      <w:r>
        <w:rPr>
          <w:rStyle w:val="FootnoteAnchor"/>
          <w:rtl w:val="true"/>
        </w:rPr>
        <w:footnoteReference w:id="901"/>
      </w:r>
      <w:r>
        <w:rPr>
          <w:rFonts w:ascii="Amiri" w:hAnsi="Amiri" w:eastAsia="Amiri" w:cs="Amiri"/>
          <w:color w:val="111111"/>
          <w:sz w:val="28"/>
          <w:sz w:val="28"/>
          <w:szCs w:val="28"/>
          <w:rtl w:val="true"/>
          <w:lang w:bidi="ar-SA"/>
        </w:rPr>
        <w:t xml:space="preserve">ولا شكّ أنّ مثل أبي حسن نكرة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تكتسب من المضاف إليه التعريف كما يجيء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كرّرت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فصل </w:t>
      </w:r>
      <w:r>
        <w:rPr>
          <w:rStyle w:val="FootnoteAnchor"/>
          <w:rtl w:val="true"/>
        </w:rPr>
        <w:footnoteReference w:id="903"/>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ولا قوّة ، جاز في الاسم خمسة أوجه </w:t>
      </w:r>
      <w:r>
        <w:rPr>
          <w:rFonts w:eastAsia="Amiri" w:cs="Amiri" w:ascii="Amiri" w:hAnsi="Amiri"/>
          <w:color w:val="111111"/>
          <w:sz w:val="28"/>
          <w:szCs w:val="28"/>
          <w:rtl w:val="true"/>
          <w:lang w:bidi="ar-SA"/>
        </w:rPr>
        <w:t xml:space="preserve">: </w:t>
      </w:r>
      <w:r>
        <w:rPr>
          <w:rStyle w:val="FootnoteAnchor"/>
          <w:rtl w:val="true"/>
        </w:rPr>
        <w:footnoteReference w:id="904"/>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الاسمين معا على الفتح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قوّة فكلّ واحد منهما جملة مستقلّة ، وخبرها محذوف أي لا حول إلّا بالله ولا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الأول على الفتح ونصب الثاني عطفا على لفظ الأوّل ولا زائدة </w:t>
      </w:r>
      <w:r>
        <w:rPr>
          <w:rStyle w:val="FootnoteAnchor"/>
          <w:rtl w:val="true"/>
        </w:rPr>
        <w:footnoteReference w:id="905"/>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Style w:val="FootnoteAnchor"/>
          <w:rtl w:val="true"/>
        </w:rPr>
        <w:footnoteReference w:id="906"/>
      </w:r>
    </w:p>
    <w:p>
      <w:pPr>
        <w:pStyle w:val="BookText"/>
        <w:rPr/>
      </w:pPr>
      <w:r>
        <w:rPr>
          <w:rFonts w:ascii="Amiri" w:hAnsi="Amiri" w:eastAsia="Amiri" w:cs="Amiri"/>
          <w:color w:val="111111"/>
          <w:sz w:val="28"/>
          <w:sz w:val="28"/>
          <w:szCs w:val="28"/>
          <w:rtl w:val="true"/>
          <w:lang w:bidi="ar-SA"/>
        </w:rPr>
        <w:t>اتّسع الفتق على الرّاقع</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الخاء وتشديد اللام ، الصّداقة ، الراقع والراتق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يصلح موضع الفساد من 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نسب اليوم ولا خلّة</w:t>
      </w:r>
    </w:p>
    <w:p>
      <w:pPr>
        <w:pStyle w:val="BookText"/>
        <w:rPr/>
      </w:pPr>
      <w:r>
        <w:rPr>
          <w:rFonts w:ascii="Amiri" w:hAnsi="Amiri" w:eastAsia="Amiri" w:cs="Amiri"/>
          <w:color w:val="111111"/>
          <w:sz w:val="28"/>
          <w:sz w:val="28"/>
          <w:szCs w:val="28"/>
          <w:rtl w:val="true"/>
          <w:lang w:bidi="ar-SA"/>
        </w:rPr>
        <w:t>اتّسع الخرق على الرّاقع</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الأول على الفتح ورفع الثاني ؛ إمّا بالعطف على موضع لا مع اسمها ، لأنّهما في محلّ الابتداء ، أو إنها بمعنى ليس </w:t>
      </w:r>
      <w:r>
        <w:rPr>
          <w:rStyle w:val="FootnoteAnchor"/>
          <w:rtl w:val="true"/>
        </w:rPr>
        <w:footnoteReference w:id="907"/>
      </w:r>
      <w:r>
        <w:rPr>
          <w:rFonts w:ascii="Amiri" w:hAnsi="Amiri" w:eastAsia="Amiri" w:cs="Amiri"/>
          <w:color w:val="111111"/>
          <w:sz w:val="28"/>
          <w:sz w:val="28"/>
          <w:szCs w:val="28"/>
          <w:rtl w:val="true"/>
          <w:lang w:bidi="ar-SA"/>
        </w:rPr>
        <w:t xml:space="preserve">أي لا حول لنا وليس قوّة إلّا بالله ، قال </w:t>
      </w:r>
      <w:r>
        <w:rPr>
          <w:rFonts w:eastAsia="Amiri" w:cs="Amiri" w:ascii="Amiri" w:hAnsi="Amiri"/>
          <w:color w:val="111111"/>
          <w:sz w:val="28"/>
          <w:szCs w:val="28"/>
          <w:rtl w:val="true"/>
          <w:lang w:bidi="ar-SA"/>
        </w:rPr>
        <w:t xml:space="preserve">: </w:t>
      </w:r>
      <w:r>
        <w:rPr>
          <w:rStyle w:val="FootnoteAnchor"/>
          <w:rtl w:val="true"/>
        </w:rPr>
        <w:footnoteReference w:id="908"/>
      </w:r>
    </w:p>
    <w:p>
      <w:pPr>
        <w:pStyle w:val="BookText"/>
        <w:rPr/>
      </w:pPr>
      <w:r>
        <w:rPr>
          <w:rFonts w:ascii="Amiri" w:hAnsi="Amiri" w:eastAsia="Amiri" w:cs="Amiri"/>
          <w:color w:val="111111"/>
          <w:sz w:val="28"/>
          <w:sz w:val="28"/>
          <w:szCs w:val="28"/>
          <w:rtl w:val="true"/>
          <w:lang w:bidi="ar-SA"/>
        </w:rPr>
        <w:t>هذا لعمركم الصّغار بعينه</w:t>
      </w:r>
    </w:p>
    <w:p>
      <w:pPr>
        <w:pStyle w:val="BookText"/>
        <w:rPr/>
      </w:pPr>
      <w:r>
        <w:rPr>
          <w:rFonts w:ascii="Amiri" w:hAnsi="Amiri" w:eastAsia="Amiri" w:cs="Amiri"/>
          <w:color w:val="111111"/>
          <w:sz w:val="28"/>
          <w:sz w:val="28"/>
          <w:szCs w:val="28"/>
          <w:rtl w:val="true"/>
          <w:lang w:bidi="ar-SA"/>
        </w:rPr>
        <w:t xml:space="preserve">والبيت اختلف حول قائله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لرجل من مذحج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لهمّام بن مرّة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لرجل من عبد مناة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لهنيّ بن أحمر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لأضمرة بن ضمره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لعمرو بن الغوث وقيل لزرافة الباهلي ، فقد نسبه سيبويه في الكتاب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لرجل من مذحج ، وسجل الخلاف حوله ابن منظور في لسان العرب ، مادة حبس والعيني في شرح الشواهد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والأزهري في شرح التصريح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والسيوطي في شرح شواهد المغني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والعدوي في فتح الجليل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البيت من غير نسبة في المقتضب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وشرح المفصل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 شذور الذهب ،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ومغني اللبيب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 ابن عقيل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وهمع الهوامع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وشرح الأشموني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أمّ لي إن كان ذاك ولا أب</w:t>
      </w:r>
    </w:p>
    <w:p>
      <w:p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رفعهما معا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ولا قوّة ، وذلك إمّا ليكون الجواب مطابقا للسؤال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أحول لك أم قوّة ، أو على أنّها بمعنى ليس فيهما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الأول على أنّها بمعنى ليس وهو ضعيف </w:t>
      </w:r>
      <w:r>
        <w:rPr>
          <w:rStyle w:val="FootnoteAnchor"/>
          <w:rtl w:val="true"/>
        </w:rPr>
        <w:footnoteReference w:id="910"/>
      </w:r>
      <w:r>
        <w:rPr>
          <w:rFonts w:ascii="Amiri" w:hAnsi="Amiri" w:eastAsia="Amiri" w:cs="Amiri"/>
          <w:color w:val="111111"/>
          <w:sz w:val="28"/>
          <w:sz w:val="28"/>
          <w:szCs w:val="28"/>
          <w:rtl w:val="true"/>
          <w:lang w:bidi="ar-SA"/>
        </w:rPr>
        <w:t>وفتح الثاني على انّه بني على الفتح ، إمّا لأنّ شرط رفع ما يليها التكرير ، ولا تكرير هنا ، أو لأنّ استعمال لا بمعنى ليس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دخلت الهمزة على لا التي لنفي الجنس لم يبطل عملها </w:t>
      </w:r>
      <w:r>
        <w:rPr>
          <w:rStyle w:val="FootnoteAnchor"/>
          <w:rtl w:val="true"/>
        </w:rPr>
        <w:footnoteReference w:id="911"/>
      </w:r>
      <w:r>
        <w:rPr>
          <w:rFonts w:ascii="Amiri" w:hAnsi="Amiri" w:eastAsia="Amiri" w:cs="Amiri"/>
          <w:color w:val="111111"/>
          <w:sz w:val="28"/>
          <w:sz w:val="28"/>
          <w:szCs w:val="28"/>
          <w:rtl w:val="true"/>
          <w:lang w:bidi="ar-SA"/>
        </w:rPr>
        <w:t xml:space="preserve">لأنّ همزة الاستفهام لا تغيّر عمل العامل كما في لم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يقم زيد ، قال الشّاعر </w:t>
      </w:r>
      <w:r>
        <w:rPr>
          <w:rFonts w:eastAsia="Amiri" w:cs="Amiri" w:ascii="Amiri" w:hAnsi="Amiri"/>
          <w:color w:val="111111"/>
          <w:sz w:val="28"/>
          <w:szCs w:val="28"/>
          <w:rtl w:val="true"/>
          <w:lang w:bidi="ar-SA"/>
        </w:rPr>
        <w:t xml:space="preserve">: </w:t>
      </w:r>
      <w:r>
        <w:rPr>
          <w:rStyle w:val="FootnoteAnchor"/>
          <w:rtl w:val="true"/>
        </w:rPr>
        <w:footnoteReference w:id="912"/>
      </w:r>
    </w:p>
    <w:p>
      <w:pPr>
        <w:pStyle w:val="BookText"/>
        <w:rPr/>
      </w:pPr>
      <w:r>
        <w:rPr>
          <w:rFonts w:ascii="Amiri" w:hAnsi="Amiri" w:eastAsia="Amiri" w:cs="Amiri"/>
          <w:color w:val="111111"/>
          <w:sz w:val="28"/>
          <w:sz w:val="28"/>
          <w:szCs w:val="28"/>
          <w:rtl w:val="true"/>
          <w:lang w:bidi="ar-SA"/>
        </w:rPr>
        <w:t>عنّي وأنتم من الجوف الجماخير</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ديوانه ،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منسوبا له في الكتاب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الحلل ،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وأمالي ابن الشجري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وورد من غير نسبة في المقتضب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وشرح المفصل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يا حارث فرخمه ، الجوف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أجوف وهو الواسع ، أو الذي لا رأي له ولا حزم ، الجماخير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جمخور كعصفور وهو الضعيف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حار بن كعب ألا أحلام تزجركم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ببناء أحلام على الفتح ، ويكون معناها مع الهمزة حينئذ الاستفهام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رجل في الدّار ، والعرض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نزول عندنا ، والتمنّي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ماء أشربه </w:t>
      </w:r>
      <w:r>
        <w:rPr>
          <w:rStyle w:val="FootnoteAnchor"/>
          <w:rtl w:val="true"/>
        </w:rPr>
        <w:footnoteReference w:id="913"/>
      </w:r>
      <w:r>
        <w:rPr>
          <w:rFonts w:ascii="Amiri" w:hAnsi="Amiri" w:eastAsia="Amiri" w:cs="Amiri"/>
          <w:color w:val="111111"/>
          <w:sz w:val="28"/>
          <w:sz w:val="28"/>
          <w:szCs w:val="28"/>
          <w:rtl w:val="true"/>
          <w:lang w:bidi="ar-SA"/>
        </w:rPr>
        <w:t xml:space="preserve">، فيبنى رجل ونزول وماء في هذه المواضع مع لا على الفتح ، كما كان قبل دخول الهمزة ، وأمّا قول الشاعر </w:t>
      </w:r>
      <w:r>
        <w:rPr>
          <w:rFonts w:eastAsia="Amiri" w:cs="Amiri" w:ascii="Amiri" w:hAnsi="Amiri"/>
          <w:color w:val="111111"/>
          <w:sz w:val="28"/>
          <w:szCs w:val="28"/>
          <w:rtl w:val="true"/>
          <w:lang w:bidi="ar-SA"/>
        </w:rPr>
        <w:t xml:space="preserve">: </w:t>
      </w:r>
      <w:r>
        <w:rPr>
          <w:rStyle w:val="FootnoteAnchor"/>
          <w:rtl w:val="true"/>
        </w:rPr>
        <w:footnoteReference w:id="914"/>
      </w:r>
    </w:p>
    <w:p>
      <w:pPr>
        <w:pStyle w:val="BookText"/>
        <w:rPr/>
      </w:pPr>
      <w:r>
        <w:rPr>
          <w:rFonts w:ascii="Amiri" w:hAnsi="Amiri" w:eastAsia="Amiri" w:cs="Amiri"/>
          <w:color w:val="111111"/>
          <w:sz w:val="28"/>
          <w:sz w:val="28"/>
          <w:szCs w:val="28"/>
          <w:rtl w:val="true"/>
          <w:lang w:bidi="ar-SA"/>
        </w:rPr>
        <w:t>ألا رجلا جزاه الله خيرا</w:t>
      </w:r>
    </w:p>
    <w:p>
      <w:pPr>
        <w:pStyle w:val="BookText"/>
        <w:rPr/>
      </w:pPr>
      <w:r>
        <w:rPr>
          <w:rFonts w:ascii="Amiri" w:hAnsi="Amiri" w:eastAsia="Amiri" w:cs="Amiri"/>
          <w:color w:val="111111"/>
          <w:sz w:val="28"/>
          <w:sz w:val="28"/>
          <w:szCs w:val="28"/>
          <w:rtl w:val="true"/>
          <w:lang w:bidi="ar-SA"/>
        </w:rPr>
        <w:t>يدلّ على محصّلة تبيت</w:t>
      </w:r>
    </w:p>
    <w:p>
      <w:pPr>
        <w:pStyle w:val="BookText"/>
        <w:rPr/>
      </w:pPr>
      <w:r>
        <w:rPr>
          <w:rFonts w:ascii="Amiri" w:hAnsi="Amiri" w:eastAsia="Amiri" w:cs="Amiri"/>
          <w:color w:val="111111"/>
          <w:sz w:val="28"/>
          <w:sz w:val="28"/>
          <w:szCs w:val="28"/>
          <w:rtl w:val="true"/>
          <w:lang w:bidi="ar-SA"/>
        </w:rPr>
        <w:t xml:space="preserve">فرجل منصوب بفعل مضمر ، أي ألا ترونني رجلا ، وألا في هذا الموضع للتحضيض بمنزلة هلّا ، أي هلّا ترونني رجلا </w:t>
      </w:r>
      <w:r>
        <w:rPr>
          <w:rStyle w:val="FootnoteAnchor"/>
          <w:rtl w:val="true"/>
        </w:rPr>
        <w:footnoteReference w:id="915"/>
      </w:r>
    </w:p>
    <w:p>
      <w:pPr>
        <w:pStyle w:val="BookText"/>
        <w:rPr/>
      </w:pPr>
      <w:r>
        <w:rPr>
          <w:rFonts w:ascii="Amiri" w:hAnsi="Amiri" w:eastAsia="Amiri" w:cs="Amiri"/>
          <w:color w:val="111111"/>
          <w:sz w:val="28"/>
          <w:sz w:val="28"/>
          <w:szCs w:val="28"/>
          <w:rtl w:val="true"/>
          <w:lang w:bidi="ar-SA"/>
        </w:rPr>
        <w:t xml:space="preserve">ألا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فزعم أنه ليس على التمني ولكنه بمنزلة قول الرجل فهلّا خيرا من ذلك كأنه قال ألا تروني رجلا جزاه الله خيرا ، وأما يونس فزعم أنه نون مضطرا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ونعت المبني </w:t>
      </w:r>
      <w:r>
        <w:rPr>
          <w:rStyle w:val="FootnoteAnchor"/>
          <w:rtl w:val="true"/>
        </w:rPr>
        <w:footnoteReference w:id="916"/>
      </w:r>
      <w:r>
        <w:rPr>
          <w:rFonts w:ascii="Amiri" w:hAnsi="Amiri" w:eastAsia="Amiri" w:cs="Amiri"/>
          <w:color w:val="111111"/>
          <w:sz w:val="28"/>
          <w:sz w:val="28"/>
          <w:szCs w:val="28"/>
          <w:rtl w:val="true"/>
          <w:lang w:bidi="ar-SA"/>
        </w:rPr>
        <w:t xml:space="preserve">إذا كان نعتا أوّلا مفردا يلي المنعوت يجوز فيه </w:t>
      </w:r>
      <w:r>
        <w:rPr>
          <w:rStyle w:val="FootnoteAnchor"/>
          <w:rtl w:val="true"/>
        </w:rPr>
        <w:footnoteReference w:id="917"/>
      </w:r>
      <w:r>
        <w:rPr>
          <w:rFonts w:ascii="Amiri" w:hAnsi="Amiri" w:eastAsia="Amiri" w:cs="Amiri"/>
          <w:color w:val="111111"/>
          <w:sz w:val="28"/>
          <w:sz w:val="28"/>
          <w:szCs w:val="28"/>
          <w:rtl w:val="true"/>
          <w:lang w:bidi="ar-SA"/>
        </w:rPr>
        <w:t xml:space="preserve">بناؤه على الفتح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رجل ظريف ، لأنّ الموصوف والصفة كالشيء الواحد ، ويجوز إعرابه بالرّفع حملا على محلّ المبني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رجل ظريف لأنّ لا مع المبني في محلّ الرفع بالابتداء ، ويجوز إعرابه بالنصب حملا على لفظ المبني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رجل ظريفا </w:t>
      </w:r>
      <w:r>
        <w:rPr>
          <w:rStyle w:val="FootnoteAnchor"/>
          <w:rtl w:val="true"/>
        </w:rPr>
        <w:footnoteReference w:id="918"/>
      </w:r>
      <w:r>
        <w:rPr>
          <w:rFonts w:ascii="Amiri" w:hAnsi="Amiri" w:eastAsia="Amiri" w:cs="Amiri"/>
          <w:color w:val="111111"/>
          <w:sz w:val="28"/>
          <w:sz w:val="28"/>
          <w:szCs w:val="28"/>
          <w:rtl w:val="true"/>
          <w:lang w:bidi="ar-SA"/>
        </w:rPr>
        <w:t xml:space="preserve">واحترز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المبني ، عن نعت المعرب ؛ فإنّه لا يكون إلّا معربا منصوبا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غلام رجل ظريفا في الدار ، وبقوله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 عن النّعت الثاني وما بعده </w:t>
      </w:r>
      <w:r>
        <w:rPr>
          <w:rStyle w:val="FootnoteAnchor"/>
          <w:rtl w:val="true"/>
        </w:rPr>
        <w:footnoteReference w:id="919"/>
      </w:r>
      <w:r>
        <w:rPr>
          <w:rFonts w:ascii="Amiri" w:hAnsi="Amiri" w:eastAsia="Amiri" w:cs="Amiri"/>
          <w:color w:val="111111"/>
          <w:sz w:val="28"/>
          <w:sz w:val="28"/>
          <w:szCs w:val="28"/>
          <w:rtl w:val="true"/>
          <w:lang w:bidi="ar-SA"/>
        </w:rPr>
        <w:t xml:space="preserve">لأنّه لا يكون إلّا معربا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رجل ظريف عاقلا وعاقل في الدار ، وبقوله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مفردا ، عن </w:t>
      </w:r>
    </w:p>
    <w:p>
      <w:pPr>
        <w:pStyle w:val="BookText"/>
        <w:rPr/>
      </w:pPr>
      <w:r>
        <w:rPr>
          <w:rFonts w:ascii="Amiri" w:hAnsi="Amiri" w:eastAsia="Amiri" w:cs="Amiri"/>
          <w:color w:val="111111"/>
          <w:sz w:val="28"/>
          <w:sz w:val="28"/>
          <w:szCs w:val="28"/>
          <w:rtl w:val="true"/>
          <w:lang w:bidi="ar-SA"/>
        </w:rPr>
        <w:t xml:space="preserve">النّعت المضاف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رجل ذو مال وذا مال ، لأنّ اسم لا إذا كان مضافا تعيّن إعرابه فنعته إذا كان مضافا كان أولى بالإعراب ، وبقوله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يلي المنعوت ، عن النعت الذي يفصل بينه وبين المنعوت فاصل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رجل في الدار ظريف وظريفا ، فإنّه لا يكون فيه إلّا الإعراب ، ويجوز أن يعطف على لفظ المبنيّ وعلى محلّه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غلام وجارية ، برفع جارية على محلّ لا غلام ، وبنصبها على لفظه ، ومما حمل على اللّفظ قول الشّاعر </w:t>
      </w:r>
      <w:r>
        <w:rPr>
          <w:rFonts w:eastAsia="Amiri" w:cs="Amiri" w:ascii="Amiri" w:hAnsi="Amiri"/>
          <w:color w:val="111111"/>
          <w:sz w:val="28"/>
          <w:szCs w:val="28"/>
          <w:rtl w:val="true"/>
          <w:lang w:bidi="ar-SA"/>
        </w:rPr>
        <w:t xml:space="preserve">: </w:t>
      </w:r>
      <w:r>
        <w:rPr>
          <w:rStyle w:val="FootnoteAnchor"/>
          <w:rtl w:val="true"/>
        </w:rPr>
        <w:footnoteReference w:id="920"/>
      </w:r>
    </w:p>
    <w:p>
      <w:pPr>
        <w:pStyle w:val="BookText"/>
        <w:rPr/>
      </w:pPr>
      <w:r>
        <w:rPr>
          <w:rFonts w:ascii="IRNazanin" w:hAnsi="IRNazanin" w:eastAsia="IRNazanin"/>
          <w:color w:val="111111"/>
          <w:sz w:val="28"/>
          <w:sz w:val="28"/>
          <w:szCs w:val="28"/>
          <w:rtl w:val="true"/>
          <w:lang w:bidi="fa-IR"/>
        </w:rPr>
        <w:t>إذا هو بالمجد ارتدى وتأزّرا</w:t>
      </w:r>
    </w:p>
    <w:p>
      <w:pPr>
        <w:pStyle w:val="BookText"/>
        <w:rPr/>
      </w:pPr>
      <w:r>
        <w:rPr>
          <w:rFonts w:ascii="Amiri" w:hAnsi="Amiri" w:eastAsia="Amiri" w:cs="Amiri"/>
          <w:color w:val="111111"/>
          <w:sz w:val="28"/>
          <w:sz w:val="28"/>
          <w:szCs w:val="28"/>
          <w:rtl w:val="true"/>
          <w:lang w:bidi="ar-SA"/>
        </w:rPr>
        <w:t xml:space="preserve">وهو لرجل من عبد مناة بن كنانة ، ورد منسوبا له في شرح الشواهد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 التصريح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غير نسبة في الكتاب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والمقتضب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 المفصل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 الكافية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وهمع الهوامع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وشرح الأشموني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 أب وابنا مثل مروان وابنه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جواز رفعه عطفا على المحلّ ، ولا فرق في ذلك بين أن تكرّر لا أو لا تكرّرها </w:t>
      </w:r>
      <w:r>
        <w:rPr>
          <w:rStyle w:val="FootnoteAnchor"/>
          <w:rtl w:val="true"/>
        </w:rPr>
        <w:footnoteReference w:id="921"/>
      </w:r>
      <w:r>
        <w:rPr>
          <w:rFonts w:ascii="Amiri" w:hAnsi="Amiri" w:eastAsia="Amiri" w:cs="Amiri"/>
          <w:color w:val="111111"/>
          <w:sz w:val="28"/>
          <w:sz w:val="28"/>
          <w:szCs w:val="28"/>
          <w:rtl w:val="true"/>
          <w:lang w:bidi="ar-SA"/>
        </w:rPr>
        <w:t xml:space="preserve">كلا أب وابنا ولا أب ولا ابنا ، فإنّ الحكم واحد في جواز رفعه ونصبه ، وكان القياس يقتضي وجوب البناء في المعطوف على اسم لا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زيد ويا عمرو ، فإنّ المعطوف الذي هو عمرو مبنيّ على الضمّ ليس إلّا ، لكونه معطوفا على المنادى المضموم ، فالمعطوف على اسم لا مع تكريرها ، كان ينبغي أن يكون كذلك </w:t>
      </w:r>
      <w:r>
        <w:rPr>
          <w:rStyle w:val="FootnoteAnchor"/>
          <w:rtl w:val="true"/>
        </w:rPr>
        <w:footnoteReference w:id="922"/>
      </w:r>
      <w:r>
        <w:rPr>
          <w:rFonts w:ascii="Amiri" w:hAnsi="Amiri" w:eastAsia="Amiri" w:cs="Amiri"/>
          <w:color w:val="111111"/>
          <w:sz w:val="28"/>
          <w:sz w:val="28"/>
          <w:szCs w:val="28"/>
          <w:rtl w:val="true"/>
          <w:lang w:bidi="ar-SA"/>
        </w:rPr>
        <w:t xml:space="preserve">والنّكرة المفردة إذا ذكر بعدها ما يصحّ إضافتها إليه وفصل بينهما باللام المضيفة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 لزيد ، ولا غلامين لك ففيه لغتان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الفصيحة أن تبقى النكرة على بنائها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 لك ولا غلامين لك ، بثبوت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نون التثنية ، وحذف الألف من أب</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واللّغة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تعطى حكم المضاف لمشاركتها للمضاف في أصل المعنى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غلامي له ، بسقوط النون وما أشبهها ، تشبيها لهذه النكرة بالمضاف لمشاركتها له في أصل معناه ، لأنّ معنى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زيد ، غلام لزيد ، فلمّا شبّهت </w:t>
      </w:r>
    </w:p>
    <w:p>
      <w:pPr>
        <w:pStyle w:val="BookText"/>
        <w:rPr/>
      </w:pPr>
      <w:r>
        <w:rPr>
          <w:rFonts w:ascii="Amiri" w:hAnsi="Amiri" w:eastAsia="Amiri" w:cs="Amiri"/>
          <w:color w:val="111111"/>
          <w:sz w:val="28"/>
          <w:sz w:val="28"/>
          <w:szCs w:val="28"/>
          <w:rtl w:val="true"/>
          <w:lang w:bidi="ar-SA"/>
        </w:rPr>
        <w:t>به أجّريت مجراه في الأحكام المذكورة</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أبا له ولا غلامي له ، ليس بمضاف إلى الضمير كما ذهب إليه سيبويه </w:t>
      </w:r>
      <w:r>
        <w:rPr>
          <w:rStyle w:val="FootnoteAnchor"/>
          <w:rtl w:val="true"/>
        </w:rPr>
        <w:footnoteReference w:id="923"/>
      </w:r>
      <w:r>
        <w:rPr>
          <w:rFonts w:ascii="Amiri" w:hAnsi="Amiri" w:eastAsia="Amiri" w:cs="Amiri"/>
          <w:color w:val="111111"/>
          <w:sz w:val="28"/>
          <w:sz w:val="28"/>
          <w:szCs w:val="28"/>
          <w:rtl w:val="true"/>
          <w:lang w:bidi="ar-SA"/>
        </w:rPr>
        <w:t xml:space="preserve">من أنّه مضاف إلى الهاء واللّام زائدة لتأكيد الإضافة ، لفساد المعنى ، إذ يبقى معناه لا أباه ، فتبقى لا ، بلا خبر ، وتعمل في المعارف وهو غير جائز </w:t>
      </w:r>
      <w:r>
        <w:rPr>
          <w:rStyle w:val="FootnoteAnchor"/>
          <w:rtl w:val="true"/>
        </w:rPr>
        <w:footnoteReference w:id="924"/>
      </w:r>
      <w:r>
        <w:rPr>
          <w:rFonts w:ascii="Amiri" w:hAnsi="Amiri" w:eastAsia="Amiri" w:cs="Amiri"/>
          <w:color w:val="111111"/>
          <w:sz w:val="28"/>
          <w:sz w:val="28"/>
          <w:szCs w:val="28"/>
          <w:rtl w:val="true"/>
          <w:lang w:bidi="ar-SA"/>
        </w:rPr>
        <w:t xml:space="preserve">وعلى هذه اللغة الثانية يأتي لفظ هذه النكرة مثل لفظ المضاف في أي موضع وجد ، لكن يظهر أثر هذه اللغة الثانية في الأسماء الخمسة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أبوه وأخوه وحموه وهنوه وفوه ، وأمّا ذو فلا تجري هذا المجرى ، ويظهر أيضا في التثنية ، والجمع الصحيح لأنّ إعراب الأسماء الخمسة مضافة في النصب بالألف وفي الإفراد بالفتح وإعراب التثنية والجمع الصحيح المذكّر في الإضافة بسقوط نونه ، وفي الإفراد بثبوتها ، قال ابن الحاجب </w:t>
      </w:r>
      <w:r>
        <w:rPr>
          <w:rStyle w:val="FootnoteAnchor"/>
          <w:rtl w:val="true"/>
        </w:rPr>
        <w:footnoteReference w:id="9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جمع المؤنّث الصحيح كذلك ؛ فإنّ تنوينه يحذف في الإضافة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ضارباتك ، ويثبت في الإفراد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ضاربات في الدار فتقول على هذه اللغة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أبا لزيد ، وكذلك لا أخا ، ولا هنا ، ولا حما ، ولا فا ، لزيد ، ولا ناصحي لخالد ، ولا ضاربات لزيد ، فتثبت الألف في الأسماء الخمسة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زيد وأخاه إلى آخرها وتسقط نون التثنية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ناصحي لخالد ،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ناصحي خالد وكذلك تسقط نون الجمع ،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ناصحي لخالد ،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ناصحي خالد ، وكذلك يسقط تنوين جمع المؤنّث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ضاربات لزيد ،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ضارباتك ، وغير الأسماء الخمسة والتثنية والجمع السّالم ، لا يختلف لفظه في اللغتين ؛ ألا ترى أنّك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غلام لزيد ، وقدّرته مفردا ، وجبت له الفتحة لوجوب بنائه على ما ينصب به ، وإذا شبّهته بالمضاف أعربته بالنصب وهو مضاف فلم يكن له غير الفتحة ، ولكن تقدّر في لغة الإفراد الفتحة للبناء ، وفي لغة التشبيه بالمضاف فتحة إعراب بالنّصب ، وإن ذكر بعد النكرة ما لم يصحّ إضافتها إليه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 فيها ، ولا رقيبين عليها ، لم يكن فيه إلّا البناء وسقطت </w:t>
      </w:r>
      <w:bookmarkStart w:id="336" w:name="pg14482_156180"/>
    </w:p>
    <w:p>
      <w:pPr>
        <w:pStyle w:val="BookText"/>
        <w:rPr/>
      </w:pPr>
      <w:bookmarkEnd w:id="336"/>
      <w:r>
        <w:rPr>
          <w:rFonts w:ascii="Amiri" w:hAnsi="Amiri" w:eastAsia="Amiri" w:cs="Amiri"/>
          <w:color w:val="111111"/>
          <w:sz w:val="28"/>
          <w:sz w:val="28"/>
          <w:szCs w:val="28"/>
          <w:rtl w:val="true"/>
          <w:lang w:bidi="ar-SA"/>
        </w:rPr>
        <w:t xml:space="preserve">لغة التشبيه بالمضاف لزوال اللّام المقتضية للتشبيه بالمضاف </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واعلم أنّه يجوز حذف اسم لا </w:t>
      </w:r>
      <w:r>
        <w:rPr>
          <w:rStyle w:val="FootnoteAnchor"/>
          <w:rtl w:val="true"/>
        </w:rPr>
        <w:footnoteReference w:id="927"/>
      </w:r>
      <w:r>
        <w:rPr>
          <w:rFonts w:ascii="Amiri" w:hAnsi="Amiri" w:eastAsia="Amiri" w:cs="Amiri"/>
          <w:color w:val="111111"/>
          <w:sz w:val="28"/>
          <w:sz w:val="28"/>
          <w:szCs w:val="28"/>
          <w:rtl w:val="true"/>
          <w:lang w:bidi="ar-SA"/>
        </w:rPr>
        <w:t xml:space="preserve">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عليك أي لا بأس عليك </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7" w:name="__RefHeading___Toc716766_996550957"/>
      <w:bookmarkStart w:id="338" w:name="_Toc124"/>
      <w:bookmarkEnd w:id="337"/>
      <w:r>
        <w:rPr/>
        <w:t>12</w:t>
      </w:r>
      <w:r>
        <w:rPr>
          <w:rtl w:val="true"/>
        </w:rPr>
        <w:t xml:space="preserve">- </w:t>
      </w:r>
      <w:r>
        <w:rPr>
          <w:rtl w:val="true"/>
        </w:rPr>
        <w:t>ذكر خبر ما ولا المشبّهتين بليس</w:t>
      </w:r>
      <w:bookmarkEnd w:id="338"/>
    </w:p>
    <w:p>
      <w:pPr>
        <w:pStyle w:val="BookText"/>
        <w:rPr/>
      </w:pPr>
      <w:r>
        <w:rPr>
          <w:rStyle w:val="FootnoteAnchor"/>
          <w:rtl w:val="true"/>
        </w:rPr>
        <w:footnoteReference w:id="9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سابع المنصوبات المشبّهات بالمفعول ، وهو الذي يخبر به بعد دخولهما ، وينصب في لغة أهل الحجاز ،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وَقُلْنَ حاشَ لِلَّهِ ما هذا بَشَراً</w:t>
      </w:r>
      <w:r>
        <w:rPr>
          <w:rFonts w:eastAsia="Amiri" w:cs="Amiri" w:ascii="Amiri" w:hAnsi="Amiri"/>
          <w:color w:val="111111"/>
          <w:sz w:val="28"/>
          <w:szCs w:val="28"/>
          <w:rtl w:val="true"/>
          <w:lang w:bidi="ar-SA"/>
        </w:rPr>
        <w:t>)</w:t>
      </w:r>
      <w:r>
        <w:rPr>
          <w:rStyle w:val="FootnoteAnchor"/>
          <w:rtl w:val="true"/>
        </w:rPr>
        <w:footnoteReference w:id="930"/>
      </w:r>
      <w:r>
        <w:rPr>
          <w:rFonts w:ascii="Amiri" w:hAnsi="Amiri" w:eastAsia="Amiri" w:cs="Amiri"/>
          <w:color w:val="111111"/>
          <w:sz w:val="28"/>
          <w:sz w:val="28"/>
          <w:szCs w:val="28"/>
          <w:rtl w:val="true"/>
          <w:lang w:bidi="ar-SA"/>
        </w:rPr>
        <w:t xml:space="preserve">وبنو تميم لا يعملونهما لعدم اختصاصهما </w:t>
      </w:r>
      <w:r>
        <w:rPr>
          <w:rStyle w:val="FootnoteAnchor"/>
          <w:rtl w:val="true"/>
        </w:rPr>
        <w:footnoteReference w:id="931"/>
      </w:r>
      <w:r>
        <w:rPr>
          <w:rFonts w:ascii="Amiri" w:hAnsi="Amiri" w:eastAsia="Amiri" w:cs="Amiri"/>
          <w:color w:val="111111"/>
          <w:sz w:val="28"/>
          <w:sz w:val="28"/>
          <w:szCs w:val="28"/>
          <w:rtl w:val="true"/>
          <w:lang w:bidi="ar-SA"/>
        </w:rPr>
        <w:t xml:space="preserve">، أي لدخولهما على الاسم والفعل ، ويبطل عمل ما ولا في أشياء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انتقض النفي بإلّا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زيد إلّا قائم ، ولا رجل إلا أفضل منك لفقد ما عملتا </w:t>
      </w:r>
      <w:r>
        <w:rPr>
          <w:rStyle w:val="FootnoteAnchor"/>
          <w:rtl w:val="true"/>
        </w:rPr>
        <w:footnoteReference w:id="932"/>
      </w:r>
      <w:r>
        <w:rPr>
          <w:rFonts w:ascii="Amiri" w:hAnsi="Amiri" w:eastAsia="Amiri" w:cs="Amiri"/>
          <w:color w:val="111111"/>
          <w:sz w:val="28"/>
          <w:sz w:val="28"/>
          <w:szCs w:val="28"/>
          <w:rtl w:val="true"/>
          <w:lang w:bidi="ar-SA"/>
        </w:rPr>
        <w:t>لأجله وهو النّفي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تقدّم خبرها على اسمها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قائم زيد ، لضعفها في العمل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زيدت إن بعد ما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إن زيد قائم ، لضعف عملها بالفصل بينها وبين معمولها </w:t>
      </w:r>
      <w:r>
        <w:rPr>
          <w:rStyle w:val="FootnoteAnchor"/>
          <w:rtl w:val="true"/>
        </w:rPr>
        <w:footnoteReference w:id="934"/>
      </w:r>
      <w:r>
        <w:rPr>
          <w:rFonts w:ascii="IRNazanin" w:hAnsi="IRNazanin" w:eastAsia="IRNazanin"/>
          <w:color w:val="111111"/>
          <w:sz w:val="28"/>
          <w:sz w:val="28"/>
          <w:szCs w:val="28"/>
          <w:rtl w:val="true"/>
          <w:lang w:bidi="fa-IR"/>
        </w:rPr>
        <w:t xml:space="preserve">ومنه قوله </w:t>
      </w:r>
      <w:r>
        <w:rPr>
          <w:rFonts w:eastAsia="IRNazanin" w:cs="IRNazanin"/>
          <w:color w:val="111111"/>
          <w:sz w:val="28"/>
          <w:szCs w:val="28"/>
          <w:rtl w:val="true"/>
          <w:lang w:bidi="fa-IR"/>
        </w:rPr>
        <w:t xml:space="preserve">: </w:t>
      </w:r>
      <w:r>
        <w:rPr>
          <w:rStyle w:val="FootnoteAnchor"/>
          <w:rtl w:val="true"/>
        </w:rPr>
        <w:footnoteReference w:id="935"/>
      </w:r>
      <w:bookmarkStart w:id="339" w:name="pg14482_156181"/>
    </w:p>
    <w:p>
      <w:pPr>
        <w:pStyle w:val="BookText"/>
        <w:rPr/>
      </w:pPr>
      <w:bookmarkEnd w:id="339"/>
      <w:r>
        <w:rPr>
          <w:rFonts w:ascii="Amiri" w:hAnsi="Amiri" w:eastAsia="Amiri" w:cs="Amiri"/>
          <w:color w:val="111111"/>
          <w:sz w:val="28"/>
          <w:sz w:val="28"/>
          <w:szCs w:val="28"/>
          <w:rtl w:val="true"/>
          <w:lang w:bidi="ar-SA"/>
        </w:rPr>
        <w:t>وما إن طبّنا جبن ولكن</w:t>
      </w:r>
    </w:p>
    <w:p>
      <w:pPr>
        <w:pStyle w:val="BookText"/>
        <w:rPr/>
      </w:pPr>
      <w:r>
        <w:rPr>
          <w:rFonts w:ascii="Amiri" w:hAnsi="Amiri" w:eastAsia="Amiri" w:cs="Amiri"/>
          <w:color w:val="111111"/>
          <w:sz w:val="28"/>
          <w:sz w:val="28"/>
          <w:szCs w:val="28"/>
          <w:rtl w:val="true"/>
          <w:lang w:bidi="ar-SA"/>
        </w:rPr>
        <w:t>منايانا ودولة آخرينا</w:t>
      </w:r>
    </w:p>
    <w:p>
      <w:pPr>
        <w:pStyle w:val="BookText"/>
        <w:rPr/>
      </w:pPr>
      <w:r>
        <w:rPr>
          <w:rFonts w:ascii="Amiri" w:hAnsi="Amiri" w:eastAsia="Amiri" w:cs="Amiri"/>
          <w:color w:val="111111"/>
          <w:sz w:val="28"/>
          <w:sz w:val="28"/>
          <w:szCs w:val="28"/>
          <w:rtl w:val="true"/>
          <w:lang w:bidi="ar-SA"/>
        </w:rPr>
        <w:t xml:space="preserve">وإذا عطف على خبر ما ولا بحرف عطف موجب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ولكن ، بطل عملهما في المعطوف ، لبطلان النفي الذي هو سبب عملهما </w:t>
      </w:r>
      <w:r>
        <w:rPr>
          <w:rStyle w:val="FootnoteAnchor"/>
          <w:rtl w:val="true"/>
        </w:rPr>
        <w:footnoteReference w:id="936"/>
      </w:r>
      <w:r>
        <w:rPr>
          <w:rFonts w:ascii="Amiri" w:hAnsi="Amiri" w:eastAsia="Amiri" w:cs="Amiri"/>
          <w:color w:val="111111"/>
          <w:sz w:val="28"/>
          <w:sz w:val="28"/>
          <w:szCs w:val="28"/>
          <w:rtl w:val="true"/>
          <w:lang w:bidi="ar-SA"/>
        </w:rPr>
        <w:t xml:space="preserve">، ووجب الرّفع حملا على محلّ خبر ما ولا من حيث هو خبر المبتدإ في الأصل </w:t>
      </w:r>
      <w:r>
        <w:rPr>
          <w:rStyle w:val="FootnoteAnchor"/>
          <w:rtl w:val="true"/>
        </w:rPr>
        <w:footnoteReference w:id="937"/>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مخالفا بل طائع ولكن طائع ، وما زيد قائما بل قاعد</w:t>
      </w:r>
      <w:r>
        <w:rPr>
          <w:rFonts w:eastAsia="Amiri" w:cs="Amiri" w:ascii="Amiri" w:hAnsi="Amiri"/>
          <w:color w:val="111111"/>
          <w:sz w:val="28"/>
          <w:szCs w:val="28"/>
          <w:rtl w:val="true"/>
          <w:lang w:bidi="ar-SA"/>
        </w:rPr>
        <w:t>.</w:t>
      </w:r>
    </w:p>
    <w:p>
      <w:pPr>
        <w:pStyle w:val="Heading4"/>
        <w:numPr>
          <w:ilvl w:val="3"/>
          <w:numId w:val="1"/>
        </w:numPr>
        <w:rPr/>
      </w:pPr>
      <w:bookmarkStart w:id="340" w:name="__RefHeading___Toc716768_996550957"/>
      <w:bookmarkStart w:id="341" w:name="_Toc125"/>
      <w:bookmarkEnd w:id="340"/>
      <w:r>
        <w:rPr>
          <w:rtl w:val="true"/>
        </w:rPr>
        <w:t>ذكر المجرورات</w:t>
      </w:r>
      <w:bookmarkEnd w:id="341"/>
    </w:p>
    <w:p>
      <w:pPr>
        <w:pStyle w:val="Heading5"/>
        <w:numPr>
          <w:ilvl w:val="4"/>
          <w:numId w:val="1"/>
        </w:numPr>
        <w:rPr/>
      </w:pPr>
      <w:bookmarkStart w:id="342" w:name="__RefHeading___Toc716770_996550957"/>
      <w:bookmarkStart w:id="343" w:name="_Toc126"/>
      <w:bookmarkEnd w:id="342"/>
      <w:r>
        <w:rPr>
          <w:rtl w:val="true"/>
        </w:rPr>
        <w:t>اشارة</w:t>
      </w:r>
      <w:bookmarkEnd w:id="343"/>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المجرور ما اشتمل على علم المضاف إليه </w:t>
      </w:r>
      <w:r>
        <w:rPr>
          <w:rStyle w:val="FootnoteAnchor"/>
          <w:rtl w:val="true"/>
        </w:rPr>
        <w:footnoteReference w:id="939"/>
      </w:r>
      <w:r>
        <w:rPr>
          <w:rFonts w:ascii="Amiri" w:hAnsi="Amiri" w:eastAsia="Amiri" w:cs="Amiri"/>
          <w:color w:val="111111"/>
          <w:sz w:val="28"/>
          <w:sz w:val="28"/>
          <w:szCs w:val="28"/>
          <w:rtl w:val="true"/>
          <w:lang w:bidi="ar-SA"/>
        </w:rPr>
        <w:t xml:space="preserve">وهو قسمان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بحرف الجرّ وسيأتي في قسم الحرف </w:t>
      </w:r>
      <w:r>
        <w:rPr>
          <w:rStyle w:val="FootnoteAnchor"/>
          <w:rtl w:val="true"/>
        </w:rPr>
        <w:footnoteReference w:id="940"/>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المضاف إليه وهو كلّ اسم ملفوظ أو مقدّر ، نسب إليه شيء بواسطة حرف جرّ لفظا أو تقديرا مرادا ، فمثال الاسم الملفوظ زيد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زيد ، والمقدّر في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يَقُومُ الرُّوحُ</w:t>
      </w:r>
      <w:r>
        <w:rPr>
          <w:rFonts w:eastAsia="Amiri" w:cs="Amiri" w:ascii="Amiri" w:hAnsi="Amiri"/>
          <w:color w:val="111111"/>
          <w:sz w:val="28"/>
          <w:szCs w:val="28"/>
          <w:rtl w:val="true"/>
          <w:lang w:bidi="ar-SA"/>
        </w:rPr>
        <w:t>)</w:t>
      </w:r>
      <w:r>
        <w:rPr>
          <w:rStyle w:val="FootnoteAnchor"/>
          <w:rtl w:val="true"/>
        </w:rPr>
        <w:footnoteReference w:id="941"/>
      </w:r>
      <w:r>
        <w:rPr>
          <w:rFonts w:ascii="Amiri" w:hAnsi="Amiri" w:eastAsia="Amiri" w:cs="Amiri"/>
          <w:color w:val="111111"/>
          <w:sz w:val="28"/>
          <w:sz w:val="28"/>
          <w:szCs w:val="28"/>
          <w:rtl w:val="true"/>
          <w:lang w:bidi="ar-SA"/>
        </w:rPr>
        <w:t xml:space="preserve">إذ تقديره يوم قيام الروح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إليه شيء بواسطة حرف الجرّ ، احتراز </w:t>
      </w:r>
      <w:r>
        <w:rPr>
          <w:rStyle w:val="FootnoteAnchor"/>
          <w:rtl w:val="true"/>
        </w:rPr>
        <w:footnoteReference w:id="942"/>
      </w:r>
      <w:r>
        <w:rPr>
          <w:rFonts w:ascii="Amiri" w:hAnsi="Amiri" w:eastAsia="Amiri" w:cs="Amiri"/>
          <w:color w:val="111111"/>
          <w:sz w:val="28"/>
          <w:sz w:val="28"/>
          <w:szCs w:val="28"/>
          <w:rtl w:val="true"/>
          <w:lang w:bidi="ar-SA"/>
        </w:rPr>
        <w:t xml:space="preserve">عن الإضافة اللفظيّة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ضارب عمرو ، فإنّ المضاف إليه فيها نسب إليه المضاف الذي هو الصّفة لا بواسطة حرف جرّ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أو تقديرا تفصيل لحرف الجر ، فاللفظيّ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بزيد ، وأنا مار بزيد ، والتقديريّ </w:t>
      </w:r>
      <w:r>
        <w:rPr>
          <w:rStyle w:val="FootnoteAnchor"/>
          <w:rtl w:val="true"/>
        </w:rPr>
        <w:footnoteReference w:id="943"/>
      </w:r>
      <w:r>
        <w:rPr>
          <w:rFonts w:ascii="Amiri" w:hAnsi="Amiri" w:eastAsia="Amiri" w:cs="Amiri"/>
          <w:color w:val="111111"/>
          <w:sz w:val="28"/>
          <w:sz w:val="28"/>
          <w:szCs w:val="28"/>
          <w:rtl w:val="true"/>
          <w:lang w:bidi="ar-SA"/>
        </w:rPr>
        <w:t xml:space="preserve">نحو اللام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زيد ، ومن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خاتم فضّة </w:t>
      </w:r>
      <w:r>
        <w:rPr>
          <w:rStyle w:val="FootnoteAnchor"/>
          <w:rtl w:val="true"/>
        </w:rPr>
        <w:footnoteReference w:id="944"/>
      </w:r>
      <w:r>
        <w:rPr>
          <w:rFonts w:ascii="Amiri" w:hAnsi="Amiri" w:eastAsia="Amiri" w:cs="Amiri"/>
          <w:color w:val="111111"/>
          <w:sz w:val="28"/>
          <w:sz w:val="28"/>
          <w:szCs w:val="28"/>
          <w:rtl w:val="true"/>
          <w:lang w:bidi="ar-SA"/>
        </w:rPr>
        <w:t xml:space="preserve">وشرط المضاف إليه المجرور بواسطة حرف الجرّ التقديري أن يكون مضافه اسما حذف تنوينه أو ما يقوم مقام التنوين لأجل الإضافة </w:t>
      </w:r>
      <w:r>
        <w:rPr>
          <w:rStyle w:val="FootnoteAnchor"/>
          <w:rtl w:val="true"/>
        </w:rPr>
        <w:footnoteReference w:id="945"/>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مرادا احتراز عن الظّرف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صمت يوم الجمعة ، لأنّ يوم الجمعة نسب إليه </w:t>
      </w:r>
      <w:bookmarkStart w:id="344" w:name="pg14482_156182"/>
    </w:p>
    <w:p>
      <w:pPr>
        <w:pStyle w:val="BookText"/>
        <w:rPr/>
      </w:pPr>
      <w:bookmarkEnd w:id="344"/>
      <w:r>
        <w:rPr>
          <w:rFonts w:ascii="Amiri" w:hAnsi="Amiri" w:eastAsia="Amiri" w:cs="Amiri"/>
          <w:color w:val="111111"/>
          <w:sz w:val="28"/>
          <w:sz w:val="28"/>
          <w:szCs w:val="28"/>
          <w:rtl w:val="true"/>
          <w:lang w:bidi="ar-SA"/>
        </w:rPr>
        <w:t xml:space="preserve">شيء وهو صمت بواسطة حرف الجر وهو في ، وليس ذلك الحرف مرادا ، وإلّا كان يوم الجمعة مجرورا 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المضاف إليه لا يكون إلّا اسما لفظا أو تقديرا وقد أضيف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وإذا ، إلى الجمل في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جلست حيث جلس زيد ، وليست الجملة اسما لا لفظا ولا تقديرا ، 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الجملة مؤوّلة بالاسم المفرد ، إذ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جلست حيث جلوس زيد ، أي مكان جلوسه ، والإضافة نوعان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معنوية ولفظية</w:t>
      </w:r>
      <w:r>
        <w:rPr>
          <w:rFonts w:eastAsia="Amiri" w:cs="Amiri" w:ascii="Amiri" w:hAnsi="Amiri"/>
          <w:color w:val="111111"/>
          <w:sz w:val="28"/>
          <w:szCs w:val="28"/>
          <w:rtl w:val="true"/>
          <w:lang w:bidi="ar-SA"/>
        </w:rPr>
        <w:t>.</w:t>
      </w:r>
    </w:p>
    <w:p>
      <w:pPr>
        <w:pStyle w:val="Heading5"/>
        <w:numPr>
          <w:ilvl w:val="4"/>
          <w:numId w:val="1"/>
        </w:numPr>
        <w:rPr/>
      </w:pPr>
      <w:bookmarkStart w:id="345" w:name="__RefHeading___Toc716772_996550957"/>
      <w:bookmarkStart w:id="346" w:name="_Toc127"/>
      <w:bookmarkEnd w:id="345"/>
      <w:r>
        <w:rPr>
          <w:rtl w:val="true"/>
        </w:rPr>
        <w:t>ذكر الإضافة المعنويّة</w:t>
      </w:r>
      <w:bookmarkEnd w:id="346"/>
    </w:p>
    <w:p>
      <w:pPr>
        <w:pStyle w:val="BookText"/>
        <w:rPr/>
      </w:pPr>
      <w:r>
        <w:rPr>
          <w:rStyle w:val="FootnoteAnchor"/>
          <w:rtl w:val="true"/>
        </w:rPr>
        <w:footnoteReference w:id="9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أن يكون المضاف غير صفة مضافة إلى معمولها ، وهو على ثلاثة أضرب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من ، وشرطها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المضاف نوع المضاف إليه </w:t>
      </w:r>
      <w:r>
        <w:rPr>
          <w:rStyle w:val="FootnoteAnchor"/>
          <w:rtl w:val="true"/>
        </w:rPr>
        <w:footnoteReference w:id="947"/>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 فضّة ، وباب ساج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في ، وشرطها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المضاف اسما مضافا إلى ظرفه نحو ضرب اليوم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مَكْرُ اللَّيْلِ</w:t>
      </w:r>
      <w:r>
        <w:rPr>
          <w:rFonts w:eastAsia="Amiri" w:cs="Amiri" w:ascii="Amiri" w:hAnsi="Amiri"/>
          <w:color w:val="111111"/>
          <w:sz w:val="28"/>
          <w:szCs w:val="28"/>
          <w:rtl w:val="true"/>
          <w:lang w:bidi="ar-SA"/>
        </w:rPr>
        <w:t>)</w:t>
      </w:r>
      <w:r>
        <w:rPr>
          <w:rStyle w:val="FootnoteAnchor"/>
          <w:rtl w:val="true"/>
        </w:rPr>
        <w:footnoteReference w:id="948"/>
      </w:r>
      <w:r>
        <w:rPr>
          <w:rFonts w:ascii="Amiri" w:hAnsi="Amiri" w:eastAsia="Amiri" w:cs="Amiri"/>
          <w:color w:val="111111"/>
          <w:sz w:val="28"/>
          <w:sz w:val="28"/>
          <w:szCs w:val="28"/>
          <w:rtl w:val="true"/>
          <w:lang w:bidi="ar-SA"/>
        </w:rPr>
        <w:t xml:space="preserve">وهو قليل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اللّام وهو ما عدا هذين القسمين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زيد ، وغلامه ، والفرق بين الإضافة بمعنى اللّام ، ومعنى من ، أنّ التي بمعنى اللّام لا يصحّ الإخبار بأحد الاسمين عن الآخر ، ولا يكون المضاف نوعا من المضاف إليه ، ولا يجوز أن ينتصب المضاف إليه على التمييز من المضاف ، والتي بمعنى من على العكس من ذلك كلّه </w:t>
      </w:r>
      <w:r>
        <w:rPr>
          <w:rStyle w:val="FootnoteAnchor"/>
          <w:rtl w:val="true"/>
        </w:rPr>
        <w:footnoteReference w:id="950"/>
      </w:r>
      <w:r>
        <w:rPr>
          <w:rFonts w:ascii="Amiri" w:hAnsi="Amiri" w:eastAsia="Amiri" w:cs="Amiri"/>
          <w:color w:val="111111"/>
          <w:sz w:val="28"/>
          <w:sz w:val="28"/>
          <w:szCs w:val="28"/>
          <w:rtl w:val="true"/>
          <w:lang w:bidi="ar-SA"/>
        </w:rPr>
        <w:t xml:space="preserve">وشرط الإضافة أن يكون المضاف خاليا عن التعريف </w:t>
      </w:r>
      <w:r>
        <w:rPr>
          <w:rStyle w:val="FootnoteAnchor"/>
          <w:rtl w:val="true"/>
        </w:rPr>
        <w:footnoteReference w:id="951"/>
      </w:r>
      <w:r>
        <w:rPr>
          <w:rFonts w:ascii="Amiri" w:hAnsi="Amiri" w:eastAsia="Amiri" w:cs="Amiri"/>
          <w:color w:val="111111"/>
          <w:sz w:val="28"/>
          <w:sz w:val="28"/>
          <w:szCs w:val="28"/>
          <w:rtl w:val="true"/>
          <w:lang w:bidi="ar-SA"/>
        </w:rPr>
        <w:t xml:space="preserve">، وأجاز الكوفيون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الخمسة الأثواب ونحوه من العدد ومنعه البصريون كغيره </w:t>
      </w:r>
      <w:r>
        <w:rPr>
          <w:rStyle w:val="FootnoteAnchor"/>
          <w:rtl w:val="true"/>
        </w:rPr>
        <w:footnoteReference w:id="952"/>
      </w:r>
      <w:r>
        <w:rPr>
          <w:rFonts w:ascii="Amiri" w:hAnsi="Amiri" w:eastAsia="Amiri" w:cs="Amiri"/>
          <w:color w:val="111111"/>
          <w:sz w:val="28"/>
          <w:sz w:val="28"/>
          <w:szCs w:val="28"/>
          <w:rtl w:val="true"/>
          <w:lang w:bidi="ar-SA"/>
        </w:rPr>
        <w:t xml:space="preserve">لأنّه لو أضيف المعرّف </w:t>
      </w:r>
      <w:bookmarkStart w:id="347" w:name="pg14482_156183"/>
    </w:p>
    <w:p>
      <w:pPr>
        <w:pStyle w:val="BookText"/>
        <w:rPr/>
      </w:pPr>
      <w:bookmarkEnd w:id="347"/>
      <w:r>
        <w:rPr>
          <w:rFonts w:ascii="Amiri" w:hAnsi="Amiri" w:eastAsia="Amiri" w:cs="Amiri"/>
          <w:color w:val="111111"/>
          <w:sz w:val="28"/>
          <w:sz w:val="28"/>
          <w:szCs w:val="28"/>
          <w:rtl w:val="true"/>
          <w:lang w:bidi="ar-SA"/>
        </w:rPr>
        <w:t>إلى معرفة كان جمعا بين تعريفين ، وإن أضيف إلى نكرة حصل من المعرفة تعيين المسمّى ، ومن النكرة ، عدم تعيينه فيتنافيان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ذو الرمة </w:t>
      </w:r>
      <w:r>
        <w:rPr>
          <w:rFonts w:eastAsia="Amiri" w:cs="Amiri" w:ascii="Amiri" w:hAnsi="Amiri"/>
          <w:color w:val="111111"/>
          <w:sz w:val="28"/>
          <w:szCs w:val="28"/>
          <w:rtl w:val="true"/>
          <w:lang w:bidi="ar-SA"/>
        </w:rPr>
        <w:t xml:space="preserve">: </w:t>
      </w:r>
      <w:r>
        <w:rPr>
          <w:rStyle w:val="FootnoteAnchor"/>
          <w:rtl w:val="true"/>
        </w:rPr>
        <w:footnoteReference w:id="953"/>
      </w:r>
    </w:p>
    <w:p>
      <w:pPr>
        <w:pStyle w:val="BookText"/>
        <w:rPr/>
      </w:pPr>
      <w:r>
        <w:rPr>
          <w:rFonts w:ascii="Amiri" w:hAnsi="Amiri" w:eastAsia="Amiri" w:cs="Amiri"/>
          <w:color w:val="111111"/>
          <w:sz w:val="28"/>
          <w:sz w:val="28"/>
          <w:szCs w:val="28"/>
          <w:rtl w:val="true"/>
          <w:lang w:bidi="ar-SA"/>
        </w:rPr>
        <w:t xml:space="preserve">جمع أثفية وهي الحجارة التي توضع عليها القدور والبلاقع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بلقع وهي الخالية من السكان التي لا أنيس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يرجع التسليم أو يكشف العمى</w:t>
      </w:r>
    </w:p>
    <w:p>
      <w:pPr>
        <w:pStyle w:val="BookText"/>
        <w:rPr/>
      </w:pPr>
      <w:r>
        <w:rPr>
          <w:rFonts w:ascii="Amiri" w:hAnsi="Amiri" w:eastAsia="Amiri" w:cs="Amiri"/>
          <w:color w:val="111111"/>
          <w:sz w:val="28"/>
          <w:sz w:val="28"/>
          <w:szCs w:val="28"/>
          <w:rtl w:val="true"/>
          <w:lang w:bidi="ar-SA"/>
        </w:rPr>
        <w:t>ثلاث الأثافي والدّيار البلاقع</w:t>
      </w:r>
    </w:p>
    <w:p>
      <w:pPr>
        <w:pStyle w:val="BookText"/>
        <w:rPr/>
      </w:pPr>
      <w:r>
        <w:rPr>
          <w:rFonts w:ascii="Amiri" w:hAnsi="Amiri" w:eastAsia="Amiri" w:cs="Amiri"/>
          <w:color w:val="111111"/>
          <w:sz w:val="28"/>
          <w:sz w:val="28"/>
          <w:szCs w:val="28"/>
          <w:rtl w:val="true"/>
          <w:lang w:bidi="ar-SA"/>
        </w:rPr>
        <w:t xml:space="preserve">وكذلك حكم إضافة العدد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الدّرهم ومائتا الدينار ، وثلاثة مائة الدّرهم ، وألف الرجل ، وثلاثة آلاف الرجل ، وعلى ذلك جميع ما هو من هذا الباب</w:t>
      </w:r>
      <w:r>
        <w:rPr>
          <w:rFonts w:eastAsia="Amiri" w:cs="Amiri" w:ascii="Amiri" w:hAnsi="Amiri"/>
          <w:color w:val="111111"/>
          <w:sz w:val="28"/>
          <w:szCs w:val="28"/>
          <w:rtl w:val="true"/>
          <w:lang w:bidi="ar-SA"/>
        </w:rPr>
        <w:t>.</w:t>
      </w:r>
    </w:p>
    <w:p>
      <w:pPr>
        <w:pStyle w:val="Heading5"/>
        <w:numPr>
          <w:ilvl w:val="4"/>
          <w:numId w:val="1"/>
        </w:numPr>
        <w:rPr/>
      </w:pPr>
      <w:bookmarkStart w:id="348" w:name="__RefHeading___Toc716774_996550957"/>
      <w:bookmarkStart w:id="349" w:name="_Toc128"/>
      <w:bookmarkEnd w:id="348"/>
      <w:r>
        <w:rPr>
          <w:rtl w:val="true"/>
        </w:rPr>
        <w:t>ذكر الإضافة اللفظيّة</w:t>
      </w:r>
      <w:bookmarkEnd w:id="349"/>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أن يكون المضاف صفة مضافة إلى ما كان معمولا لها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ضارب زيد ، وعظيم الحظّ ، وحسن الوجه ، وأصله ضارب زيدا ، وعظيم حظّه وحسن وجهه ، والمعنى في الإضافة اللفظيّة على ما كان عليه لو لم يضف لأنّها لا تفيد غير تخفيف اللفظ </w:t>
      </w:r>
      <w:r>
        <w:rPr>
          <w:rStyle w:val="FootnoteAnchor"/>
          <w:rtl w:val="true"/>
        </w:rPr>
        <w:footnoteReference w:id="955"/>
      </w:r>
      <w:r>
        <w:rPr>
          <w:rFonts w:ascii="IRNazanin" w:hAnsi="IRNazanin" w:eastAsia="IRNazanin"/>
          <w:color w:val="111111"/>
          <w:sz w:val="28"/>
          <w:sz w:val="28"/>
          <w:szCs w:val="28"/>
          <w:rtl w:val="true"/>
          <w:lang w:bidi="fa-IR"/>
        </w:rPr>
        <w:t xml:space="preserve">وهو </w:t>
      </w:r>
      <w:r>
        <w:rPr>
          <w:rStyle w:val="FootnoteAnchor"/>
          <w:rtl w:val="true"/>
        </w:rPr>
        <w:footnoteReference w:id="956"/>
      </w:r>
      <w:r>
        <w:rPr>
          <w:rFonts w:ascii="Amiri" w:hAnsi="Amiri" w:eastAsia="Amiri" w:cs="Amiri"/>
          <w:color w:val="111111"/>
          <w:sz w:val="28"/>
          <w:sz w:val="28"/>
          <w:szCs w:val="28"/>
          <w:rtl w:val="true"/>
          <w:lang w:bidi="ar-SA"/>
        </w:rPr>
        <w:t xml:space="preserve">حذف التنوين أو ما يقوم مقامه </w:t>
      </w:r>
      <w:r>
        <w:rPr>
          <w:rStyle w:val="FootnoteAnchor"/>
          <w:rtl w:val="true"/>
        </w:rPr>
        <w:footnoteReference w:id="957"/>
      </w:r>
      <w:r>
        <w:rPr>
          <w:rFonts w:ascii="Amiri" w:hAnsi="Amiri" w:eastAsia="Amiri" w:cs="Amiri"/>
          <w:color w:val="111111"/>
          <w:sz w:val="28"/>
          <w:sz w:val="28"/>
          <w:szCs w:val="28"/>
          <w:rtl w:val="true"/>
          <w:lang w:bidi="ar-SA"/>
        </w:rPr>
        <w:t xml:space="preserve">، واحترز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مضافة إلى معمولها ، من الصفة المضافة إلى غير معمولها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مصارع مصر ، فإنّ إضافته معنويّة ، لأنّ مصر ليس بمعمول مصارع ، وكذلك المصدر المضاف إلى الفاعل أو المفعول إضافته معنويّة </w:t>
      </w:r>
      <w:r>
        <w:rPr>
          <w:rStyle w:val="FootnoteAnchor"/>
          <w:rtl w:val="true"/>
        </w:rPr>
        <w:footnoteReference w:id="958"/>
      </w:r>
      <w:r>
        <w:rPr>
          <w:rFonts w:ascii="Amiri" w:hAnsi="Amiri" w:eastAsia="Amiri" w:cs="Amiri"/>
          <w:color w:val="111111"/>
          <w:sz w:val="28"/>
          <w:sz w:val="28"/>
          <w:szCs w:val="28"/>
          <w:rtl w:val="true"/>
          <w:lang w:bidi="ar-SA"/>
        </w:rPr>
        <w:t xml:space="preserve">، لأنّ المصدر ليس بصفة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 القصّار </w:t>
      </w:r>
    </w:p>
    <w:p>
      <w:pPr>
        <w:pStyle w:val="BookText"/>
        <w:rPr/>
      </w:pPr>
      <w:r>
        <w:rPr>
          <w:rFonts w:ascii="IRNazanin" w:hAnsi="IRNazanin" w:eastAsia="IRNazanin"/>
          <w:color w:val="111111"/>
          <w:sz w:val="28"/>
          <w:sz w:val="28"/>
          <w:szCs w:val="28"/>
          <w:rtl w:val="true"/>
          <w:lang w:bidi="fa-IR"/>
        </w:rPr>
        <w:t xml:space="preserve">الثوب أو دقّ الثوب القصّار </w:t>
      </w:r>
      <w:r>
        <w:rPr>
          <w:rStyle w:val="FootnoteAnchor"/>
          <w:rtl w:val="true"/>
        </w:rPr>
        <w:footnoteReference w:id="959"/>
      </w:r>
      <w:r>
        <w:rPr>
          <w:rFonts w:ascii="Amiri" w:hAnsi="Amiri" w:eastAsia="Amiri" w:cs="Amiri"/>
          <w:color w:val="111111"/>
          <w:sz w:val="28"/>
          <w:sz w:val="28"/>
          <w:szCs w:val="28"/>
          <w:rtl w:val="true"/>
          <w:lang w:bidi="ar-SA"/>
        </w:rPr>
        <w:t xml:space="preserve">، وكذلك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مضروب زيد وضارب زيد أمس ، وزيد أفضل القوم ، فإنّ ذلك كلّه إضافة معنويّة ، لأنّ المراد بالصفة المضافة إلى معمولها ، أنّ المضاف كان رافعا أو ناصبا للمضاف إليه قبل الإضافة ، ومعلوم أنّ هذه الصفة ليست كذلك ، لأنّ ضارب شرط عمله أن يكون للحال أو للاستقبال ، 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 انتفى عمله وأما مضروب وأفضل فإنّهما أيضا لم يكونا رافعين ولا ناصبين للمضاف إليه قبل الإضافة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والإضافة اللفظيّة لا تفيد تعريفا لأنه يجوز جعل المضاف إضافة لفظيّة صفة للنكرة دون المعرفة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برجل حسن الوجه ، وبرجل ضارب زيد </w:t>
      </w:r>
      <w:r>
        <w:rPr>
          <w:rStyle w:val="FootnoteAnchor"/>
          <w:rtl w:val="true"/>
        </w:rPr>
        <w:footnoteReference w:id="961"/>
      </w:r>
      <w:r>
        <w:rPr>
          <w:rFonts w:ascii="Amiri" w:hAnsi="Amiri" w:eastAsia="Amiri" w:cs="Amiri"/>
          <w:color w:val="111111"/>
          <w:sz w:val="28"/>
          <w:sz w:val="28"/>
          <w:szCs w:val="28"/>
          <w:rtl w:val="true"/>
          <w:lang w:bidi="ar-SA"/>
        </w:rPr>
        <w:t xml:space="preserve">، فلو لا أنّه نكرة لما وصف به النكرة ، ويمتنع أن توصف به المعرفة فلا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بزيد ضارب عمرو ، على أن يكون صفة ولو كان معرفة لوصف به المعرفة ويجوز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الضاربا زيد ، والضاربو زيد ، وفي التنزيل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وَالْمُقِيمِي الصَّلاةِ</w:t>
      </w:r>
      <w:r>
        <w:rPr>
          <w:rFonts w:eastAsia="Amiri" w:cs="Amiri" w:ascii="Amiri" w:hAnsi="Amiri"/>
          <w:color w:val="111111"/>
          <w:sz w:val="28"/>
          <w:szCs w:val="28"/>
          <w:rtl w:val="true"/>
          <w:lang w:bidi="ar-SA"/>
        </w:rPr>
        <w:t>)</w:t>
      </w:r>
      <w:r>
        <w:rPr>
          <w:rStyle w:val="FootnoteAnchor"/>
          <w:rtl w:val="true"/>
        </w:rPr>
        <w:footnoteReference w:id="962"/>
      </w:r>
      <w:r>
        <w:rPr>
          <w:rFonts w:ascii="Amiri" w:hAnsi="Amiri" w:eastAsia="Amiri" w:cs="Amiri"/>
          <w:color w:val="111111"/>
          <w:sz w:val="28"/>
          <w:sz w:val="28"/>
          <w:szCs w:val="28"/>
          <w:rtl w:val="true"/>
          <w:lang w:bidi="ar-SA"/>
        </w:rPr>
        <w:t xml:space="preserve">لإفادته التخفيف وهو حذف النون ، ويمتنع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الضارب زيد ، لعدم وجود التخفيف بهذه الإضافة والفرّاء جوّزه </w:t>
      </w:r>
      <w:r>
        <w:rPr>
          <w:rStyle w:val="FootnoteAnchor"/>
          <w:rtl w:val="true"/>
        </w:rPr>
        <w:footnoteReference w:id="963"/>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وللفرّاء أن يحتجّ بأنّ التنوين حذف للإضافة ، وأنّ الألف واللام ، دخلتا </w:t>
      </w:r>
      <w:r>
        <w:rPr>
          <w:rStyle w:val="FootnoteAnchor"/>
          <w:rtl w:val="true"/>
        </w:rPr>
        <w:footnoteReference w:id="964"/>
      </w:r>
      <w:r>
        <w:rPr>
          <w:rFonts w:ascii="Amiri" w:hAnsi="Amiri" w:eastAsia="Amiri" w:cs="Amiri"/>
          <w:color w:val="111111"/>
          <w:sz w:val="28"/>
          <w:sz w:val="28"/>
          <w:szCs w:val="28"/>
          <w:rtl w:val="true"/>
          <w:lang w:bidi="ar-SA"/>
        </w:rPr>
        <w:t xml:space="preserve">بعد الإضافة </w:t>
      </w:r>
      <w:r>
        <w:rPr>
          <w:rStyle w:val="FootnoteAnchor"/>
          <w:rtl w:val="true"/>
        </w:rPr>
        <w:footnoteReference w:id="965"/>
      </w:r>
      <w:r>
        <w:rPr>
          <w:rFonts w:ascii="Amiri" w:hAnsi="Amiri" w:eastAsia="Amiri" w:cs="Amiri"/>
          <w:color w:val="111111"/>
          <w:sz w:val="28"/>
          <w:sz w:val="28"/>
          <w:szCs w:val="28"/>
          <w:rtl w:val="true"/>
          <w:lang w:bidi="ar-SA"/>
        </w:rPr>
        <w:t xml:space="preserve">، 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فالواجب أن يمتنع الضارب الرجل كما امتنع الضارب زيد ، لعدم التخفيف ، 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الضارب الرجل مشبّه بالحسن الوجه ، من حيث إنّ المضاف في الصورتين صفة ، والمضاف إليه معرّف باللام </w:t>
      </w:r>
      <w:r>
        <w:rPr>
          <w:rStyle w:val="FootnoteAnchor"/>
          <w:rtl w:val="true"/>
        </w:rPr>
        <w:footnoteReference w:id="966"/>
      </w:r>
      <w:r>
        <w:rPr>
          <w:rFonts w:ascii="Amiri" w:hAnsi="Amiri" w:eastAsia="Amiri" w:cs="Amiri"/>
          <w:color w:val="111111"/>
          <w:sz w:val="28"/>
          <w:sz w:val="28"/>
          <w:szCs w:val="28"/>
          <w:rtl w:val="true"/>
          <w:lang w:bidi="ar-SA"/>
        </w:rPr>
        <w:t xml:space="preserve">، وكذا إن </w:t>
      </w:r>
      <w:bookmarkStart w:id="350" w:name="pg14482_156185"/>
    </w:p>
    <w:p>
      <w:pPr>
        <w:pStyle w:val="BookText"/>
        <w:rPr/>
      </w:pPr>
      <w:bookmarkEnd w:id="350"/>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الضار بك جائز وهو مضاف إلى المضمر مع عدم التخفيف ، فهو كالضارب زيد ، فيجاب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محمول على ضاربك ، وضاربك مضاف باتفاق ، وتخفيفه تقديري ، إذ لم ينطق باسم فاعل عامل نصبا في مضمر متصل </w:t>
      </w:r>
      <w:r>
        <w:rPr>
          <w:rStyle w:val="FootnoteAnchor"/>
          <w:rtl w:val="true"/>
        </w:rPr>
        <w:footnoteReference w:id="967"/>
      </w:r>
      <w:r>
        <w:rPr>
          <w:rFonts w:ascii="Amiri" w:hAnsi="Amiri" w:eastAsia="Amiri" w:cs="Amiri"/>
          <w:color w:val="111111"/>
          <w:sz w:val="28"/>
          <w:sz w:val="28"/>
          <w:szCs w:val="28"/>
          <w:rtl w:val="true"/>
          <w:lang w:bidi="ar-SA"/>
        </w:rPr>
        <w:t xml:space="preserve">، لأنّ اسم الفاعل لا يعمل نصبا إلا إذا كان منوّنا ولو كان منوّنا لامتنع اتصال الضمير به ، ولكن يقدّر أنّ أصله كان ضاربنك ، بتنوين اسم الفاعل ، ثمّ حذف التنوين وأضيف إضافة لفظيّة فبقي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ضاربك ، فقد أفاد تخفيفا تقديريا ، ولمّا كان لم ينطق به لم ينظر إلى التخفيف فيه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1" w:name="__RefHeading___Toc716776_996550957"/>
      <w:bookmarkStart w:id="352" w:name="_Toc129"/>
      <w:bookmarkEnd w:id="351"/>
      <w:r>
        <w:rPr>
          <w:rtl w:val="true"/>
        </w:rPr>
        <w:t>ذكر ما يمتنع إضافته</w:t>
      </w:r>
      <w:bookmarkEnd w:id="352"/>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إضافة الصفة إلى موصوفها فلا يقال في رجل 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 رجل ، لأنّ الصفة اسم منسوب إلى ما قبله ، والمضاف منسوب إلى ما بعده فيتنافيان ، وكذلك عكسه فلا يضاف الموصوف إلى صفته لأنّ المضاف مقصود به الذات والصفة مقصود بها المعنى فيتنافيان ، وأيضا فلا يستقيم في الصورتين تقدير حرف الجرّ ، وما ورد في إضافة الصفة إلى الموصوف في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أخلاق ثياب ، فموّؤل عند البصريين وهو أنّهم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ثياب أخلاق ، فحذفوا الموصوف فبقي أخلاق محتملا أن يكون ثيابا أو غيرها ، فأضافوه إلى ما يبيّنه كإضافة ثوب إلى خزّ وكذلك ما أشبهه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سحق عمامة </w:t>
      </w:r>
      <w:r>
        <w:rPr>
          <w:rStyle w:val="FootnoteAnchor"/>
          <w:rtl w:val="true"/>
        </w:rPr>
        <w:footnoteReference w:id="970"/>
      </w:r>
      <w:r>
        <w:rPr>
          <w:rFonts w:ascii="Amiri" w:hAnsi="Amiri" w:eastAsia="Amiri" w:cs="Amiri"/>
          <w:color w:val="111111"/>
          <w:sz w:val="28"/>
          <w:sz w:val="28"/>
          <w:szCs w:val="28"/>
          <w:rtl w:val="true"/>
          <w:lang w:bidi="ar-SA"/>
        </w:rPr>
        <w:t xml:space="preserve">وجرد قطيفة </w:t>
      </w:r>
      <w:r>
        <w:rPr>
          <w:rStyle w:val="FootnoteAnchor"/>
          <w:rtl w:val="true"/>
        </w:rPr>
        <w:footnoteReference w:id="971"/>
      </w: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الجامع ظاهر في إضافة الموصوف إلى صفته وتأويله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بالوقت أي مسجد الوقت الجامع ، فحذف الوقت وأضيف الجامع إلى صفة الوقت </w:t>
      </w:r>
      <w:r>
        <w:rPr>
          <w:rStyle w:val="FootnoteAnchor"/>
          <w:rtl w:val="true"/>
        </w:rPr>
        <w:footnoteReference w:id="972"/>
      </w:r>
      <w:r>
        <w:rPr>
          <w:rFonts w:ascii="Amiri" w:hAnsi="Amiri" w:eastAsia="Amiri" w:cs="Amiri"/>
          <w:color w:val="111111"/>
          <w:sz w:val="28"/>
          <w:sz w:val="28"/>
          <w:szCs w:val="28"/>
          <w:rtl w:val="true"/>
          <w:lang w:bidi="ar-SA"/>
        </w:rPr>
        <w:t xml:space="preserve">وكذلك ما أشبهه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جانب الغربي ، وبقلة الحمقاء ، موؤّل بجانب المكان الغربي ، وبقلة الحبّة الحمقاء ، لأنّه كما توصف البقلة بالحمقاء ، توصف الحبّة </w:t>
      </w:r>
      <w:bookmarkStart w:id="353" w:name="pg14482_156186"/>
    </w:p>
    <w:p>
      <w:pPr>
        <w:pStyle w:val="BookText"/>
        <w:rPr/>
      </w:pPr>
      <w:bookmarkEnd w:id="353"/>
      <w:r>
        <w:rPr>
          <w:rFonts w:ascii="Amiri" w:hAnsi="Amiri" w:eastAsia="Amiri" w:cs="Amiri"/>
          <w:color w:val="111111"/>
          <w:sz w:val="28"/>
          <w:sz w:val="28"/>
          <w:szCs w:val="28"/>
          <w:rtl w:val="true"/>
          <w:lang w:bidi="ar-SA"/>
        </w:rPr>
        <w:t xml:space="preserve">التي تنبتها </w:t>
      </w:r>
      <w:r>
        <w:rPr>
          <w:rStyle w:val="FootnoteAnchor"/>
          <w:rtl w:val="true"/>
        </w:rPr>
        <w:footnoteReference w:id="973"/>
      </w:r>
      <w:r>
        <w:rPr>
          <w:rFonts w:ascii="Amiri" w:hAnsi="Amiri" w:eastAsia="Amiri" w:cs="Amiri"/>
          <w:color w:val="111111"/>
          <w:sz w:val="28"/>
          <w:sz w:val="28"/>
          <w:szCs w:val="28"/>
          <w:rtl w:val="true"/>
          <w:lang w:bidi="ar-SA"/>
        </w:rPr>
        <w:t xml:space="preserve">ولا يضاف أحد الاسمين المماثلين في العموم والخصوص إلى الآخر </w:t>
      </w:r>
      <w:r>
        <w:rPr>
          <w:rStyle w:val="FootnoteAnchor"/>
          <w:rtl w:val="true"/>
        </w:rPr>
        <w:footnoteReference w:id="974"/>
      </w:r>
      <w:r>
        <w:rPr>
          <w:rFonts w:ascii="Amiri" w:hAnsi="Amiri" w:eastAsia="Amiri" w:cs="Amiri"/>
          <w:color w:val="111111"/>
          <w:sz w:val="28"/>
          <w:sz w:val="28"/>
          <w:szCs w:val="28"/>
          <w:rtl w:val="true"/>
          <w:lang w:bidi="ar-SA"/>
        </w:rPr>
        <w:t xml:space="preserve">، لعدم الفائدة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ليث أسد في الأعيان ، وحبس منع في المعاني ، وكذلك المتساويان كالإنسان والناطق بخلاف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الدراهم فإنّهما ليسا بمتماثلين لأنّ المضاف إليه وهو الدراهم أخصّ من المضاف الذي هو كلّ ، فيكون ذلك من قبيل إضافة العامّ إلى الخاصّ ، فيختصّ المضاف بالمضاف إليه فيفيد ، وكذلك عين الشيء فإنّ ذلك الشيء المضاف إليه العين أخصّ من العين ، لأنّه إما ذهب أو شخص أو معنى أو غير ذلك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الذّهب ، وعين الشّخص وعين الصّواب ، لأنّ الشيء عبارة عمّا ذكرناه ، فيصحّ ، لأنّه من باب إضافة العامّ إلى الخاصّ </w:t>
      </w:r>
      <w:r>
        <w:rPr>
          <w:rStyle w:val="FootnoteAnchor"/>
          <w:rtl w:val="true"/>
        </w:rPr>
        <w:footnoteReference w:id="975"/>
      </w:r>
      <w:r>
        <w:rPr>
          <w:rFonts w:ascii="Amiri" w:hAnsi="Amiri" w:eastAsia="Amiri" w:cs="Amiri"/>
          <w:color w:val="111111"/>
          <w:sz w:val="28"/>
          <w:sz w:val="28"/>
          <w:szCs w:val="28"/>
          <w:rtl w:val="true"/>
          <w:lang w:bidi="ar-SA"/>
        </w:rPr>
        <w:t>كما ذكرنا</w:t>
      </w:r>
      <w:r>
        <w:rPr>
          <w:rFonts w:eastAsia="Amiri" w:cs="Amiri" w:ascii="Amiri" w:hAnsi="Amiri"/>
          <w:color w:val="111111"/>
          <w:sz w:val="28"/>
          <w:szCs w:val="28"/>
          <w:rtl w:val="true"/>
          <w:lang w:bidi="ar-SA"/>
        </w:rPr>
        <w:t>.</w:t>
      </w:r>
    </w:p>
    <w:p>
      <w:pPr>
        <w:pStyle w:val="Heading5"/>
        <w:numPr>
          <w:ilvl w:val="4"/>
          <w:numId w:val="1"/>
        </w:numPr>
        <w:rPr/>
      </w:pPr>
      <w:bookmarkStart w:id="354" w:name="__RefHeading___Toc716778_996550957"/>
      <w:bookmarkStart w:id="355" w:name="_Toc130"/>
      <w:bookmarkEnd w:id="354"/>
      <w:r>
        <w:rPr>
          <w:rtl w:val="true"/>
        </w:rPr>
        <w:t>ذكر إضافة الاسم الصحيح والملحق به</w:t>
      </w:r>
      <w:bookmarkEnd w:id="355"/>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الاسم الصحيح هو ما لم يكن حرف إعرابه ألفا ولا ياء خفيفة قبلها كسرة ، والملحق بالاسم الصحيح ما آخره واو ، أو ياء قبلها ساكن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دلو وظبي ، أو ياء مشدّدة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كرسيّ وبختيّ </w:t>
      </w:r>
      <w:r>
        <w:rPr>
          <w:rStyle w:val="FootnoteAnchor"/>
          <w:rtl w:val="true"/>
        </w:rPr>
        <w:footnoteReference w:id="977"/>
      </w:r>
      <w:r>
        <w:rPr>
          <w:rFonts w:ascii="Amiri" w:hAnsi="Amiri" w:eastAsia="Amiri" w:cs="Amiri"/>
          <w:color w:val="111111"/>
          <w:sz w:val="28"/>
          <w:sz w:val="28"/>
          <w:szCs w:val="28"/>
          <w:rtl w:val="true"/>
          <w:lang w:bidi="ar-SA"/>
        </w:rPr>
        <w:t xml:space="preserve">وإنّما أجريت الواو والياء إذا سكّن ما قبلهما مجرى الصحيح ، لأنّ ما قبلهما ساكن والساكن موقوف عليه ، فوجب تحريك الياء والواو بعده لأنّهما في حكم المبدوء به ولا يبدأ بالساكن ، فإذا أضيف الصحيح أو الملحق به إلى ياء المتكلّم ، كسر آخره للمجانسة التي بين الكسرة والياء ، وجاز في ياء المتكلّم حال الإضافة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الفتح والسكون ، أمّا فتحها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اسم على حرف وسكونه إجحاف فحرّك قياسا على أكثر الضمائر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 الخطاب ، وأما سكونها فلأنّ الأصل في البناء السكون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غلامي ودلوي وظبيي </w:t>
      </w:r>
      <w:r>
        <w:rPr>
          <w:rStyle w:val="FootnoteAnchor"/>
          <w:rtl w:val="true"/>
        </w:rPr>
        <w:footnoteReference w:id="978"/>
      </w:r>
      <w:r>
        <w:rPr>
          <w:rFonts w:ascii="Amiri" w:hAnsi="Amiri" w:eastAsia="Amiri" w:cs="Amiri"/>
          <w:color w:val="111111"/>
          <w:sz w:val="28"/>
          <w:sz w:val="28"/>
          <w:szCs w:val="28"/>
          <w:rtl w:val="true"/>
          <w:lang w:bidi="ar-SA"/>
        </w:rPr>
        <w:t xml:space="preserve">بفتح الياء ، وسكونها </w:t>
      </w:r>
      <w:r>
        <w:rPr>
          <w:rStyle w:val="FootnoteAnchor"/>
          <w:rtl w:val="true"/>
        </w:rPr>
        <w:footnoteReference w:id="979"/>
      </w:r>
      <w:r>
        <w:rPr>
          <w:rFonts w:ascii="IRNazanin" w:hAnsi="IRNazanin" w:eastAsia="IRNazanin"/>
          <w:color w:val="111111"/>
          <w:sz w:val="28"/>
          <w:sz w:val="28"/>
          <w:szCs w:val="28"/>
          <w:rtl w:val="true"/>
          <w:lang w:bidi="fa-IR"/>
        </w:rPr>
        <w:t xml:space="preserve">، </w:t>
      </w:r>
      <w:bookmarkStart w:id="356" w:name="pg14482_156187"/>
    </w:p>
    <w:p>
      <w:pPr>
        <w:pStyle w:val="BookText"/>
        <w:rPr/>
      </w:pPr>
      <w:bookmarkEnd w:id="356"/>
      <w:r>
        <w:rPr>
          <w:rFonts w:ascii="Amiri" w:hAnsi="Amiri" w:eastAsia="Amiri" w:cs="Amiri"/>
          <w:color w:val="111111"/>
          <w:sz w:val="28"/>
          <w:sz w:val="28"/>
          <w:szCs w:val="28"/>
          <w:rtl w:val="true"/>
          <w:lang w:bidi="ar-SA"/>
        </w:rPr>
        <w:t>وأما الأسماء التي ليست صحيحة ولا ملحقة بالصحيحة فهي الأسماء المقصورة والمنقوصة كما سنذكر</w:t>
      </w:r>
      <w:r>
        <w:rPr>
          <w:rFonts w:eastAsia="Amiri" w:cs="Amiri" w:ascii="Amiri" w:hAnsi="Amiri"/>
          <w:color w:val="111111"/>
          <w:sz w:val="28"/>
          <w:szCs w:val="28"/>
          <w:rtl w:val="true"/>
          <w:lang w:bidi="ar-SA"/>
        </w:rPr>
        <w:t>.</w:t>
      </w:r>
    </w:p>
    <w:p>
      <w:pPr>
        <w:pStyle w:val="Heading5"/>
        <w:numPr>
          <w:ilvl w:val="4"/>
          <w:numId w:val="1"/>
        </w:numPr>
        <w:rPr/>
      </w:pPr>
      <w:bookmarkStart w:id="357" w:name="__RefHeading___Toc716780_996550957"/>
      <w:bookmarkStart w:id="358" w:name="_Toc131"/>
      <w:bookmarkEnd w:id="357"/>
      <w:r>
        <w:rPr>
          <w:rtl w:val="true"/>
        </w:rPr>
        <w:t>ذكر إضافة المقصور والمنقوص</w:t>
      </w:r>
      <w:bookmarkEnd w:id="358"/>
    </w:p>
    <w:p>
      <w:pPr>
        <w:pStyle w:val="BookText"/>
        <w:rPr/>
      </w:pPr>
      <w:r>
        <w:rPr>
          <w:rStyle w:val="FootnoteAnchor"/>
          <w:rtl w:val="true"/>
        </w:rPr>
        <w:footnoteReference w:id="9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الاسم إمّا أن يكون صحيحا أو ملحقا به ، أو لا يكون صحيحا ولا ملحقا به ، وقد مرّ حكم الصحيح والملحق به ، وأمّا الذي لم يكن صحيحا ولا ملحقا به ، فآخره إمّا ألف أو ياء أو واو ، أما ما آخره ألف ويقال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المقصور ، فإذا أضيف إلى ياء المتكلّم ثبتت الألف </w:t>
      </w:r>
      <w:r>
        <w:rPr>
          <w:rStyle w:val="FootnoteAnchor"/>
          <w:rtl w:val="true"/>
        </w:rPr>
        <w:footnoteReference w:id="981"/>
      </w:r>
      <w:r>
        <w:rPr>
          <w:rFonts w:ascii="Amiri" w:hAnsi="Amiri" w:eastAsia="Amiri" w:cs="Amiri"/>
          <w:color w:val="111111"/>
          <w:sz w:val="28"/>
          <w:sz w:val="28"/>
          <w:szCs w:val="28"/>
          <w:rtl w:val="true"/>
          <w:lang w:bidi="ar-SA"/>
        </w:rPr>
        <w:t xml:space="preserve">فتقول في عصا ورحى ومعلى </w:t>
      </w:r>
      <w:r>
        <w:rPr>
          <w:rStyle w:val="FootnoteAnchor"/>
          <w:rtl w:val="true"/>
        </w:rPr>
        <w:footnoteReference w:id="982"/>
      </w:r>
      <w:r>
        <w:rPr>
          <w:rFonts w:ascii="Amiri" w:hAnsi="Amiri" w:eastAsia="Amiri" w:cs="Amiri"/>
          <w:color w:val="111111"/>
          <w:sz w:val="28"/>
          <w:sz w:val="28"/>
          <w:szCs w:val="28"/>
          <w:rtl w:val="true"/>
          <w:lang w:bidi="ar-SA"/>
        </w:rPr>
        <w:t xml:space="preserve">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عصاي ورحاي ومعلاي ،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عَصايَ أَتَوَكَّؤُا عَلَيْها</w:t>
      </w:r>
      <w:r>
        <w:rPr>
          <w:rFonts w:eastAsia="Amiri" w:cs="Amiri" w:ascii="Amiri" w:hAnsi="Amiri"/>
          <w:color w:val="111111"/>
          <w:sz w:val="28"/>
          <w:szCs w:val="28"/>
          <w:rtl w:val="true"/>
          <w:lang w:bidi="ar-SA"/>
        </w:rPr>
        <w:t>)</w:t>
      </w:r>
      <w:r>
        <w:rPr>
          <w:rStyle w:val="FootnoteAnchor"/>
          <w:rtl w:val="true"/>
        </w:rPr>
        <w:footnoteReference w:id="983"/>
      </w:r>
      <w:r>
        <w:rPr>
          <w:rFonts w:ascii="Amiri" w:hAnsi="Amiri" w:eastAsia="Amiri" w:cs="Amiri"/>
          <w:color w:val="111111"/>
          <w:sz w:val="28"/>
          <w:sz w:val="28"/>
          <w:szCs w:val="28"/>
          <w:rtl w:val="true"/>
          <w:lang w:bidi="ar-SA"/>
        </w:rPr>
        <w:t xml:space="preserve">وهذيل تقلب الألف في الإضافة إلى أصلها وتدغمها في ياء المتكلّم </w:t>
      </w:r>
      <w:r>
        <w:rPr>
          <w:rStyle w:val="FootnoteAnchor"/>
          <w:rtl w:val="true"/>
        </w:rPr>
        <w:footnoteReference w:id="984"/>
      </w:r>
      <w:r>
        <w:rPr>
          <w:rFonts w:ascii="Amiri" w:hAnsi="Amiri" w:eastAsia="Amiri" w:cs="Amiri"/>
          <w:color w:val="111111"/>
          <w:sz w:val="28"/>
          <w:sz w:val="28"/>
          <w:szCs w:val="28"/>
          <w:rtl w:val="true"/>
          <w:lang w:bidi="ar-SA"/>
        </w:rPr>
        <w:t xml:space="preserve">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عصيّ ورحيّ ، قال أبو ذؤيب الهذليّ </w:t>
      </w:r>
      <w:r>
        <w:rPr>
          <w:rStyle w:val="FootnoteAnchor"/>
          <w:rtl w:val="true"/>
        </w:rPr>
        <w:footnoteReference w:id="985"/>
      </w:r>
      <w:r>
        <w:rPr>
          <w:rFonts w:ascii="Amiri" w:hAnsi="Amiri" w:eastAsia="Amiri" w:cs="Amiri"/>
          <w:color w:val="111111"/>
          <w:sz w:val="28"/>
          <w:sz w:val="28"/>
          <w:szCs w:val="28"/>
          <w:rtl w:val="true"/>
          <w:lang w:bidi="ar-SA"/>
        </w:rPr>
        <w:t xml:space="preserve">من قصيدة يرثي بها أولاده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سبقوا هويّ وأعنقوا لهواهم</w:t>
      </w:r>
    </w:p>
    <w:p>
      <w:pPr>
        <w:pStyle w:val="BookText"/>
        <w:rPr/>
      </w:pPr>
      <w:r>
        <w:rPr>
          <w:rFonts w:ascii="Amiri" w:hAnsi="Amiri" w:eastAsia="Amiri" w:cs="Amiri"/>
          <w:color w:val="111111"/>
          <w:sz w:val="28"/>
          <w:sz w:val="28"/>
          <w:szCs w:val="28"/>
          <w:rtl w:val="true"/>
          <w:lang w:bidi="ar-SA"/>
        </w:rPr>
        <w:t>فتخرّموا ولكلّ جنب مصرع</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تكون الألف للتثنية فلا تقلبها وتثبت بالاتفاق </w:t>
      </w:r>
      <w:r>
        <w:rPr>
          <w:rStyle w:val="FootnoteAnchor"/>
          <w:rtl w:val="true"/>
        </w:rPr>
        <w:footnoteReference w:id="986"/>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غلاماي لما فيها من الدلالة على التثنية والرفع ، وهذا الحكم إنّما هو جار في المعرب ، وأمّا المبنيّ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وعلى ، فألفه تقلب ياء مطلقا ، وأمّا ما آخره ياء والمراد به ما آخره ياء </w:t>
      </w:r>
    </w:p>
    <w:p>
      <w:pPr>
        <w:pStyle w:val="BookText"/>
        <w:rPr/>
      </w:pPr>
      <w:r>
        <w:rPr>
          <w:rFonts w:ascii="Amiri" w:hAnsi="Amiri" w:eastAsia="Amiri" w:cs="Amiri"/>
          <w:color w:val="111111"/>
          <w:sz w:val="28"/>
          <w:sz w:val="28"/>
          <w:szCs w:val="28"/>
          <w:rtl w:val="true"/>
          <w:lang w:bidi="ar-SA"/>
        </w:rPr>
        <w:t xml:space="preserve">خفيفة قبلها كسرة ويقال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المنقوص ، فإذا أضيف إلى ياء المتكلّم أدغمت ياؤه في ياء المتكلم ، فتقول في قاضي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قاضيّ وكذا في مثنّاه ومجموعه ، لأنّ نون التثنية والجمع تسقط في الإضافة فإن لم تكن الياء الأولى ساكنة ، سكّنت ثمّ أدغمت في ياء المتكلّم ، وأما ما آخره واو ولا يكون إلّا في رفع جمع المذكّر السّالم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مسلمون وقاضون ، فإذا أضيف إلى ياء المتكلّم </w:t>
      </w:r>
      <w:r>
        <w:rPr>
          <w:rStyle w:val="FootnoteAnchor"/>
          <w:rtl w:val="true"/>
        </w:rPr>
        <w:footnoteReference w:id="987"/>
      </w:r>
      <w:r>
        <w:rPr>
          <w:rFonts w:ascii="Amiri" w:hAnsi="Amiri" w:eastAsia="Amiri" w:cs="Amiri"/>
          <w:color w:val="111111"/>
          <w:sz w:val="28"/>
          <w:sz w:val="28"/>
          <w:szCs w:val="28"/>
          <w:rtl w:val="true"/>
          <w:lang w:bidi="ar-SA"/>
        </w:rPr>
        <w:t xml:space="preserve">بقي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مسلموي اجتمعت الواو والياء وسبقت إحداهما فقلبت الواو ياء ، وأدغمت الياء في ياء المتكلّم وأبدلت ضمّة الميم كسرة ، بقي مسلميّ وقاضيّ </w:t>
      </w:r>
      <w:r>
        <w:rPr>
          <w:rStyle w:val="FootnoteAnchor"/>
          <w:rtl w:val="true"/>
        </w:rPr>
        <w:footnoteReference w:id="988"/>
      </w:r>
      <w:r>
        <w:rPr>
          <w:rFonts w:ascii="Amiri" w:hAnsi="Amiri" w:eastAsia="Amiri" w:cs="Amiri"/>
          <w:color w:val="111111"/>
          <w:sz w:val="28"/>
          <w:sz w:val="28"/>
          <w:szCs w:val="28"/>
          <w:rtl w:val="true"/>
          <w:lang w:bidi="ar-SA"/>
        </w:rPr>
        <w:t xml:space="preserve">وإنّما خصّصنا جمع المذكّر السّالم المرفوع بالذكر ، لأنّه ليس في كلامهم اسم معرب آخره واو قبلها ضمّة لازمة ، واحترز بقوله لازمة </w:t>
      </w:r>
      <w:r>
        <w:rPr>
          <w:rStyle w:val="FootnoteAnchor"/>
          <w:rtl w:val="true"/>
        </w:rPr>
        <w:footnoteReference w:id="989"/>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لزوالها مع الألف في النصب ومع الياء في الجرّ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أضيفت الأسماء الخمسة </w:t>
      </w:r>
      <w:r>
        <w:rPr>
          <w:rStyle w:val="FootnoteAnchor"/>
          <w:rtl w:val="true"/>
        </w:rPr>
        <w:footnoteReference w:id="990"/>
      </w:r>
      <w:r>
        <w:rPr>
          <w:rFonts w:ascii="Amiri" w:hAnsi="Amiri" w:eastAsia="Amiri" w:cs="Amiri"/>
          <w:color w:val="111111"/>
          <w:sz w:val="28"/>
          <w:sz w:val="28"/>
          <w:szCs w:val="28"/>
          <w:rtl w:val="true"/>
          <w:lang w:bidi="ar-SA"/>
        </w:rPr>
        <w:t xml:space="preserve">إلى المتكلّم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 وأخي ، وحمي ، وهني وفي ، وأجاز المبرّد أخيّ وأبيّ بتشديد الياء </w:t>
      </w:r>
      <w:r>
        <w:rPr>
          <w:rStyle w:val="FootnoteAnchor"/>
          <w:rtl w:val="true"/>
        </w:rPr>
        <w:footnoteReference w:id="991"/>
      </w:r>
      <w:r>
        <w:rPr>
          <w:rFonts w:ascii="Amiri" w:hAnsi="Amiri" w:eastAsia="Amiri" w:cs="Amiri"/>
          <w:color w:val="111111"/>
          <w:sz w:val="28"/>
          <w:sz w:val="28"/>
          <w:szCs w:val="28"/>
          <w:rtl w:val="true"/>
          <w:lang w:bidi="ar-SA"/>
        </w:rPr>
        <w:t xml:space="preserve">لأنّه ردّ المحذوف من أخ وأب فصار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أخوي وأبوي ، استثقلت الكسرة على الواو فحذفت فاجتمعت الواو والياء وسبقت إحداهما بالسكون فقلبت الواو ياء وأدغمت في ياء المتكلّم واستشهد بقول الشّاعر </w:t>
      </w:r>
      <w:r>
        <w:rPr>
          <w:rFonts w:eastAsia="Amiri" w:cs="Amiri" w:ascii="Amiri" w:hAnsi="Amiri"/>
          <w:color w:val="111111"/>
          <w:sz w:val="28"/>
          <w:szCs w:val="28"/>
          <w:rtl w:val="true"/>
          <w:lang w:bidi="ar-SA"/>
        </w:rPr>
        <w:t xml:space="preserve">: </w:t>
      </w:r>
      <w:r>
        <w:rPr>
          <w:rStyle w:val="FootnoteAnchor"/>
          <w:rtl w:val="true"/>
        </w:rPr>
        <w:footnoteReference w:id="992"/>
      </w:r>
    </w:p>
    <w:p>
      <w:pPr>
        <w:pStyle w:val="BookText"/>
        <w:rPr/>
      </w:pPr>
      <w:r>
        <w:rPr>
          <w:rFonts w:ascii="Amiri" w:hAnsi="Amiri" w:eastAsia="Amiri" w:cs="Amiri"/>
          <w:color w:val="111111"/>
          <w:sz w:val="28"/>
          <w:sz w:val="28"/>
          <w:szCs w:val="28"/>
          <w:rtl w:val="true"/>
          <w:lang w:bidi="ar-SA"/>
        </w:rPr>
        <w:t>قدر أحلّك ذا المجاز وقد أرى</w:t>
      </w:r>
    </w:p>
    <w:p>
      <w:pPr>
        <w:pStyle w:val="BookText"/>
        <w:rPr/>
      </w:pPr>
      <w:r>
        <w:rPr>
          <w:rFonts w:ascii="Amiri" w:hAnsi="Amiri" w:eastAsia="Amiri" w:cs="Amiri"/>
          <w:color w:val="111111"/>
          <w:sz w:val="28"/>
          <w:sz w:val="28"/>
          <w:szCs w:val="28"/>
          <w:rtl w:val="true"/>
          <w:lang w:bidi="ar-SA"/>
        </w:rPr>
        <w:t xml:space="preserve">ورد البيت منسوبا له في خزانة الأدب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من غير نسبة في مجالس ثعلب ، القسم الثاني ،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وأمالي ابن الشجري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 المفصل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 الكافية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ولسان العرب ، نخل وقدر ، 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النخيل مكان ذو المجاز وهما موضعان وذو المجاز سوق كانت للعرب في الجاهليّة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معجم البلدان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وأبيّ مالك ذو المجاز بدار </w:t>
      </w:r>
    </w:p>
    <w:p>
      <w:pPr>
        <w:pStyle w:val="BookText"/>
        <w:rPr/>
      </w:pPr>
      <w:r>
        <w:rPr>
          <w:rFonts w:ascii="Amiri" w:hAnsi="Amiri" w:eastAsia="Amiri" w:cs="Amiri"/>
          <w:color w:val="111111"/>
          <w:sz w:val="28"/>
          <w:sz w:val="28"/>
          <w:szCs w:val="28"/>
          <w:rtl w:val="true"/>
          <w:lang w:bidi="ar-SA"/>
        </w:rPr>
        <w:t xml:space="preserve">وردوه بأنّ أخيّ وأبيّ بالتشديد جمع سلامة وأصله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أخون وأبون فحذفت النون للإضافة وقلبت واو الجمع ياء وأدغمت في ياء المتكلّم على القياس كما فعلوا في مسلميّ ، واستشهدوا على ذلك بقول الشاعر </w:t>
      </w:r>
      <w:r>
        <w:rPr>
          <w:rFonts w:eastAsia="Amiri" w:cs="Amiri" w:ascii="Amiri" w:hAnsi="Amiri"/>
          <w:color w:val="111111"/>
          <w:sz w:val="28"/>
          <w:szCs w:val="28"/>
          <w:rtl w:val="true"/>
          <w:lang w:bidi="ar-SA"/>
        </w:rPr>
        <w:t xml:space="preserve">: </w:t>
      </w:r>
      <w:r>
        <w:rPr>
          <w:rStyle w:val="FootnoteAnchor"/>
          <w:rtl w:val="true"/>
        </w:rPr>
        <w:footnoteReference w:id="993"/>
      </w:r>
    </w:p>
    <w:p>
      <w:pPr>
        <w:pStyle w:val="BookText"/>
        <w:rPr/>
      </w:pPr>
      <w:r>
        <w:rPr>
          <w:rFonts w:ascii="Amiri" w:hAnsi="Amiri" w:eastAsia="Amiri" w:cs="Amiri"/>
          <w:color w:val="111111"/>
          <w:sz w:val="28"/>
          <w:sz w:val="28"/>
          <w:szCs w:val="28"/>
          <w:rtl w:val="true"/>
          <w:lang w:bidi="ar-SA"/>
        </w:rPr>
        <w:t>ضربت أخيك ضربة لا جبان</w:t>
      </w:r>
    </w:p>
    <w:p>
      <w:pPr>
        <w:pStyle w:val="BookText"/>
        <w:rPr/>
      </w:pPr>
      <w:r>
        <w:rPr>
          <w:rFonts w:ascii="Amiri" w:hAnsi="Amiri" w:eastAsia="Amiri" w:cs="Amiri"/>
          <w:color w:val="111111"/>
          <w:sz w:val="28"/>
          <w:sz w:val="28"/>
          <w:szCs w:val="28"/>
          <w:rtl w:val="true"/>
          <w:lang w:bidi="ar-SA"/>
        </w:rPr>
        <w:t>ضربت بمثلها قدما أبيكا</w:t>
      </w:r>
    </w:p>
    <w:p>
      <w:pPr>
        <w:pStyle w:val="BookText"/>
        <w:rPr/>
      </w:pPr>
      <w:r>
        <w:rPr>
          <w:rFonts w:ascii="Amiri" w:hAnsi="Amiri" w:eastAsia="Amiri" w:cs="Amiri"/>
          <w:color w:val="111111"/>
          <w:sz w:val="28"/>
          <w:sz w:val="28"/>
          <w:szCs w:val="28"/>
          <w:rtl w:val="true"/>
          <w:lang w:bidi="ar-SA"/>
        </w:rPr>
        <w:t xml:space="preserve">أراد أخينك وأبينك فحذف النون للإضافة فبقي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أخيك وأبيك ،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لا تضاف إلى مضمر ولا تقطع عن الإضافة ، وإنّما لم تضف ذو إلى المضمر ، لأنّها جعلت وصلة إلى الوصف باسم الجنس </w:t>
      </w:r>
      <w:r>
        <w:rPr>
          <w:rStyle w:val="FootnoteAnchor"/>
          <w:rtl w:val="true"/>
        </w:rPr>
        <w:footnoteReference w:id="994"/>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وعلم كما جعلوا الذي وصلة إلى وصف المعارف بالجمل ، وهمزة الوصل وصلة إلى النطق بالساكن ، والفاء وصلة إلى المجازاة بالجملة الإسميّة ، وأيا وصلة إلى نداء ما فيه اللام ، والوصل في كلامهم كثير ، فلمّا كان ذو وصلة إلى الوصف لم تكن وصفا بل ما بعدها هو الوصف ، والمضمر لا يوصف به ولا يوصف ، فلم يدخل على المضمر إلّا شاذّا نادرا </w:t>
      </w:r>
      <w:r>
        <w:rPr>
          <w:rStyle w:val="FootnoteAnchor"/>
          <w:rtl w:val="true"/>
        </w:rPr>
        <w:footnoteReference w:id="995"/>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على محمّد وذويه ، وكذا ما روي </w:t>
      </w:r>
      <w:r>
        <w:rPr>
          <w:rFonts w:eastAsia="Amiri" w:cs="Amiri" w:ascii="Amiri" w:hAnsi="Amiri"/>
          <w:color w:val="111111"/>
          <w:sz w:val="28"/>
          <w:szCs w:val="28"/>
          <w:rtl w:val="true"/>
          <w:lang w:bidi="ar-SA"/>
        </w:rPr>
        <w:t xml:space="preserve">: </w:t>
      </w:r>
      <w:r>
        <w:rPr>
          <w:rStyle w:val="FootnoteAnchor"/>
          <w:rtl w:val="true"/>
        </w:rPr>
        <w:footnoteReference w:id="996"/>
      </w:r>
    </w:p>
    <w:p>
      <w:pPr>
        <w:pStyle w:val="BookText"/>
        <w:rPr/>
      </w:pPr>
      <w:r>
        <w:rPr>
          <w:rFonts w:ascii="Amiri" w:hAnsi="Amiri" w:eastAsia="Amiri" w:cs="Amiri"/>
          <w:color w:val="111111"/>
          <w:sz w:val="28"/>
          <w:sz w:val="28"/>
          <w:szCs w:val="28"/>
          <w:rtl w:val="true"/>
          <w:lang w:bidi="ar-SA"/>
        </w:rPr>
        <w:t>إنّما يعرف ذا الفض</w:t>
      </w:r>
    </w:p>
    <w:p>
      <w:pPr>
        <w:pStyle w:val="BookText"/>
        <w:rPr/>
      </w:pPr>
      <w:r>
        <w:rPr>
          <w:rFonts w:ascii="IRNazanin" w:hAnsi="IRNazanin" w:eastAsia="IRNazanin"/>
          <w:color w:val="111111"/>
          <w:sz w:val="28"/>
          <w:sz w:val="28"/>
          <w:szCs w:val="28"/>
          <w:rtl w:val="true"/>
          <w:lang w:bidi="fa-IR"/>
        </w:rPr>
        <w:t>ل من النّاس ذووه</w:t>
      </w:r>
    </w:p>
    <w:p>
      <w:pPr>
        <w:pStyle w:val="BookText"/>
        <w:rPr/>
      </w:pPr>
      <w:r>
        <w:rPr>
          <w:rFonts w:ascii="Amiri" w:hAnsi="Amiri" w:eastAsia="Amiri" w:cs="Amiri"/>
          <w:color w:val="111111"/>
          <w:sz w:val="28"/>
          <w:sz w:val="28"/>
          <w:szCs w:val="28"/>
          <w:rtl w:val="true"/>
          <w:lang w:bidi="ar-SA"/>
        </w:rPr>
        <w:t xml:space="preserve">وإنّما لم تقطع ذو عن الإضافة لأنّها وصلة إلى ما بعدها ، وهو المقصود لا هي ، فلو قطعت لخرجت عن وضعها ، وفي إضافة الفم لغتان </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فمي ، لأنّه في الإفراد فم ، 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وهو الفصيح ، لأنّ ميم الفم أبدلت من الواو في الإفراد على ما سنذكره في قسم التصريف </w:t>
      </w:r>
      <w:r>
        <w:rPr>
          <w:rStyle w:val="FootnoteAnchor"/>
          <w:rtl w:val="true"/>
        </w:rPr>
        <w:footnoteReference w:id="997"/>
      </w:r>
      <w:r>
        <w:rPr>
          <w:rFonts w:ascii="Amiri" w:hAnsi="Amiri" w:eastAsia="Amiri" w:cs="Amiri"/>
          <w:color w:val="111111"/>
          <w:sz w:val="28"/>
          <w:sz w:val="28"/>
          <w:szCs w:val="28"/>
          <w:rtl w:val="true"/>
          <w:lang w:bidi="ar-SA"/>
        </w:rPr>
        <w:t xml:space="preserve">وإذا زال الإفراد بالإضافة رجعت الواو فصار فوي ، فاجتمعت الواو والياء ، وسبقت إحداهما بالسكون ، فقلبت الواو ياء وأدغمت الياء في الياء وكسر ما قبل الياء للمجانسة فصار </w:t>
      </w:r>
      <w:bookmarkStart w:id="359" w:name="pg14482_156190"/>
    </w:p>
    <w:p>
      <w:pPr>
        <w:pStyle w:val="BookText"/>
        <w:rPr/>
      </w:pPr>
      <w:bookmarkEnd w:id="359"/>
      <w:r>
        <w:rPr>
          <w:rFonts w:ascii="Amiri" w:hAnsi="Amiri" w:eastAsia="Amiri" w:cs="Amiri"/>
          <w:color w:val="111111"/>
          <w:sz w:val="28"/>
          <w:sz w:val="28"/>
          <w:szCs w:val="28"/>
          <w:rtl w:val="true"/>
          <w:lang w:bidi="ar-SA"/>
        </w:rPr>
        <w:t xml:space="preserve">فيّ </w:t>
      </w:r>
      <w:r>
        <w:rPr>
          <w:rStyle w:val="FootnoteAnchor"/>
          <w:rtl w:val="true"/>
        </w:rPr>
        <w:footnoteReference w:id="998"/>
      </w:r>
      <w:r>
        <w:rPr>
          <w:rFonts w:ascii="Amiri" w:hAnsi="Amiri" w:eastAsia="Amiri" w:cs="Amiri"/>
          <w:color w:val="111111"/>
          <w:sz w:val="28"/>
          <w:sz w:val="28"/>
          <w:szCs w:val="28"/>
          <w:rtl w:val="true"/>
          <w:lang w:bidi="ar-SA"/>
        </w:rPr>
        <w:t xml:space="preserve">، وإذا قطعت هذه الأسماء عن الإضافة كان إعرابها بالحركات الثلاث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أخ وأب وحم وهن وفم ، ورأيت أبا وأخا وحما وهنا ، ومررت بأخ وأب وحم وهن وفم بفتح الفاء من فم على الأفصح ، ويجوز كسرها ، وضمّها بتشديد الميم ، وتخفيفها </w:t>
      </w:r>
      <w:r>
        <w:rPr>
          <w:rStyle w:val="FootnoteAnchor"/>
          <w:rtl w:val="true"/>
        </w:rPr>
        <w:footnoteReference w:id="999"/>
      </w:r>
      <w:r>
        <w:rPr>
          <w:rFonts w:ascii="Amiri" w:hAnsi="Amiri" w:eastAsia="Amiri" w:cs="Amiri"/>
          <w:color w:val="111111"/>
          <w:sz w:val="28"/>
          <w:sz w:val="28"/>
          <w:szCs w:val="28"/>
          <w:rtl w:val="true"/>
          <w:lang w:bidi="ar-SA"/>
        </w:rPr>
        <w:t xml:space="preserve">وفي حم لغات غير ما تقدّم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تجري مجرى خبء ، تقول حمء وحمؤك بالهمز فيهما كما تقول خبؤك ، والخبء ما خبيء ، وخبء السموات ، القطر ، وخبء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النّبات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تجرى مجرى دلو وعصا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حمو وحموك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دلو ودلوك ، وحما وحماك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عصا وعصاك ، ويجوز في هن ، أن تجري مجرى يد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هنك كما تقول يدك فتخالف اللغة الأولى في الإضافة ، لأنّ الأولى في الإضافة هنوك ، وأمّا في الإفراد فمتّفقتان في اللفظ ، لأنّ كلّا منهما هن </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0" w:name="__RefHeading___Toc716782_996550957"/>
      <w:bookmarkStart w:id="361" w:name="_Toc132"/>
      <w:bookmarkEnd w:id="360"/>
      <w:r>
        <w:rPr>
          <w:rtl w:val="true"/>
        </w:rPr>
        <w:t>ذكر بقيّة الكلام على الإضافة</w:t>
      </w:r>
      <w:bookmarkEnd w:id="361"/>
    </w:p>
    <w:p>
      <w:pPr>
        <w:pStyle w:val="BookText"/>
        <w:rPr/>
      </w:pPr>
      <w:r>
        <w:rPr>
          <w:rFonts w:ascii="Amiri" w:hAnsi="Amiri" w:eastAsia="Amiri" w:cs="Amiri"/>
          <w:color w:val="111111"/>
          <w:sz w:val="28"/>
          <w:sz w:val="28"/>
          <w:szCs w:val="28"/>
          <w:rtl w:val="true"/>
          <w:lang w:bidi="ar-SA"/>
        </w:rPr>
        <w:t xml:space="preserve">وهي عدّة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الإضافة المعنويّة بمعنى في لم يثبتها صاحب المفصّل </w:t>
      </w:r>
      <w:r>
        <w:rPr>
          <w:rStyle w:val="FootnoteAnchor"/>
          <w:rtl w:val="true"/>
        </w:rPr>
        <w:footnoteReference w:id="1001"/>
      </w:r>
      <w:r>
        <w:rPr>
          <w:rFonts w:ascii="Amiri" w:hAnsi="Amiri" w:eastAsia="Amiri" w:cs="Amiri"/>
          <w:color w:val="111111"/>
          <w:sz w:val="28"/>
          <w:sz w:val="28"/>
          <w:szCs w:val="28"/>
          <w:rtl w:val="true"/>
          <w:lang w:bidi="ar-SA"/>
        </w:rPr>
        <w:t xml:space="preserve">، ولذلك شرط إذهاب تقدير في حتّى تبقى نسيا منسيا ، وزعم أنّ الاسم يضاف إلى ظرفه بدون تقدير في </w:t>
      </w:r>
      <w:r>
        <w:rPr>
          <w:rStyle w:val="FootnoteAnchor"/>
          <w:rtl w:val="true"/>
        </w:rPr>
        <w:footnoteReference w:id="1002"/>
      </w:r>
      <w:r>
        <w:rPr>
          <w:rFonts w:ascii="Amiri" w:hAnsi="Amiri" w:eastAsia="Amiri" w:cs="Amiri"/>
          <w:color w:val="111111"/>
          <w:sz w:val="28"/>
          <w:sz w:val="28"/>
          <w:szCs w:val="28"/>
          <w:rtl w:val="true"/>
          <w:lang w:bidi="ar-SA"/>
        </w:rPr>
        <w:t xml:space="preserve">ويؤوّل نحو </w:t>
      </w:r>
      <w:r>
        <w:rPr>
          <w:rFonts w:eastAsia="Amiri" w:cs="Amiri" w:ascii="Amiri" w:hAnsi="Amiri"/>
          <w:color w:val="111111"/>
          <w:sz w:val="28"/>
          <w:szCs w:val="28"/>
          <w:rtl w:val="true"/>
          <w:lang w:bidi="ar-SA"/>
        </w:rPr>
        <w:t xml:space="preserve">: </w:t>
      </w:r>
      <w:r>
        <w:rPr>
          <w:rStyle w:val="FootnoteAnchor"/>
          <w:rtl w:val="true"/>
        </w:rPr>
        <w:footnoteReference w:id="1003"/>
      </w:r>
    </w:p>
    <w:p>
      <w:pPr>
        <w:pStyle w:val="BookText"/>
        <w:rPr/>
      </w:pPr>
      <w:r>
        <w:rPr>
          <w:rFonts w:ascii="Amiri" w:hAnsi="Amiri" w:eastAsia="Amiri" w:cs="Amiri"/>
          <w:color w:val="111111"/>
          <w:sz w:val="28"/>
          <w:sz w:val="28"/>
          <w:szCs w:val="28"/>
          <w:rtl w:val="true"/>
          <w:lang w:bidi="ar-SA"/>
        </w:rPr>
        <w:t>يا سارق الليلة أهل الدّار</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بأنّه سرق الليلة نفسها على سبيل المبالغة</w:t>
      </w:r>
      <w:r>
        <w:rPr>
          <w:rFonts w:eastAsia="Amiri" w:cs="Amiri" w:ascii="Amiri" w:hAnsi="Amiri"/>
          <w:color w:val="111111"/>
          <w:sz w:val="28"/>
          <w:szCs w:val="28"/>
          <w:rtl w:val="true"/>
          <w:lang w:bidi="ar-SA"/>
        </w:rPr>
        <w:t xml:space="preserve">. </w:t>
      </w:r>
      <w:bookmarkStart w:id="362" w:name="pg14482_156191"/>
    </w:p>
    <w:p>
      <w:pPr>
        <w:pStyle w:val="BookText"/>
        <w:rPr/>
      </w:pPr>
      <w:bookmarkEnd w:id="362"/>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الإضافة المعنويّة تفيد تعريفا مع معرفة المضاف إليه </w:t>
      </w:r>
      <w:r>
        <w:rPr>
          <w:rStyle w:val="FootnoteAnchor"/>
          <w:rtl w:val="true"/>
        </w:rPr>
        <w:footnoteReference w:id="1004"/>
      </w:r>
      <w:r>
        <w:rPr>
          <w:rFonts w:ascii="Amiri" w:hAnsi="Amiri" w:eastAsia="Amiri" w:cs="Amiri"/>
          <w:color w:val="111111"/>
          <w:sz w:val="28"/>
          <w:sz w:val="28"/>
          <w:szCs w:val="28"/>
          <w:rtl w:val="true"/>
          <w:lang w:bidi="ar-SA"/>
        </w:rPr>
        <w:t xml:space="preserve">إلّا إذا توغّل المضاف في الإبهام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وشبه ومثل ، إلّا إذا اشتهر المضاف بمغايرة المضاف إليه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الْمَغْضُوبِ عَلَيْهِمْ</w:t>
      </w:r>
      <w:r>
        <w:rPr>
          <w:rFonts w:eastAsia="Amiri" w:cs="Amiri" w:ascii="Amiri" w:hAnsi="Amiri"/>
          <w:color w:val="111111"/>
          <w:sz w:val="28"/>
          <w:szCs w:val="28"/>
          <w:rtl w:val="true"/>
          <w:lang w:bidi="ar-SA"/>
        </w:rPr>
        <w:t>)</w:t>
      </w:r>
      <w:r>
        <w:rPr>
          <w:rStyle w:val="FootnoteAnchor"/>
          <w:rtl w:val="true"/>
        </w:rPr>
        <w:footnoteReference w:id="1005"/>
      </w:r>
      <w:r>
        <w:rPr>
          <w:rFonts w:ascii="Amiri" w:hAnsi="Amiri" w:eastAsia="Amiri" w:cs="Amiri"/>
          <w:color w:val="111111"/>
          <w:sz w:val="28"/>
          <w:sz w:val="28"/>
          <w:szCs w:val="28"/>
          <w:rtl w:val="true"/>
          <w:lang w:bidi="ar-SA"/>
        </w:rPr>
        <w:t xml:space="preserve">أو بمماثلته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بزيد مثل عمرو إذا اشتهر بمماثلته </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شرط الإضافة المعنويّة تجريد المضاف من التعريف بأن تزال اللام من المعرّف باللام ، ويؤوّل العلم بواحد من الأمة المسمّاة به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ربيعة الفرس </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ما ورد من إضافة الاسم إلى مماثله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كرز ، وزيد بطة ، بإضافة الاسم إلى اللّقب ، وهو مؤوّل بأنّ اللقب لمّا كان أشهر من الاسم تنزّل الأوّل منزلة المجهول ، والثاني منزلة المعلوم فتغايرا </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 أنّ العامل في المضاف إليه هو المضاف </w:t>
      </w:r>
      <w:r>
        <w:rPr>
          <w:rStyle w:val="FootnoteAnchor"/>
          <w:rtl w:val="true"/>
        </w:rPr>
        <w:footnoteReference w:id="1009"/>
      </w:r>
    </w:p>
    <w:p>
      <w:pPr>
        <w:pStyle w:val="BookText"/>
        <w:rPr/>
      </w:pPr>
      <w:r>
        <w:rPr>
          <w:rFonts w:ascii="Amiri" w:hAnsi="Amiri" w:eastAsia="Amiri" w:cs="Amiri"/>
          <w:color w:val="111111"/>
          <w:sz w:val="28"/>
          <w:sz w:val="28"/>
          <w:szCs w:val="28"/>
          <w:rtl w:val="true"/>
          <w:lang w:bidi="ar-SA"/>
        </w:rPr>
        <w:t xml:space="preserve">وانظر لذلك الكتاب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 الكافية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والهمع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الحرف ولا معناه ليشمل القبيلين أعني المعنويّة واللفظيّة</w:t>
      </w:r>
      <w:r>
        <w:rPr>
          <w:rFonts w:eastAsia="Amiri" w:cs="Amiri" w:ascii="Amiri" w:hAnsi="Amiri"/>
          <w:color w:val="111111"/>
          <w:sz w:val="28"/>
          <w:szCs w:val="28"/>
          <w:rtl w:val="true"/>
          <w:lang w:bidi="ar-SA"/>
        </w:rPr>
        <w:t>.</w:t>
      </w:r>
    </w:p>
    <w:p>
      <w:pPr>
        <w:pStyle w:val="Heading4"/>
        <w:numPr>
          <w:ilvl w:val="3"/>
          <w:numId w:val="1"/>
        </w:numPr>
        <w:rPr/>
      </w:pPr>
      <w:bookmarkStart w:id="363" w:name="__RefHeading___Toc716784_996550957"/>
      <w:bookmarkStart w:id="364" w:name="_Toc133"/>
      <w:bookmarkEnd w:id="363"/>
      <w:r>
        <w:rPr>
          <w:rtl w:val="true"/>
        </w:rPr>
        <w:t>ذكر التّوابع</w:t>
      </w:r>
      <w:bookmarkEnd w:id="364"/>
    </w:p>
    <w:p>
      <w:pPr>
        <w:pStyle w:val="Heading5"/>
        <w:numPr>
          <w:ilvl w:val="4"/>
          <w:numId w:val="1"/>
        </w:numPr>
        <w:rPr/>
      </w:pPr>
      <w:bookmarkStart w:id="365" w:name="__RefHeading___Toc716786_996550957"/>
      <w:bookmarkStart w:id="366" w:name="_Toc134"/>
      <w:bookmarkEnd w:id="365"/>
      <w:r>
        <w:rPr>
          <w:rtl w:val="true"/>
        </w:rPr>
        <w:t>اشارة</w:t>
      </w:r>
      <w:bookmarkEnd w:id="366"/>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كلّ ثان بإعراب سابقه من جهة واحدة ،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واحدة ، يخرج خبر المبتدأ والمفعول الثاني من علمت وأعطيت ، والثالث من أعلمت ، والمراد باتّحاد الجهة اشتراك التابع والمتبوع في الجملة التي تنسب إلى المتبوع ، لأنّك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زيد الجاهل عمرا العاقل ، كانت الصفة مشاركة للموصوف في جهة </w:t>
      </w:r>
      <w:bookmarkStart w:id="367" w:name="pg14482_156192"/>
    </w:p>
    <w:p>
      <w:pPr>
        <w:pStyle w:val="BookText"/>
        <w:rPr/>
      </w:pPr>
      <w:bookmarkEnd w:id="367"/>
      <w:r>
        <w:rPr>
          <w:rFonts w:ascii="Amiri" w:hAnsi="Amiri" w:eastAsia="Amiri" w:cs="Amiri"/>
          <w:color w:val="111111"/>
          <w:sz w:val="28"/>
          <w:sz w:val="28"/>
          <w:szCs w:val="28"/>
          <w:rtl w:val="true"/>
          <w:lang w:bidi="ar-SA"/>
        </w:rPr>
        <w:t xml:space="preserve">الفاعلية والمفعوليّة </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8" w:name="__RefHeading___Toc716788_996550957"/>
      <w:bookmarkStart w:id="369" w:name="_Toc135"/>
      <w:bookmarkEnd w:id="368"/>
      <w:r>
        <w:rPr>
          <w:rtl w:val="true"/>
        </w:rPr>
        <w:t>ذكر النّعت</w:t>
      </w:r>
      <w:bookmarkEnd w:id="369"/>
    </w:p>
    <w:p>
      <w:pPr>
        <w:pStyle w:val="Heading6"/>
        <w:numPr>
          <w:ilvl w:val="5"/>
          <w:numId w:val="1"/>
        </w:numPr>
        <w:rPr/>
      </w:pPr>
      <w:bookmarkStart w:id="370" w:name="__RefHeading___Toc716790_996550957"/>
      <w:bookmarkStart w:id="371" w:name="_Toc136"/>
      <w:bookmarkEnd w:id="370"/>
      <w:r>
        <w:rPr>
          <w:rtl w:val="true"/>
        </w:rPr>
        <w:t>اشارة</w:t>
      </w:r>
      <w:bookmarkEnd w:id="371"/>
    </w:p>
    <w:p>
      <w:pPr>
        <w:pStyle w:val="BookText"/>
        <w:rPr/>
      </w:pPr>
      <w:r>
        <w:rPr>
          <w:rStyle w:val="FootnoteAnchor"/>
          <w:rtl w:val="true"/>
        </w:rPr>
        <w:footnoteReference w:id="10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تابع يدلّ على معنى في متبوعه أو متعلّقه مطلقا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تابع ، كالجنس لأنّه يشمل جميع التوابع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معنى في متبوعه كالفصل ، فإنّه يخرج جميع التوابع سوى النّعت لأنّ جميعها لا تدلّ على معنى في متبوعها </w:t>
      </w:r>
      <w:r>
        <w:rPr>
          <w:rStyle w:val="FootnoteAnchor"/>
          <w:rtl w:val="true"/>
        </w:rPr>
        <w:footnoteReference w:id="1013"/>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 احترز به عن الحال من المنصوب ، لأنّها من غير المنصوب لا تشتبه لأنّها ليست تابعة لذي الحال في الإعراب وذلك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زيدا قائما ، فإنّ قائما وإن توهم فيه أنّه تابع يدل على معنى في متبوعه ، لكن لا يدلّ عليه مطلقا بل حال صدور الفعل عنه </w:t>
      </w:r>
      <w:r>
        <w:rPr>
          <w:rStyle w:val="FootnoteAnchor"/>
          <w:rtl w:val="true"/>
        </w:rPr>
        <w:footnoteReference w:id="1014"/>
      </w:r>
      <w:r>
        <w:rPr>
          <w:rFonts w:ascii="Amiri" w:hAnsi="Amiri" w:eastAsia="Amiri" w:cs="Amiri"/>
          <w:color w:val="111111"/>
          <w:sz w:val="28"/>
          <w:sz w:val="28"/>
          <w:szCs w:val="28"/>
          <w:rtl w:val="true"/>
          <w:lang w:bidi="ar-SA"/>
        </w:rPr>
        <w:t xml:space="preserve">والنّعت والوصف والصّفة ألفاظ مترادفة </w:t>
      </w:r>
      <w:r>
        <w:rPr>
          <w:rStyle w:val="FootnoteAnchor"/>
          <w:rtl w:val="true"/>
        </w:rPr>
        <w:footnoteReference w:id="1015"/>
      </w:r>
      <w:r>
        <w:rPr>
          <w:rFonts w:ascii="Amiri" w:hAnsi="Amiri" w:eastAsia="Amiri" w:cs="Amiri"/>
          <w:color w:val="111111"/>
          <w:sz w:val="28"/>
          <w:sz w:val="28"/>
          <w:szCs w:val="28"/>
          <w:rtl w:val="true"/>
          <w:lang w:bidi="ar-SA"/>
        </w:rPr>
        <w:t xml:space="preserve">ومثال النّعت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رجل عالم ، فعالم يدلّ على معنى ، وهو العلم في متبوعه الذي هو رجل ، واشترط بعضهم أن يكون النعت مشتقّا </w:t>
      </w:r>
      <w:r>
        <w:rPr>
          <w:rStyle w:val="FootnoteAnchor"/>
          <w:rtl w:val="true"/>
        </w:rPr>
        <w:footnoteReference w:id="1016"/>
      </w:r>
      <w:r>
        <w:rPr>
          <w:rFonts w:ascii="Amiri" w:hAnsi="Amiri" w:eastAsia="Amiri" w:cs="Amiri"/>
          <w:color w:val="111111"/>
          <w:sz w:val="28"/>
          <w:sz w:val="28"/>
          <w:szCs w:val="28"/>
          <w:rtl w:val="true"/>
          <w:lang w:bidi="ar-SA"/>
        </w:rPr>
        <w:t xml:space="preserve">والصحيح أنّه لا يجب ذلك لأنّ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رجل تميميّ أو علويّ أو ذو مال ، نعت لرجل </w:t>
      </w:r>
      <w:r>
        <w:rPr>
          <w:rStyle w:val="FootnoteAnchor"/>
          <w:rtl w:val="true"/>
        </w:rPr>
        <w:footnoteReference w:id="1017"/>
      </w:r>
      <w:r>
        <w:rPr>
          <w:rFonts w:ascii="Amiri" w:hAnsi="Amiri" w:eastAsia="Amiri" w:cs="Amiri"/>
          <w:color w:val="111111"/>
          <w:sz w:val="28"/>
          <w:sz w:val="28"/>
          <w:szCs w:val="28"/>
          <w:rtl w:val="true"/>
          <w:lang w:bidi="ar-SA"/>
        </w:rPr>
        <w:t xml:space="preserve">وليس بمشتقّ إلّا بتأويل ، نحو أن يقال في تميمي وعلوي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منسوب ، وفي ذو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مال</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والنعت يفيد التخصيص إن كان للنكرة </w:t>
      </w:r>
      <w:r>
        <w:rPr>
          <w:rStyle w:val="FootnoteAnchor"/>
          <w:rtl w:val="true"/>
        </w:rPr>
        <w:footnoteReference w:id="1018"/>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رجل طويل ، ويفيد التوضيح إن كان للمعرفة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زيد الطويل ، ويكون لمجرّد الثناء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 ولمجرّد الذمّ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الشيطان الرجيم ، ويكون النّعت أيضا للترحمّ </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بزيد المسكين ، واعلم أنه يجيء أيضا للتوكيد </w:t>
      </w:r>
      <w:r>
        <w:rPr>
          <w:rStyle w:val="FootnoteAnchor"/>
          <w:rtl w:val="true"/>
        </w:rPr>
        <w:footnoteReference w:id="1019"/>
      </w:r>
      <w:r>
        <w:rPr>
          <w:rFonts w:ascii="Amiri" w:hAnsi="Amiri" w:eastAsia="Amiri" w:cs="Amiri"/>
          <w:color w:val="111111"/>
          <w:sz w:val="28"/>
          <w:sz w:val="28"/>
          <w:szCs w:val="28"/>
          <w:rtl w:val="true"/>
          <w:lang w:bidi="ar-SA"/>
        </w:rPr>
        <w:t xml:space="preserve">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نَفْخَةٌ واحِدَةٌ</w:t>
      </w:r>
      <w:r>
        <w:rPr>
          <w:rFonts w:eastAsia="Amiri" w:cs="Amiri" w:ascii="Amiri" w:hAnsi="Amiri"/>
          <w:color w:val="111111"/>
          <w:sz w:val="28"/>
          <w:szCs w:val="28"/>
          <w:rtl w:val="true"/>
          <w:lang w:bidi="ar-SA"/>
        </w:rPr>
        <w:t>)</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وتوصف النكرة بالجمل الخبريّة ويلزم الضمير ، والخبريّة هي التي تحتمل الصدق والكذب ، وهي اسميّة وفعليّة وشرطيّة وظرفيّة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برجل أبوه قائم ، ورجل قام أبوه ، ورجل إن قام أبوه قمت ، ورجل في الدّار </w:t>
      </w:r>
      <w:r>
        <w:rPr>
          <w:rStyle w:val="FootnoteAnchor"/>
          <w:rtl w:val="true"/>
        </w:rPr>
        <w:footnoteReference w:id="1021"/>
      </w:r>
      <w:r>
        <w:rPr>
          <w:rFonts w:ascii="Amiri" w:hAnsi="Amiri" w:eastAsia="Amiri" w:cs="Amiri"/>
          <w:color w:val="111111"/>
          <w:sz w:val="28"/>
          <w:sz w:val="28"/>
          <w:szCs w:val="28"/>
          <w:rtl w:val="true"/>
          <w:lang w:bidi="ar-SA"/>
        </w:rPr>
        <w:t xml:space="preserve">واختصت النكرة بذلك دون المعرفة لكون الجملة نكرة ووجوب مطابقة الموصوف الصفة في التعريف والتنكير ، ولا تكون الجملة الإنشائيّة صفة للنكرة </w:t>
      </w:r>
      <w:r>
        <w:rPr>
          <w:rStyle w:val="FootnoteAnchor"/>
          <w:rtl w:val="true"/>
        </w:rPr>
        <w:footnoteReference w:id="1022"/>
      </w:r>
      <w:r>
        <w:rPr>
          <w:rFonts w:ascii="Amiri" w:hAnsi="Amiri" w:eastAsia="Amiri" w:cs="Amiri"/>
          <w:color w:val="111111"/>
          <w:sz w:val="28"/>
          <w:sz w:val="28"/>
          <w:szCs w:val="28"/>
          <w:rtl w:val="true"/>
          <w:lang w:bidi="ar-SA"/>
        </w:rPr>
        <w:t xml:space="preserve">لأنّها لا تكون خبرا إلّا بتأويل نحو قول الشّاعر </w:t>
      </w:r>
      <w:r>
        <w:rPr>
          <w:rFonts w:eastAsia="Amiri" w:cs="Amiri" w:ascii="Amiri" w:hAnsi="Amiri"/>
          <w:color w:val="111111"/>
          <w:sz w:val="28"/>
          <w:szCs w:val="28"/>
          <w:rtl w:val="true"/>
          <w:lang w:bidi="ar-SA"/>
        </w:rPr>
        <w:t xml:space="preserve">: </w:t>
      </w:r>
      <w:r>
        <w:rPr>
          <w:rStyle w:val="FootnoteAnchor"/>
          <w:rtl w:val="true"/>
        </w:rPr>
        <w:footnoteReference w:id="1023"/>
      </w:r>
    </w:p>
    <w:p>
      <w:pPr>
        <w:pStyle w:val="BookText"/>
        <w:rPr/>
      </w:pPr>
      <w:r>
        <w:rPr>
          <w:rFonts w:ascii="IRNazanin" w:hAnsi="IRNazanin" w:eastAsia="IRNazanin"/>
          <w:color w:val="111111"/>
          <w:sz w:val="28"/>
          <w:sz w:val="28"/>
          <w:szCs w:val="28"/>
          <w:rtl w:val="true"/>
          <w:lang w:bidi="fa-IR"/>
        </w:rPr>
        <w:t>حتّى إذا جاء الظّلام المختلط</w:t>
      </w:r>
    </w:p>
    <w:p>
      <w:pPr>
        <w:pStyle w:val="BookText"/>
        <w:rPr/>
      </w:pPr>
      <w:r>
        <w:rPr>
          <w:rFonts w:ascii="Amiri" w:hAnsi="Amiri" w:eastAsia="Amiri" w:cs="Amiri"/>
          <w:color w:val="111111"/>
          <w:sz w:val="28"/>
          <w:sz w:val="28"/>
          <w:szCs w:val="28"/>
          <w:rtl w:val="true"/>
          <w:lang w:bidi="ar-SA"/>
        </w:rPr>
        <w:t>جاؤوا بمذق هل رأيت الذئب قطّ</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رأيت الذئب قط جملة إنشائيّة وهي صفة لمذق في موضع جرّ ، والمعنى جاؤوا بمذق لونه مثل لون الذئب لغبرته ، والمذق اللّبن الممزوج ، وقيل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جاؤوا بمذق مقول فيه عند رؤيته هذا القول </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الموصوف يوصف تارة باعتبار حاله </w:t>
      </w:r>
      <w:r>
        <w:rPr>
          <w:rStyle w:val="FootnoteAnchor"/>
          <w:rtl w:val="true"/>
        </w:rPr>
        <w:footnoteReference w:id="1025"/>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برجل عالم ، وتارة باعتبار متعلّقه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برجل حسن غلامه ، ومنيع جاره ، ومؤدّب غلمانه ، ومعنى وصف الشيء باعتبار حاله ، أن يوصف بالمعنى القائم به ، ففي المثال المذكور العلم معنى قائم بذات رجل ، وأما وصفه بحال متعلّقه ، فحال متعلّقه هي المعنى </w:t>
      </w:r>
    </w:p>
    <w:p>
      <w:pPr>
        <w:pStyle w:val="BookText"/>
        <w:rPr/>
      </w:pPr>
      <w:r>
        <w:rPr>
          <w:rFonts w:ascii="Amiri" w:hAnsi="Amiri" w:eastAsia="Amiri" w:cs="Amiri"/>
          <w:color w:val="111111"/>
          <w:sz w:val="28"/>
          <w:sz w:val="28"/>
          <w:szCs w:val="28"/>
          <w:rtl w:val="true"/>
          <w:lang w:bidi="ar-SA"/>
        </w:rPr>
        <w:t xml:space="preserve">القائم بذات متعلّقه ، ومتعلّق الموصوف هو أن يكون فاعل الصفة مضافا إلى ضمير الموصوف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غلامه في مررت برجل حسن غلامه ، فحسن صفة لرجل في اللفظ وهو في المعنى للغلام وصار الغلام من متعلّقات الرجل بإضافته إلى ضميره العائد عليه ، أعني على الرجل ، وقد يكون المتعلّق المذكور مفعولا للصفة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برجل مخالط أباه داء ، فالمتعلّق وهو أباه مفعول للصفة التي هي مخالط </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والنعت الذي هو حال الموصوف يتبع الموصوف في عشرة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الرفع والنصب والجرّ والتعريف والتنكير والإفراد والتثنية والجمع والتذكير والتأنيث ، أي تجب موافقة الصفة للموصوف في هذه الأشياء ، ولا يعنون أنّ العشرة تجتمع ، لأنها متضادّة وإنّما يعنون أنّه لا بدّ من واحد من كلّ نوع فتجتمع أربعة من الرفع والنصب والجرّ ، أحدها ، ومن التعريف والتنكير أحدهما ، ومن الإفراد والتثنية والجمع ، أحدها ، ومن التذكير والتأنيث أحدهما </w:t>
      </w:r>
      <w:r>
        <w:rPr>
          <w:rStyle w:val="FootnoteAnchor"/>
          <w:rtl w:val="true"/>
        </w:rPr>
        <w:footnoteReference w:id="1027"/>
      </w:r>
      <w:r>
        <w:rPr>
          <w:rFonts w:ascii="Amiri" w:hAnsi="Amiri" w:eastAsia="Amiri" w:cs="Amiri"/>
          <w:color w:val="111111"/>
          <w:sz w:val="28"/>
          <w:sz w:val="28"/>
          <w:szCs w:val="28"/>
          <w:rtl w:val="true"/>
          <w:lang w:bidi="ar-SA"/>
        </w:rPr>
        <w:t xml:space="preserve">، والنعت الذي هو بحال متعلّق الموصوف يتبع الموصوف في الخمس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في اثنين من الخمس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الرفع والنّصب والجرّ والتعريف والتنكير ، ولم يجعل تابعا للموصوف في الخمس الباقية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الإفراد والثنية والجمع والتذكير والتأنيث بل كأنّ حكم النّعت بالنّظر إلى المتعلّق حكم الفعل ، لأنّه مسند إلى الظاهر الذي بعده ، وكما أنّ الفعل إذا أسند إلى الظاهر الذي بعده يجب إفراده ، وإذا كان الفاعل مذكرا يجب تذكيره ، وإذا كان الفاعل مؤنّثا حقيقيّا يجب تأنيثه ، فكذلك الصفة لأنّها واقعة موقع الفعل وعاملة عمله </w:t>
      </w:r>
      <w:r>
        <w:rPr>
          <w:rStyle w:val="FootnoteAnchor"/>
          <w:rtl w:val="true"/>
        </w:rPr>
        <w:footnoteReference w:id="1028"/>
      </w:r>
      <w:r>
        <w:rPr>
          <w:rFonts w:ascii="Amiri" w:hAnsi="Amiri" w:eastAsia="Amiri" w:cs="Amiri"/>
          <w:color w:val="111111"/>
          <w:sz w:val="28"/>
          <w:sz w:val="28"/>
          <w:szCs w:val="28"/>
          <w:rtl w:val="true"/>
          <w:lang w:bidi="ar-SA"/>
        </w:rPr>
        <w:t xml:space="preserve">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بامرأة قائم أبوها ، وبرجل قائمة امرأته ، ومررت برجل قاعد غلامه وبرجلين قاعد غلامهما ، وبرجال قاعد غلمانهم بإفراد قاعد مع كون فاعله جمعا ، وضعف قام رجل قاعدون غلمانه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يقعدون لفظا ومعنى ، فكما 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رجل يقعدون غلمانه ، ضعف قام رجل قاعدون غلمانه </w:t>
      </w:r>
      <w:r>
        <w:rPr>
          <w:rStyle w:val="FootnoteAnchor"/>
          <w:rtl w:val="true"/>
        </w:rPr>
        <w:footnoteReference w:id="1029"/>
      </w:r>
      <w:r>
        <w:rPr>
          <w:rFonts w:ascii="Amiri" w:hAnsi="Amiri" w:eastAsia="Amiri" w:cs="Amiri"/>
          <w:color w:val="111111"/>
          <w:sz w:val="28"/>
          <w:sz w:val="28"/>
          <w:szCs w:val="28"/>
          <w:rtl w:val="true"/>
          <w:lang w:bidi="ar-SA"/>
        </w:rPr>
        <w:t xml:space="preserve">، ولكن يجوز من غير ضعف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رجل قعود غلمانه ، لأنّ قعود ليس مثل يقعدون لفظا </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 xml:space="preserve">. </w:t>
      </w:r>
      <w:bookmarkStart w:id="372" w:name="pg14482_156195"/>
    </w:p>
    <w:p>
      <w:pPr>
        <w:pStyle w:val="Heading6"/>
        <w:numPr>
          <w:ilvl w:val="5"/>
          <w:numId w:val="1"/>
        </w:numPr>
        <w:rPr/>
      </w:pPr>
      <w:bookmarkStart w:id="373" w:name="__RefHeading___Toc716792_996550957"/>
      <w:bookmarkStart w:id="374" w:name="_Toc137"/>
      <w:bookmarkEnd w:id="372"/>
      <w:bookmarkEnd w:id="373"/>
      <w:r>
        <w:rPr>
          <w:rtl w:val="true"/>
        </w:rPr>
        <w:t>فصل</w:t>
      </w:r>
      <w:bookmarkEnd w:id="374"/>
    </w:p>
    <w:p>
      <w:pPr>
        <w:pStyle w:val="BookText"/>
        <w:rPr/>
      </w:pPr>
      <w:r>
        <w:rPr>
          <w:rStyle w:val="FootnoteAnchor"/>
          <w:rtl w:val="true"/>
        </w:rPr>
        <w:footnoteReference w:id="10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والنّظر في الوصف على أربعة أضرب لأنّ اللفظ منه ما لا يوصف ولا يوصف به وهو المضمر كما سيذكر ، ومنه ما يوصف ولا يوصف به وهو العلم ، ومنه ما يوصف به ولا يوصف وهو الجملة الخبريّة ، ومنه ما يوصف ويوصف به وهو المعرّف باللام والمضاف والإشارة ، وإنّما لم يوصف المضمر لأنّ بعض المضمرات وهو أنا في غاية الوضوح فلا يحتاج إلى توضيحه بالصفة ، وكذلك المخاطب يوضحه الحضور والمشاهدة فلا اشتراك فيما هذا شأنه ، وإذا انتفى موجب الوصف وهو الاشتراك انتفى الوصف ، لأنّ الوصف إنّما هو للإيضاح وقد ثبت إيضاح المضمر بدونه وحمل باقي المضمرات على ذلك </w:t>
      </w:r>
      <w:r>
        <w:rPr>
          <w:rStyle w:val="FootnoteAnchor"/>
          <w:rtl w:val="true"/>
        </w:rPr>
        <w:footnoteReference w:id="1032"/>
      </w:r>
      <w:r>
        <w:rPr>
          <w:rFonts w:ascii="Amiri" w:hAnsi="Amiri" w:eastAsia="Amiri" w:cs="Amiri"/>
          <w:color w:val="111111"/>
          <w:sz w:val="28"/>
          <w:sz w:val="28"/>
          <w:szCs w:val="28"/>
          <w:rtl w:val="true"/>
          <w:lang w:bidi="ar-SA"/>
        </w:rPr>
        <w:t xml:space="preserve">وإنّما لم يوصف بالمضمر ؛ لأنّ الصفة تدلّ على معنى في الموصوف ، والمضمر وضع ليدلّ على الذات ، ويجب أن يكون الموصوف أخصّ من الصفة أي أعرف منها أو مساويا لها ، ولا يجوز أن تكون الصفة أخصّ منه أي أعرف منه ؛ لأنّه المقصود بالنسبة المفيدة والصفة غير مقصودة بذلك فلا يوصف المعرّف باللام باسم الإشارة لأنّه أخصّ من المعرّف باللام </w:t>
      </w:r>
      <w:r>
        <w:rPr>
          <w:rStyle w:val="FootnoteAnchor"/>
          <w:rtl w:val="true"/>
        </w:rPr>
        <w:footnoteReference w:id="1033"/>
      </w:r>
      <w:r>
        <w:rPr>
          <w:rFonts w:ascii="Amiri" w:hAnsi="Amiri" w:eastAsia="Amiri" w:cs="Amiri"/>
          <w:color w:val="111111"/>
          <w:sz w:val="28"/>
          <w:sz w:val="28"/>
          <w:szCs w:val="28"/>
          <w:rtl w:val="true"/>
          <w:lang w:bidi="ar-SA"/>
        </w:rPr>
        <w:t xml:space="preserve">فلا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بالرجل هذا ، وتراد الصّفة ، ويلزم أن يوصف اسم الإشارة بالمعرّف باللّام لأنّ اسم الإشارة مبهم الذات ، واسم الجنس يدلّ على حقيقة الذّات وتعريفه بالألف واللام ، فمن ثمّ وجب أن توصف أسماء الإشارة بما فيه الألف واللام لدلالته على حقيقة الذّات فيتّضح به اسم الإشارة لكونه مبهم الذات </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والعلم يوصف بثلاثة أشياء ، بالمبهم ، وبالمعرّف باللام ، وبالمضاف ، لكون </w:t>
      </w:r>
      <w:bookmarkStart w:id="375" w:name="pg14482_156196"/>
    </w:p>
    <w:p>
      <w:pPr>
        <w:pStyle w:val="BookText"/>
        <w:rPr/>
      </w:pPr>
      <w:bookmarkEnd w:id="375"/>
      <w:r>
        <w:rPr>
          <w:rFonts w:ascii="Amiri" w:hAnsi="Amiri" w:eastAsia="Amiri" w:cs="Amiri"/>
          <w:color w:val="111111"/>
          <w:sz w:val="28"/>
          <w:sz w:val="28"/>
          <w:szCs w:val="28"/>
          <w:rtl w:val="true"/>
          <w:lang w:bidi="ar-SA"/>
        </w:rPr>
        <w:t>العلم أخصّ من هذه الثلاثة ، لأنّه في أوّل أحواله وضع لشخص معيّن بخلاف المبهم فإنّه لا يستقرّ على مسمّى ، وبخلاف المعرّف باللام فإنّ تعريفه لا بذاته بل بالألف واللام ، ولذلك يزول عنه التعريف بزوالهما ، وكذلك تعريف المضاف بغيره فالعلم أخصّ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اسم الإشارة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 لمّا كان </w:t>
      </w:r>
      <w:r>
        <w:rPr>
          <w:rStyle w:val="FootnoteAnchor"/>
          <w:rtl w:val="true"/>
        </w:rPr>
        <w:footnoteReference w:id="1035"/>
      </w:r>
      <w:r>
        <w:rPr>
          <w:rFonts w:ascii="Amiri" w:hAnsi="Amiri" w:eastAsia="Amiri" w:cs="Amiri"/>
          <w:color w:val="111111"/>
          <w:sz w:val="28"/>
          <w:sz w:val="28"/>
          <w:szCs w:val="28"/>
          <w:rtl w:val="true"/>
          <w:lang w:bidi="ar-SA"/>
        </w:rPr>
        <w:t xml:space="preserve">مبهم الذّات احتاج إلى ما يبيّن حقيقته وذلك لا يكون إلّا بأحد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باسم الجنس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لدلالته على حقيقة الذات ، أو بوصف يختصّ بالذات التي يراد بيانها كالعالم والكاتب بالنسبة إلى ذات الإنسان ، فلذلك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هذا الرجل ، ومررت بهذا العالم ، لأنّ العلم وصف خاص بذات الرجل لا يوجد إلّا في نوعه ، بخلاف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الأبيض لعدم اختصاصه بنوع دون نوع وبسبب ما شرح ، حسن مررت بهذا العالم وضعف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بهذا الأبيض </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76" w:name="__RefHeading___Toc716794_996550957"/>
      <w:bookmarkStart w:id="377" w:name="_Toc138"/>
      <w:bookmarkEnd w:id="376"/>
      <w:r>
        <w:rPr>
          <w:rtl w:val="true"/>
        </w:rPr>
        <w:t>فصل</w:t>
      </w:r>
      <w:bookmarkEnd w:id="377"/>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المصدر يقع صفة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عدل ورجال صوم أو فطر ، وشبه ذلك وفائدة الوصف بالمصدر الاختصاص لأنّ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عدل ، فلمّا وصف به بتوسط ذو وعرف مكانه ، حذفت تخفيفا لأنّه لا يلتبس ، لأنّ </w:t>
      </w:r>
      <w:r>
        <w:rPr>
          <w:rStyle w:val="FootnoteAnchor"/>
          <w:rtl w:val="true"/>
        </w:rPr>
        <w:footnoteReference w:id="1038"/>
      </w:r>
      <w:r>
        <w:rPr>
          <w:rFonts w:ascii="Amiri" w:hAnsi="Amiri" w:eastAsia="Amiri" w:cs="Amiri"/>
          <w:color w:val="111111"/>
          <w:sz w:val="28"/>
          <w:sz w:val="28"/>
          <w:szCs w:val="28"/>
          <w:rtl w:val="true"/>
          <w:lang w:bidi="ar-SA"/>
        </w:rPr>
        <w:t xml:space="preserve">الرجل ليس هو الصوم وكذلك رجل خصم فإنّه أخصّ من مخاصم ، وأكثر ما يوصف بالمصدر الثلاثي ، وإنّما ساغ الوصف بالمصدر ، لأنّ الصفة في الأصل مأخوذة من المصدر ، لأنّ تأويل ضارب ، ذو ضرب ، وإذا وصف بالمصدر فالأحسن الأكثر أن لا يثنّى ولا يجمع ولا يؤنّث </w:t>
      </w:r>
      <w:r>
        <w:rPr>
          <w:rStyle w:val="FootnoteAnchor"/>
          <w:rtl w:val="true"/>
        </w:rPr>
        <w:footnoteReference w:id="1039"/>
      </w:r>
      <w:r>
        <w:rPr>
          <w:rFonts w:ascii="Amiri" w:hAnsi="Amiri" w:eastAsia="Amiri" w:cs="Amiri"/>
          <w:color w:val="111111"/>
          <w:sz w:val="28"/>
          <w:sz w:val="28"/>
          <w:szCs w:val="28"/>
          <w:rtl w:val="true"/>
          <w:lang w:bidi="ar-SA"/>
        </w:rPr>
        <w:t xml:space="preserve">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برجلين صوم ، ورجال صوم ، ونساء صوم إلّا ما دخله كثرة الاستعمال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عدل ورجلين عدلين</w:t>
      </w:r>
      <w:r>
        <w:rPr>
          <w:rFonts w:eastAsia="Amiri" w:cs="Amiri" w:ascii="Amiri" w:hAnsi="Amiri"/>
          <w:color w:val="111111"/>
          <w:sz w:val="28"/>
          <w:szCs w:val="28"/>
          <w:rtl w:val="true"/>
          <w:lang w:bidi="ar-SA"/>
        </w:rPr>
        <w:t xml:space="preserve">. </w:t>
      </w:r>
      <w:bookmarkStart w:id="378" w:name="pg14482_156197"/>
    </w:p>
    <w:p>
      <w:pPr>
        <w:pStyle w:val="Heading5"/>
        <w:numPr>
          <w:ilvl w:val="4"/>
          <w:numId w:val="1"/>
        </w:numPr>
        <w:rPr/>
      </w:pPr>
      <w:bookmarkStart w:id="379" w:name="__RefHeading___Toc716796_996550957"/>
      <w:bookmarkStart w:id="380" w:name="_Toc139"/>
      <w:bookmarkEnd w:id="378"/>
      <w:bookmarkEnd w:id="379"/>
      <w:r>
        <w:rPr>
          <w:rtl w:val="true"/>
        </w:rPr>
        <w:t>ذكر العطف</w:t>
      </w:r>
      <w:bookmarkEnd w:id="380"/>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تابع مقصود ينسب إليه مع متبوعه ، يتوسّط بينه وبين متبوعه أحد الحروف العشرة التي ستذكر ، وقد خرج بذلك التوابع كلّها لأنّها ليست مقصودة بالنسبة غير البدل فإنّه وإن كان مقصودا بالنسبة لكنّ متبوعه ليس مقصودا بالنسبة </w:t>
      </w:r>
      <w:r>
        <w:rPr>
          <w:rStyle w:val="FootnoteAnchor"/>
          <w:rtl w:val="true"/>
        </w:rPr>
        <w:footnoteReference w:id="1041"/>
      </w:r>
      <w:r>
        <w:rPr>
          <w:rFonts w:ascii="Amiri" w:hAnsi="Amiri" w:eastAsia="Amiri" w:cs="Amiri"/>
          <w:color w:val="111111"/>
          <w:sz w:val="28"/>
          <w:sz w:val="28"/>
          <w:szCs w:val="28"/>
          <w:rtl w:val="true"/>
          <w:lang w:bidi="ar-SA"/>
        </w:rPr>
        <w:t xml:space="preserve">ومثاله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زيد وعمرو ، فعمرو تابع مقصود بنسبة القيام مع زيد ، وشرط صحّة العطف على المضمر المرفوع المتّصل أن يؤكّد بمنفصل </w:t>
      </w:r>
      <w:r>
        <w:rPr>
          <w:rStyle w:val="FootnoteAnchor"/>
          <w:rtl w:val="true"/>
        </w:rPr>
        <w:footnoteReference w:id="1042"/>
      </w:r>
      <w:r>
        <w:rPr>
          <w:rFonts w:ascii="Amiri" w:hAnsi="Amiri" w:eastAsia="Amiri" w:cs="Amiri"/>
          <w:color w:val="111111"/>
          <w:sz w:val="28"/>
          <w:sz w:val="28"/>
          <w:szCs w:val="28"/>
          <w:rtl w:val="true"/>
          <w:lang w:bidi="ar-SA"/>
        </w:rPr>
        <w:t xml:space="preserve">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قمت أنا وزيد ، أمّا إذا وقع الفصل بين المضمر المذكور ، وبين المعطوف فإنّ العطف عليه حينئذ يجوز من غير تأكيد سواء وقع الفاصل قبل حرف العطف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اليوم وزيد ، أو بعد ،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أَشْرَكْنا وَلا آباؤُنا</w:t>
      </w:r>
      <w:r>
        <w:rPr>
          <w:rFonts w:eastAsia="Amiri" w:cs="Amiri" w:ascii="Amiri" w:hAnsi="Amiri"/>
          <w:color w:val="111111"/>
          <w:sz w:val="28"/>
          <w:szCs w:val="28"/>
          <w:rtl w:val="true"/>
          <w:lang w:bidi="ar-SA"/>
        </w:rPr>
        <w:t>)</w:t>
      </w:r>
      <w:r>
        <w:rPr>
          <w:rStyle w:val="FootnoteAnchor"/>
          <w:rtl w:val="true"/>
        </w:rPr>
        <w:footnoteReference w:id="1043"/>
      </w:r>
      <w:r>
        <w:rPr>
          <w:rFonts w:ascii="Amiri" w:hAnsi="Amiri" w:eastAsia="Amiri" w:cs="Amiri"/>
          <w:color w:val="111111"/>
          <w:sz w:val="28"/>
          <w:sz w:val="28"/>
          <w:szCs w:val="28"/>
          <w:rtl w:val="true"/>
          <w:lang w:bidi="ar-SA"/>
        </w:rPr>
        <w:t xml:space="preserve">وإذا عطف على الضمير المجرور ، أعيد الجارّ حرفا كان أو مضافا </w:t>
      </w:r>
      <w:r>
        <w:rPr>
          <w:rStyle w:val="FootnoteAnchor"/>
          <w:rtl w:val="true"/>
        </w:rPr>
        <w:footnoteReference w:id="1044"/>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بك وبزيد ، وجلس بيني وبين زيد ، لأنّ الضمير المجرور صار كالجزء من الجار فكرهوا أن يعطفوا المستقلّ على ما هو كالجزء ، أمّا قراءة حمزة </w:t>
      </w:r>
      <w:r>
        <w:rPr>
          <w:rStyle w:val="FootnoteAnchor"/>
          <w:rtl w:val="true"/>
        </w:rPr>
        <w:footnoteReference w:id="1045"/>
      </w:r>
      <w:r>
        <w:rPr>
          <w:rFonts w:ascii="Amiri" w:hAnsi="Amiri" w:eastAsia="Amiri" w:cs="Amiri"/>
          <w:color w:val="111111"/>
          <w:sz w:val="28"/>
          <w:sz w:val="28"/>
          <w:szCs w:val="28"/>
          <w:rtl w:val="true"/>
          <w:lang w:bidi="ar-SA"/>
        </w:rPr>
        <w:t xml:space="preserve">واتقوا الله الذي تسائلون به والأرحام </w:t>
      </w:r>
      <w:r>
        <w:rPr>
          <w:rStyle w:val="FootnoteAnchor"/>
          <w:rtl w:val="true"/>
        </w:rPr>
        <w:footnoteReference w:id="1046"/>
      </w:r>
      <w:r>
        <w:rPr>
          <w:rFonts w:ascii="IRNazanin" w:hAnsi="IRNazanin" w:eastAsia="IRNazanin"/>
          <w:color w:val="111111"/>
          <w:sz w:val="28"/>
          <w:sz w:val="28"/>
          <w:szCs w:val="28"/>
          <w:rtl w:val="true"/>
          <w:lang w:bidi="fa-IR"/>
        </w:rPr>
        <w:t xml:space="preserve">بالخفض </w:t>
      </w:r>
      <w:r>
        <w:rPr>
          <w:rStyle w:val="FootnoteAnchor"/>
          <w:rtl w:val="true"/>
        </w:rPr>
        <w:footnoteReference w:id="1047"/>
      </w:r>
      <w:r>
        <w:rPr>
          <w:rFonts w:ascii="Amiri" w:hAnsi="Amiri" w:eastAsia="Amiri" w:cs="Amiri"/>
          <w:color w:val="111111"/>
          <w:sz w:val="28"/>
          <w:sz w:val="28"/>
          <w:szCs w:val="28"/>
          <w:rtl w:val="true"/>
          <w:lang w:bidi="ar-SA"/>
        </w:rPr>
        <w:t xml:space="preserve">فغير متعيّن للعطف لاحتمال القسم </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وقول الشاعر </w:t>
      </w:r>
      <w:r>
        <w:rPr>
          <w:rFonts w:eastAsia="IRNazanin" w:cs="IRNazanin"/>
          <w:color w:val="111111"/>
          <w:sz w:val="28"/>
          <w:szCs w:val="28"/>
          <w:rtl w:val="true"/>
          <w:lang w:bidi="fa-IR"/>
        </w:rPr>
        <w:t xml:space="preserve">: </w:t>
      </w:r>
      <w:r>
        <w:rPr>
          <w:rStyle w:val="FootnoteAnchor"/>
          <w:rtl w:val="true"/>
        </w:rPr>
        <w:footnoteReference w:id="1049"/>
      </w:r>
    </w:p>
    <w:p>
      <w:pPr>
        <w:pStyle w:val="BookText"/>
        <w:rPr/>
      </w:pPr>
      <w:r>
        <w:rPr>
          <w:rFonts w:ascii="Amiri" w:hAnsi="Amiri" w:eastAsia="Amiri" w:cs="Amiri"/>
          <w:color w:val="111111"/>
          <w:sz w:val="28"/>
          <w:sz w:val="28"/>
          <w:szCs w:val="28"/>
          <w:rtl w:val="true"/>
          <w:lang w:bidi="ar-SA"/>
        </w:rPr>
        <w:t>فاليوم قرّبت تهجونا وتشتمنا</w:t>
      </w:r>
    </w:p>
    <w:p>
      <w:pPr>
        <w:pStyle w:val="BookText"/>
        <w:rPr/>
      </w:pPr>
      <w:r>
        <w:rPr>
          <w:rFonts w:ascii="Amiri" w:hAnsi="Amiri" w:eastAsia="Amiri" w:cs="Amiri"/>
          <w:color w:val="111111"/>
          <w:sz w:val="28"/>
          <w:sz w:val="28"/>
          <w:szCs w:val="28"/>
          <w:rtl w:val="true"/>
          <w:lang w:bidi="ar-SA"/>
        </w:rPr>
        <w:t xml:space="preserve">ورد في الكتاب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والكامل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والإنصاف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 المفصل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والمقرب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 الكافية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 الشواهد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وهمع الهوامع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 الأشموني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وخزانة الأدب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فاذهب فما بك والأيّام من عجب</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فشاذ ، وحكم المعطوف مثل حكم المعطوف عليه </w:t>
      </w:r>
      <w:r>
        <w:rPr>
          <w:rStyle w:val="FootnoteAnchor"/>
          <w:rtl w:val="true"/>
        </w:rPr>
        <w:footnoteReference w:id="1050"/>
      </w:r>
      <w:r>
        <w:rPr>
          <w:rFonts w:ascii="Amiri" w:hAnsi="Amiri" w:eastAsia="Amiri" w:cs="Amiri"/>
          <w:color w:val="111111"/>
          <w:sz w:val="28"/>
          <w:sz w:val="28"/>
          <w:szCs w:val="28"/>
          <w:rtl w:val="true"/>
          <w:lang w:bidi="ar-SA"/>
        </w:rPr>
        <w:t xml:space="preserve">فيما جاز له ، ووجب وامتنع 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قائم وعالم ، فلا بدّ من ضمير في عالم المعطوف ، كما لا بدّ منه في قائم المعطوف عليه ،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الذي قام أبوه وسافر غلامه ، فلا بدّ من ضمير في الجملة الثانية كما في الأولى ، فالمعطوف على الخبر يجب أن يصحّ كونه خبرا ، وكذلك المعطوف على الصّلة يجب أن يصحّ كونه صلة ، وكذا لا يعطف على الحال إلّا ما يصحّ أن يكون حالا </w:t>
      </w:r>
      <w:r>
        <w:rPr>
          <w:rStyle w:val="FootnoteAnchor"/>
          <w:rtl w:val="true"/>
        </w:rPr>
        <w:footnoteReference w:id="1051"/>
      </w:r>
      <w:r>
        <w:rPr>
          <w:rFonts w:ascii="Amiri" w:hAnsi="Amiri" w:eastAsia="Amiri" w:cs="Amiri"/>
          <w:color w:val="111111"/>
          <w:sz w:val="28"/>
          <w:sz w:val="28"/>
          <w:szCs w:val="28"/>
          <w:rtl w:val="true"/>
          <w:lang w:bidi="ar-SA"/>
        </w:rPr>
        <w:t xml:space="preserve">فإن أبى الثاني حكم العطف ، أي لم يستقم لفوات المصحّح ، فاجعله مستقلا لا معطوفا نحو منطلق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قائما ولا منطلق عمرو ، فلو جعلت منطلق منصوبا عطفا على خبر ما ، الذي هو قائم لم يستقم لوجود الضمير في المعطوف عليه وهو قائم وامتناعه في المعطوف وهو منطلق لكون عمرو فاعلا له ، فيجعل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منطلق عمرو جملة معطوفة على الأولى ، كأنه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قائما ولا عمرو منطلق </w:t>
      </w:r>
      <w:r>
        <w:rPr>
          <w:rStyle w:val="FootnoteAnchor"/>
          <w:rtl w:val="true"/>
        </w:rPr>
        <w:footnoteReference w:id="1052"/>
      </w:r>
      <w:r>
        <w:rPr>
          <w:rFonts w:ascii="Amiri" w:hAnsi="Amiri" w:eastAsia="Amiri" w:cs="Amiri"/>
          <w:color w:val="111111"/>
          <w:sz w:val="28"/>
          <w:sz w:val="28"/>
          <w:szCs w:val="28"/>
          <w:rtl w:val="true"/>
          <w:lang w:bidi="ar-SA"/>
        </w:rPr>
        <w:t xml:space="preserve">فإن أورد في هذا الباب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يطير فيغضب زيد الذباب ، من حيث كان يطير صلة للذي ، وفيه ضمير عائد ، وقد عطف فيغضب عليه وليس فيه ضمير يعود ، 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فاء السببيّة لا فاء العطف ، لأنّك لو قدّرت موضعها حرف عطف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يطير ويغضب زيد أو ثمّ يغضب </w:t>
      </w:r>
    </w:p>
    <w:p>
      <w:pPr>
        <w:pStyle w:val="BookText"/>
        <w:rPr/>
      </w:pPr>
      <w:r>
        <w:rPr>
          <w:rFonts w:ascii="Amiri" w:hAnsi="Amiri" w:eastAsia="Amiri" w:cs="Amiri"/>
          <w:color w:val="111111"/>
          <w:sz w:val="28"/>
          <w:sz w:val="28"/>
          <w:szCs w:val="28"/>
          <w:rtl w:val="true"/>
          <w:lang w:bidi="ar-SA"/>
        </w:rPr>
        <w:t xml:space="preserve">زيد ، لم يستقم وتقديره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يطير فبسببه يغضب زيد الذباب </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اختلف في صحّة العطف بعاطف واحد على معمولي عاملين مختلفين </w:t>
      </w:r>
      <w:r>
        <w:rPr>
          <w:rStyle w:val="FootnoteAnchor"/>
          <w:rtl w:val="true"/>
        </w:rPr>
        <w:footnoteReference w:id="1054"/>
      </w:r>
      <w:r>
        <w:rPr>
          <w:rFonts w:ascii="Amiri" w:hAnsi="Amiri" w:eastAsia="Amiri" w:cs="Amiri"/>
          <w:color w:val="111111"/>
          <w:sz w:val="28"/>
          <w:sz w:val="28"/>
          <w:szCs w:val="28"/>
          <w:rtl w:val="true"/>
          <w:lang w:bidi="ar-SA"/>
        </w:rPr>
        <w:t xml:space="preserve">والمختار جوازه لا مطلقا ، بل إذا كان المجرور متقدّما على المرفوع أو المنصوب في المعطوف والمعطوف عليه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الدار زيد والحجرة عمرو ، فالحجرة معطوفة على الدار ، والعامل في الدار لفظة في ، وعمرو معطوف على زيد ، والعامل فيه الابتداء ، والمجرور متقدّم على المرفوع في المعطوف والمعطوف عليه ، أمّا لو كان المتقدم منصوبا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زيدا قائم وعمرا منطلق لم يكن عطفا على معمولي عاملين بل على معمولي عامل واحد وهو جائز باتفاق والشاهد على صحّة العطف على معمولي عاملين مختلفين بالشرائط المذكورة قوله تعالى في سورة الجاثية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السَّماواتِ وَالْأَرْضِ لَآياتٍ لِلْمُؤْمِنِينَ ، وَفِي خَلْقِكُمْ وَما يَبُثُّ مِنْ دابَّةٍ آياتٌ لِقَوْمٍ يُوقِنُونَ وَاخْتِلافِ اللَّيْلِ وَالنَّهارِ وَما أَنْزَلَ اللهُ مِنَ السَّماءِ مِنْ رِزْقٍ فَأَحْيا بِهِ الْأَرْضَ بَعْدَ مَوْتِها ، وَتَصْرِيفِ الرِّياحِ آياتٌ لِقَوْمٍ يَعْقِلُونَ</w:t>
      </w:r>
      <w:r>
        <w:rPr>
          <w:rFonts w:eastAsia="Amiri" w:cs="Amiri" w:ascii="Amiri" w:hAnsi="Amiri"/>
          <w:color w:val="111111"/>
          <w:sz w:val="28"/>
          <w:szCs w:val="28"/>
          <w:rtl w:val="true"/>
          <w:lang w:bidi="ar-SA"/>
        </w:rPr>
        <w:t>)</w:t>
      </w:r>
      <w:r>
        <w:rPr>
          <w:rStyle w:val="FootnoteAnchor"/>
          <w:rtl w:val="true"/>
        </w:rPr>
        <w:footnoteReference w:id="1055"/>
      </w:r>
      <w:r>
        <w:rPr>
          <w:rFonts w:ascii="Amiri" w:hAnsi="Amiri" w:eastAsia="Amiri" w:cs="Amiri"/>
          <w:color w:val="111111"/>
          <w:sz w:val="28"/>
          <w:sz w:val="28"/>
          <w:szCs w:val="28"/>
          <w:rtl w:val="true"/>
          <w:lang w:bidi="ar-SA"/>
        </w:rPr>
        <w:t xml:space="preserve">فعطف واختلاف على قوله وفي خلقكم ، وآيات وآيات الأخيرتين في قراءة حمزة والكسائي على آيات </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 الشّاعر </w:t>
      </w:r>
      <w:r>
        <w:rPr>
          <w:rFonts w:eastAsia="IRNazanin" w:cs="IRNazanin"/>
          <w:color w:val="111111"/>
          <w:sz w:val="28"/>
          <w:szCs w:val="28"/>
          <w:rtl w:val="true"/>
          <w:lang w:bidi="fa-IR"/>
        </w:rPr>
        <w:t xml:space="preserve">: </w:t>
      </w:r>
      <w:r>
        <w:rPr>
          <w:rStyle w:val="FootnoteAnchor"/>
          <w:rtl w:val="true"/>
        </w:rPr>
        <w:footnoteReference w:id="1057"/>
      </w:r>
    </w:p>
    <w:p>
      <w:pPr>
        <w:pStyle w:val="BookText"/>
        <w:rPr/>
      </w:pPr>
      <w:r>
        <w:rPr>
          <w:rFonts w:ascii="Amiri" w:hAnsi="Amiri" w:eastAsia="Amiri" w:cs="Amiri"/>
          <w:color w:val="111111"/>
          <w:sz w:val="28"/>
          <w:sz w:val="28"/>
          <w:szCs w:val="28"/>
          <w:rtl w:val="true"/>
          <w:lang w:bidi="ar-SA"/>
        </w:rPr>
        <w:t>أكلّ امرىء تحسبين امرأ</w:t>
      </w:r>
    </w:p>
    <w:p>
      <w:pPr>
        <w:pStyle w:val="BookText"/>
        <w:rPr/>
      </w:pPr>
      <w:r>
        <w:rPr>
          <w:rFonts w:ascii="Amiri" w:hAnsi="Amiri" w:eastAsia="Amiri" w:cs="Amiri"/>
          <w:color w:val="111111"/>
          <w:sz w:val="28"/>
          <w:sz w:val="28"/>
          <w:szCs w:val="28"/>
          <w:rtl w:val="true"/>
          <w:lang w:bidi="ar-SA"/>
        </w:rPr>
        <w:t>ونار توّقّد في الليل نارا</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وقولهم في المثل </w:t>
      </w:r>
      <w:r>
        <w:rPr>
          <w:rStyle w:val="FootnoteAnchor"/>
          <w:rtl w:val="true"/>
        </w:rPr>
        <w:footnoteReference w:id="105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كلّ سوداء تمرة ولا بيضاء شحمة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فبيضاء معطوفة </w:t>
      </w:r>
      <w:bookmarkStart w:id="381" w:name="pg14482_156200"/>
    </w:p>
    <w:p>
      <w:pPr>
        <w:pStyle w:val="BookText"/>
        <w:rPr/>
      </w:pPr>
      <w:bookmarkEnd w:id="381"/>
      <w:r>
        <w:rPr>
          <w:rFonts w:ascii="Amiri" w:hAnsi="Amiri" w:eastAsia="Amiri" w:cs="Amiri"/>
          <w:color w:val="111111"/>
          <w:sz w:val="28"/>
          <w:sz w:val="28"/>
          <w:szCs w:val="28"/>
          <w:rtl w:val="true"/>
          <w:lang w:bidi="ar-SA"/>
        </w:rPr>
        <w:t xml:space="preserve">على سوداء ، والعامل فيهما كلّ ، وشحمة معطوفة على تمرة </w:t>
      </w:r>
      <w:r>
        <w:rPr>
          <w:rStyle w:val="FootnoteAnchor"/>
          <w:rtl w:val="true"/>
        </w:rPr>
        <w:footnoteReference w:id="1059"/>
      </w:r>
      <w:r>
        <w:rPr>
          <w:rFonts w:ascii="Amiri" w:hAnsi="Amiri" w:eastAsia="Amiri" w:cs="Amiri"/>
          <w:color w:val="111111"/>
          <w:sz w:val="28"/>
          <w:sz w:val="28"/>
          <w:szCs w:val="28"/>
          <w:rtl w:val="true"/>
          <w:lang w:bidi="ar-SA"/>
        </w:rPr>
        <w:t xml:space="preserve">والعامل 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Style w:val="FootnoteAnchor"/>
          <w:rtl w:val="true"/>
        </w:rPr>
        <w:footnoteReference w:id="1060"/>
      </w:r>
      <w:r>
        <w:rPr>
          <w:rFonts w:ascii="Amiri" w:hAnsi="Amiri" w:eastAsia="Amiri" w:cs="Amiri"/>
          <w:color w:val="111111"/>
          <w:sz w:val="28"/>
          <w:sz w:val="28"/>
          <w:szCs w:val="28"/>
          <w:rtl w:val="true"/>
          <w:lang w:bidi="ar-SA"/>
        </w:rPr>
        <w:t xml:space="preserve">وقد منع ذلك سيبويه مطلقا ، وتأوّل آيات الثاني والثالث بأنهما توكيد ، وهو تأويل بعيد </w:t>
      </w:r>
      <w:r>
        <w:rPr>
          <w:rStyle w:val="FootnoteAnchor"/>
          <w:rtl w:val="true"/>
        </w:rPr>
        <w:footnoteReference w:id="1061"/>
      </w:r>
      <w:r>
        <w:rPr>
          <w:rFonts w:ascii="Amiri" w:hAnsi="Amiri" w:eastAsia="Amiri" w:cs="Amiri"/>
          <w:color w:val="111111"/>
          <w:sz w:val="28"/>
          <w:sz w:val="28"/>
          <w:szCs w:val="28"/>
          <w:rtl w:val="true"/>
          <w:lang w:bidi="ar-SA"/>
        </w:rPr>
        <w:t xml:space="preserve">، وأجاز الفرّاء العطف على عاملين مطلقا </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2" w:name="__RefHeading___Toc716798_996550957"/>
      <w:bookmarkStart w:id="383" w:name="_Toc140"/>
      <w:bookmarkEnd w:id="382"/>
      <w:r>
        <w:rPr>
          <w:rtl w:val="true"/>
        </w:rPr>
        <w:t>ذكر التأكيد</w:t>
      </w:r>
      <w:bookmarkEnd w:id="383"/>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لفظيّ ومعنويّ ، فاللفظيّ أن يكرّر اللفظ الأوّل بعينه وهو جار في الاسم والفعل والحرف ، والجملة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زيد ، وضرب ضرب وإلى إلى ، والله أكبر الله أكبر ، والمعنويّ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تابع يقرّر أمر المتبوع في النسبة أو الشمول ، فبقوله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يقرر أمر المتبوع ، خرج العطف بالحرف والبدل ، وبقوله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النسبة ، خرج النّعت وعطف البيان ، فإنّهما يقرّران أمر المتبوع لكن لا في النّسبة </w:t>
      </w:r>
      <w:r>
        <w:rPr>
          <w:rStyle w:val="FootnoteAnchor"/>
          <w:rtl w:val="true"/>
        </w:rPr>
        <w:footnoteReference w:id="1064"/>
      </w:r>
      <w:r>
        <w:rPr>
          <w:rFonts w:ascii="Amiri" w:hAnsi="Amiri" w:eastAsia="Amiri" w:cs="Amiri"/>
          <w:color w:val="111111"/>
          <w:sz w:val="28"/>
          <w:sz w:val="28"/>
          <w:szCs w:val="28"/>
          <w:rtl w:val="true"/>
          <w:lang w:bidi="ar-SA"/>
        </w:rPr>
        <w:t xml:space="preserve">ومثال التأكيد الذي يقرر أمر المتبوع في النسبة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زيد نفسه ، وما أشبهه ، والذي يقرّره في الشمول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القوم كلّهم ، وللمعنويّ ألفاظ معدودة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وعينه وكلاهما وكلتاهما ، وكلّ وأجمع وأكتع وأبصع وأبضع ، وهي تالية لأجمع ، لأنّها لا تتقدّم عليه لكونها توابع له ، خلافا لابن كيسان </w:t>
      </w:r>
      <w:r>
        <w:rPr>
          <w:rStyle w:val="FootnoteAnchor"/>
          <w:rtl w:val="true"/>
        </w:rPr>
        <w:footnoteReference w:id="1065"/>
      </w:r>
      <w:r>
        <w:rPr>
          <w:rFonts w:ascii="Amiri" w:hAnsi="Amiri" w:eastAsia="Amiri" w:cs="Amiri"/>
          <w:color w:val="111111"/>
          <w:sz w:val="28"/>
          <w:sz w:val="28"/>
          <w:szCs w:val="28"/>
          <w:rtl w:val="true"/>
          <w:lang w:bidi="ar-SA"/>
        </w:rPr>
        <w:t xml:space="preserve">فإنّه جوّز الابتداء بكلّ واحد منها </w:t>
      </w:r>
      <w:r>
        <w:rPr>
          <w:rStyle w:val="FootnoteAnchor"/>
          <w:rtl w:val="true"/>
        </w:rPr>
        <w:footnoteReference w:id="1066"/>
      </w:r>
      <w:r>
        <w:rPr>
          <w:rFonts w:ascii="Amiri" w:hAnsi="Amiri" w:eastAsia="Amiri" w:cs="Amiri"/>
          <w:color w:val="111111"/>
          <w:sz w:val="28"/>
          <w:sz w:val="28"/>
          <w:szCs w:val="28"/>
          <w:rtl w:val="true"/>
          <w:lang w:bidi="ar-SA"/>
        </w:rPr>
        <w:t xml:space="preserve">والنفس والعين مختلفة صيغهما ، ويأتي الضمير معهما لمن هما له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نفسه والزيدان نفساهما وأنفسهما وهو الأكثر ، والزيدون أنفسهم وهند نفسها والهندان نفساهما أو أنفسهما وهو الأكثر </w:t>
      </w:r>
      <w:r>
        <w:rPr>
          <w:rStyle w:val="FootnoteAnchor"/>
          <w:rtl w:val="true"/>
        </w:rPr>
        <w:footnoteReference w:id="1067"/>
      </w:r>
      <w:r>
        <w:rPr>
          <w:rFonts w:ascii="Amiri" w:hAnsi="Amiri" w:eastAsia="Amiri" w:cs="Amiri"/>
          <w:color w:val="111111"/>
          <w:sz w:val="28"/>
          <w:sz w:val="28"/>
          <w:szCs w:val="28"/>
          <w:rtl w:val="true"/>
          <w:lang w:bidi="ar-SA"/>
        </w:rPr>
        <w:t xml:space="preserve">كما في المذكّر ، والهندات أنفسهنّ ولا يجري </w:t>
      </w:r>
    </w:p>
    <w:p>
      <w:pPr>
        <w:pStyle w:val="BookText"/>
        <w:rPr/>
      </w:pPr>
      <w:r>
        <w:rPr>
          <w:rFonts w:ascii="Amiri" w:hAnsi="Amiri" w:eastAsia="Amiri" w:cs="Amiri"/>
          <w:color w:val="111111"/>
          <w:sz w:val="28"/>
          <w:sz w:val="28"/>
          <w:szCs w:val="28"/>
          <w:rtl w:val="true"/>
          <w:lang w:bidi="ar-SA"/>
        </w:rPr>
        <w:t xml:space="preserve">كلا ، إلّا على المثنّى خاصّة كما أنّ كلّه لا يجري إلّا على غير المثنّى ، وكذلك أجمع وما بعده يقع تأكيدا لغير المثنّى ، سواء كان مفردا أو مجموعا مذكرا أو مؤنثا كما سنمثله ، وليس في صيغتي كلا وكلتا اختلاف بل الاختلاف في الضمير الذي أضيفتا إليه فإنّهما يضافان إلى ضمير من هما له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كلاهما كلتاهما ، والباقي من ألفاظ التأكيد لغير المثنّى باختلاف الضمير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وكلّه وكلّهم وكلّهنّ وباختلاف الصيغ في الباقي </w:t>
      </w:r>
      <w:r>
        <w:rPr>
          <w:rStyle w:val="FootnoteAnchor"/>
          <w:rtl w:val="true"/>
        </w:rPr>
        <w:footnoteReference w:id="1068"/>
      </w:r>
      <w:r>
        <w:rPr>
          <w:rFonts w:ascii="Amiri" w:hAnsi="Amiri" w:eastAsia="Amiri" w:cs="Amiri"/>
          <w:color w:val="111111"/>
          <w:sz w:val="28"/>
          <w:sz w:val="28"/>
          <w:szCs w:val="28"/>
          <w:rtl w:val="true"/>
          <w:lang w:bidi="ar-SA"/>
        </w:rPr>
        <w:t>كما سنذكره</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أجمع لا ينصرف للتعريف ووزن الفعل ، وجمعاء لا ينصرف للتأنيث ولزوم التأنيث ، وأجمع وبابه يختلف باختلاف الصيغ لا بضمير ، فإنّه لا يضاف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اشتريت العبد كلّه أجمع أكتع أبتع أبصع ، وجاءني القوم كلّهم أجمعون أكتعون أبتعون أبصعون واشتريت الجارية كلّها جمعاء كتعاء بتعاء بصعاء ، وجاءتني النسوة كلّهنّ كتع بتع بصع ، وأجمعون يختصّ بالمذكرين العقلاء ولا يؤكّد بكلّ وأجمع وبابه إلّا ذو أجزاء يصحّ افتراقها حسا أو حكما </w:t>
      </w:r>
      <w:r>
        <w:rPr>
          <w:rStyle w:val="FootnoteAnchor"/>
          <w:rtl w:val="true"/>
        </w:rPr>
        <w:footnoteReference w:id="1069"/>
      </w:r>
      <w:r>
        <w:rPr>
          <w:rFonts w:ascii="Amiri" w:hAnsi="Amiri" w:eastAsia="Amiri" w:cs="Amiri"/>
          <w:color w:val="111111"/>
          <w:sz w:val="28"/>
          <w:sz w:val="28"/>
          <w:szCs w:val="28"/>
          <w:rtl w:val="true"/>
          <w:lang w:bidi="ar-SA"/>
        </w:rPr>
        <w:t xml:space="preserve">، لأنّها وضعت لمعنى الشمول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القوم كلّهم ، لأنّ للقوم أجزاء ولكن يصحّ افتراقها حسا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وعمرو وغيرهم فإن لم يكن للشيء أجزاء أو كان له أجزاء ولكن لا يصح افتراقها حسا ولا حكما لم يجز تأكيده بكل وأجمع ، لأنّهما للشمول كما تقدّم ، فيصحّ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اشتريت العبد كلّه ، لأنّ أجزاءه يصحّ افتراقها حكما لأنّه يجوز أن يكون المشترى نصف العبد ، أو أقلّ أو أكثر </w:t>
      </w:r>
      <w:r>
        <w:rPr>
          <w:rStyle w:val="FootnoteAnchor"/>
          <w:rtl w:val="true"/>
        </w:rPr>
        <w:footnoteReference w:id="1070"/>
      </w:r>
      <w:r>
        <w:rPr>
          <w:rFonts w:ascii="Amiri" w:hAnsi="Amiri" w:eastAsia="Amiri" w:cs="Amiri"/>
          <w:color w:val="111111"/>
          <w:sz w:val="28"/>
          <w:sz w:val="28"/>
          <w:szCs w:val="28"/>
          <w:rtl w:val="true"/>
          <w:lang w:bidi="ar-SA"/>
        </w:rPr>
        <w:t xml:space="preserve">ولم يصحّ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زيد أو جاء زيد كلّه والمراد بالشمول ما يشمل الشيء أي ما يحيط به ، وقد استعملت حروف كل في معنى الشمول كثيرا فمنه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الإكليل لاحاطته بالرأس ، والكلال لإحاطة التّعب بالبدن </w:t>
      </w:r>
      <w:r>
        <w:rPr>
          <w:rStyle w:val="FootnoteAnchor"/>
          <w:rtl w:val="true"/>
        </w:rPr>
        <w:footnoteReference w:id="1071"/>
      </w:r>
      <w:r>
        <w:rPr>
          <w:rFonts w:ascii="Amiri" w:hAnsi="Amiri" w:eastAsia="Amiri" w:cs="Amiri"/>
          <w:color w:val="111111"/>
          <w:sz w:val="28"/>
          <w:sz w:val="28"/>
          <w:szCs w:val="28"/>
          <w:rtl w:val="true"/>
          <w:lang w:bidi="ar-SA"/>
        </w:rPr>
        <w:t xml:space="preserve">وغير ذلك ، وإذا أكّد بالنفس والعين ضمير متصل مرفوع فلا بدّ أن يفصل بينهما بضمير منفصل مطابق للمؤكّد </w:t>
      </w:r>
      <w:r>
        <w:rPr>
          <w:rStyle w:val="FootnoteAnchor"/>
          <w:rtl w:val="true"/>
        </w:rPr>
        <w:footnoteReference w:id="1072"/>
      </w:r>
    </w:p>
    <w:p>
      <w:pPr>
        <w:pStyle w:val="BookText"/>
        <w:rPr/>
      </w:pPr>
      <w:r>
        <w:rPr>
          <w:rFonts w:ascii="Amiri" w:hAnsi="Amiri" w:eastAsia="Amiri" w:cs="Amiri"/>
          <w:color w:val="111111"/>
          <w:sz w:val="28"/>
          <w:sz w:val="28"/>
          <w:szCs w:val="28"/>
          <w:rtl w:val="true"/>
          <w:lang w:bidi="ar-SA"/>
        </w:rPr>
        <w:t xml:space="preserve">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أنت نفسك ، فالضمير المرفوع المتصل المؤكّد هو التاء في ضربت ، والمنفصل المطابق للمؤكّد هو أنت ، وكذلك المضمر المتكلّم ضربت أنا نفسي وبابه ، والمضمر الغائب نحو ضرب هو نفسه وجاءا هما أنفسهما ، وجاؤوا هم أنفسهم وبابه ، وإنّما وجب تأكيده بمنفصل لكون المرفوع المتصل كالجزء ، فكرهوا أن يؤكّدوا ما هو كجزء الكلمة بالمستقل فأتوا بالضمير المنفصل ليجري المستقلّ على المستقلّ وما سوى المرفوع المتصل وهو المنصوب المتصل والمجرور المتصل ، والمرفوع غير المتصل يؤكّد بغير شريطة </w:t>
      </w:r>
      <w:r>
        <w:rPr>
          <w:rStyle w:val="FootnoteAnchor"/>
          <w:rtl w:val="true"/>
        </w:rPr>
        <w:footnoteReference w:id="1073"/>
      </w:r>
      <w:r>
        <w:rPr>
          <w:rFonts w:ascii="Amiri" w:hAnsi="Amiri" w:eastAsia="Amiri" w:cs="Amiri"/>
          <w:color w:val="111111"/>
          <w:sz w:val="28"/>
          <w:sz w:val="28"/>
          <w:szCs w:val="28"/>
          <w:rtl w:val="true"/>
          <w:lang w:bidi="ar-SA"/>
        </w:rPr>
        <w:t xml:space="preserve">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ضربتك نفسك ومررت بك نفسك ، وأنت نفسك فعلت ، وغير النفس والعين يؤكّد به من غير شريطة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جاؤوا كلّهم وخرجوا أجمعون إلى آخرها ، واختصّ النفس والعين بذلك لكونهما يستعملان مستقلّين دون غيرهما وألفاظ التأكيد المعنويّ كلّها معارف ، لأنّها توكيد للمعرفة ، وتعريفها من قبيل تعريف علم الجنس ، ولمّا كانت ألفاظ التوكيد معارف ، لم يجوّز البصريون أن تؤكّد غير المعرفة </w:t>
      </w:r>
      <w:r>
        <w:rPr>
          <w:rStyle w:val="FootnoteAnchor"/>
          <w:rtl w:val="true"/>
        </w:rPr>
        <w:footnoteReference w:id="1074"/>
      </w:r>
      <w:r>
        <w:rPr>
          <w:rFonts w:ascii="Amiri" w:hAnsi="Amiri" w:eastAsia="Amiri" w:cs="Amiri"/>
          <w:color w:val="111111"/>
          <w:sz w:val="28"/>
          <w:sz w:val="28"/>
          <w:szCs w:val="28"/>
          <w:rtl w:val="true"/>
          <w:lang w:bidi="ar-SA"/>
        </w:rPr>
        <w:t xml:space="preserve">لئلّا يؤدي إلى الجمع بين متنافيين ، لأنّ مدلول النكرة غير معيّن ، ومدلول المعرفة معيّن ، والكوفيون أجازوا تأكيد النكرة بشرط أن تكون محدودة </w:t>
      </w:r>
      <w:r>
        <w:rPr>
          <w:rStyle w:val="FootnoteAnchor"/>
          <w:rtl w:val="true"/>
        </w:rPr>
        <w:footnoteReference w:id="1075"/>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حينئذ تشابه المعرفة من حيث إنّها معلومة ممتازة ، واستشهدوا بقول الشاعر </w:t>
      </w:r>
      <w:r>
        <w:rPr>
          <w:rFonts w:eastAsia="Amiri" w:cs="Amiri" w:ascii="Amiri" w:hAnsi="Amiri"/>
          <w:color w:val="111111"/>
          <w:sz w:val="28"/>
          <w:szCs w:val="28"/>
          <w:rtl w:val="true"/>
          <w:lang w:bidi="ar-SA"/>
        </w:rPr>
        <w:t xml:space="preserve">: </w:t>
      </w:r>
      <w:r>
        <w:rPr>
          <w:rStyle w:val="FootnoteAnchor"/>
          <w:rtl w:val="true"/>
        </w:rPr>
        <w:footnoteReference w:id="1076"/>
      </w:r>
    </w:p>
    <w:p>
      <w:pPr>
        <w:pStyle w:val="BookText"/>
        <w:rPr/>
      </w:pPr>
      <w:r>
        <w:rPr>
          <w:rFonts w:ascii="Amiri" w:hAnsi="Amiri" w:eastAsia="Amiri" w:cs="Amiri"/>
          <w:color w:val="111111"/>
          <w:sz w:val="28"/>
          <w:sz w:val="28"/>
          <w:szCs w:val="28"/>
          <w:rtl w:val="true"/>
          <w:lang w:bidi="ar-SA"/>
        </w:rPr>
        <w:t>قد صرّت البكرة يوما أجمعا</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فأكّد يوما وهو نكرة بأجمع ، والبصريون يؤولون ذلك وشبهه لخروجه عن القياس واستعمال الفصحاء </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 xml:space="preserve">. </w:t>
      </w:r>
      <w:bookmarkStart w:id="384" w:name="pg14482_156203"/>
    </w:p>
    <w:p>
      <w:pPr>
        <w:pStyle w:val="Heading5"/>
        <w:numPr>
          <w:ilvl w:val="4"/>
          <w:numId w:val="1"/>
        </w:numPr>
        <w:rPr/>
      </w:pPr>
      <w:bookmarkStart w:id="385" w:name="__RefHeading___Toc716800_996550957"/>
      <w:bookmarkStart w:id="386" w:name="_Toc141"/>
      <w:bookmarkEnd w:id="384"/>
      <w:bookmarkEnd w:id="385"/>
      <w:r>
        <w:rPr>
          <w:rtl w:val="true"/>
        </w:rPr>
        <w:t>ذكر البدل</w:t>
      </w:r>
      <w:bookmarkEnd w:id="386"/>
    </w:p>
    <w:p>
      <w:pPr>
        <w:pStyle w:val="BookText"/>
        <w:rPr/>
      </w:pPr>
      <w:r>
        <w:rPr>
          <w:rStyle w:val="FootnoteAnchor"/>
          <w:rtl w:val="true"/>
        </w:rPr>
        <w:footnoteReference w:id="10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تابع مقصود بما نسب إلى المتبوع من غير توسّط حرف العطف فخرج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بما نسب إلى المتبوع ، التوابع كلّها إلّا المعطوف بالحرف فإنّه خرج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توسّط حرف العطف </w:t>
      </w:r>
      <w:r>
        <w:rPr>
          <w:rStyle w:val="FootnoteAnchor"/>
          <w:rtl w:val="true"/>
        </w:rPr>
        <w:footnoteReference w:id="1079"/>
      </w:r>
      <w:r>
        <w:rPr>
          <w:rFonts w:ascii="Amiri" w:hAnsi="Amiri" w:eastAsia="Amiri" w:cs="Amiri"/>
          <w:color w:val="111111"/>
          <w:sz w:val="28"/>
          <w:sz w:val="28"/>
          <w:szCs w:val="28"/>
          <w:rtl w:val="true"/>
          <w:lang w:bidi="ar-SA"/>
        </w:rPr>
        <w:t xml:space="preserve">والبدل في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العوض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 هذا بدلا من ذاك أي اجعله عوضا منه ، والبدل أربعة أقسام </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بدل الكلّ من الكلّ ، وبدل البعض من الكلّ ، وبدل الاشتمال ، وبدل الغلط فبدل الكلّ هو أن يكون مدلوله مدلول الأوّل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زيد أخوك ، وبدل البعض هو أن يكون مدلوله بعض مدلول الأوّل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زيدا رأسه ، وبدل الاشتمال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يكون بينه وبين الأول ملابسة بغير البعضيّة والكليّة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سلب زيد ثوبه ، وبدل الغلط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تقصد إليه بعد أن غلطت بغيره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بزيد حمار ، أردت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بحمار فسبقك لسانك فقلت بزيد ، ثمّ استدركته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حمار ، ومعناه بدل الشيء من الغلط ، قال ابن الحاجب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البدل هو المقصود بالنسبة دون الأوّل ، لأنّ منه بدل البعض 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بالرجال بعضهم ، فالمخبر عنه بالمرور هو البعض ، وكذا بدل الاشتمال 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سلبت زيدا ثوبه ، فالمخبر عنه بالسّلب هو الثوب ، وأما بدل الغلط فالأمر فيه ظاهر أنّ الأوّل غير مقصود </w:t>
      </w:r>
      <w:r>
        <w:rPr>
          <w:rStyle w:val="FootnoteAnchor"/>
          <w:rtl w:val="true"/>
        </w:rPr>
        <w:footnoteReference w:id="1080"/>
      </w:r>
      <w:r>
        <w:rPr>
          <w:rFonts w:ascii="Amiri" w:hAnsi="Amiri" w:eastAsia="Amiri" w:cs="Amiri"/>
          <w:color w:val="111111"/>
          <w:sz w:val="28"/>
          <w:sz w:val="28"/>
          <w:szCs w:val="28"/>
          <w:rtl w:val="true"/>
          <w:lang w:bidi="ar-SA"/>
        </w:rPr>
        <w:t xml:space="preserve">، وأمّا بدل الكلّ ؛ فيشكل الفرق بينه وبين عطف البيان ، ويفرّق بينهما في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أخوك زيد ، أنّ الأوّل إن كان أشهر من الثاني أو كانا في الشهرة على السواء ، فالثاني بدل ، وإلّا فهو عطف بيان ، وأيضا ؛ فعطف البيان لا يكون إلّا مظهرا والبدل يكون مظهرا ومضمرا </w:t>
      </w:r>
      <w:r>
        <w:rPr>
          <w:rStyle w:val="FootnoteAnchor"/>
          <w:rtl w:val="true"/>
        </w:rPr>
        <w:footnoteReference w:id="1081"/>
      </w:r>
      <w:r>
        <w:rPr>
          <w:rFonts w:ascii="IRNazanin" w:hAnsi="IRNazanin" w:eastAsia="IRNazanin"/>
          <w:color w:val="111111"/>
          <w:sz w:val="28"/>
          <w:sz w:val="28"/>
          <w:szCs w:val="28"/>
          <w:rtl w:val="true"/>
          <w:lang w:bidi="fa-IR"/>
        </w:rPr>
        <w:t xml:space="preserve">ثم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البدل والمبدل منه يكونان معرفتين </w:t>
      </w:r>
      <w:r>
        <w:rPr>
          <w:rStyle w:val="FootnoteAnchor"/>
          <w:rtl w:val="true"/>
        </w:rPr>
        <w:footnoteReference w:id="1082"/>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الْمُسْتَقِيمَ ، صِراطَ الَّذِينَ</w:t>
      </w:r>
      <w:r>
        <w:rPr>
          <w:rFonts w:eastAsia="Amiri" w:cs="Amiri" w:ascii="Amiri" w:hAnsi="Amiri"/>
          <w:color w:val="111111"/>
          <w:sz w:val="28"/>
          <w:szCs w:val="28"/>
          <w:rtl w:val="true"/>
          <w:lang w:bidi="ar-SA"/>
        </w:rPr>
        <w:t>)</w:t>
      </w:r>
      <w:r>
        <w:rPr>
          <w:rStyle w:val="FootnoteAnchor"/>
          <w:rtl w:val="true"/>
        </w:rPr>
        <w:footnoteReference w:id="1083"/>
      </w:r>
      <w:r>
        <w:rPr>
          <w:rFonts w:ascii="Amiri" w:hAnsi="Amiri" w:eastAsia="Amiri" w:cs="Amiri"/>
          <w:color w:val="111111"/>
          <w:sz w:val="28"/>
          <w:sz w:val="28"/>
          <w:szCs w:val="28"/>
          <w:rtl w:val="true"/>
          <w:lang w:bidi="ar-SA"/>
        </w:rPr>
        <w:t xml:space="preserve">ونكرتين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 مَعْلُومٌ فَواكِهُ</w:t>
      </w:r>
      <w:r>
        <w:rPr>
          <w:rFonts w:eastAsia="Amiri" w:cs="Amiri" w:ascii="Amiri" w:hAnsi="Amiri"/>
          <w:color w:val="111111"/>
          <w:sz w:val="28"/>
          <w:szCs w:val="28"/>
          <w:rtl w:val="true"/>
          <w:lang w:bidi="ar-SA"/>
        </w:rPr>
        <w:t>)</w:t>
      </w:r>
      <w:r>
        <w:rPr>
          <w:rStyle w:val="FootnoteAnchor"/>
          <w:rtl w:val="true"/>
        </w:rPr>
        <w:footnoteReference w:id="1084"/>
      </w:r>
      <w:r>
        <w:rPr>
          <w:rFonts w:ascii="Amiri" w:hAnsi="Amiri" w:eastAsia="Amiri" w:cs="Amiri"/>
          <w:color w:val="111111"/>
          <w:sz w:val="28"/>
          <w:sz w:val="28"/>
          <w:szCs w:val="28"/>
          <w:rtl w:val="true"/>
          <w:lang w:bidi="ar-SA"/>
        </w:rPr>
        <w:t xml:space="preserve">ومعرفة ونكرة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لَنَسْفَعاً بِالنَّاصِيَةِ ناصِيَةٍ كاذِبَةٍ</w:t>
      </w:r>
      <w:r>
        <w:rPr>
          <w:rFonts w:eastAsia="Amiri" w:cs="Amiri" w:ascii="Amiri" w:hAnsi="Amiri"/>
          <w:color w:val="111111"/>
          <w:sz w:val="28"/>
          <w:szCs w:val="28"/>
          <w:rtl w:val="true"/>
          <w:lang w:bidi="ar-SA"/>
        </w:rPr>
        <w:t>)</w:t>
      </w:r>
      <w:r>
        <w:rPr>
          <w:rStyle w:val="FootnoteAnchor"/>
          <w:rtl w:val="true"/>
        </w:rPr>
        <w:footnoteReference w:id="1085"/>
      </w:r>
      <w:r>
        <w:rPr>
          <w:rFonts w:ascii="Amiri" w:hAnsi="Amiri" w:eastAsia="Amiri" w:cs="Amiri"/>
          <w:color w:val="111111"/>
          <w:sz w:val="28"/>
          <w:sz w:val="28"/>
          <w:szCs w:val="28"/>
          <w:rtl w:val="true"/>
          <w:lang w:bidi="ar-SA"/>
        </w:rPr>
        <w:t xml:space="preserve">ونكرة ومعرفة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صِراطٍ مُسْتَقِيمٍ صِراطِ اللهِ</w:t>
      </w:r>
      <w:r>
        <w:rPr>
          <w:rFonts w:eastAsia="Amiri" w:cs="Amiri" w:ascii="Amiri" w:hAnsi="Amiri"/>
          <w:color w:val="111111"/>
          <w:sz w:val="28"/>
          <w:szCs w:val="28"/>
          <w:rtl w:val="true"/>
          <w:lang w:bidi="ar-SA"/>
        </w:rPr>
        <w:t>)</w:t>
      </w:r>
      <w:r>
        <w:rPr>
          <w:rStyle w:val="FootnoteAnchor"/>
          <w:rtl w:val="true"/>
        </w:rPr>
        <w:footnoteReference w:id="1086"/>
      </w:r>
      <w:r>
        <w:rPr>
          <w:rFonts w:ascii="Amiri" w:hAnsi="Amiri" w:eastAsia="Amiri" w:cs="Amiri"/>
          <w:color w:val="111111"/>
          <w:sz w:val="28"/>
          <w:sz w:val="28"/>
          <w:szCs w:val="28"/>
          <w:rtl w:val="true"/>
          <w:lang w:bidi="ar-SA"/>
        </w:rPr>
        <w:t xml:space="preserve">وهذه الأمثلة في بدل الكلّ ، وتقع كذلك في كلّ واحد من بدل البعض والاشتمال والغلط ، فذلك ستة عشر قسما ، ويجيء البدل والمبدل منه مظهرين ومضمرين ومختلفين ، فيكون في كلّ قسم من أقسام البدل أربعة أقسام أيضا فتكون الجملة ستة عشر ، وإذا ضممنا إليها أقسام المعرفة والنكرة وهي ستة عشر أيضا ، صار جميع أمثلة البدل اثنين وثلاثين مثالا ، وقد رتّبناها في هذه الزائجة </w:t>
      </w:r>
      <w:r>
        <w:rPr>
          <w:rStyle w:val="FootnoteAnchor"/>
          <w:rtl w:val="true"/>
        </w:rPr>
        <w:footnoteReference w:id="1087"/>
      </w:r>
      <w:r>
        <w:rPr>
          <w:rFonts w:ascii="Amiri" w:hAnsi="Amiri" w:eastAsia="Amiri" w:cs="Amiri"/>
          <w:color w:val="111111"/>
          <w:sz w:val="28"/>
          <w:sz w:val="28"/>
          <w:szCs w:val="28"/>
          <w:rtl w:val="true"/>
          <w:lang w:bidi="ar-SA"/>
        </w:rPr>
        <w:t xml:space="preserve">التي اقترحناها ترتيبا لم يسبق إليه ، لتتضحّ منها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ومنه </w:t>
      </w:r>
      <w:r>
        <w:rPr>
          <w:rStyle w:val="FootnoteAnchor"/>
          <w:rtl w:val="true"/>
        </w:rPr>
        <w:footnoteReference w:id="1088"/>
      </w:r>
    </w:p>
    <w:p>
      <w:pPr>
        <w:pStyle w:val="BookText"/>
        <w:rPr/>
      </w:pPr>
      <w:r>
        <w:rPr>
          <w:rFonts w:ascii="Amiri" w:hAnsi="Amiri" w:eastAsia="Amiri" w:cs="Amiri"/>
          <w:color w:val="111111"/>
          <w:sz w:val="28"/>
          <w:sz w:val="28"/>
          <w:szCs w:val="28"/>
          <w:rtl w:val="true"/>
          <w:lang w:bidi="ar-SA"/>
        </w:rPr>
        <w:t>على حالة لو أن في القوم حاتما</w:t>
      </w:r>
    </w:p>
    <w:p>
      <w:pPr>
        <w:pStyle w:val="BookText"/>
        <w:rPr/>
      </w:pPr>
      <w:r>
        <w:rPr>
          <w:rFonts w:ascii="IRNazanin" w:hAnsi="IRNazanin" w:eastAsia="IRNazanin"/>
          <w:color w:val="111111"/>
          <w:sz w:val="28"/>
          <w:sz w:val="28"/>
          <w:szCs w:val="28"/>
          <w:rtl w:val="true"/>
          <w:lang w:bidi="fa-IR"/>
        </w:rPr>
        <w:t xml:space="preserve">على جوده لضنّ بالماء حاتم </w:t>
      </w:r>
      <w:r>
        <w:rPr>
          <w:rStyle w:val="FootnoteAnchor"/>
          <w:rtl w:val="true"/>
        </w:rPr>
        <w:footnoteReference w:id="1089"/>
      </w:r>
    </w:p>
    <w:p>
      <w:pPr>
        <w:pStyle w:val="BookText"/>
        <w:rPr/>
      </w:pPr>
      <w:r>
        <w:rPr>
          <w:rFonts w:ascii="Amiri" w:hAnsi="Amiri" w:eastAsia="Amiri" w:cs="Amiri"/>
          <w:color w:val="111111"/>
          <w:sz w:val="28"/>
          <w:sz w:val="28"/>
          <w:szCs w:val="28"/>
          <w:rtl w:val="true"/>
          <w:lang w:bidi="ar-SA"/>
        </w:rPr>
        <w:t>على ساعة لو كان في القوم حاتم</w:t>
      </w:r>
    </w:p>
    <w:p>
      <w:pPr>
        <w:pStyle w:val="BookText"/>
        <w:rPr/>
      </w:pPr>
      <w:r>
        <w:rPr>
          <w:rFonts w:ascii="IRNazanin" w:hAnsi="IRNazanin" w:eastAsia="IRNazanin"/>
          <w:color w:val="111111"/>
          <w:sz w:val="28"/>
          <w:sz w:val="28"/>
          <w:szCs w:val="28"/>
          <w:rtl w:val="true"/>
          <w:lang w:bidi="fa-IR"/>
        </w:rPr>
        <w:t>على جوده ضنّت به نفس حاتم</w:t>
      </w:r>
    </w:p>
    <w:p>
      <w:pPr>
        <w:pStyle w:val="BookText"/>
        <w:rPr/>
      </w:pPr>
      <w:r>
        <w:rPr>
          <w:rFonts w:ascii="Amiri" w:hAnsi="Amiri" w:eastAsia="Amiri" w:cs="Amiri"/>
          <w:color w:val="111111"/>
          <w:sz w:val="28"/>
          <w:sz w:val="28"/>
          <w:szCs w:val="28"/>
          <w:rtl w:val="true"/>
          <w:lang w:bidi="ar-SA"/>
        </w:rPr>
        <w:t xml:space="preserve">وورد البيت من غير نسبة في الكامل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 المفصل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 شذور الذهب ،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وحاشية الشيخ ياسين على مجيب النداء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فجرّ حاتما على البدل من هاء جوده</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953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260"/>
                        <a:stretch/>
                      </pic:blipFill>
                      <pic:spPr>
                        <a:xfrm>
                          <a:off x="0" y="0"/>
                          <a:ext cx="5334120" cy="4952880"/>
                        </a:xfrm>
                        <a:prstGeom prst="rect">
                          <a:avLst/>
                        </a:prstGeom>
                        <a:ln w="0">
                          <a:noFill/>
                        </a:ln>
                      </pic:spPr>
                    </pic:pic>
                  </a:graphicData>
                </a:graphic>
              </wp:inline>
            </w:drawing>
          </mc:Choice>
          <mc:Fallback>
            <w:pict>
              <v:shape id="shape_0" stroked="f" o:allowincell="f" style="position:absolute;margin-left:0pt;margin-top:-390.05pt;width:419.95pt;height:389.95pt;mso-wrap-style:none;v-text-anchor:middle;mso-position-horizontal:left;mso-position-vertical:top" type="_x0000_t75">
                <v:imagedata r:id="rId261" o:detectmouseclick="t"/>
                <v:stroke color="#3465a4" joinstyle="round" endcap="flat"/>
                <w10:wrap type="none"/>
              </v:shape>
            </w:pict>
          </mc:Fallback>
        </mc:AlternateConten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أبدلت النكرة من المعرفة لزمت الصفة لئلا يترجّح غير المقصود على المقصود في البيان </w:t>
      </w:r>
      <w:r>
        <w:rPr>
          <w:rStyle w:val="FootnoteAnchor"/>
          <w:rtl w:val="true"/>
        </w:rPr>
        <w:footnoteReference w:id="1090"/>
      </w:r>
      <w:r>
        <w:rPr>
          <w:rFonts w:ascii="Amiri" w:hAnsi="Amiri" w:eastAsia="Amiri" w:cs="Amiri"/>
          <w:color w:val="111111"/>
          <w:sz w:val="28"/>
          <w:sz w:val="28"/>
          <w:szCs w:val="28"/>
          <w:rtl w:val="true"/>
          <w:lang w:bidi="ar-SA"/>
        </w:rPr>
        <w:t xml:space="preserve">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لَنَسْفَعاً بِالنَّاصِيَةِ ناصِيَةٍ كاذِبَةٍ</w:t>
      </w:r>
      <w:r>
        <w:rPr>
          <w:rFonts w:eastAsia="Amiri" w:cs="Amiri" w:ascii="Amiri" w:hAnsi="Amiri"/>
          <w:color w:val="111111"/>
          <w:sz w:val="28"/>
          <w:szCs w:val="28"/>
          <w:rtl w:val="true"/>
          <w:lang w:bidi="ar-SA"/>
        </w:rPr>
        <w:t>)</w:t>
      </w:r>
      <w:r>
        <w:rPr>
          <w:rStyle w:val="FootnoteAnchor"/>
          <w:rtl w:val="true"/>
        </w:rPr>
        <w:footnoteReference w:id="1091"/>
      </w:r>
      <w:r>
        <w:rPr>
          <w:rFonts w:ascii="Amiri" w:hAnsi="Amiri" w:eastAsia="Amiri" w:cs="Amiri"/>
          <w:color w:val="111111"/>
          <w:sz w:val="28"/>
          <w:sz w:val="28"/>
          <w:szCs w:val="28"/>
          <w:rtl w:val="true"/>
          <w:lang w:bidi="ar-SA"/>
        </w:rPr>
        <w:t xml:space="preserve">وهو مذهب الكوفيين </w:t>
      </w:r>
      <w:r>
        <w:rPr>
          <w:rStyle w:val="FootnoteAnchor"/>
          <w:rtl w:val="true"/>
        </w:rPr>
        <w:footnoteReference w:id="1092"/>
      </w:r>
      <w:r>
        <w:rPr>
          <w:rFonts w:ascii="Amiri" w:hAnsi="Amiri" w:eastAsia="Amiri" w:cs="Amiri"/>
          <w:color w:val="111111"/>
          <w:sz w:val="28"/>
          <w:sz w:val="28"/>
          <w:szCs w:val="28"/>
          <w:rtl w:val="true"/>
          <w:lang w:bidi="ar-SA"/>
        </w:rPr>
        <w:t xml:space="preserve">واختاره الزمخشري </w:t>
      </w:r>
      <w:r>
        <w:rPr>
          <w:rStyle w:val="FootnoteAnchor"/>
          <w:rtl w:val="true"/>
        </w:rPr>
        <w:footnoteReference w:id="1093"/>
      </w:r>
      <w:r>
        <w:rPr>
          <w:rFonts w:ascii="IRNazanin" w:hAnsi="IRNazanin" w:eastAsia="IRNazanin"/>
          <w:color w:val="111111"/>
          <w:sz w:val="28"/>
          <w:sz w:val="28"/>
          <w:szCs w:val="28"/>
          <w:rtl w:val="true"/>
          <w:lang w:bidi="fa-IR"/>
        </w:rPr>
        <w:t xml:space="preserve">وابن الحاجب </w:t>
      </w:r>
      <w:r>
        <w:rPr>
          <w:rStyle w:val="FootnoteAnchor"/>
          <w:rtl w:val="true"/>
        </w:rPr>
        <w:footnoteReference w:id="1094"/>
      </w:r>
      <w:r>
        <w:rPr>
          <w:rFonts w:ascii="Amiri" w:hAnsi="Amiri" w:eastAsia="Amiri" w:cs="Amiri"/>
          <w:color w:val="111111"/>
          <w:sz w:val="28"/>
          <w:sz w:val="28"/>
          <w:szCs w:val="28"/>
          <w:rtl w:val="true"/>
          <w:lang w:bidi="ar-SA"/>
        </w:rPr>
        <w:t xml:space="preserve">وأجاز جمهور البصريين ذلك بدون الصفة محتجّين بأنّه تحصل من اجتماعهما فائدة لم تحصل في الانفراد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بصاحبيك عاقل وجاهل ، ومنه قول الشاعر </w:t>
      </w:r>
      <w:r>
        <w:rPr>
          <w:rFonts w:eastAsia="Amiri" w:cs="Amiri" w:ascii="Amiri" w:hAnsi="Amiri"/>
          <w:color w:val="111111"/>
          <w:sz w:val="28"/>
          <w:szCs w:val="28"/>
          <w:rtl w:val="true"/>
          <w:lang w:bidi="ar-SA"/>
        </w:rPr>
        <w:t xml:space="preserve">: </w:t>
      </w:r>
      <w:r>
        <w:rPr>
          <w:rStyle w:val="FootnoteAnchor"/>
          <w:rtl w:val="true"/>
        </w:rPr>
        <w:footnoteReference w:id="1095"/>
      </w:r>
    </w:p>
    <w:p>
      <w:pPr>
        <w:pStyle w:val="BookText"/>
        <w:rPr/>
      </w:pPr>
      <w:r>
        <w:rPr>
          <w:rFonts w:ascii="Amiri" w:hAnsi="Amiri" w:eastAsia="Amiri" w:cs="Amiri"/>
          <w:color w:val="111111"/>
          <w:sz w:val="28"/>
          <w:sz w:val="28"/>
          <w:szCs w:val="28"/>
          <w:rtl w:val="true"/>
          <w:lang w:bidi="ar-SA"/>
        </w:rPr>
        <w:t>فلا وأبيك خير منك إنّي</w:t>
      </w:r>
    </w:p>
    <w:p>
      <w:pPr>
        <w:pStyle w:val="BookText"/>
        <w:rPr/>
      </w:pPr>
      <w:r>
        <w:rPr>
          <w:rFonts w:ascii="Amiri" w:hAnsi="Amiri" w:eastAsia="Amiri" w:cs="Amiri"/>
          <w:color w:val="111111"/>
          <w:sz w:val="28"/>
          <w:sz w:val="28"/>
          <w:szCs w:val="28"/>
          <w:rtl w:val="true"/>
          <w:lang w:bidi="ar-SA"/>
        </w:rPr>
        <w:t>ليؤذيني التّحمحم والصّهيل</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فأبدل خير منك وهو نكرة من أبيك وهو معرفة ، ولا يجوز في بدل الكلّ أن يبدل الظاهر من المضمر من غير ضمير الغائب </w:t>
      </w:r>
      <w:r>
        <w:rPr>
          <w:rStyle w:val="FootnoteAnchor"/>
          <w:rtl w:val="true"/>
        </w:rPr>
        <w:footnoteReference w:id="1096"/>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ضربته زيدا ، وأمّا ضمير المتكلّم والمخاطب فلا يجوز أن يجعل الظاهر بدلا منهما فإنك 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رأيتك زيدا ، وقمت زيد ، وجعلت زيدا بدلا من كاف رأيتك وتاء قمت لم يجز ذلك ، لأنّ ضمير الغائب يحتمل أن يكون لكلّ غائب سبق ذكره ، فإذا أبدلت الظاهر منه حصلت الفائدة ، بخلاف ضمير المخاطب والمتكلّم فإنّه لا يحتمل أن تكون الكاف في مررت بك لغير الذي تخاطبه ، ولا التاء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كلّمتك لغير المتكلّم ، وأيضا فإنّ ضمير المخاطب والمتكلم أعرف من الظاهر وفي البدل والمبدل ، الثاني منهما هو المقصود بالنسبة ، فلو جعل الظاهر بدلا من ضمير المتكلّم والمخاطب ، وهما أعرف منه ، لكان لغير المقصود مزيّة على المقصود </w:t>
      </w:r>
      <w:r>
        <w:rPr>
          <w:rStyle w:val="FootnoteAnchor"/>
          <w:rtl w:val="true"/>
        </w:rPr>
        <w:footnoteReference w:id="1097"/>
      </w:r>
      <w:r>
        <w:rPr>
          <w:rFonts w:ascii="IRNazanin" w:hAnsi="IRNazanin" w:eastAsia="IRNazanin"/>
          <w:color w:val="111111"/>
          <w:sz w:val="28"/>
          <w:sz w:val="28"/>
          <w:szCs w:val="28"/>
          <w:rtl w:val="true"/>
          <w:lang w:bidi="fa-IR"/>
        </w:rPr>
        <w:t xml:space="preserve">، وأجازه بعضهم </w:t>
      </w:r>
      <w:r>
        <w:rPr>
          <w:rStyle w:val="FootnoteAnchor"/>
          <w:rtl w:val="true"/>
        </w:rPr>
        <w:footnoteReference w:id="1098"/>
      </w:r>
      <w:r>
        <w:rPr>
          <w:rFonts w:ascii="Amiri" w:hAnsi="Amiri" w:eastAsia="Amiri" w:cs="Amiri"/>
          <w:color w:val="111111"/>
          <w:sz w:val="28"/>
          <w:sz w:val="28"/>
          <w:szCs w:val="28"/>
          <w:rtl w:val="true"/>
          <w:lang w:bidi="ar-SA"/>
        </w:rPr>
        <w:t xml:space="preserve">محتجّا بقولهم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رأيتكم أوّلكم وآخركم وصغيركم وكبيركم ، فأوّلكم وما بعده بدل من الكاف في رأيتكم ، وأمّا بدل البعض والاشتمال </w:t>
      </w:r>
      <w:bookmarkStart w:id="387" w:name="pg14482_156207"/>
    </w:p>
    <w:p>
      <w:pPr>
        <w:pStyle w:val="BookText"/>
        <w:rPr/>
      </w:pPr>
      <w:bookmarkEnd w:id="387"/>
      <w:r>
        <w:rPr>
          <w:rFonts w:ascii="Amiri" w:hAnsi="Amiri" w:eastAsia="Amiri" w:cs="Amiri"/>
          <w:color w:val="111111"/>
          <w:sz w:val="28"/>
          <w:sz w:val="28"/>
          <w:szCs w:val="28"/>
          <w:rtl w:val="true"/>
          <w:lang w:bidi="ar-SA"/>
        </w:rPr>
        <w:t xml:space="preserve">والغلط ؛ فإنّه يجوز فيها كلّها إبدال الظاهر من المضمر مطلقا ، لاختلاف البدل والمبدل منه في المعنى ، فتقول في بدل البعض ، اشتريتك نصفك واشتريتني نصفي ، فالنصف فيهما وهو ظاهر بدل من كاف المخاطب في اشتريتك ومن ياء ضمير المتكلّم وتقول في بدل الاشتمال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مدحتك علمك ومدحتني علمي ، وفي بدل الغلط ضربتك الحمار وضربتني الحمار</w:t>
      </w:r>
      <w:r>
        <w:rPr>
          <w:rFonts w:eastAsia="Amiri" w:cs="Amiri" w:ascii="Amiri" w:hAnsi="Amiri"/>
          <w:color w:val="111111"/>
          <w:sz w:val="28"/>
          <w:szCs w:val="28"/>
          <w:rtl w:val="true"/>
          <w:lang w:bidi="ar-SA"/>
        </w:rPr>
        <w:t>.</w:t>
      </w:r>
    </w:p>
    <w:p>
      <w:pPr>
        <w:pStyle w:val="Heading5"/>
        <w:numPr>
          <w:ilvl w:val="4"/>
          <w:numId w:val="1"/>
        </w:numPr>
        <w:rPr/>
      </w:pPr>
      <w:bookmarkStart w:id="388" w:name="__RefHeading___Toc716802_996550957"/>
      <w:bookmarkStart w:id="389" w:name="_Toc142"/>
      <w:bookmarkEnd w:id="388"/>
      <w:r>
        <w:rPr>
          <w:rtl w:val="true"/>
        </w:rPr>
        <w:t>ذكر عطف البيان</w:t>
      </w:r>
      <w:bookmarkEnd w:id="389"/>
    </w:p>
    <w:p>
      <w:pPr>
        <w:pStyle w:val="BookText"/>
        <w:rPr/>
      </w:pPr>
      <w:r>
        <w:rPr>
          <w:rStyle w:val="FootnoteAnchor"/>
          <w:rtl w:val="true"/>
        </w:rPr>
        <w:footnoteReference w:id="10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 </w:t>
      </w:r>
      <w:r>
        <w:rPr>
          <w:rStyle w:val="FootnoteAnchor"/>
          <w:rtl w:val="true"/>
        </w:rPr>
        <w:footnoteReference w:id="1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تابع غير صفة يوضّح متبوعه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صفة ليخرج الصفة ، ووجه تغايرهما ؛ أنّ عطف البيان لا يدلّ على معنى في متبوعه زائد على الذّات ، بخلاف الصفة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يوضّح متبوعه ليخرج التأكيد والبدل فإنّهما لا يوضّحان متبوعهما </w:t>
      </w:r>
      <w:r>
        <w:rPr>
          <w:rStyle w:val="FootnoteAnchor"/>
          <w:rtl w:val="true"/>
        </w:rPr>
        <w:footnoteReference w:id="1101"/>
      </w:r>
      <w:r>
        <w:rPr>
          <w:rFonts w:ascii="IRNazanin" w:hAnsi="IRNazanin" w:eastAsia="IRNazanin"/>
          <w:color w:val="111111"/>
          <w:sz w:val="28"/>
          <w:sz w:val="28"/>
          <w:szCs w:val="28"/>
          <w:rtl w:val="true"/>
          <w:lang w:bidi="fa-IR"/>
        </w:rPr>
        <w:t xml:space="preserve">ومثاله </w:t>
      </w:r>
      <w:r>
        <w:rPr>
          <w:rStyle w:val="FootnoteAnchor"/>
          <w:rtl w:val="true"/>
        </w:rPr>
        <w:footnoteReference w:id="1102"/>
      </w:r>
    </w:p>
    <w:p>
      <w:pPr>
        <w:pStyle w:val="BookText"/>
        <w:rPr/>
      </w:pPr>
      <w:r>
        <w:rPr>
          <w:rFonts w:ascii="IRNazanin" w:hAnsi="IRNazanin" w:eastAsia="IRNazanin"/>
          <w:color w:val="111111"/>
          <w:sz w:val="28"/>
          <w:sz w:val="28"/>
          <w:szCs w:val="28"/>
          <w:rtl w:val="true"/>
          <w:lang w:bidi="fa-IR"/>
        </w:rPr>
        <w:t>ما مسّها من نقب ولا دبر</w:t>
      </w:r>
    </w:p>
    <w:p>
      <w:pPr>
        <w:pStyle w:val="BookText"/>
        <w:rPr/>
      </w:pPr>
      <w:r>
        <w:rPr>
          <w:rFonts w:ascii="Amiri" w:hAnsi="Amiri" w:eastAsia="Amiri" w:cs="Amiri"/>
          <w:color w:val="111111"/>
          <w:sz w:val="28"/>
          <w:sz w:val="28"/>
          <w:szCs w:val="28"/>
          <w:rtl w:val="true"/>
          <w:lang w:bidi="ar-SA"/>
        </w:rPr>
        <w:t xml:space="preserve">ورد منسوبا في خزانة الأدب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ونسبه ابن يعيش في شرح المفصل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لرؤبة بن العجاج وردّه العيني في شرح الشواهد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خطأ لأن وفاة رؤبة في سنة خمس وأربعين ومائة ، ولم يدرك عمر ولا عدّه أحد من التابعين وورد الرجز من غير نسبة في شرح الكافية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وشرح شذور الذهب،</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وشرح ابن عقيل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وشرح التصريح،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 الأشموني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أقسم بالله أبو حفص عمر</w:t>
      </w:r>
    </w:p>
    <w:p>
      <w:pPr>
        <w:pStyle w:val="BookText"/>
        <w:rPr/>
      </w:pPr>
      <w:r>
        <w:rPr>
          <w:rFonts w:ascii="Amiri" w:hAnsi="Amiri" w:eastAsia="Amiri" w:cs="Amiri"/>
          <w:color w:val="111111"/>
          <w:sz w:val="28"/>
          <w:sz w:val="28"/>
          <w:szCs w:val="28"/>
          <w:rtl w:val="true"/>
          <w:lang w:bidi="ar-SA"/>
        </w:rPr>
        <w:t xml:space="preserve">فعمر موضّح لأبي حفص ، لأنّ أبا حفص كنية عمر رضي‌الله‌عنه ، ولما كان في الكنية اشتراك أتي بعمر ليوضّح الكنية ، ومما ينفرد به عطف البيان عن البدل قول المرّار </w:t>
      </w:r>
      <w:r>
        <w:rPr>
          <w:rFonts w:eastAsia="Amiri" w:cs="Amiri" w:ascii="Amiri" w:hAnsi="Amiri"/>
          <w:color w:val="111111"/>
          <w:sz w:val="28"/>
          <w:szCs w:val="28"/>
          <w:rtl w:val="true"/>
          <w:lang w:bidi="ar-SA"/>
        </w:rPr>
        <w:t xml:space="preserve">: </w:t>
      </w:r>
      <w:r>
        <w:rPr>
          <w:rStyle w:val="FootnoteAnchor"/>
          <w:rtl w:val="true"/>
        </w:rPr>
        <w:footnoteReference w:id="1103"/>
      </w:r>
    </w:p>
    <w:p>
      <w:pPr>
        <w:pStyle w:val="BookText"/>
        <w:rPr/>
      </w:pPr>
      <w:r>
        <w:rPr>
          <w:rFonts w:ascii="Amiri" w:hAnsi="Amiri" w:eastAsia="Amiri" w:cs="Amiri"/>
          <w:color w:val="111111"/>
          <w:sz w:val="28"/>
          <w:sz w:val="28"/>
          <w:szCs w:val="28"/>
          <w:rtl w:val="true"/>
          <w:lang w:bidi="ar-SA"/>
        </w:rPr>
        <w:t>أنا ابن التارك البكريّ بشر</w:t>
      </w:r>
    </w:p>
    <w:p>
      <w:pPr>
        <w:pStyle w:val="BookText"/>
        <w:rPr/>
      </w:pPr>
      <w:r>
        <w:rPr>
          <w:rFonts w:ascii="Amiri" w:hAnsi="Amiri" w:eastAsia="Amiri" w:cs="Amiri"/>
          <w:color w:val="111111"/>
          <w:sz w:val="28"/>
          <w:sz w:val="28"/>
          <w:szCs w:val="28"/>
          <w:rtl w:val="true"/>
          <w:lang w:bidi="ar-SA"/>
        </w:rPr>
        <w:t>علية الطّير ترقبه وقوعا</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البدل في حكم تكرير العامل ، فيمتنع جرّ بشر على البدل ؛ لأنّه يصير التقدير أنا ابن التارك بشر فيمتنع لما ذكرنا من امتناع الضارب زيد </w:t>
      </w:r>
      <w:r>
        <w:rPr>
          <w:rStyle w:val="FootnoteAnchor"/>
          <w:rtl w:val="true"/>
        </w:rPr>
        <w:footnoteReference w:id="1104"/>
      </w:r>
      <w:r>
        <w:rPr>
          <w:rFonts w:ascii="Amiri" w:hAnsi="Amiri" w:eastAsia="Amiri" w:cs="Amiri"/>
          <w:color w:val="111111"/>
          <w:sz w:val="28"/>
          <w:sz w:val="28"/>
          <w:szCs w:val="28"/>
          <w:rtl w:val="true"/>
          <w:lang w:bidi="ar-SA"/>
        </w:rPr>
        <w:t xml:space="preserve">، ويتعيّن أن </w:t>
      </w:r>
      <w:bookmarkStart w:id="390" w:name="pg14482_156208"/>
    </w:p>
    <w:p>
      <w:pPr>
        <w:pStyle w:val="BookText"/>
        <w:rPr/>
      </w:pPr>
      <w:bookmarkEnd w:id="390"/>
      <w:r>
        <w:rPr>
          <w:rFonts w:ascii="Amiri" w:hAnsi="Amiri" w:eastAsia="Amiri" w:cs="Amiri"/>
          <w:color w:val="111111"/>
          <w:sz w:val="28"/>
          <w:sz w:val="28"/>
          <w:szCs w:val="28"/>
          <w:rtl w:val="true"/>
          <w:lang w:bidi="ar-SA"/>
        </w:rPr>
        <w:t xml:space="preserve">يكون عطف بيان ، وقد أجاز أبو علي أن يكون عطف البيان نكرة </w:t>
      </w:r>
      <w:r>
        <w:rPr>
          <w:rStyle w:val="FootnoteAnchor"/>
          <w:rtl w:val="true"/>
        </w:rPr>
        <w:footnoteReference w:id="1105"/>
      </w:r>
      <w:r>
        <w:rPr>
          <w:rFonts w:ascii="Amiri" w:hAnsi="Amiri" w:eastAsia="Amiri" w:cs="Amiri"/>
          <w:color w:val="111111"/>
          <w:sz w:val="28"/>
          <w:sz w:val="28"/>
          <w:szCs w:val="28"/>
          <w:rtl w:val="true"/>
          <w:lang w:bidi="ar-SA"/>
        </w:rPr>
        <w:t xml:space="preserve">لقوله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يُوقَدُ</w:t>
      </w:r>
      <w:r>
        <w:rPr>
          <w:rFonts w:eastAsia="Amiri" w:cs="Amiri" w:ascii="Amiri" w:hAnsi="Amiri"/>
          <w:color w:val="111111"/>
          <w:sz w:val="28"/>
          <w:szCs w:val="28"/>
          <w:rtl w:val="true"/>
          <w:lang w:bidi="ar-SA"/>
        </w:rPr>
        <w:t>)</w:t>
      </w:r>
      <w:r>
        <w:rPr>
          <w:rStyle w:val="FootnoteAnchor"/>
          <w:rtl w:val="true"/>
        </w:rPr>
        <w:footnoteReference w:id="1106"/>
      </w:r>
      <w:r>
        <w:rPr>
          <w:rFonts w:ascii="Amiri" w:hAnsi="Amiri" w:eastAsia="Amiri" w:cs="Amiri"/>
          <w:color w:val="111111"/>
          <w:sz w:val="28"/>
          <w:sz w:val="28"/>
          <w:szCs w:val="28"/>
          <w:rtl w:val="true"/>
          <w:lang w:bidi="ar-SA"/>
        </w:rPr>
        <w:t xml:space="preserve">مِنْ شَجَرَةٍ مُبارَكَةٍ زَيْتُونَةٍ لا شَرْقِيَّةٍ وَلا غَرْبِيَّةٍ فقال </w:t>
      </w:r>
      <w:r>
        <w:rPr>
          <w:rStyle w:val="FootnoteAnchor"/>
          <w:rtl w:val="true"/>
        </w:rPr>
        <w:footnoteReference w:id="11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زيتونة ، عطف بيان لشجرة ، وينفرد عطف البيان عن البدل أيضا في باب النّداء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أخانا زيدا ، بالنصب ولو جعل بدلا لقيل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أخانا زيد ، بالبناء على الضمّ لأنّ البدل في حكم تكرير العامل</w:t>
      </w:r>
      <w:r>
        <w:rPr>
          <w:rFonts w:eastAsia="Amiri" w:cs="Amiri" w:ascii="Amiri" w:hAnsi="Amiri"/>
          <w:color w:val="111111"/>
          <w:sz w:val="28"/>
          <w:szCs w:val="28"/>
          <w:rtl w:val="true"/>
          <w:lang w:bidi="ar-SA"/>
        </w:rPr>
        <w:t>.</w:t>
      </w:r>
    </w:p>
    <w:p>
      <w:pPr>
        <w:pStyle w:val="Heading4"/>
        <w:numPr>
          <w:ilvl w:val="3"/>
          <w:numId w:val="1"/>
        </w:numPr>
        <w:rPr/>
      </w:pPr>
      <w:bookmarkStart w:id="391" w:name="__RefHeading___Toc716804_996550957"/>
      <w:bookmarkStart w:id="392" w:name="_Toc143"/>
      <w:bookmarkEnd w:id="391"/>
      <w:r>
        <w:rPr>
          <w:rtl w:val="true"/>
        </w:rPr>
        <w:t>ذكر المبنيّ</w:t>
      </w:r>
      <w:bookmarkEnd w:id="392"/>
    </w:p>
    <w:p>
      <w:pPr>
        <w:pStyle w:val="Heading5"/>
        <w:numPr>
          <w:ilvl w:val="4"/>
          <w:numId w:val="1"/>
        </w:numPr>
        <w:rPr/>
      </w:pPr>
      <w:bookmarkStart w:id="393" w:name="__RefHeading___Toc716806_996550957"/>
      <w:bookmarkStart w:id="394" w:name="_Toc144"/>
      <w:bookmarkEnd w:id="393"/>
      <w:r>
        <w:rPr>
          <w:rtl w:val="true"/>
        </w:rPr>
        <w:t>اشارة</w:t>
      </w:r>
      <w:bookmarkEnd w:id="394"/>
    </w:p>
    <w:p>
      <w:pPr>
        <w:pStyle w:val="BookText"/>
        <w:rPr/>
      </w:pPr>
      <w:r>
        <w:rPr>
          <w:rStyle w:val="FootnoteAnchor"/>
          <w:rtl w:val="true"/>
        </w:rPr>
        <w:footnoteReference w:id="1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المبنيّ ما ناسب مبنيّ الأصل أو وقع غير مركّب ، وقال ناسب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شابه لكون المناسبة أعمّ من المشابهة ، ومبنيّ الأصل الفعل الماضي وأمر المخاطب والحرف ، وأحد سببي البناء وجوديّ ، وهو مناسبة مبنيّ الأصل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أبوك؟ والآخر عدميّ وهو انتفاء موجب الاعراب الذي هو التركيب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 اثنان ، و ، أ ، ب ، ت ، ث ، وقوله في الحدّ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وقع غير مركّب ، ليست أو هنا للشكّ لأنّ المراد هاهنا ما كان على أحد هذين الأمرين اللذين هما مشابهة مبنيّ الأصل ، وعدم التركيب </w:t>
      </w:r>
      <w:r>
        <w:rPr>
          <w:rStyle w:val="FootnoteAnchor"/>
          <w:rtl w:val="true"/>
        </w:rPr>
        <w:footnoteReference w:id="1109"/>
      </w:r>
      <w:r>
        <w:rPr>
          <w:rFonts w:ascii="Amiri" w:hAnsi="Amiri" w:eastAsia="Amiri" w:cs="Amiri"/>
          <w:color w:val="111111"/>
          <w:sz w:val="28"/>
          <w:sz w:val="28"/>
          <w:szCs w:val="28"/>
          <w:rtl w:val="true"/>
          <w:lang w:bidi="ar-SA"/>
        </w:rPr>
        <w:t xml:space="preserve">وحكم المبنيّ أن لا يختلف آخره باختلاف العوامل في أوله لكونه مقابلا للمعرب فجعل حكمه مقابل حكم المعرب وألقاب البناء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 نحو منذ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وفتح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 وكسر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جير ، ووقف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 وألقاب الإعراب الرفع والنّصب والخفض والجزم ، فخالفوا بين ألقاب المبنيّ والمعرب ليمتاز كلّ واحد منهما عن الآخر لأنّهما لمّا افترقا في المعنى من حيث إنّ الإعراب لا يكون إلّا بعامل ولا يكون لازما ، والبناء بخلافه ، افترقا في اللّقب </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والمبنيّات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المضمرات ، وأسماء الإشارة ، والموصولات ، والمركّبات ، والكنايات ، وأسماء الأفعال والأصوات ، وبعض الظروف</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والبناء في الأسماء على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وغير لازم ، فاللازم كبناء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وأين ، وكم وكيف ونزال ومنذ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رأيته منذ يومان ، والعارض خمسة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bookmarkStart w:id="395" w:name="pg14482_156209"/>
    </w:p>
    <w:p>
      <w:pPr>
        <w:pStyle w:val="BookText"/>
        <w:rPr/>
      </w:pPr>
      <w:bookmarkEnd w:id="395"/>
      <w:r>
        <w:rPr>
          <w:rFonts w:ascii="Amiri" w:hAnsi="Amiri" w:eastAsia="Amiri" w:cs="Amiri"/>
          <w:color w:val="111111"/>
          <w:sz w:val="28"/>
          <w:sz w:val="28"/>
          <w:szCs w:val="28"/>
          <w:rtl w:val="true"/>
          <w:lang w:bidi="ar-SA"/>
        </w:rPr>
        <w:t xml:space="preserve">ما أضيف إلى ياء المتكلّم عند بعضهم </w:t>
      </w:r>
      <w:r>
        <w:rPr>
          <w:rStyle w:val="FootnoteAnchor"/>
          <w:rtl w:val="true"/>
        </w:rPr>
        <w:footnoteReference w:id="1111"/>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غلامي ، والثاني ، المنادى المفرد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زيد ، 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النكرة المنفيّة بلا التي لنفي الجنس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غلام في الدار ، وكقوله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تَثْرِيبَ عَلَيْكُمُ</w:t>
      </w:r>
      <w:r>
        <w:rPr>
          <w:rFonts w:eastAsia="Amiri" w:cs="Amiri" w:ascii="Amiri" w:hAnsi="Amiri"/>
          <w:color w:val="111111"/>
          <w:sz w:val="28"/>
          <w:szCs w:val="28"/>
          <w:rtl w:val="true"/>
          <w:lang w:bidi="ar-SA"/>
        </w:rPr>
        <w:t>)</w:t>
      </w:r>
      <w:r>
        <w:rPr>
          <w:rStyle w:val="FootnoteAnchor"/>
          <w:rtl w:val="true"/>
        </w:rPr>
        <w:footnoteReference w:id="1112"/>
      </w: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قطع من الظروف عن الإضافة فصار غاية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وبعد ، أو ضمّن الحرف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 ، 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المركّبات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عشر وهو جاري بيت بيت</w:t>
      </w:r>
      <w:r>
        <w:rPr>
          <w:rFonts w:eastAsia="Amiri" w:cs="Amiri" w:ascii="Amiri" w:hAnsi="Amiri"/>
          <w:color w:val="111111"/>
          <w:sz w:val="28"/>
          <w:szCs w:val="28"/>
          <w:rtl w:val="true"/>
          <w:lang w:bidi="ar-SA"/>
        </w:rPr>
        <w:t xml:space="preserve">. </w:t>
      </w:r>
      <w:r>
        <w:rPr>
          <w:rStyle w:val="FootnoteAnchor"/>
          <w:rtl w:val="true"/>
        </w:rPr>
        <w:footnoteReference w:id="1113"/>
      </w:r>
    </w:p>
    <w:p>
      <w:pPr>
        <w:pStyle w:val="Heading5"/>
        <w:numPr>
          <w:ilvl w:val="4"/>
          <w:numId w:val="1"/>
        </w:numPr>
        <w:rPr/>
      </w:pPr>
      <w:bookmarkStart w:id="396" w:name="__RefHeading___Toc716808_996550957"/>
      <w:bookmarkStart w:id="397" w:name="_Toc145"/>
      <w:bookmarkEnd w:id="396"/>
      <w:r>
        <w:rPr/>
        <w:t>1</w:t>
      </w:r>
      <w:r>
        <w:rPr>
          <w:rtl w:val="true"/>
        </w:rPr>
        <w:t xml:space="preserve">- </w:t>
      </w:r>
      <w:r>
        <w:rPr>
          <w:rtl w:val="true"/>
        </w:rPr>
        <w:t>ذكر المضمرات</w:t>
      </w:r>
      <w:bookmarkEnd w:id="397"/>
    </w:p>
    <w:p>
      <w:pPr>
        <w:pStyle w:val="Heading6"/>
        <w:numPr>
          <w:ilvl w:val="5"/>
          <w:numId w:val="1"/>
        </w:numPr>
        <w:rPr/>
      </w:pPr>
      <w:bookmarkStart w:id="398" w:name="__RefHeading___Toc716810_996550957"/>
      <w:bookmarkStart w:id="399" w:name="_Toc146"/>
      <w:bookmarkEnd w:id="398"/>
      <w:r>
        <w:rPr>
          <w:rtl w:val="true"/>
        </w:rPr>
        <w:t>اشارة</w:t>
      </w:r>
      <w:bookmarkEnd w:id="399"/>
    </w:p>
    <w:p>
      <w:pPr>
        <w:pStyle w:val="BookText"/>
        <w:rPr/>
      </w:pPr>
      <w:r>
        <w:rPr>
          <w:rStyle w:val="FootnoteAnchor"/>
          <w:rtl w:val="true"/>
        </w:rPr>
        <w:footnoteReference w:id="11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المضمر ما وضع لمتكلّم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أو لمخاطب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أو لغائب متقدم قطعا ، ولا بدّ أن يكون متقدّما ، إمّا لفظا تحقيقا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ضربته أو تقديرا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غلامه زيد ، أو يكون متقدّما معنى يفهم من اللّفظ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اعْدِلُوا هُوَ أَقْرَبُ لِلتَّقْوى</w:t>
      </w:r>
      <w:r>
        <w:rPr>
          <w:rFonts w:eastAsia="Amiri" w:cs="Amiri" w:ascii="Amiri" w:hAnsi="Amiri"/>
          <w:color w:val="111111"/>
          <w:sz w:val="28"/>
          <w:szCs w:val="28"/>
          <w:rtl w:val="true"/>
          <w:lang w:bidi="ar-SA"/>
        </w:rPr>
        <w:t>)</w:t>
      </w:r>
      <w:r>
        <w:rPr>
          <w:rStyle w:val="FootnoteAnchor"/>
          <w:rtl w:val="true"/>
        </w:rPr>
        <w:footnoteReference w:id="1115"/>
      </w:r>
      <w:r>
        <w:rPr>
          <w:rFonts w:ascii="Amiri" w:hAnsi="Amiri" w:eastAsia="Amiri" w:cs="Amiri"/>
          <w:color w:val="111111"/>
          <w:sz w:val="28"/>
          <w:sz w:val="28"/>
          <w:szCs w:val="28"/>
          <w:rtl w:val="true"/>
          <w:lang w:bidi="ar-SA"/>
        </w:rPr>
        <w:t xml:space="preserve">أي العدل هو أقرب ، فإنّ لفظ اعدلوا يدلّ على العدل ، أو يفهم من سياق الكلام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وَلِأَبَوَيْهِ لِكُلِّ واحِدٍ مِنْهُمَا السُّدُسُ</w:t>
      </w:r>
      <w:r>
        <w:rPr>
          <w:rFonts w:eastAsia="Amiri" w:cs="Amiri" w:ascii="Amiri" w:hAnsi="Amiri"/>
          <w:color w:val="111111"/>
          <w:sz w:val="28"/>
          <w:szCs w:val="28"/>
          <w:rtl w:val="true"/>
          <w:lang w:bidi="ar-SA"/>
        </w:rPr>
        <w:t>)</w:t>
      </w:r>
      <w:r>
        <w:rPr>
          <w:rStyle w:val="FootnoteAnchor"/>
          <w:rtl w:val="true"/>
        </w:rPr>
        <w:footnoteReference w:id="1116"/>
      </w:r>
      <w:r>
        <w:rPr>
          <w:rFonts w:ascii="Amiri" w:hAnsi="Amiri" w:eastAsia="Amiri" w:cs="Amiri"/>
          <w:color w:val="111111"/>
          <w:sz w:val="28"/>
          <w:sz w:val="28"/>
          <w:szCs w:val="28"/>
          <w:rtl w:val="true"/>
          <w:lang w:bidi="ar-SA"/>
        </w:rPr>
        <w:t xml:space="preserve">أي لأبوي الميّت الموروث ، لأنّه لمّا كان الكلام في الميراث لم يكن بد من موروث يعود الضمير إليه ، أو يكون متقدّما حكما </w:t>
      </w:r>
      <w:r>
        <w:rPr>
          <w:rStyle w:val="FootnoteAnchor"/>
          <w:rtl w:val="true"/>
        </w:rPr>
        <w:footnoteReference w:id="1117"/>
      </w:r>
      <w:r>
        <w:rPr>
          <w:rFonts w:ascii="Amiri" w:hAnsi="Amiri" w:eastAsia="Amiri" w:cs="Amiri"/>
          <w:color w:val="111111"/>
          <w:sz w:val="28"/>
          <w:sz w:val="28"/>
          <w:szCs w:val="28"/>
          <w:rtl w:val="true"/>
          <w:lang w:bidi="ar-SA"/>
        </w:rPr>
        <w:t xml:space="preserve">وله عدّة صور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يعود إليه ضمير الشّأن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Style w:val="FootnoteAnchor"/>
          <w:rtl w:val="true"/>
        </w:rPr>
        <w:footnoteReference w:id="1118"/>
      </w:r>
      <w:r>
        <w:rPr>
          <w:rFonts w:ascii="Amiri" w:hAnsi="Amiri" w:eastAsia="Amiri" w:cs="Amiri"/>
          <w:color w:val="111111"/>
          <w:sz w:val="28"/>
          <w:sz w:val="28"/>
          <w:szCs w:val="28"/>
          <w:rtl w:val="true"/>
          <w:lang w:bidi="ar-SA"/>
        </w:rPr>
        <w:t>أي الحديث الذي في ذهني هو كذا ، والمراد من ذكره مبهما أولا ، التعظيم والتفخيم لأنّ الشيء إذا ذكر مبهما ثمّ فسّر كان أوقع في النّفس</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يعود إليه الضمير في نعم وبابه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رجلا زيد ، ففي نعم ضمير يعود إلى معهود ذهني ذي حقائق مختلفة ، واسم الجنس يدلّ على حقيقة الذّات ، فأتي به لتمييز الجنس 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المضمر في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رجلا ، ونعم ضاربا زيد ، أي نعم الرجل رجلا زيد ، ولهذا 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زيد لم يجز</w:t>
      </w:r>
      <w:r>
        <w:rPr>
          <w:rFonts w:eastAsia="Amiri" w:cs="Amiri" w:ascii="Amiri" w:hAnsi="Amiri"/>
          <w:color w:val="111111"/>
          <w:sz w:val="28"/>
          <w:szCs w:val="28"/>
          <w:rtl w:val="true"/>
          <w:lang w:bidi="ar-SA"/>
        </w:rPr>
        <w:t xml:space="preserve">. </w:t>
      </w:r>
      <w:bookmarkStart w:id="400" w:name="pg14482_156210"/>
    </w:p>
    <w:p>
      <w:pPr>
        <w:pStyle w:val="BookText"/>
        <w:rPr/>
      </w:pPr>
      <w:bookmarkEnd w:id="400"/>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يعود إليه الضمير في ربّ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ربّه رجلا ، لما قيل في نعم واعلم أنّ ربّ دخلت هنا على الضمير ، وهي لا تدخل على المعارف ؛ لأنّ الضمير لمّا لم يعد على مذكور جرى مجرى الظاهر النكرة ومن أجل ذلك احتاج هذا الضمير إلى التفسير بالنكرة المنصوبة ، ولو كان كسائر المضمرات لم يحتج إلى 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يعود إليه الضمير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ضرباني وضربت الزيدين ، وإنّما جوّزوا فيه الإضمار قبل الذكر ، لأنّه لمّا ذكر المفسّر بعده كان مقدّما حكما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وبني المضمر لشبهه بالحرف في افتقاره إلى ما يرجع إليه كافتقار الحرف إلى أمر غيره ، لا يتمّ معناه إلّا به إنّ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صيغها المختلفة لمّا كانت دالة على أنواع الإعراب أغنى ذلك عن إعرابها </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01" w:name="__RefHeading___Toc716812_996550957"/>
      <w:bookmarkStart w:id="402" w:name="_Toc147"/>
      <w:bookmarkEnd w:id="401"/>
      <w:r>
        <w:rPr>
          <w:rtl w:val="true"/>
        </w:rPr>
        <w:t>ذكر تقسيم المضمر</w:t>
      </w:r>
      <w:bookmarkEnd w:id="402"/>
    </w:p>
    <w:p>
      <w:pPr>
        <w:pStyle w:val="BookText"/>
        <w:rPr/>
      </w:pPr>
      <w:r>
        <w:rPr>
          <w:rStyle w:val="FootnoteAnchor"/>
          <w:rtl w:val="true"/>
        </w:rPr>
        <w:footnoteReference w:id="1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 إمّا متصل أو منفصل ، أمّا المتصل فهو الذي لا يستقلّ بنفسه أي لا ينفك عن كلمة أخرى يتصل بها ، وينقسم إلى بارز وإلى مستتر ، فالبارز ، إمّا أن يتصل باسم كالكاف في غلامك أو بفعل كالتاء في ضربت أو بحرف كالكاف في لك ، والمستتر نحو ما في ضرب في قولنا ، زيد ضرب كما سيأتي 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المنفصل فهو ما استقلّ بنفسه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 ونحن ، والمضمر يكون مرفوعا ومنصوبا ومجرورا ، لانّه اسم واقع موقع الظاهر ، والظاهر على أحد هذه الأمور ، لكنّ المرفوع متصل ومنفصل ، والمنصوب أيضا متصل ومنفصل ، وأمّا المجرور فلا يكون إلّا متصلا ، لامتناع الفصل بين الجار والمجرور ، فالمضمرات حينئذ خمسة أنواع </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03" w:name="__RefHeading___Toc716814_996550957"/>
      <w:bookmarkStart w:id="404" w:name="_Toc148"/>
      <w:bookmarkEnd w:id="403"/>
      <w:r>
        <w:rPr>
          <w:rtl w:val="true"/>
        </w:rPr>
        <w:t>ذكر الضمير المرفوع المتّصل</w:t>
      </w:r>
      <w:bookmarkEnd w:id="404"/>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يقع لكلّ واحد من المتكلم والمخاطب والغائب على ستّة معان ، لأنّ كلّا من المتكلّم والمخاطب والغائب إمّا مفرد ، أو مثنّى ، أو مجموع ، وكلّ واحد منها إمّا مذكر أو مؤنث ، وضعوا للمتكلّم لفظين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وضربنا ، فضربت للمفرد المذكّر والمؤنث فالتاء ضمير الفاعل ، وحرّك لأنّه اتصل بالفعل فلو سكّن اجتمع ساكنان على </w:t>
      </w:r>
      <w:bookmarkStart w:id="405" w:name="pg14482_156211"/>
    </w:p>
    <w:p>
      <w:pPr>
        <w:pStyle w:val="BookText"/>
        <w:rPr/>
      </w:pPr>
      <w:bookmarkEnd w:id="405"/>
      <w:r>
        <w:rPr>
          <w:rFonts w:ascii="Amiri" w:hAnsi="Amiri" w:eastAsia="Amiri" w:cs="Amiri"/>
          <w:color w:val="111111"/>
          <w:sz w:val="28"/>
          <w:sz w:val="28"/>
          <w:szCs w:val="28"/>
          <w:rtl w:val="true"/>
          <w:lang w:bidi="ar-SA"/>
        </w:rPr>
        <w:t xml:space="preserve">غير حدّه </w:t>
      </w:r>
      <w:r>
        <w:rPr>
          <w:rStyle w:val="FootnoteAnchor"/>
          <w:rtl w:val="true"/>
        </w:rPr>
        <w:footnoteReference w:id="1123"/>
      </w:r>
      <w:r>
        <w:rPr>
          <w:rFonts w:ascii="Amiri" w:hAnsi="Amiri" w:eastAsia="Amiri" w:cs="Amiri"/>
          <w:color w:val="111111"/>
          <w:sz w:val="28"/>
          <w:sz w:val="28"/>
          <w:szCs w:val="28"/>
          <w:rtl w:val="true"/>
          <w:lang w:bidi="ar-SA"/>
        </w:rPr>
        <w:t xml:space="preserve">وضربنا للاثنين وللجماعة فيهما ، فضربت حينئذ مشترك في معنيين </w:t>
      </w:r>
      <w:r>
        <w:rPr>
          <w:rStyle w:val="FootnoteAnchor"/>
          <w:rtl w:val="true"/>
        </w:rPr>
        <w:footnoteReference w:id="1124"/>
      </w:r>
      <w:r>
        <w:rPr>
          <w:rFonts w:ascii="Amiri" w:hAnsi="Amiri" w:eastAsia="Amiri" w:cs="Amiri"/>
          <w:color w:val="111111"/>
          <w:sz w:val="28"/>
          <w:sz w:val="28"/>
          <w:szCs w:val="28"/>
          <w:rtl w:val="true"/>
          <w:lang w:bidi="ar-SA"/>
        </w:rPr>
        <w:t xml:space="preserve">وضربنا مشترك في أربعة </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ووضعوا للمخاطب خمسة ألفاظ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نصوص ، وهي ضربت للمذكّر وضربت للمؤنث ، وضربتم للجمع المذكّر وضربتنّ للجمع المؤنث ، وواحد مشترك بين المذكّرين والمؤنّثين وهو ضربتما ، فالميم إيذان بأنك جاوزت الواحد ، والألف للتثنية وإنّما ضمّت تاء ضربتما وكانت في المفرد مفتوحة لئلا يتوهم المخاطب أن ضربت كلمة وما كلمة أخرى ، ووضعوا للغائب خمسة على مثال المخاطب أربعة نصوص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وضربت وضربوا وضربن </w:t>
      </w:r>
      <w:r>
        <w:rPr>
          <w:rStyle w:val="FootnoteAnchor"/>
          <w:rtl w:val="true"/>
        </w:rPr>
        <w:footnoteReference w:id="1126"/>
      </w:r>
      <w:r>
        <w:rPr>
          <w:rFonts w:ascii="Amiri" w:hAnsi="Amiri" w:eastAsia="Amiri" w:cs="Amiri"/>
          <w:color w:val="111111"/>
          <w:sz w:val="28"/>
          <w:sz w:val="28"/>
          <w:szCs w:val="28"/>
          <w:rtl w:val="true"/>
          <w:lang w:bidi="ar-SA"/>
        </w:rPr>
        <w:t xml:space="preserve">وواحد مشترك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ضربا ضربتا وهو مشترك باعتبار ألف الضمير وإن اختلفت الصيغة بزيادة التاء ، فإنّ التاء في ضربتا جيء بها علامة للتأنيث وليست بضمير</w:t>
      </w:r>
      <w:r>
        <w:rPr>
          <w:rFonts w:eastAsia="Amiri" w:cs="Amiri" w:ascii="Amiri" w:hAnsi="Amiri"/>
          <w:color w:val="111111"/>
          <w:sz w:val="28"/>
          <w:szCs w:val="28"/>
          <w:rtl w:val="true"/>
          <w:lang w:bidi="ar-SA"/>
        </w:rPr>
        <w:t>.</w:t>
      </w:r>
    </w:p>
    <w:p>
      <w:pPr>
        <w:pStyle w:val="Heading6"/>
        <w:numPr>
          <w:ilvl w:val="5"/>
          <w:numId w:val="1"/>
        </w:numPr>
        <w:rPr/>
      </w:pPr>
      <w:bookmarkStart w:id="406" w:name="__RefHeading___Toc716816_996550957"/>
      <w:bookmarkStart w:id="407" w:name="_Toc149"/>
      <w:bookmarkEnd w:id="406"/>
      <w:r>
        <w:rPr>
          <w:rtl w:val="true"/>
        </w:rPr>
        <w:t>ذكر الضمير المرفوع المنفصل</w:t>
      </w:r>
      <w:bookmarkEnd w:id="407"/>
    </w:p>
    <w:p>
      <w:pPr>
        <w:pStyle w:val="BookText"/>
        <w:rPr/>
      </w:pPr>
      <w:r>
        <w:rPr>
          <w:rStyle w:val="FootnoteAnchor"/>
          <w:rtl w:val="true"/>
        </w:rPr>
        <w:footnoteReference w:id="11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للمتكلّم والمخاطب والغائب على ما شرح في المرفوع المتصل من النصّ والمشترك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ونحن للمتكلّم ، وينبغي أن يعلم أنّ الهمزة والنون في أنا هما الاسم عند الأكثر </w:t>
      </w:r>
      <w:r>
        <w:rPr>
          <w:rStyle w:val="FootnoteAnchor"/>
          <w:rtl w:val="true"/>
        </w:rPr>
        <w:footnoteReference w:id="1128"/>
      </w:r>
      <w:r>
        <w:rPr>
          <w:rFonts w:ascii="Amiri" w:hAnsi="Amiri" w:eastAsia="Amiri" w:cs="Amiri"/>
          <w:color w:val="111111"/>
          <w:sz w:val="28"/>
          <w:sz w:val="28"/>
          <w:szCs w:val="28"/>
          <w:rtl w:val="true"/>
          <w:lang w:bidi="ar-SA"/>
        </w:rPr>
        <w:t xml:space="preserve">وزيدت الألف لبيان حركة النون ، وقد تبيّن بالهاء كقولك أنه ، وقال قوم أنا كلّه هو الاسم </w:t>
      </w:r>
      <w:r>
        <w:rPr>
          <w:rStyle w:val="FootnoteAnchor"/>
          <w:rtl w:val="true"/>
        </w:rPr>
        <w:footnoteReference w:id="1129"/>
      </w:r>
      <w:r>
        <w:rPr>
          <w:rFonts w:ascii="IRNazanin" w:hAnsi="IRNazanin" w:eastAsia="IRNazanin"/>
          <w:color w:val="111111"/>
          <w:sz w:val="28"/>
          <w:sz w:val="28"/>
          <w:szCs w:val="28"/>
          <w:rtl w:val="true"/>
          <w:lang w:bidi="fa-IR"/>
        </w:rPr>
        <w:t xml:space="preserve">ومنه قول الأعشى </w:t>
      </w:r>
      <w:r>
        <w:rPr>
          <w:rFonts w:eastAsia="IRNazanin" w:cs="IRNazanin"/>
          <w:color w:val="111111"/>
          <w:sz w:val="28"/>
          <w:szCs w:val="28"/>
          <w:rtl w:val="true"/>
          <w:lang w:bidi="fa-IR"/>
        </w:rPr>
        <w:t xml:space="preserve">: </w:t>
      </w:r>
      <w:r>
        <w:rPr>
          <w:rStyle w:val="FootnoteAnchor"/>
          <w:rtl w:val="true"/>
        </w:rPr>
        <w:footnoteReference w:id="1130"/>
      </w:r>
    </w:p>
    <w:p>
      <w:pPr>
        <w:pStyle w:val="BookText"/>
        <w:rPr/>
      </w:pPr>
      <w:r>
        <w:rPr>
          <w:rFonts w:ascii="Amiri" w:hAnsi="Amiri" w:eastAsia="Amiri" w:cs="Amiri"/>
          <w:color w:val="111111"/>
          <w:sz w:val="28"/>
          <w:sz w:val="28"/>
          <w:szCs w:val="28"/>
          <w:rtl w:val="true"/>
          <w:lang w:bidi="ar-SA"/>
        </w:rPr>
        <w:t>فما أنا أم ما انتحالي القوا</w:t>
      </w:r>
    </w:p>
    <w:p>
      <w:pPr>
        <w:pStyle w:val="BookText"/>
        <w:rPr/>
      </w:pPr>
      <w:r>
        <w:rPr>
          <w:rFonts w:ascii="Amiri" w:hAnsi="Amiri" w:eastAsia="Amiri" w:cs="Amiri"/>
          <w:color w:val="111111"/>
          <w:sz w:val="28"/>
          <w:sz w:val="28"/>
          <w:szCs w:val="28"/>
          <w:rtl w:val="true"/>
          <w:lang w:bidi="ar-SA"/>
        </w:rPr>
        <w:t>في بعد المشيب كفى ذاك عارا</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ورواه ابن منظور في نحل منسوبا 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من غير نسبة في شرح المفصل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والمقرب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bookmarkStart w:id="408" w:name="pg14482_156212"/>
    </w:p>
    <w:p>
      <w:pPr>
        <w:pStyle w:val="BookText"/>
        <w:rPr/>
      </w:pPr>
      <w:bookmarkEnd w:id="408"/>
      <w:r>
        <w:rPr>
          <w:rFonts w:ascii="Amiri" w:hAnsi="Amiri" w:eastAsia="Amiri" w:cs="Amiri"/>
          <w:color w:val="111111"/>
          <w:sz w:val="28"/>
          <w:sz w:val="28"/>
          <w:szCs w:val="28"/>
          <w:rtl w:val="true"/>
          <w:lang w:bidi="ar-SA"/>
        </w:rPr>
        <w:t>فكيف أنا وانتحالي القوافي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وهي لغة ربيعة وبعض قيس ، وأنت وأنت وأنتما وأنتم وأنتنّ للمخاطب ، وهو وهي وهما وهم وهنّ للغائب ، وينبغي أن يعلم أنّ الهمزة والنون في أنت هما الاسم </w:t>
      </w:r>
      <w:r>
        <w:rPr>
          <w:rStyle w:val="FootnoteAnchor"/>
          <w:rtl w:val="true"/>
        </w:rPr>
        <w:footnoteReference w:id="1131"/>
      </w:r>
      <w:r>
        <w:rPr>
          <w:rFonts w:ascii="Amiri" w:hAnsi="Amiri" w:eastAsia="Amiri" w:cs="Amiri"/>
          <w:color w:val="111111"/>
          <w:sz w:val="28"/>
          <w:sz w:val="28"/>
          <w:szCs w:val="28"/>
          <w:rtl w:val="true"/>
          <w:lang w:bidi="ar-SA"/>
        </w:rPr>
        <w:t>وأمّا التاء فللخطاب وفتحت لخفّة الفتحة وكسرت في المؤنّث للفرق</w:t>
      </w:r>
      <w:r>
        <w:rPr>
          <w:rFonts w:eastAsia="Amiri" w:cs="Amiri" w:ascii="Amiri" w:hAnsi="Amiri"/>
          <w:color w:val="111111"/>
          <w:sz w:val="28"/>
          <w:szCs w:val="28"/>
          <w:rtl w:val="true"/>
          <w:lang w:bidi="ar-SA"/>
        </w:rPr>
        <w:t>.</w:t>
      </w:r>
    </w:p>
    <w:p>
      <w:pPr>
        <w:pStyle w:val="Heading6"/>
        <w:numPr>
          <w:ilvl w:val="5"/>
          <w:numId w:val="1"/>
        </w:numPr>
        <w:rPr/>
      </w:pPr>
      <w:bookmarkStart w:id="409" w:name="__RefHeading___Toc716818_996550957"/>
      <w:bookmarkStart w:id="410" w:name="_Toc150"/>
      <w:bookmarkEnd w:id="409"/>
      <w:r>
        <w:rPr>
          <w:rtl w:val="true"/>
        </w:rPr>
        <w:t>ذكر المنصوب المتّصل</w:t>
      </w:r>
      <w:bookmarkEnd w:id="410"/>
    </w:p>
    <w:p>
      <w:pPr>
        <w:pStyle w:val="BookText"/>
        <w:rPr/>
      </w:pPr>
      <w:r>
        <w:rPr>
          <w:rStyle w:val="FootnoteAnchor"/>
          <w:rtl w:val="true"/>
        </w:rPr>
        <w:footnoteReference w:id="1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للمتكلّم والمخاطب والغائب على ما شرح ، تقول في المتكلّم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ضربني ، فالياء هي الاسم المنصوب المتصل وهي ضمير المتكلّم والنون قبلها نون الوقاية كما سيذكر وتقول إذا أخبرت عن نفسك ومعك غيرك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ضربنا وفي المخاطب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ضربك ، وضربك ، وضربكما ، وضربكم ، وضربكنّ ، وفي الغائب ضربه وضربها وضربهما ، وضربهم وضربهنّ ، ويتصل الضمير المنصوب بالحرف أيضا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إنّني إنّنا إلى إنّهنّ ، واعلم أنّ الهاء وحدها في ضربه هي الاسم عند الزجاج وهي ضمير الغائب ، وإنّما زيدت الواو تقوية للهاء لتخرجها من الخفاء إلى الظهور ، وكذلك في رأيتها ، الهاء وحدها هي الاسم ، وزيدت الألف للفرق بين المذكّر والمؤنّث </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11" w:name="__RefHeading___Toc716820_996550957"/>
      <w:bookmarkStart w:id="412" w:name="_Toc151"/>
      <w:bookmarkEnd w:id="411"/>
      <w:r>
        <w:rPr>
          <w:rtl w:val="true"/>
        </w:rPr>
        <w:t>ذكر المنصوب المنفصل</w:t>
      </w:r>
      <w:bookmarkEnd w:id="412"/>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أيضا كما تقدّم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إيّاي إيّانا للمتكلّم وإيّاك إيّاك إيّاكما إيّاكم إيّاكنّ للمخاطب وإيّاه إيّاها إيّاهما إيّاهم إيّاهنّ للغائب ، وينبغي أن يعلم أنّ إيّا وحده هو الاسم المضمر ، وما لحق به في إيّاي وإيّانا وإيّاك إلى إياكنّ دلائل على من ترجع إليه من مخبر أو مخاطب أو غائب </w:t>
      </w:r>
      <w:r>
        <w:rPr>
          <w:rStyle w:val="FootnoteAnchor"/>
          <w:rtl w:val="true"/>
        </w:rPr>
        <w:footnoteReference w:id="1135"/>
      </w:r>
      <w:r>
        <w:rPr>
          <w:rFonts w:ascii="Amiri" w:hAnsi="Amiri" w:eastAsia="Amiri" w:cs="Amiri"/>
          <w:color w:val="111111"/>
          <w:sz w:val="28"/>
          <w:sz w:val="28"/>
          <w:szCs w:val="28"/>
          <w:rtl w:val="true"/>
          <w:lang w:bidi="ar-SA"/>
        </w:rPr>
        <w:t xml:space="preserve">وكما أنّ الهمزة والنون في أنت هي الاسم المضمر والتاء علامة للخطاب ، فكذلك الكاف في إيّاك للخطاب وكذلك أخوات الكاف مما </w:t>
      </w:r>
      <w:bookmarkStart w:id="413" w:name="pg14482_156213"/>
    </w:p>
    <w:p>
      <w:pPr>
        <w:pStyle w:val="BookText"/>
        <w:rPr/>
      </w:pPr>
      <w:bookmarkEnd w:id="413"/>
      <w:r>
        <w:rPr>
          <w:rFonts w:ascii="Amiri" w:hAnsi="Amiri" w:eastAsia="Amiri" w:cs="Amiri"/>
          <w:color w:val="111111"/>
          <w:sz w:val="28"/>
          <w:sz w:val="28"/>
          <w:szCs w:val="28"/>
          <w:rtl w:val="true"/>
          <w:lang w:bidi="ar-SA"/>
        </w:rPr>
        <w:t xml:space="preserve">هو للخطاب تارة وللغيبة أخرى ، قال آخرون </w:t>
      </w:r>
      <w:r>
        <w:rPr>
          <w:rStyle w:val="FootnoteAnchor"/>
          <w:rtl w:val="true"/>
        </w:rPr>
        <w:footnoteReference w:id="1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 وما بعده الكلّ اسم واحد ، وهذا لا يصحّ ؛ لأنّه لا يعرف اسم على هذا النحو يجيء آخره بحروف مختلفة ، فصحّ أنّ إيّا هو الاسم المضمر ، وليست الحروف اللواحق بأسماء </w:t>
      </w:r>
      <w:r>
        <w:rPr>
          <w:rStyle w:val="FootnoteAnchor"/>
          <w:rtl w:val="true"/>
        </w:rPr>
        <w:footnoteReference w:id="1137"/>
      </w:r>
      <w:r>
        <w:rPr>
          <w:rFonts w:ascii="Amiri" w:hAnsi="Amiri" w:eastAsia="Amiri" w:cs="Amiri"/>
          <w:color w:val="111111"/>
          <w:sz w:val="28"/>
          <w:sz w:val="28"/>
          <w:szCs w:val="28"/>
          <w:rtl w:val="true"/>
          <w:lang w:bidi="ar-SA"/>
        </w:rPr>
        <w:t>وإنّما اختلفت لاختلاف عدد المضمرين وأحوالهم</w:t>
      </w:r>
      <w:r>
        <w:rPr>
          <w:rFonts w:eastAsia="Amiri" w:cs="Amiri" w:ascii="Amiri" w:hAnsi="Amiri"/>
          <w:color w:val="111111"/>
          <w:sz w:val="28"/>
          <w:szCs w:val="28"/>
          <w:rtl w:val="true"/>
          <w:lang w:bidi="ar-SA"/>
        </w:rPr>
        <w:t>.</w:t>
      </w:r>
    </w:p>
    <w:p>
      <w:pPr>
        <w:pStyle w:val="Heading6"/>
        <w:numPr>
          <w:ilvl w:val="5"/>
          <w:numId w:val="1"/>
        </w:numPr>
        <w:rPr/>
      </w:pPr>
      <w:bookmarkStart w:id="414" w:name="__RefHeading___Toc716822_996550957"/>
      <w:bookmarkStart w:id="415" w:name="_Toc152"/>
      <w:bookmarkEnd w:id="414"/>
      <w:r>
        <w:rPr>
          <w:rtl w:val="true"/>
        </w:rPr>
        <w:t>ذكر الضمير المجرور</w:t>
      </w:r>
      <w:bookmarkEnd w:id="415"/>
    </w:p>
    <w:p>
      <w:pPr>
        <w:pStyle w:val="BookText"/>
        <w:rPr/>
      </w:pPr>
      <w:r>
        <w:rPr>
          <w:rStyle w:val="FootnoteAnchor"/>
          <w:rtl w:val="true"/>
        </w:rPr>
        <w:footnoteReference w:id="1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يكون إلّا متصلا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غلامي غلامنا للمتكلّم وغلامك غلامك غلامكما غلامكم غلامكنّ للمخاطب ، وغلامه غلامها غلامهما وغلامهم غلامهنّ للغائب ، ولا يتصل المجرور إلّا باسم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غلامي أو بحرف جر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لنا لك لك لكما لكم لكنّ ، له لها لهما لهم لهنّ ، وإنّما اتصل كذلك ، ضرورة أنّ الجرّ في الكلام إمّا بالإضافة أو بحرف الجرّ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الأصل في جمع المذكّر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بكمو وهذا غلامكمو ؛ فالميم والواو للجمع ، وقد تحذف الواو وتسكّن الميم للتخفيف كما تقدّم 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غلامكم ، وتقول في جماعة المؤنّث غلامكنّ ومررت بكنّ وهذا لكنّ ، بنون مشدّدة ليكون بإزاء حرفي جمع المذكّر ، وتقول للغائب غلامهو وهذا لهو ومررت بهي فتكسر الهاء إذا كان قبلها كسرة ، وإنّما أصلها الضمّ ، وكذلك تكسرها إذا كان قبلها ياء ساكنة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فيهي وعليهي ، وإنّما كسرتها كراهة الخروج من كسر إلى ضمّ ، وإذا تحرّك ما قبل هذه الهاء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وبه ، فلا يجوز عند البصريين حذف ما يتصل بها من الواو والياء لأنّها لخفائها قويت بذلك </w:t>
      </w:r>
      <w:r>
        <w:rPr>
          <w:rStyle w:val="FootnoteAnchor"/>
          <w:rtl w:val="true"/>
        </w:rPr>
        <w:footnoteReference w:id="1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حذفت هذه الصلة في الشّعر نحو قوله </w:t>
      </w:r>
      <w:r>
        <w:rPr>
          <w:rFonts w:eastAsia="Amiri" w:cs="Amiri" w:ascii="Amiri" w:hAnsi="Amiri"/>
          <w:color w:val="111111"/>
          <w:sz w:val="28"/>
          <w:szCs w:val="28"/>
          <w:rtl w:val="true"/>
          <w:lang w:bidi="ar-SA"/>
        </w:rPr>
        <w:t xml:space="preserve">: </w:t>
      </w:r>
      <w:r>
        <w:rPr>
          <w:rStyle w:val="FootnoteAnchor"/>
          <w:rtl w:val="true"/>
        </w:rPr>
        <w:footnoteReference w:id="1140"/>
      </w:r>
    </w:p>
    <w:p>
      <w:pPr>
        <w:pStyle w:val="BookText"/>
        <w:rPr/>
      </w:pPr>
      <w:r>
        <w:rPr>
          <w:rFonts w:ascii="IRNazanin" w:hAnsi="IRNazanin" w:eastAsia="IRNazanin"/>
          <w:color w:val="111111"/>
          <w:sz w:val="28"/>
          <w:sz w:val="28"/>
          <w:szCs w:val="28"/>
          <w:rtl w:val="true"/>
          <w:lang w:bidi="fa-IR"/>
        </w:rPr>
        <w:t>له زجل أصوت حاد</w:t>
      </w:r>
    </w:p>
    <w:p>
      <w:pPr>
        <w:pStyle w:val="BookText"/>
        <w:rPr/>
      </w:pPr>
      <w:r>
        <w:rPr>
          <w:rFonts w:ascii="Amiri" w:hAnsi="Amiri" w:eastAsia="Amiri" w:cs="Amiri"/>
          <w:color w:val="111111"/>
          <w:sz w:val="28"/>
          <w:sz w:val="28"/>
          <w:szCs w:val="28"/>
          <w:rtl w:val="true"/>
          <w:lang w:bidi="ar-SA"/>
        </w:rPr>
        <w:t>إذا طلب الوسيقة أو زمير</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 منسوبا له في الكتاب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ولسان العرب ، مادة ها وورد من غير نسبة في المقتضب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والخصائص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والإنصاف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وهمع الهوامع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فيه حنين وترنم ، الزمير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المزمار ، والوسيقة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بها أنثى حمار الوحش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زجل كأنه صوت حاد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 xml:space="preserve">: </w:t>
      </w:r>
      <w:r>
        <w:rPr>
          <w:rStyle w:val="FootnoteAnchor"/>
          <w:rtl w:val="true"/>
        </w:rPr>
        <w:footnoteReference w:id="1141"/>
      </w:r>
    </w:p>
    <w:p>
      <w:pPr>
        <w:pStyle w:val="BookText"/>
        <w:rPr/>
      </w:pPr>
      <w:r>
        <w:rPr>
          <w:rFonts w:ascii="Amiri" w:hAnsi="Amiri" w:eastAsia="Amiri" w:cs="Amiri"/>
          <w:color w:val="111111"/>
          <w:sz w:val="28"/>
          <w:sz w:val="28"/>
          <w:szCs w:val="28"/>
          <w:rtl w:val="true"/>
          <w:lang w:bidi="ar-SA"/>
        </w:rPr>
        <w:t>من الرّيح فضل لا الجنوب ولا الصّبا</w:t>
      </w:r>
    </w:p>
    <w:p>
      <w:pPr>
        <w:pStyle w:val="BookText"/>
        <w:rPr/>
      </w:pPr>
      <w:r>
        <w:rPr>
          <w:rFonts w:ascii="Amiri" w:hAnsi="Amiri" w:eastAsia="Amiri" w:cs="Amiri"/>
          <w:color w:val="111111"/>
          <w:sz w:val="28"/>
          <w:sz w:val="28"/>
          <w:szCs w:val="28"/>
          <w:rtl w:val="true"/>
          <w:lang w:bidi="ar-SA"/>
        </w:rPr>
        <w:t xml:space="preserve">ورد في ديوانه ،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 له في الكتاب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غير نسبة في المقتضب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والإنصاف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تليد مكان طريف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عنده مكان وماله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له من مجد طريف وماله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إذا كان قبل الهاء حرف لين فإنّ حذف الواو والياء في الوصل حسن </w:t>
      </w:r>
      <w:r>
        <w:rPr>
          <w:rStyle w:val="FootnoteAnchor"/>
          <w:rtl w:val="true"/>
        </w:rPr>
        <w:footnoteReference w:id="1142"/>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نَزَّلْناهُ تَنْزِيلاً</w:t>
      </w:r>
      <w:r>
        <w:rPr>
          <w:rFonts w:eastAsia="Amiri" w:cs="Amiri" w:ascii="Amiri" w:hAnsi="Amiri"/>
          <w:color w:val="111111"/>
          <w:sz w:val="28"/>
          <w:szCs w:val="28"/>
          <w:rtl w:val="true"/>
          <w:lang w:bidi="ar-SA"/>
        </w:rPr>
        <w:t>)</w:t>
      </w:r>
      <w:r>
        <w:rPr>
          <w:rStyle w:val="FootnoteAnchor"/>
          <w:rtl w:val="true"/>
        </w:rPr>
        <w:footnoteReference w:id="114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تَحْمِلْ عَلَيْهِ يَلْهَثْ</w:t>
      </w:r>
      <w:r>
        <w:rPr>
          <w:rFonts w:eastAsia="Amiri" w:cs="Amiri" w:ascii="Amiri" w:hAnsi="Amiri"/>
          <w:color w:val="111111"/>
          <w:sz w:val="28"/>
          <w:szCs w:val="28"/>
          <w:rtl w:val="true"/>
          <w:lang w:bidi="ar-SA"/>
        </w:rPr>
        <w:t xml:space="preserve">) </w:t>
      </w:r>
      <w:r>
        <w:rPr>
          <w:rStyle w:val="FootnoteAnchor"/>
          <w:rtl w:val="true"/>
        </w:rPr>
        <w:footnoteReference w:id="11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وَشَرَوْهُ بِثَمَنٍ بَخْسٍ</w:t>
      </w:r>
      <w:r>
        <w:rPr>
          <w:rFonts w:eastAsia="Amiri" w:cs="Amiri" w:ascii="Amiri" w:hAnsi="Amiri"/>
          <w:color w:val="111111"/>
          <w:sz w:val="28"/>
          <w:szCs w:val="28"/>
          <w:rtl w:val="true"/>
          <w:lang w:bidi="ar-SA"/>
        </w:rPr>
        <w:t>)</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عدّة أقسام المضمرات بحسب القسمة العقليّة تسعون قسما ؛ لأنّ المضمرات ثلاثة للمتكلّم والمخاطب والغائب ، والمتكلّم إمّا مفرد أو مثنّى أو مجموع ، والمخاطب مثله ، والغائب مثله ، فذلك تسعة ، وكلّ واحد منها إمّا مذكّر أو مؤنث ، فذلك ثمانية عشر قسما ، وكلّ واحد من الثمانية عشر يكون مرفوعا متصلا ومرفوعا منفصلا ومنصوبا متصلا ومنصوبا منفصلا ، ومجرورا ولا يكون إلّا متصلا فهذه خمسة أنواع ، وإذا ضربنا فيها ثمانية عشر كان الحاصل تسعين قسما ؛ إلّا أنهم سوّوا بين مذكّر المتكلّم وبين مؤنّثه ، وبين مثنّاه ومجموعه ، فسقط منه أربعة وسوّوا بين المثنّى المذكر والمؤنث في المخاطب والغائب فسقط اثنان أيضا فسقط من ثمانية عشر ستة ؛ أربعة من المتكلم واثنان من المثنى المخاطب فبقي من ثمانية عشر ، اثنا عشر ، ضربت في الخمسة ، وهي المرفوع المتصل والمنفصل والمنصوب المتصل والمنفصل والمجرور المتصل فبلغت ستين لفظا </w:t>
      </w:r>
      <w:r>
        <w:rPr>
          <w:rStyle w:val="FootnoteAnchor"/>
          <w:rtl w:val="true"/>
        </w:rPr>
        <w:footnoteReference w:id="1146"/>
      </w:r>
      <w:r>
        <w:rPr>
          <w:rFonts w:ascii="Amiri" w:hAnsi="Amiri" w:eastAsia="Amiri" w:cs="Amiri"/>
          <w:color w:val="111111"/>
          <w:sz w:val="28"/>
          <w:sz w:val="28"/>
          <w:szCs w:val="28"/>
          <w:rtl w:val="true"/>
          <w:lang w:bidi="ar-SA"/>
        </w:rPr>
        <w:t xml:space="preserve">واعلم أنّ قولهم إنّه قد سوّي بين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مثنّى المذكّر والمؤنّث في الغائب إنّما هو باعتبار الضمير لا باعتبار علامة التأنيث ؛ فإنّك تقول للمذكرين قاما وللمؤنّثتين قامتا ؛ فقامتا مغايرة لقاما ، وأمّا باعتبار ألف الضمير فلا تغاير بينهما ، وقد أشار تقيّ الدين النيلي في شرحه لمقدّمة ابن الحاجب إلى ذلك في تفسير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غلامي ولي إلى غلامهنّ ولهنّ </w:t>
      </w:r>
      <w:r>
        <w:rPr>
          <w:rStyle w:val="FootnoteAnchor"/>
          <w:rtl w:val="true"/>
        </w:rPr>
        <w:footnoteReference w:id="1147"/>
      </w:r>
      <w:r>
        <w:rPr>
          <w:rFonts w:ascii="Amiri" w:hAnsi="Amiri" w:eastAsia="Amiri" w:cs="Amiri"/>
          <w:color w:val="111111"/>
          <w:sz w:val="28"/>
          <w:sz w:val="28"/>
          <w:szCs w:val="28"/>
          <w:rtl w:val="true"/>
          <w:lang w:bidi="ar-SA"/>
        </w:rPr>
        <w:t xml:space="preserve">فإنه فسّر ذلك ، وأتبعه بذكر أقسام المضمرات وقال في جملة ذلك </w:t>
      </w:r>
      <w:r>
        <w:rPr>
          <w:rStyle w:val="FootnoteAnchor"/>
          <w:rtl w:val="true"/>
        </w:rPr>
        <w:footnoteReference w:id="1148"/>
      </w:r>
      <w:r>
        <w:rPr>
          <w:rFonts w:ascii="Amiri" w:hAnsi="Amiri" w:eastAsia="Amiri" w:cs="Amiri"/>
          <w:color w:val="111111"/>
          <w:sz w:val="28"/>
          <w:sz w:val="28"/>
          <w:szCs w:val="28"/>
          <w:rtl w:val="true"/>
          <w:lang w:bidi="ar-SA"/>
        </w:rPr>
        <w:t xml:space="preserve">وسوّوا بين مثنّى المذكّر والمؤنّث في المخاطب والغائب في غير غائب المرفوع المتصل ، فأراد عدم التسوية باعتبار اللفظ لا باعتبار الضمائر ، فإنّهم قد أجمعوا على أنّ المضمرات ستون ، والساقط ثلاثون ، ويتبيّن ذلك من هذه الدائرة التي اقترحناها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6261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273"/>
                        <a:stretch/>
                      </pic:blipFill>
                      <pic:spPr>
                        <a:xfrm>
                          <a:off x="0" y="0"/>
                          <a:ext cx="5334120" cy="5626080"/>
                        </a:xfrm>
                        <a:prstGeom prst="rect">
                          <a:avLst/>
                        </a:prstGeom>
                        <a:ln w="0">
                          <a:noFill/>
                        </a:ln>
                      </pic:spPr>
                    </pic:pic>
                  </a:graphicData>
                </a:graphic>
              </wp:inline>
            </w:drawing>
          </mc:Choice>
          <mc:Fallback>
            <w:pict>
              <v:shape id="shape_0" stroked="f" o:allowincell="f" style="position:absolute;margin-left:0pt;margin-top:-443.05pt;width:419.95pt;height:442.95pt;mso-wrap-style:none;v-text-anchor:middle;mso-position-horizontal:left;mso-position-vertical:top" type="_x0000_t75">
                <v:imagedata r:id="rId274" o:detectmouseclick="t"/>
                <v:stroke color="#3465a4" joinstyle="round" endcap="flat"/>
                <w10:wrap type="none"/>
              </v:shape>
            </w:pict>
          </mc:Fallback>
        </mc:AlternateContent>
      </w:r>
      <w:bookmarkStart w:id="416" w:name="pg14482_156217"/>
    </w:p>
    <w:p>
      <w:pPr>
        <w:pStyle w:val="Heading6"/>
        <w:numPr>
          <w:ilvl w:val="5"/>
          <w:numId w:val="1"/>
        </w:numPr>
        <w:rPr/>
      </w:pPr>
      <w:bookmarkStart w:id="417" w:name="__RefHeading___Toc716824_996550957"/>
      <w:bookmarkStart w:id="418" w:name="_Toc153"/>
      <w:bookmarkEnd w:id="416"/>
      <w:bookmarkEnd w:id="417"/>
      <w:r>
        <w:rPr>
          <w:rtl w:val="true"/>
        </w:rPr>
        <w:t>ذكر الضمير المستتر</w:t>
      </w:r>
      <w:bookmarkEnd w:id="418"/>
    </w:p>
    <w:p>
      <w:pPr>
        <w:pStyle w:val="BookText"/>
        <w:rPr/>
      </w:pPr>
      <w:r>
        <w:rPr>
          <w:rStyle w:val="FootnoteAnchor"/>
          <w:rtl w:val="true"/>
        </w:rPr>
        <w:footnoteReference w:id="11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كلّ مضمر محتاج إليه لم يضعوا له لفظا يخصّه ، واستغنوا بدلالة سياق الكلام عليه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قام ، زيد منطلق ، فلا بدّ في قام ومنطلق من ضمير يعود على زيد وهو ضمير لم يضعوا له لفظا ، فلا يقال إنّه محذوف ، بخلاف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الذي ضربت ، فإنّه لا بدّ من ضمير مفعول لضربت يعود على الذي ؛ لكنّه محذوف لأنّ له لفظا يخصّه ، ويجوز ذكره فكان المحذوف فيه محققا بخلاف الضمير في زيد منطلق لما ذكر </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والضمير المرفوع المتصل خاصة يستتر </w:t>
      </w:r>
      <w:r>
        <w:rPr>
          <w:rStyle w:val="FootnoteAnchor"/>
          <w:rtl w:val="true"/>
        </w:rPr>
        <w:footnoteReference w:id="1151"/>
      </w:r>
      <w:r>
        <w:rPr>
          <w:rFonts w:ascii="Amiri" w:hAnsi="Amiri" w:eastAsia="Amiri" w:cs="Amiri"/>
          <w:color w:val="111111"/>
          <w:sz w:val="28"/>
          <w:sz w:val="28"/>
          <w:szCs w:val="28"/>
          <w:rtl w:val="true"/>
          <w:lang w:bidi="ar-SA"/>
        </w:rPr>
        <w:t xml:space="preserve">في الفعل الماضي للمذكّر الغائب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ضرب ، وللغائبة بقرينة تاء التأنيث الساكنة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هند ضربت ، وإنما استتر المرفوع المتصل بخلاف المنصوب والمجرور المتصلين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وله ، لشدّة اتصال المرفوع بالعامل دونهما ، ويستتر الضمير المذكور أيضا في المضارع للمتكلّم مطلقا ، للمفرد وغيره لقيام القرينة ، إذ الهمزة قرينة المفرد المتكلّم ، والنون قرينة غيره مطلقا ، ويستتر أيضا في المضارع للمخاطب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تقوم ، وللغائب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يقوم ، ويستتر أيضا في فعل الأمر للمخاطب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وللمؤنّث الغائبة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هند تقوم ، بخلاف المخاطبة والمخاطبين المذكّرين والمخاطبتين المؤنّثتين والمخاطبات ، فإنّه أبرز في ذلك لرفع الالتباس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تضربين فالياء ضمير المؤنّث ، وزعم الأخفش أنها علامة التأنيث </w:t>
      </w:r>
      <w:r>
        <w:rPr>
          <w:rStyle w:val="FootnoteAnchor"/>
          <w:rtl w:val="true"/>
        </w:rPr>
        <w:footnoteReference w:id="1152"/>
      </w:r>
      <w:r>
        <w:rPr>
          <w:rFonts w:ascii="Amiri" w:hAnsi="Amiri" w:eastAsia="Amiri" w:cs="Amiri"/>
          <w:color w:val="111111"/>
          <w:sz w:val="28"/>
          <w:sz w:val="28"/>
          <w:szCs w:val="28"/>
          <w:rtl w:val="true"/>
          <w:lang w:bidi="ar-SA"/>
        </w:rPr>
        <w:t xml:space="preserve">وأنّ الضمير مستكنّ كما في المذكّر ، وهو مردود ؛ لأنّ الياء في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تقومين وتضربين لو كانت للتأنيث لما فارقت في التثنية ، وكان يلزم أن يقال ؛ تقوميان لكنّها فارقت ، فهي ضمير متصل بارز ، وكذلك ألف تضربان ونون تضربن ، وتضربان مشترك بين المخاطبين المذكّرين والمخاطبتين المؤنّثتين ، ويستتر الضمير </w:t>
      </w:r>
      <w:bookmarkStart w:id="419" w:name="pg14482_156218"/>
    </w:p>
    <w:p>
      <w:pPr>
        <w:pStyle w:val="BookText"/>
        <w:rPr/>
      </w:pPr>
      <w:bookmarkEnd w:id="419"/>
      <w:r>
        <w:rPr>
          <w:rFonts w:ascii="Amiri" w:hAnsi="Amiri" w:eastAsia="Amiri" w:cs="Amiri"/>
          <w:color w:val="111111"/>
          <w:sz w:val="28"/>
          <w:sz w:val="28"/>
          <w:szCs w:val="28"/>
          <w:rtl w:val="true"/>
          <w:lang w:bidi="ar-SA"/>
        </w:rPr>
        <w:t xml:space="preserve">المذكور أيضا في الصفة مطلقا ، مفردا كان أو مثنّى أو مجموعا ومذكّرا كان أو مؤنّثا ، سواء كانت الصفة اسم فاعل أو مفعول أو غيرهما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ضارب وهند ضاربة والزيدان ضاربان والهندان ضاربتان والزيدون ضاربون والهندات ضاربات ، وكذلك مضروب ومضروبة ومضروبين ومضروبين ومضروبتين ومضروبات فالألف في ضاربان والواو في ضاربون ، إنّما هما علامتا الإعراب ، ودالّتان على التثنية والجمع ، وليستا بضميرين ، لأنّهما لو كانا ضميرين لم يتغيّرا في النصب والجرّ ، والضمائر مع ثبوت عواملها لا تتغيّر عن حالها ، ألا ترى أنّ الياء في تضربين ، والنون في تضربن والواو في تضربون والألف في تضربان ، لا تتغيّر </w:t>
      </w:r>
      <w:r>
        <w:rPr>
          <w:rStyle w:val="FootnoteAnchor"/>
          <w:rtl w:val="true"/>
        </w:rPr>
        <w:footnoteReference w:id="1153"/>
      </w:r>
      <w:r>
        <w:rPr>
          <w:rFonts w:ascii="Amiri" w:hAnsi="Amiri" w:eastAsia="Amiri" w:cs="Amiri"/>
          <w:color w:val="111111"/>
          <w:sz w:val="28"/>
          <w:sz w:val="28"/>
          <w:szCs w:val="28"/>
          <w:rtl w:val="true"/>
          <w:lang w:bidi="ar-SA"/>
        </w:rPr>
        <w:t>بوجه ، لأنّها ضمائر ، فلو كانت ألف ضاربان وواو ضاربون وياء ضاربين ضمائر لما تغيّرت</w:t>
      </w:r>
      <w:r>
        <w:rPr>
          <w:rFonts w:eastAsia="Amiri" w:cs="Amiri" w:ascii="Amiri" w:hAnsi="Amiri"/>
          <w:color w:val="111111"/>
          <w:sz w:val="28"/>
          <w:szCs w:val="28"/>
          <w:rtl w:val="true"/>
          <w:lang w:bidi="ar-SA"/>
        </w:rPr>
        <w:t>.</w:t>
      </w:r>
    </w:p>
    <w:p>
      <w:pPr>
        <w:pStyle w:val="Heading6"/>
        <w:numPr>
          <w:ilvl w:val="5"/>
          <w:numId w:val="1"/>
        </w:numPr>
        <w:rPr/>
      </w:pPr>
      <w:bookmarkStart w:id="420" w:name="__RefHeading___Toc716826_996550957"/>
      <w:bookmarkStart w:id="421" w:name="_Toc154"/>
      <w:bookmarkEnd w:id="420"/>
      <w:r>
        <w:rPr>
          <w:rtl w:val="true"/>
        </w:rPr>
        <w:t>ذكر أحكام الضمير المنفصل</w:t>
      </w:r>
      <w:bookmarkEnd w:id="421"/>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يعدلون إلى الضمير المنفصل إلّا عند تعذّر المتصل لأنّه أخصر ، فالتزموه ما لم يمنع مانع </w:t>
      </w:r>
      <w:r>
        <w:rPr>
          <w:rStyle w:val="FootnoteAnchor"/>
          <w:rtl w:val="true"/>
        </w:rPr>
        <w:footnoteReference w:id="1155"/>
      </w:r>
      <w:r>
        <w:rPr>
          <w:rFonts w:ascii="Amiri" w:hAnsi="Amiri" w:eastAsia="Amiri" w:cs="Amiri"/>
          <w:color w:val="111111"/>
          <w:sz w:val="28"/>
          <w:sz w:val="28"/>
          <w:szCs w:val="28"/>
          <w:rtl w:val="true"/>
          <w:lang w:bidi="ar-SA"/>
        </w:rPr>
        <w:t xml:space="preserve">، ويتعذّر الاتصال إمّا بتقديم الضمير على عامله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نَعْبُدُ وَإِيَّاكَ نَسْتَعِينُ</w:t>
      </w:r>
      <w:r>
        <w:rPr>
          <w:rFonts w:eastAsia="Amiri" w:cs="Amiri" w:ascii="Amiri" w:hAnsi="Amiri"/>
          <w:color w:val="111111"/>
          <w:sz w:val="28"/>
          <w:szCs w:val="28"/>
          <w:rtl w:val="true"/>
          <w:lang w:bidi="ar-SA"/>
        </w:rPr>
        <w:t>)</w:t>
      </w:r>
      <w:r>
        <w:rPr>
          <w:rStyle w:val="FootnoteAnchor"/>
          <w:rtl w:val="true"/>
        </w:rPr>
        <w:footnoteReference w:id="1156"/>
      </w:r>
      <w:r>
        <w:rPr>
          <w:rFonts w:ascii="Amiri" w:hAnsi="Amiri" w:eastAsia="Amiri" w:cs="Amiri"/>
          <w:color w:val="111111"/>
          <w:sz w:val="28"/>
          <w:sz w:val="28"/>
          <w:szCs w:val="28"/>
          <w:rtl w:val="true"/>
          <w:lang w:bidi="ar-SA"/>
        </w:rPr>
        <w:t xml:space="preserve">وإمّا بالفصل بين الضمير وبين عامله لغرض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ضربت إلّا إيّاك ، وما ضربك إلّا أنا ، بخلاف ضربك أنا ؛ فإنّه فصل لغير غرض ، لأن ضربك أنا ، وضربتك لا يختلف في المعنى ، وإمّا بأن يحذف العامل في الضمير فإنّه إذا حذف تعذّر إتصال الضمير به فيجب انفصاله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من أكرمت؟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 ولو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أكرمتك لأتيت بالضمير متصلا </w:t>
      </w:r>
      <w:r>
        <w:rPr>
          <w:rStyle w:val="FootnoteAnchor"/>
          <w:rtl w:val="true"/>
        </w:rPr>
        <w:footnoteReference w:id="1157"/>
      </w:r>
      <w:r>
        <w:rPr>
          <w:rFonts w:ascii="Amiri" w:hAnsi="Amiri" w:eastAsia="Amiri" w:cs="Amiri"/>
          <w:color w:val="111111"/>
          <w:sz w:val="28"/>
          <w:sz w:val="28"/>
          <w:szCs w:val="28"/>
          <w:rtl w:val="true"/>
          <w:lang w:bidi="ar-SA"/>
        </w:rPr>
        <w:t xml:space="preserve">، أو يكون العامل معنويّا كالمبتدإ أو الخبر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زيد وأنت قائم ، لأنّه إذا كان معنويّا تعذّر الاتصال به ، إذ لا يتصل لفظ بما ليس بلفظ ، فيمتنع اتصال الضمير لامتناع اتصال الملفوظ بما ليس بملفوظ ، وكذلك يتعذّر الاتصال إذا كان العامل في الضمير حرفا والضمير مرفوع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قائما ، لأنّه لو اتصل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مضمر لاستتر 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قائما والحروف لا استتار فيها ، </w:t>
      </w:r>
      <w:bookmarkStart w:id="422" w:name="pg14482_156219"/>
    </w:p>
    <w:p>
      <w:pPr>
        <w:pStyle w:val="BookText"/>
        <w:rPr/>
      </w:pPr>
      <w:bookmarkEnd w:id="422"/>
      <w:r>
        <w:rPr>
          <w:rFonts w:ascii="Amiri" w:hAnsi="Amiri" w:eastAsia="Amiri" w:cs="Amiri"/>
          <w:color w:val="111111"/>
          <w:sz w:val="28"/>
          <w:sz w:val="28"/>
          <w:szCs w:val="28"/>
          <w:rtl w:val="true"/>
          <w:lang w:bidi="ar-SA"/>
        </w:rPr>
        <w:t xml:space="preserve">وإنّما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والضمير مرفوع ، ليخرج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وأخواتها ، وحروف الجر ، فإنّها حروف ويتصل بها الضمير بارزا ، لأنّه إمّا منصوب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أو مجرور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فلا يؤدي إلى استتار </w:t>
      </w:r>
      <w:r>
        <w:rPr>
          <w:rStyle w:val="FootnoteAnchor"/>
          <w:rtl w:val="true"/>
        </w:rPr>
        <w:footnoteReference w:id="1158"/>
      </w:r>
      <w:r>
        <w:rPr>
          <w:rFonts w:ascii="Amiri" w:hAnsi="Amiri" w:eastAsia="Amiri" w:cs="Amiri"/>
          <w:color w:val="111111"/>
          <w:sz w:val="28"/>
          <w:sz w:val="28"/>
          <w:szCs w:val="28"/>
          <w:rtl w:val="true"/>
          <w:lang w:bidi="ar-SA"/>
        </w:rPr>
        <w:t xml:space="preserve">، وكذلك يجب إنفصال الضمير على ما يقتضيه من هو له إذا كان الضمير مرفوعا بصفة جرت على غير من هي له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عمرو ضاربه هو ، فتفصل الضمير خوف اللّبس لأنك لو اقتصرت على الضمير المتصل لم يعلم الضارب من هو ، وبالمنفصل علم أنه زيد ؛ لكون الضارب يقع للضمائر بلفظ واحد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ضارب وأنت ضارب وهو ضارب ، بخلاف الفعل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زيد أضربه ، فإنه يعلم بالهمزة أنّ الفعل للمتكلّم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زيد يضربني ، يعلم بياء المضارعة أنّ الفعل لزيد ، ولمّا التبس في باب ضارب التزموا إبرازه أيضا فيما لا يلتبس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هند زيد ضاربته هي ، طردا للباب ، فهند مبتدأ وزيد مبتدأ ثان ، وضاربته خبر المبتدإ الثاني ، والضمير المنفصل أعني هي فاعل ضاربته ، ووجب انفصاله لأنّ ضاربته التي هي الصفة قد جرت على غير من هي له ، لأنّها خبر زيد ، وهي في المعنى هند ، والجملة في محل الرفع لأنّها </w:t>
      </w:r>
      <w:r>
        <w:rPr>
          <w:rStyle w:val="FootnoteAnchor"/>
          <w:rtl w:val="true"/>
        </w:rPr>
        <w:footnoteReference w:id="1159"/>
      </w:r>
      <w:r>
        <w:rPr>
          <w:rFonts w:ascii="IRNazanin" w:hAnsi="IRNazanin" w:eastAsia="IRNazanin"/>
          <w:color w:val="111111"/>
          <w:sz w:val="28"/>
          <w:sz w:val="28"/>
          <w:szCs w:val="28"/>
          <w:rtl w:val="true"/>
          <w:lang w:bidi="fa-IR"/>
        </w:rPr>
        <w:t xml:space="preserve">خبر المبتدإ الأول </w:t>
      </w:r>
      <w:r>
        <w:rPr>
          <w:rStyle w:val="FootnoteAnchor"/>
          <w:rtl w:val="true"/>
        </w:rPr>
        <w:footnoteReference w:id="1160"/>
      </w:r>
      <w:r>
        <w:rPr>
          <w:rFonts w:ascii="Amiri" w:hAnsi="Amiri" w:eastAsia="Amiri" w:cs="Amiri"/>
          <w:color w:val="111111"/>
          <w:sz w:val="28"/>
          <w:sz w:val="28"/>
          <w:szCs w:val="28"/>
          <w:rtl w:val="true"/>
          <w:lang w:bidi="ar-SA"/>
        </w:rPr>
        <w:t xml:space="preserve">والكوفيون لا يشترطون انفصال الضمير في مثل ذلك ، ويجرونه مجرى الفعل ، فكما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هند زيد تضربه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هند زيد ضاربته ،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الهندان الزيدان ضاربتاهما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تضربانهما </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23" w:name="__RefHeading___Toc716828_996550957"/>
      <w:bookmarkStart w:id="424" w:name="_Toc155"/>
      <w:bookmarkEnd w:id="423"/>
      <w:r>
        <w:rPr>
          <w:rtl w:val="true"/>
        </w:rPr>
        <w:t>ذكر الضمائر التي يجوز فيها الاتصال والانفصال</w:t>
      </w:r>
      <w:bookmarkEnd w:id="424"/>
    </w:p>
    <w:p>
      <w:pPr>
        <w:pStyle w:val="BookText"/>
        <w:rPr/>
      </w:pPr>
      <w:r>
        <w:rPr>
          <w:rStyle w:val="FootnoteAnchor"/>
          <w:rtl w:val="true"/>
        </w:rPr>
        <w:footnoteReference w:id="11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عدّة ضمائر </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المضمران إذا لم يكن أحدهما مرفوعا ، وكان أحدهما أعرف وقدّمته جاز في الثاني الاتصال والانفصال </w:t>
      </w:r>
      <w:r>
        <w:rPr>
          <w:rStyle w:val="FootnoteAnchor"/>
          <w:rtl w:val="true"/>
        </w:rPr>
        <w:footnoteReference w:id="1163"/>
      </w:r>
      <w:r>
        <w:rPr>
          <w:rFonts w:ascii="Amiri" w:hAnsi="Amiri" w:eastAsia="Amiri" w:cs="Amiri"/>
          <w:color w:val="111111"/>
          <w:sz w:val="28"/>
          <w:sz w:val="28"/>
          <w:szCs w:val="28"/>
          <w:rtl w:val="true"/>
          <w:lang w:bidi="ar-SA"/>
        </w:rPr>
        <w:t xml:space="preserve">سواء كانا منصوبين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الدرهم أعطيتكه أو </w:t>
      </w:r>
    </w:p>
    <w:p>
      <w:pPr>
        <w:pStyle w:val="BookText"/>
        <w:rPr/>
      </w:pPr>
      <w:r>
        <w:rPr>
          <w:rFonts w:ascii="Amiri" w:hAnsi="Amiri" w:eastAsia="Amiri" w:cs="Amiri"/>
          <w:color w:val="111111"/>
          <w:sz w:val="28"/>
          <w:sz w:val="28"/>
          <w:szCs w:val="28"/>
          <w:rtl w:val="true"/>
          <w:lang w:bidi="ar-SA"/>
        </w:rPr>
        <w:t xml:space="preserve">أحدهما منصوبا والآخر مجرورا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ضربيك </w:t>
      </w:r>
      <w:r>
        <w:rPr>
          <w:rStyle w:val="FootnoteAnchor"/>
          <w:rtl w:val="true"/>
        </w:rPr>
        <w:footnoteReference w:id="1164"/>
      </w:r>
      <w:r>
        <w:rPr>
          <w:rFonts w:ascii="Amiri" w:hAnsi="Amiri" w:eastAsia="Amiri" w:cs="Amiri"/>
          <w:color w:val="111111"/>
          <w:sz w:val="28"/>
          <w:sz w:val="28"/>
          <w:szCs w:val="28"/>
          <w:rtl w:val="true"/>
          <w:lang w:bidi="ar-SA"/>
        </w:rPr>
        <w:t xml:space="preserve">ففي أعطيتكه ضميران الكاف والهاء ، وليس أحدهما مرفوعا ، وكاف الخطاب متقدّمة وهي أعرف من الهاء التي للغائب فجاز أعطيتكه وأعطيتك إيّاه ، وكذلك جاز ضربيك وضربي إيّاك ، أما وجه الاتصال فلإمكانه مع عدم الاستثقال ، وأمّا وجه الانفصال فلإيهام ثلاث كلمات كواحدة فإن لم يكن أحدهما أعرف أو كان ، ولكن لم يقدّم الأعرف وجب الانفصال ، وقد جاء ذلك في الغائبين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أعطاهاه ، وأعطاهوها ، وهو شاذ </w:t>
      </w:r>
      <w:r>
        <w:rPr>
          <w:rStyle w:val="FootnoteAnchor"/>
          <w:rtl w:val="true"/>
        </w:rPr>
        <w:footnoteReference w:id="1165"/>
      </w:r>
      <w:r>
        <w:rPr>
          <w:rFonts w:ascii="Amiri" w:hAnsi="Amiri" w:eastAsia="Amiri" w:cs="Amiri"/>
          <w:color w:val="111111"/>
          <w:sz w:val="28"/>
          <w:sz w:val="28"/>
          <w:szCs w:val="28"/>
          <w:rtl w:val="true"/>
          <w:lang w:bidi="ar-SA"/>
        </w:rPr>
        <w:t xml:space="preserve">وإنّما لم يجز ذلك إذا كان أحدهما مرفوعا لأنّه إذا أتى الضمير متصلا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ضربتك ، تعيّن الاتصال ولم يجز الانفصال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المضمر الواقع خبرا لكان ، فإنّ فيه لغتين ؛ المختار منهما أن يكون منفصلا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عالم وكان عمرو إيّاه ، لأنّ خبر كان وأخواتها في الأصل إنما هو خبر مبتدأ ، وخبر المبتدأ إذا كان ضميرا لم يقع إلّا منفصلا قال الشّاعر </w:t>
      </w:r>
      <w:r>
        <w:rPr>
          <w:rFonts w:eastAsia="Amiri" w:cs="Amiri" w:ascii="Amiri" w:hAnsi="Amiri"/>
          <w:color w:val="111111"/>
          <w:sz w:val="28"/>
          <w:szCs w:val="28"/>
          <w:rtl w:val="true"/>
          <w:lang w:bidi="ar-SA"/>
        </w:rPr>
        <w:t xml:space="preserve">: </w:t>
      </w:r>
      <w:r>
        <w:rPr>
          <w:rStyle w:val="FootnoteAnchor"/>
          <w:rtl w:val="true"/>
        </w:rPr>
        <w:footnoteReference w:id="1166"/>
      </w:r>
    </w:p>
    <w:p>
      <w:pPr>
        <w:pStyle w:val="BookText"/>
        <w:rPr/>
      </w:pPr>
      <w:r>
        <w:rPr>
          <w:rFonts w:ascii="Amiri" w:hAnsi="Amiri" w:eastAsia="Amiri" w:cs="Amiri"/>
          <w:color w:val="111111"/>
          <w:sz w:val="28"/>
          <w:sz w:val="28"/>
          <w:szCs w:val="28"/>
          <w:rtl w:val="true"/>
          <w:lang w:bidi="ar-SA"/>
        </w:rPr>
        <w:t>ليت هذا الليل شهر</w:t>
      </w:r>
    </w:p>
    <w:p>
      <w:pPr>
        <w:pStyle w:val="BookText"/>
        <w:rPr/>
      </w:pPr>
      <w:r>
        <w:rPr>
          <w:rFonts w:ascii="Amiri" w:hAnsi="Amiri" w:eastAsia="Amiri" w:cs="Amiri"/>
          <w:color w:val="111111"/>
          <w:sz w:val="28"/>
          <w:sz w:val="28"/>
          <w:szCs w:val="28"/>
          <w:rtl w:val="true"/>
          <w:lang w:bidi="ar-SA"/>
        </w:rPr>
        <w:t>لا نرى فيه غريبا</w:t>
      </w:r>
    </w:p>
    <w:p>
      <w:pPr>
        <w:pStyle w:val="BookText"/>
        <w:rPr/>
      </w:pPr>
      <w:r>
        <w:rPr>
          <w:rFonts w:ascii="Amiri" w:hAnsi="Amiri" w:eastAsia="Amiri" w:cs="Amiri"/>
          <w:color w:val="111111"/>
          <w:sz w:val="28"/>
          <w:sz w:val="28"/>
          <w:szCs w:val="28"/>
          <w:rtl w:val="true"/>
          <w:lang w:bidi="ar-SA"/>
        </w:rPr>
        <w:t>غير أسماء وجمل</w:t>
      </w:r>
    </w:p>
    <w:p>
      <w:pPr>
        <w:pStyle w:val="BookText"/>
        <w:rPr/>
      </w:pPr>
      <w:r>
        <w:rPr>
          <w:rFonts w:ascii="Amiri" w:hAnsi="Amiri" w:eastAsia="Amiri" w:cs="Amiri"/>
          <w:color w:val="111111"/>
          <w:sz w:val="28"/>
          <w:sz w:val="28"/>
          <w:szCs w:val="28"/>
          <w:rtl w:val="true"/>
          <w:lang w:bidi="ar-SA"/>
        </w:rPr>
        <w:t>ثم لا نخشى رقيبا</w:t>
      </w:r>
    </w:p>
    <w:p>
      <w:pPr>
        <w:pStyle w:val="BookText"/>
        <w:rPr/>
      </w:pPr>
      <w:r>
        <w:rPr>
          <w:rFonts w:ascii="Amiri" w:hAnsi="Amiri" w:eastAsia="Amiri" w:cs="Amiri"/>
          <w:color w:val="111111"/>
          <w:sz w:val="28"/>
          <w:sz w:val="28"/>
          <w:szCs w:val="28"/>
          <w:rtl w:val="true"/>
          <w:lang w:bidi="ar-SA"/>
        </w:rPr>
        <w:t xml:space="preserve">وقد سجل الخلاف حول قائلهما البغدادي في خزانة الأدب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ونسبهما الرضي في شرح الكافية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البيتان من غير نسبة في الكتاب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والمقتضب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والمنصف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 المفصل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أحدا ، فعيل بمعنى مفعل أي متكلما يخبر عنا ويعرب عن حالنا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ليت هذا الليل شهر</w:t>
      </w:r>
    </w:p>
    <w:p>
      <w:pPr>
        <w:pStyle w:val="BookText"/>
        <w:rPr/>
      </w:pPr>
      <w:r>
        <w:rPr>
          <w:rFonts w:ascii="Amiri" w:hAnsi="Amiri" w:eastAsia="Amiri" w:cs="Amiri"/>
          <w:color w:val="111111"/>
          <w:sz w:val="28"/>
          <w:sz w:val="28"/>
          <w:szCs w:val="28"/>
          <w:rtl w:val="true"/>
          <w:lang w:bidi="ar-SA"/>
        </w:rPr>
        <w:t>لا نرى فيه عريبا</w:t>
      </w:r>
    </w:p>
    <w:p>
      <w:pPr>
        <w:pStyle w:val="BookText"/>
        <w:rPr/>
      </w:pPr>
      <w:r>
        <w:rPr>
          <w:rFonts w:ascii="Amiri" w:hAnsi="Amiri" w:eastAsia="Amiri" w:cs="Amiri"/>
          <w:color w:val="111111"/>
          <w:sz w:val="28"/>
          <w:sz w:val="28"/>
          <w:szCs w:val="28"/>
          <w:rtl w:val="true"/>
          <w:lang w:bidi="ar-SA"/>
        </w:rPr>
        <w:t>ليس إيّاي وإيّا</w:t>
      </w:r>
    </w:p>
    <w:p>
      <w:pPr>
        <w:pStyle w:val="BookText"/>
        <w:rPr/>
      </w:pPr>
      <w:r>
        <w:rPr>
          <w:rFonts w:ascii="Amiri" w:hAnsi="Amiri" w:eastAsia="Amiri" w:cs="Amiri"/>
          <w:color w:val="111111"/>
          <w:sz w:val="28"/>
          <w:sz w:val="28"/>
          <w:szCs w:val="28"/>
          <w:rtl w:val="true"/>
          <w:lang w:bidi="ar-SA"/>
        </w:rPr>
        <w:t>ك ولا نخشى رقيبا</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وعريب بالعين المهملة بمعنى أحد ، وأمّا على غير الأشهر فيجوز أن يقع متصلا تشبيها له بالمفعول فكما يتصل ضمير المفعول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ضربته ، فكذلك يتصل خبر كان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كنته ، ومنه قول أبي الأسود الدؤلي </w:t>
      </w:r>
      <w:r>
        <w:rPr>
          <w:rFonts w:eastAsia="Amiri" w:cs="Amiri" w:ascii="Amiri" w:hAnsi="Amiri"/>
          <w:color w:val="111111"/>
          <w:sz w:val="28"/>
          <w:szCs w:val="28"/>
          <w:rtl w:val="true"/>
          <w:lang w:bidi="ar-SA"/>
        </w:rPr>
        <w:t xml:space="preserve">: </w:t>
      </w:r>
      <w:r>
        <w:rPr>
          <w:rStyle w:val="FootnoteAnchor"/>
          <w:rtl w:val="true"/>
        </w:rPr>
        <w:footnoteReference w:id="1167"/>
      </w:r>
      <w:bookmarkStart w:id="425" w:name="pg14482_156221"/>
    </w:p>
    <w:p>
      <w:pPr>
        <w:pStyle w:val="BookText"/>
        <w:rPr/>
      </w:pPr>
      <w:bookmarkEnd w:id="425"/>
      <w:r>
        <w:rPr>
          <w:rFonts w:ascii="Amiri" w:hAnsi="Amiri" w:eastAsia="Amiri" w:cs="Amiri"/>
          <w:color w:val="111111"/>
          <w:sz w:val="28"/>
          <w:sz w:val="28"/>
          <w:szCs w:val="28"/>
          <w:rtl w:val="true"/>
          <w:lang w:bidi="ar-SA"/>
        </w:rPr>
        <w:t>ذر الخمر يشربها الغواة فإنّني</w:t>
      </w:r>
    </w:p>
    <w:p>
      <w:pPr>
        <w:pStyle w:val="BookText"/>
        <w:rPr/>
      </w:pPr>
      <w:r>
        <w:rPr>
          <w:rFonts w:ascii="Amiri" w:hAnsi="Amiri" w:eastAsia="Amiri" w:cs="Amiri"/>
          <w:color w:val="111111"/>
          <w:sz w:val="28"/>
          <w:sz w:val="28"/>
          <w:szCs w:val="28"/>
          <w:rtl w:val="true"/>
          <w:lang w:bidi="ar-SA"/>
        </w:rPr>
        <w:t>رأيت أخاها مجزيا بمكانها</w:t>
      </w:r>
    </w:p>
    <w:p>
      <w:pPr>
        <w:pStyle w:val="BookText"/>
        <w:rPr/>
      </w:pPr>
      <w:r>
        <w:rPr>
          <w:rFonts w:ascii="Amiri" w:hAnsi="Amiri" w:eastAsia="Amiri" w:cs="Amiri"/>
          <w:color w:val="111111"/>
          <w:sz w:val="28"/>
          <w:sz w:val="28"/>
          <w:szCs w:val="28"/>
          <w:rtl w:val="true"/>
          <w:lang w:bidi="ar-SA"/>
        </w:rPr>
        <w:t>فإن لا يكنها أو تكنه فإنّه</w:t>
      </w:r>
    </w:p>
    <w:p>
      <w:pPr>
        <w:pStyle w:val="BookText"/>
        <w:rPr/>
      </w:pPr>
      <w:r>
        <w:rPr>
          <w:rFonts w:ascii="IRNazanin" w:hAnsi="IRNazanin" w:eastAsia="IRNazanin"/>
          <w:color w:val="111111"/>
          <w:sz w:val="28"/>
          <w:sz w:val="28"/>
          <w:szCs w:val="28"/>
          <w:rtl w:val="true"/>
          <w:lang w:bidi="fa-IR"/>
        </w:rPr>
        <w:t>أخوها غذته أمّها بلبانها</w:t>
      </w:r>
    </w:p>
    <w:p>
      <w:pPr>
        <w:pStyle w:val="BookText"/>
        <w:rPr/>
      </w:pPr>
      <w:r>
        <w:rPr>
          <w:rFonts w:ascii="Amiri" w:hAnsi="Amiri" w:eastAsia="Amiri" w:cs="Amiri"/>
          <w:color w:val="111111"/>
          <w:sz w:val="28"/>
          <w:sz w:val="28"/>
          <w:szCs w:val="28"/>
          <w:rtl w:val="true"/>
          <w:lang w:bidi="ar-SA"/>
        </w:rPr>
        <w:t xml:space="preserve">ولو فصل لقال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فإلّا يكن إيّاها أو تكن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المضمر الواقع بعد لو لا ، فإنّ فيه لغتين </w:t>
      </w:r>
      <w:r>
        <w:rPr>
          <w:rStyle w:val="FootnoteAnchor"/>
          <w:rtl w:val="true"/>
        </w:rPr>
        <w:footnoteReference w:id="1168"/>
      </w:r>
      <w:r>
        <w:rPr>
          <w:rFonts w:ascii="Amiri" w:hAnsi="Amiri" w:eastAsia="Amiri" w:cs="Amiri"/>
          <w:color w:val="111111"/>
          <w:sz w:val="28"/>
          <w:sz w:val="28"/>
          <w:szCs w:val="28"/>
          <w:rtl w:val="true"/>
          <w:lang w:bidi="ar-SA"/>
        </w:rPr>
        <w:t xml:space="preserve">أيضا ، أكثرهما أن يكون مرفوعا منفصلا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أنت ولو لا نحن إلى لولاهنّ ،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أَنْتُمْ لَكُنَّا مُؤْمِنِينَ</w:t>
      </w:r>
      <w:r>
        <w:rPr>
          <w:rFonts w:eastAsia="Amiri" w:cs="Amiri" w:ascii="Amiri" w:hAnsi="Amiri"/>
          <w:color w:val="111111"/>
          <w:sz w:val="28"/>
          <w:szCs w:val="28"/>
          <w:rtl w:val="true"/>
          <w:lang w:bidi="ar-SA"/>
        </w:rPr>
        <w:t>)</w:t>
      </w:r>
      <w:r>
        <w:rPr>
          <w:rStyle w:val="FootnoteAnchor"/>
          <w:rtl w:val="true"/>
        </w:rPr>
        <w:footnoteReference w:id="1169"/>
      </w:r>
      <w:r>
        <w:rPr>
          <w:rFonts w:ascii="Amiri" w:hAnsi="Amiri" w:eastAsia="Amiri" w:cs="Amiri"/>
          <w:color w:val="111111"/>
          <w:sz w:val="28"/>
          <w:sz w:val="28"/>
          <w:szCs w:val="28"/>
          <w:rtl w:val="true"/>
          <w:lang w:bidi="ar-SA"/>
        </w:rPr>
        <w:t xml:space="preserve">وأما وجوب رفعه فلأنّ الضمير كناية عن المظهر ، ولم يأت المظهر بعد لو لا إلّا مرفوعا ، فوجب أن يكون المضمر كذلك ورفعه بالابتداء عند البصريين ، وبفعل مضمر عند الكوفيين </w:t>
      </w:r>
      <w:r>
        <w:rPr>
          <w:rStyle w:val="FootnoteAnchor"/>
          <w:rtl w:val="true"/>
        </w:rPr>
        <w:footnoteReference w:id="1170"/>
      </w:r>
      <w:r>
        <w:rPr>
          <w:rFonts w:ascii="Amiri" w:hAnsi="Amiri" w:eastAsia="Amiri" w:cs="Amiri"/>
          <w:color w:val="111111"/>
          <w:sz w:val="28"/>
          <w:sz w:val="28"/>
          <w:szCs w:val="28"/>
          <w:rtl w:val="true"/>
          <w:lang w:bidi="ar-SA"/>
        </w:rPr>
        <w:t xml:space="preserve">وأمّا وجوب مجيئه منفصلا ، فلأنّه عند البصريين مبتدأ ، فوجب فصله لعدم ما يتصل به ، وأمّا عند الكوفيين فيجب فصله لحذف الفعل الرافع له وهو مثل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أنت قمت قمت ، وأمّا لغة إتصاله فستذكر مع عسى</w:t>
      </w:r>
      <w:r>
        <w:rPr>
          <w:rFonts w:eastAsia="Amiri" w:cs="Amiri" w:ascii="Amiri" w:hAnsi="Amiri"/>
          <w:color w:val="111111"/>
          <w:sz w:val="28"/>
          <w:szCs w:val="28"/>
          <w:rtl w:val="true"/>
          <w:lang w:bidi="ar-SA"/>
        </w:rPr>
        <w:t>.</w:t>
      </w:r>
    </w:p>
    <w:p>
      <w:pPr>
        <w:pStyle w:val="Heading6"/>
        <w:numPr>
          <w:ilvl w:val="5"/>
          <w:numId w:val="1"/>
        </w:numPr>
        <w:rPr/>
      </w:pPr>
      <w:bookmarkStart w:id="426" w:name="__RefHeading___Toc716830_996550957"/>
      <w:bookmarkStart w:id="427" w:name="_Toc156"/>
      <w:bookmarkEnd w:id="426"/>
      <w:r>
        <w:rPr>
          <w:rtl w:val="true"/>
        </w:rPr>
        <w:t>ذكر المضمر الواقع بعد عسى</w:t>
      </w:r>
      <w:bookmarkEnd w:id="427"/>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المضمر الواقع بعد عسى لا يكون إلّا متصلا ولكن فيه لغتان ، باعتبار كونه ضميرا مرفوعا ، أو غير مرفوع فاللغة الكثيرة منها أن يكون مرفوعا متصلا </w:t>
      </w:r>
      <w:r>
        <w:rPr>
          <w:rStyle w:val="FootnoteAnchor"/>
          <w:rtl w:val="true"/>
        </w:rPr>
        <w:footnoteReference w:id="1172"/>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عسيت عسينا للمتكلّم ، وعسيت عسيتما عسيتم عسيت عسيتنّ للمخاطب ، وعسى عسيا عسوا عست عسين للغائب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رميت رمينا إلى رمين ، وأمّا اللغة التي ليست بكثيرة فهو أنّه جاء بعد لو لا ضمير مجرور ، وبعد عسى ضمير </w:t>
      </w:r>
    </w:p>
    <w:p>
      <w:pPr>
        <w:pStyle w:val="BookText"/>
        <w:rPr/>
      </w:pPr>
      <w:r>
        <w:rPr>
          <w:rFonts w:ascii="Amiri" w:hAnsi="Amiri" w:eastAsia="Amiri" w:cs="Amiri"/>
          <w:color w:val="111111"/>
          <w:sz w:val="28"/>
          <w:sz w:val="28"/>
          <w:szCs w:val="28"/>
          <w:rtl w:val="true"/>
          <w:lang w:bidi="ar-SA"/>
        </w:rPr>
        <w:t xml:space="preserve">منصوب متصل بها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لولاي لولاك لولاه وعساي عساك عساه إلى لو لا هنّ وعساهنّ ، قال الشّاعر </w:t>
      </w:r>
      <w:r>
        <w:rPr>
          <w:rStyle w:val="FootnoteAnchor"/>
          <w:rtl w:val="true"/>
        </w:rPr>
        <w:footnoteReference w:id="1173"/>
      </w:r>
    </w:p>
    <w:p>
      <w:pPr>
        <w:pStyle w:val="BookText"/>
        <w:rPr/>
      </w:pPr>
      <w:r>
        <w:rPr>
          <w:rFonts w:ascii="Amiri" w:hAnsi="Amiri" w:eastAsia="Amiri" w:cs="Amiri"/>
          <w:color w:val="111111"/>
          <w:sz w:val="28"/>
          <w:sz w:val="28"/>
          <w:szCs w:val="28"/>
          <w:rtl w:val="true"/>
          <w:lang w:bidi="ar-SA"/>
        </w:rPr>
        <w:t xml:space="preserve">النّيق بكسر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أرفع الجبل ، والقلّة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استدقّ من رأسه ، ومنهوى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ساقط ، وأجرامه جمع جرم وهو جثته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وكم موطن لولاي طحت كما هوى</w:t>
      </w:r>
    </w:p>
    <w:p>
      <w:pPr>
        <w:pStyle w:val="BookText"/>
        <w:rPr/>
      </w:pPr>
      <w:r>
        <w:rPr>
          <w:rFonts w:ascii="Amiri" w:hAnsi="Amiri" w:eastAsia="Amiri" w:cs="Amiri"/>
          <w:color w:val="111111"/>
          <w:sz w:val="28"/>
          <w:sz w:val="28"/>
          <w:szCs w:val="28"/>
          <w:rtl w:val="true"/>
          <w:lang w:bidi="ar-SA"/>
        </w:rPr>
        <w:t>بأجرامه من قلّة النّيق منهوى</w:t>
      </w:r>
    </w:p>
    <w:p>
      <w:pPr>
        <w:pStyle w:val="BookText"/>
        <w:rPr/>
      </w:pPr>
      <w:r>
        <w:rPr>
          <w:rFonts w:ascii="Amiri" w:hAnsi="Amiri" w:eastAsia="Amiri" w:cs="Amiri"/>
          <w:color w:val="111111"/>
          <w:sz w:val="28"/>
          <w:sz w:val="28"/>
          <w:szCs w:val="28"/>
          <w:rtl w:val="true"/>
          <w:lang w:bidi="ar-SA"/>
        </w:rPr>
        <w:t xml:space="preserve">وقال ابن أبي ربيعة </w:t>
      </w:r>
      <w:r>
        <w:rPr>
          <w:rFonts w:eastAsia="Amiri" w:cs="Amiri" w:ascii="Amiri" w:hAnsi="Amiri"/>
          <w:color w:val="111111"/>
          <w:sz w:val="28"/>
          <w:szCs w:val="28"/>
          <w:rtl w:val="true"/>
          <w:lang w:bidi="ar-SA"/>
        </w:rPr>
        <w:t xml:space="preserve">: </w:t>
      </w:r>
      <w:r>
        <w:rPr>
          <w:rStyle w:val="FootnoteAnchor"/>
          <w:rtl w:val="true"/>
        </w:rPr>
        <w:footnoteReference w:id="1174"/>
      </w:r>
    </w:p>
    <w:p>
      <w:pPr>
        <w:pStyle w:val="BookText"/>
        <w:rPr/>
      </w:pPr>
      <w:r>
        <w:rPr>
          <w:rFonts w:ascii="Amiri" w:hAnsi="Amiri" w:eastAsia="Amiri" w:cs="Amiri"/>
          <w:color w:val="111111"/>
          <w:sz w:val="28"/>
          <w:sz w:val="28"/>
          <w:szCs w:val="28"/>
          <w:rtl w:val="true"/>
          <w:lang w:bidi="ar-SA"/>
        </w:rPr>
        <w:t>أومت بكفّها من الهودج</w:t>
      </w:r>
    </w:p>
    <w:p>
      <w:pPr>
        <w:pStyle w:val="BookText"/>
        <w:rPr/>
      </w:pPr>
      <w:r>
        <w:rPr>
          <w:rFonts w:ascii="Amiri" w:hAnsi="Amiri" w:eastAsia="Amiri" w:cs="Amiri"/>
          <w:color w:val="111111"/>
          <w:sz w:val="28"/>
          <w:sz w:val="28"/>
          <w:szCs w:val="28"/>
          <w:rtl w:val="true"/>
          <w:lang w:bidi="ar-SA"/>
        </w:rPr>
        <w:t>لولاك هذا العام لم أحجج</w:t>
      </w:r>
    </w:p>
    <w:p>
      <w:pPr>
        <w:pStyle w:val="BookText"/>
        <w:rPr/>
      </w:pPr>
      <w:r>
        <w:rPr>
          <w:rFonts w:ascii="Amiri" w:hAnsi="Amiri" w:eastAsia="Amiri" w:cs="Amiri"/>
          <w:color w:val="111111"/>
          <w:sz w:val="28"/>
          <w:sz w:val="28"/>
          <w:szCs w:val="28"/>
          <w:rtl w:val="true"/>
          <w:lang w:bidi="ar-SA"/>
        </w:rPr>
        <w:t xml:space="preserve">وقد اختلف في الضمير المذكور المتصل بلو لا وعسى ، فعند سيبويه </w:t>
      </w:r>
      <w:r>
        <w:rPr>
          <w:rStyle w:val="FootnoteAnchor"/>
          <w:rtl w:val="true"/>
        </w:rPr>
        <w:footnoteReference w:id="1175"/>
      </w:r>
      <w:r>
        <w:rPr>
          <w:rFonts w:ascii="Amiri" w:hAnsi="Amiri" w:eastAsia="Amiri" w:cs="Amiri"/>
          <w:color w:val="111111"/>
          <w:sz w:val="28"/>
          <w:sz w:val="28"/>
          <w:szCs w:val="28"/>
          <w:rtl w:val="true"/>
          <w:lang w:bidi="ar-SA"/>
        </w:rPr>
        <w:t xml:space="preserve">أنّ الياء في لولاي والكاف في لولاك في موضع جرّ لبطلان الرفع والنّصب ، أما بطلان الرفع فلكون الكاف والياء ليسا من ضمائر المرفوع وأمّا النصب فلعدم النّاصب ، فيتعيّن الجرّ 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للولا مع المضمر حال ليس لها مع المظهر كما أنّ للدن حالا مع غدوة ليست لها مع غيرها </w:t>
      </w:r>
      <w:r>
        <w:rPr>
          <w:rStyle w:val="FootnoteAnchor"/>
          <w:rtl w:val="true"/>
        </w:rPr>
        <w:footnoteReference w:id="1176"/>
      </w:r>
      <w:r>
        <w:rPr>
          <w:rFonts w:ascii="Amiri" w:hAnsi="Amiri" w:eastAsia="Amiri" w:cs="Amiri"/>
          <w:color w:val="111111"/>
          <w:sz w:val="28"/>
          <w:sz w:val="28"/>
          <w:szCs w:val="28"/>
          <w:rtl w:val="true"/>
          <w:lang w:bidi="ar-SA"/>
        </w:rPr>
        <w:t xml:space="preserve">، لأنّها تجرّ ما بعدها وتنصب غدوة فقط ، فكذلك لو لا تجرّ المضمر المتصل فقط ، فحالها معه مخالف لحالها مع غيره </w:t>
      </w:r>
      <w:r>
        <w:rPr>
          <w:rStyle w:val="FootnoteAnchor"/>
          <w:rtl w:val="true"/>
        </w:rPr>
        <w:footnoteReference w:id="1177"/>
      </w:r>
      <w:r>
        <w:rPr>
          <w:rFonts w:ascii="Amiri" w:hAnsi="Amiri" w:eastAsia="Amiri" w:cs="Amiri"/>
          <w:color w:val="111111"/>
          <w:sz w:val="28"/>
          <w:sz w:val="28"/>
          <w:szCs w:val="28"/>
          <w:rtl w:val="true"/>
          <w:lang w:bidi="ar-SA"/>
        </w:rPr>
        <w:t xml:space="preserve">وأمّا عسى فعند سيبويه محمولة على لعلّ </w:t>
      </w:r>
      <w:r>
        <w:rPr>
          <w:rStyle w:val="FootnoteAnchor"/>
          <w:rtl w:val="true"/>
        </w:rPr>
        <w:footnoteReference w:id="1178"/>
      </w:r>
    </w:p>
    <w:p>
      <w:pPr>
        <w:pStyle w:val="BookText"/>
        <w:rPr/>
      </w:pPr>
      <w:r>
        <w:rPr>
          <w:rFonts w:ascii="Amiri" w:hAnsi="Amiri" w:eastAsia="Amiri" w:cs="Amiri"/>
          <w:color w:val="111111"/>
          <w:sz w:val="28"/>
          <w:sz w:val="28"/>
          <w:szCs w:val="28"/>
          <w:rtl w:val="true"/>
          <w:lang w:bidi="ar-SA"/>
        </w:rPr>
        <w:t>ولي نفس أقول لها إذا ما</w:t>
      </w:r>
    </w:p>
    <w:p>
      <w:pPr>
        <w:pStyle w:val="BookText"/>
        <w:rPr/>
      </w:pPr>
      <w:r>
        <w:rPr>
          <w:rFonts w:ascii="Amiri" w:hAnsi="Amiri" w:eastAsia="Amiri" w:cs="Amiri"/>
          <w:color w:val="111111"/>
          <w:sz w:val="28"/>
          <w:sz w:val="28"/>
          <w:szCs w:val="28"/>
          <w:rtl w:val="true"/>
          <w:lang w:bidi="ar-SA"/>
        </w:rPr>
        <w:t>تنازعني لعلّي أو عساني</w:t>
      </w:r>
    </w:p>
    <w:p>
      <w:pPr>
        <w:pStyle w:val="BookText"/>
        <w:rPr/>
      </w:pPr>
      <w:r>
        <w:rPr>
          <w:rFonts w:ascii="Amiri" w:hAnsi="Amiri" w:eastAsia="Amiri" w:cs="Amiri"/>
          <w:color w:val="111111"/>
          <w:sz w:val="28"/>
          <w:sz w:val="28"/>
          <w:szCs w:val="28"/>
          <w:rtl w:val="true"/>
          <w:lang w:bidi="ar-SA"/>
        </w:rPr>
        <w:t xml:space="preserve">فلو كانت الكاف مجرورة لقال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عساي ولكنهم جعلوها بمنزلة لعل في هذا الموضع</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فينصب الاسم ، كما حملت لعلّ على عسى</w:t>
      </w:r>
    </w:p>
    <w:p>
      <w:pPr>
        <w:pStyle w:val="BookText"/>
        <w:rPr/>
      </w:pPr>
      <w:r>
        <w:rPr>
          <w:rFonts w:ascii="Amiri" w:hAnsi="Amiri" w:eastAsia="Amiri" w:cs="Amiri"/>
          <w:color w:val="111111"/>
          <w:sz w:val="28"/>
          <w:sz w:val="28"/>
          <w:szCs w:val="28"/>
          <w:rtl w:val="true"/>
          <w:lang w:bidi="ar-SA"/>
        </w:rPr>
        <w:t xml:space="preserve">في دخول أن في خبرها قال الشاعر </w:t>
      </w:r>
      <w:r>
        <w:rPr>
          <w:rFonts w:eastAsia="Amiri" w:cs="Amiri" w:ascii="Amiri" w:hAnsi="Amiri"/>
          <w:color w:val="111111"/>
          <w:sz w:val="28"/>
          <w:szCs w:val="28"/>
          <w:rtl w:val="true"/>
          <w:lang w:bidi="ar-SA"/>
        </w:rPr>
        <w:t xml:space="preserve">: </w:t>
      </w:r>
      <w:r>
        <w:rPr>
          <w:rStyle w:val="FootnoteAnchor"/>
          <w:rtl w:val="true"/>
        </w:rPr>
        <w:footnoteReference w:id="1179"/>
      </w:r>
    </w:p>
    <w:p>
      <w:pPr>
        <w:pStyle w:val="BookText"/>
        <w:rPr/>
      </w:pPr>
      <w:r>
        <w:rPr>
          <w:rFonts w:ascii="Amiri" w:hAnsi="Amiri" w:eastAsia="Amiri" w:cs="Amiri"/>
          <w:color w:val="111111"/>
          <w:sz w:val="28"/>
          <w:sz w:val="28"/>
          <w:szCs w:val="28"/>
          <w:rtl w:val="true"/>
          <w:lang w:bidi="ar-SA"/>
        </w:rPr>
        <w:t>عليك من اللائي يدعنك أجدعا</w:t>
      </w:r>
    </w:p>
    <w:p>
      <w:pPr>
        <w:pStyle w:val="BookText"/>
        <w:rPr/>
      </w:pPr>
      <w:r>
        <w:rPr>
          <w:rFonts w:ascii="Amiri" w:hAnsi="Amiri" w:eastAsia="Amiri" w:cs="Amiri"/>
          <w:color w:val="111111"/>
          <w:sz w:val="28"/>
          <w:sz w:val="28"/>
          <w:szCs w:val="28"/>
          <w:rtl w:val="true"/>
          <w:lang w:bidi="ar-SA"/>
        </w:rPr>
        <w:t xml:space="preserve">ورد البيت منسوبا له في الكامل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والمفضليات ،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 المفصل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 شواهد المغني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وخزانة الأدب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من غير نسبة في المقتضب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 الكافية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ومغنى اللبيب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البليّة النازلة ، الأجدع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المقطوع الأنف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لعلّك يوما أن تلمّ ملمّة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عسى في مثل هذا حرف لا فعل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عساك أن تقوم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 أن تقوم ، وقال </w:t>
      </w:r>
      <w:r>
        <w:rPr>
          <w:rFonts w:eastAsia="Amiri" w:cs="Amiri" w:ascii="Amiri" w:hAnsi="Amiri"/>
          <w:color w:val="111111"/>
          <w:sz w:val="28"/>
          <w:szCs w:val="28"/>
          <w:rtl w:val="true"/>
          <w:lang w:bidi="ar-SA"/>
        </w:rPr>
        <w:t xml:space="preserve">: </w:t>
      </w:r>
      <w:r>
        <w:rPr>
          <w:rStyle w:val="FootnoteAnchor"/>
          <w:rtl w:val="true"/>
        </w:rPr>
        <w:footnoteReference w:id="1180"/>
      </w:r>
    </w:p>
    <w:p>
      <w:pPr>
        <w:pStyle w:val="BookText"/>
        <w:rPr/>
      </w:pPr>
      <w:r>
        <w:rPr>
          <w:rFonts w:ascii="Amiri" w:hAnsi="Amiri" w:eastAsia="Amiri" w:cs="Amiri"/>
          <w:color w:val="111111"/>
          <w:sz w:val="28"/>
          <w:sz w:val="28"/>
          <w:szCs w:val="28"/>
          <w:rtl w:val="true"/>
          <w:lang w:bidi="ar-SA"/>
        </w:rPr>
        <w:t>تقول بنتي قد أنى أناكا</w:t>
      </w:r>
    </w:p>
    <w:p>
      <w:pPr>
        <w:pStyle w:val="BookText"/>
        <w:rPr/>
      </w:pPr>
      <w:r>
        <w:rPr>
          <w:rFonts w:ascii="Amiri" w:hAnsi="Amiri" w:eastAsia="Amiri" w:cs="Amiri"/>
          <w:color w:val="111111"/>
          <w:sz w:val="28"/>
          <w:sz w:val="28"/>
          <w:szCs w:val="28"/>
          <w:rtl w:val="true"/>
          <w:lang w:bidi="ar-SA"/>
        </w:rPr>
        <w:t xml:space="preserve">وورد منسوبا له في الكتاب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 المفصل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 شواهد المغني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 الشواهد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من غير نسبة في المقتضب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والخصائص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والمحتسب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والإنصاف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 الكافية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ومغني اللبيب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 التصريح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وهمع الهوامع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 الأشموني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أبتا علّك أو عساكا</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أنّ عسى فعل لم يصحّ عطفها على لعلّ ، لأنّها حرف وأمّا الأخفش فيرى أنّ الياء والكاف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لولاي لولاك في موضع رفع </w:t>
      </w:r>
      <w:r>
        <w:rPr>
          <w:rStyle w:val="FootnoteAnchor"/>
          <w:rtl w:val="true"/>
        </w:rPr>
        <w:footnoteReference w:id="1181"/>
      </w:r>
      <w:r>
        <w:rPr>
          <w:rFonts w:ascii="Amiri" w:hAnsi="Amiri" w:eastAsia="Amiri" w:cs="Amiri"/>
          <w:color w:val="111111"/>
          <w:sz w:val="28"/>
          <w:sz w:val="28"/>
          <w:szCs w:val="28"/>
          <w:rtl w:val="true"/>
          <w:lang w:bidi="ar-SA"/>
        </w:rPr>
        <w:t xml:space="preserve">وقد أوقعوا الضمير المجرور موقع الضمير المرفوع ، وكذلك الضمير بعد عسى في موضع رفع واحتجوا لسيبويه ، أنّ تغيير لو لا أقل من تغيير الضمير الذي بعدها ، لأنّه اثنا عشر مضمرا ، للمتكلّم اثنان ولكلّ من المخاطب والغائب خمسة ، فتغيير المضمر على رأي الأخفش يؤدّي إلى اثني عشر تغييرا على سبيل الاستقلال ، وتغيير لو لا على رأي سيبويه تغيير واحد على سبيل الاستقلال ، واحتجّوا للأخفش أن وقوع الضمائر بعضها موضع بعض كثر في </w:t>
      </w:r>
      <w:bookmarkStart w:id="428" w:name="pg14482_156224"/>
    </w:p>
    <w:p>
      <w:pPr>
        <w:pStyle w:val="BookText"/>
        <w:rPr/>
      </w:pPr>
      <w:bookmarkEnd w:id="428"/>
      <w:r>
        <w:rPr>
          <w:rFonts w:ascii="Amiri" w:hAnsi="Amiri" w:eastAsia="Amiri" w:cs="Amiri"/>
          <w:color w:val="111111"/>
          <w:sz w:val="28"/>
          <w:sz w:val="28"/>
          <w:szCs w:val="28"/>
          <w:rtl w:val="true"/>
          <w:lang w:bidi="ar-SA"/>
        </w:rPr>
        <w:t xml:space="preserve">كلامهم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كأنت ، ومررت بك أنت وضربته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فأكّد المضمر المنصوب بالضمير المرفوع ، فقد وقع المرفوع موقع المنصوب </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29" w:name="__RefHeading___Toc716832_996550957"/>
      <w:bookmarkStart w:id="430" w:name="_Toc157"/>
      <w:bookmarkEnd w:id="429"/>
      <w:r>
        <w:rPr>
          <w:rtl w:val="true"/>
        </w:rPr>
        <w:t>ذكر نون الوقاية</w:t>
      </w:r>
      <w:bookmarkEnd w:id="430"/>
    </w:p>
    <w:p>
      <w:pPr>
        <w:pStyle w:val="BookText"/>
        <w:rPr/>
      </w:pPr>
      <w:r>
        <w:rPr>
          <w:rStyle w:val="FootnoteAnchor"/>
          <w:rtl w:val="true"/>
        </w:rPr>
        <w:footnoteReference w:id="1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لازمة مع ياء ضمير المتكلّم في الفعل الماضي مطلقا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ضربني وضرباني وضربوني ، وشذّ حذف نون الوقاية من الماضي المتصل به ضمير جماعة الإناث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ضربني ، قال الشاعر </w:t>
      </w:r>
      <w:r>
        <w:rPr>
          <w:rFonts w:eastAsia="Amiri" w:cs="Amiri" w:ascii="Amiri" w:hAnsi="Amiri"/>
          <w:color w:val="111111"/>
          <w:sz w:val="28"/>
          <w:szCs w:val="28"/>
          <w:rtl w:val="true"/>
          <w:lang w:bidi="ar-SA"/>
        </w:rPr>
        <w:t xml:space="preserve">: </w:t>
      </w:r>
      <w:r>
        <w:rPr>
          <w:rStyle w:val="FootnoteAnchor"/>
          <w:rtl w:val="true"/>
        </w:rPr>
        <w:footnoteReference w:id="1184"/>
      </w:r>
    </w:p>
    <w:p>
      <w:pPr>
        <w:pStyle w:val="BookText"/>
        <w:rPr/>
      </w:pPr>
      <w:r>
        <w:rPr>
          <w:rFonts w:ascii="Amiri" w:hAnsi="Amiri" w:eastAsia="Amiri" w:cs="Amiri"/>
          <w:color w:val="111111"/>
          <w:sz w:val="28"/>
          <w:sz w:val="28"/>
          <w:szCs w:val="28"/>
          <w:rtl w:val="true"/>
          <w:lang w:bidi="ar-SA"/>
        </w:rPr>
        <w:t xml:space="preserve">الثّغام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نبت له نور أبيض يشبّه به الشيب ، يعلّ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يطيّب شيئا بعد شيء ، الفالية هي التي تفلي الشعر أي تخرج القمل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تراه كالثّغام يعلّ مسكا</w:t>
      </w:r>
    </w:p>
    <w:p>
      <w:pPr>
        <w:pStyle w:val="BookText"/>
        <w:rPr/>
      </w:pPr>
      <w:r>
        <w:rPr>
          <w:rFonts w:ascii="Amiri" w:hAnsi="Amiri" w:eastAsia="Amiri" w:cs="Amiri"/>
          <w:color w:val="111111"/>
          <w:sz w:val="28"/>
          <w:sz w:val="28"/>
          <w:szCs w:val="28"/>
          <w:rtl w:val="true"/>
          <w:lang w:bidi="ar-SA"/>
        </w:rPr>
        <w:t>يسوء الفاليات إذا فليني</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أراد فلينني ، فحذف نون الوقاية تخفيفا ، وكذلك هي لازمة أيضا في الأمر قولك أكرمني ، 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اضربي يا هند ، فلا مدخل للنون مع هذه الياء ، لأنّ نون الوقاية مشروطة بضمير المفعول لا بضمير الفاعل ، لأنّ ضمير الفاعل بمنزلة الجزء من الفعل فأشبهت هذه الياء الياء التي من نفس الفعل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يرمي ، وكذلك هي لازمة في المضارع العري </w:t>
      </w:r>
      <w:r>
        <w:rPr>
          <w:rStyle w:val="FootnoteAnchor"/>
          <w:rtl w:val="true"/>
        </w:rPr>
        <w:footnoteReference w:id="1185"/>
      </w:r>
      <w:r>
        <w:rPr>
          <w:rFonts w:ascii="Amiri" w:hAnsi="Amiri" w:eastAsia="Amiri" w:cs="Amiri"/>
          <w:color w:val="111111"/>
          <w:sz w:val="28"/>
          <w:sz w:val="28"/>
          <w:szCs w:val="28"/>
          <w:rtl w:val="true"/>
          <w:lang w:bidi="ar-SA"/>
        </w:rPr>
        <w:t xml:space="preserve">عن نون الإعراب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يضربني ، وسمّيت نون الوقاية لأنّها وقت الفعل الكسر الذي هو أخو الخفض </w:t>
      </w:r>
      <w:r>
        <w:rPr>
          <w:rStyle w:val="FootnoteAnchor"/>
          <w:rtl w:val="true"/>
        </w:rPr>
        <w:footnoteReference w:id="1186"/>
      </w:r>
      <w:r>
        <w:rPr>
          <w:rFonts w:ascii="Amiri" w:hAnsi="Amiri" w:eastAsia="Amiri" w:cs="Amiri"/>
          <w:color w:val="111111"/>
          <w:sz w:val="28"/>
          <w:sz w:val="28"/>
          <w:szCs w:val="28"/>
          <w:rtl w:val="true"/>
          <w:lang w:bidi="ar-SA"/>
        </w:rPr>
        <w:t xml:space="preserve">وأمّا الفعل المضارع الذي يلحقه نون الإعراب فأنت مخيّر بين إثباتها وحذفها استغناء بنون الإعراب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يضرباني ويضربانني ، ويضربوني ويضربونني ، وتضربيني وتضربينني ، وتجب نون الوقاية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يضربنني ، ولا يجوز يضربني ، لأنّ نون الإعراب في يضربوني ، خارجة عن الفعل ، فأمكن جعلها وقاية ، ونون يضربن فاعل متصل كالجزء من الفعل ، فلم تجعل وقاية </w:t>
      </w:r>
      <w:bookmarkStart w:id="431" w:name="pg14482_156225"/>
    </w:p>
    <w:p>
      <w:pPr>
        <w:pStyle w:val="BookText"/>
        <w:rPr/>
      </w:pPr>
      <w:bookmarkEnd w:id="431"/>
      <w:r>
        <w:rPr>
          <w:rFonts w:ascii="Amiri" w:hAnsi="Amiri" w:eastAsia="Amiri" w:cs="Amiri"/>
          <w:color w:val="111111"/>
          <w:sz w:val="28"/>
          <w:sz w:val="28"/>
          <w:szCs w:val="28"/>
          <w:rtl w:val="true"/>
          <w:lang w:bidi="ar-SA"/>
        </w:rPr>
        <w:t xml:space="preserve">كذلك </w:t>
      </w:r>
      <w:r>
        <w:rPr>
          <w:rStyle w:val="FootnoteAnchor"/>
          <w:rtl w:val="true"/>
        </w:rPr>
        <w:footnoteReference w:id="1187"/>
      </w:r>
      <w:r>
        <w:rPr>
          <w:rFonts w:ascii="Amiri" w:hAnsi="Amiri" w:eastAsia="Amiri" w:cs="Amiri"/>
          <w:color w:val="111111"/>
          <w:sz w:val="28"/>
          <w:sz w:val="28"/>
          <w:szCs w:val="28"/>
          <w:rtl w:val="true"/>
          <w:lang w:bidi="ar-SA"/>
        </w:rPr>
        <w:t xml:space="preserve">وأنت مع لدن مخيّر في إثبات نون الوقاية لحفظ بنائها على السكون ، وفي حذفها </w:t>
      </w:r>
      <w:r>
        <w:rPr>
          <w:rStyle w:val="FootnoteAnchor"/>
          <w:rtl w:val="true"/>
        </w:rPr>
        <w:footnoteReference w:id="11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بَلَغْتَ مِنْ لَدُنِّي عُذْراً</w:t>
      </w:r>
      <w:r>
        <w:rPr>
          <w:rFonts w:eastAsia="Amiri" w:cs="Amiri" w:ascii="Amiri" w:hAnsi="Amiri"/>
          <w:color w:val="111111"/>
          <w:sz w:val="28"/>
          <w:szCs w:val="28"/>
          <w:rtl w:val="true"/>
          <w:lang w:bidi="ar-SA"/>
        </w:rPr>
        <w:t>)</w:t>
      </w:r>
      <w:r>
        <w:rPr>
          <w:rStyle w:val="FootnoteAnchor"/>
          <w:rtl w:val="true"/>
        </w:rPr>
        <w:footnoteReference w:id="1189"/>
      </w:r>
      <w:r>
        <w:rPr>
          <w:rFonts w:ascii="Amiri" w:hAnsi="Amiri" w:eastAsia="Amiri" w:cs="Amiri"/>
          <w:color w:val="111111"/>
          <w:sz w:val="28"/>
          <w:sz w:val="28"/>
          <w:szCs w:val="28"/>
          <w:rtl w:val="true"/>
          <w:lang w:bidi="ar-SA"/>
        </w:rPr>
        <w:t xml:space="preserve">قرىء في السّبعة بالتشديد والتخفيف </w:t>
      </w:r>
      <w:r>
        <w:rPr>
          <w:rStyle w:val="FootnoteAnchor"/>
          <w:rtl w:val="true"/>
        </w:rPr>
        <w:footnoteReference w:id="1190"/>
      </w:r>
      <w:r>
        <w:rPr>
          <w:rFonts w:ascii="Amiri" w:hAnsi="Amiri" w:eastAsia="Amiri" w:cs="Amiri"/>
          <w:color w:val="111111"/>
          <w:sz w:val="28"/>
          <w:sz w:val="28"/>
          <w:szCs w:val="28"/>
          <w:rtl w:val="true"/>
          <w:lang w:bidi="ar-SA"/>
        </w:rPr>
        <w:t xml:space="preserve">وكذا أنت مخيّر بين الإثبات والحذف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وأنّ وكأنّ ولكنّ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وإنني ، وكذلك أخواتها الثلاث ويختار إثباتها في ليت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ليتني ، لشبهها بالفعل </w:t>
      </w:r>
      <w:r>
        <w:rPr>
          <w:rStyle w:val="FootnoteAnchor"/>
          <w:rtl w:val="true"/>
        </w:rPr>
        <w:footnoteReference w:id="1191"/>
      </w:r>
      <w:r>
        <w:rPr>
          <w:rFonts w:ascii="Amiri" w:hAnsi="Amiri" w:eastAsia="Amiri" w:cs="Amiri"/>
          <w:color w:val="111111"/>
          <w:sz w:val="28"/>
          <w:sz w:val="28"/>
          <w:szCs w:val="28"/>
          <w:rtl w:val="true"/>
          <w:lang w:bidi="ar-SA"/>
        </w:rPr>
        <w:t xml:space="preserve">ولا يختار في لعلّ ، لأنّ بعض لغاتها لعنّ فحذفت منها كراهة اجتماع النونات ، وحملت لعلّ عليها ، ويختار إثباتها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وعن وقد وقط ، لحفظ سكونها </w:t>
      </w:r>
      <w:r>
        <w:rPr>
          <w:rStyle w:val="FootnoteAnchor"/>
          <w:rtl w:val="true"/>
        </w:rPr>
        <w:footnoteReference w:id="1192"/>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 وعني وقدني وقطني وقال الشاعر </w:t>
      </w:r>
      <w:r>
        <w:rPr>
          <w:rFonts w:eastAsia="Amiri" w:cs="Amiri" w:ascii="Amiri" w:hAnsi="Amiri"/>
          <w:color w:val="111111"/>
          <w:sz w:val="28"/>
          <w:szCs w:val="28"/>
          <w:rtl w:val="true"/>
          <w:lang w:bidi="ar-SA"/>
        </w:rPr>
        <w:t xml:space="preserve">: </w:t>
      </w:r>
      <w:r>
        <w:rPr>
          <w:rStyle w:val="FootnoteAnchor"/>
          <w:rtl w:val="true"/>
        </w:rPr>
        <w:footnoteReference w:id="1193"/>
      </w:r>
    </w:p>
    <w:p>
      <w:pPr>
        <w:pStyle w:val="BookText"/>
        <w:rPr/>
      </w:pPr>
      <w:r>
        <w:rPr>
          <w:rFonts w:ascii="Amiri" w:hAnsi="Amiri" w:eastAsia="Amiri" w:cs="Amiri"/>
          <w:color w:val="111111"/>
          <w:sz w:val="28"/>
          <w:sz w:val="28"/>
          <w:szCs w:val="28"/>
          <w:rtl w:val="true"/>
          <w:lang w:bidi="ar-SA"/>
        </w:rPr>
        <w:t>مهلا رويدا قد ملأت بطني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في مجالس ثعلب القسم الأول ،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والخصائص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وأمالي ابن الشجري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 المفصل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ولسان العرب ، قطط وشرح الشواهد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 الأشموني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امتلأ الحوض وقال قطني</w:t>
      </w:r>
    </w:p>
    <w:p>
      <w:pPr>
        <w:pStyle w:val="BookText"/>
        <w:rPr/>
      </w:pPr>
      <w:r>
        <w:rPr>
          <w:rFonts w:ascii="Amiri" w:hAnsi="Amiri" w:eastAsia="Amiri" w:cs="Amiri"/>
          <w:color w:val="111111"/>
          <w:sz w:val="28"/>
          <w:sz w:val="28"/>
          <w:szCs w:val="28"/>
          <w:rtl w:val="true"/>
          <w:lang w:bidi="ar-SA"/>
        </w:rPr>
        <w:t>أي حسبي</w:t>
      </w:r>
      <w:r>
        <w:rPr>
          <w:rFonts w:eastAsia="Amiri" w:cs="Amiri" w:ascii="Amiri" w:hAnsi="Amiri"/>
          <w:color w:val="111111"/>
          <w:sz w:val="28"/>
          <w:szCs w:val="28"/>
          <w:rtl w:val="true"/>
          <w:lang w:bidi="ar-SA"/>
        </w:rPr>
        <w:t>.</w:t>
      </w:r>
    </w:p>
    <w:p>
      <w:pPr>
        <w:pStyle w:val="Heading6"/>
        <w:numPr>
          <w:ilvl w:val="5"/>
          <w:numId w:val="1"/>
        </w:numPr>
        <w:rPr/>
      </w:pPr>
      <w:bookmarkStart w:id="432" w:name="__RefHeading___Toc716834_996550957"/>
      <w:bookmarkStart w:id="433" w:name="_Toc158"/>
      <w:bookmarkEnd w:id="432"/>
      <w:r>
        <w:rPr>
          <w:rtl w:val="true"/>
        </w:rPr>
        <w:t>ذكر الفصل</w:t>
      </w:r>
      <w:bookmarkEnd w:id="433"/>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ويتوسّط بين المبتدإ والخبر قبل دخول العوامل وبعد دخولها صيغة ضمير مرفوع منفصل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هو المنطلق ، وكان زيد هو المنطلق وإنما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صيغة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ضمير مرفوع 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 لعدم تحقق كونه ضميرا ، وتسمّى هذه الصيغة فصلا عند البصريين وعمادا ضد الكوفيين </w:t>
      </w:r>
      <w:r>
        <w:rPr>
          <w:rStyle w:val="FootnoteAnchor"/>
          <w:rtl w:val="true"/>
        </w:rPr>
        <w:footnoteReference w:id="1195"/>
      </w:r>
      <w:r>
        <w:rPr>
          <w:rFonts w:ascii="Amiri" w:hAnsi="Amiri" w:eastAsia="Amiri" w:cs="Amiri"/>
          <w:color w:val="111111"/>
          <w:sz w:val="28"/>
          <w:sz w:val="28"/>
          <w:szCs w:val="28"/>
          <w:rtl w:val="true"/>
          <w:lang w:bidi="ar-SA"/>
        </w:rPr>
        <w:t xml:space="preserve">وهو يفصل بين الصفة والخبر ، لأنّ ما بعده يتعيّن للخبر ، وتمتنع الصفة لامتناع الفصل بين الصفة والموصوف ، فإنّك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القائم ، صلح القائم أن يكون صفة للمبتدإ فيتوقّع السامع الخبر ، وصلح أن يكون خبرا فيبقى السامع متردّدا ، فإذا أدخلت هو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هو القائم ، علم أنّه لم يبق من المبتدأ بقيّة ، وتعيّن 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للخبر ، وشرط إثبات هذه الصيغة أن يكون الخبر معرفة </w:t>
      </w:r>
      <w:r>
        <w:rPr>
          <w:rStyle w:val="FootnoteAnchor"/>
          <w:rtl w:val="true"/>
        </w:rPr>
        <w:footnoteReference w:id="1196"/>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هو القائم ، أو أفعل من كذا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زيد هو أفضل من عمرو ، وكذلك إذا كان الخبر مشابها للمعرفة لفظا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وغير والاسم المضاف إلى معرفة إضافة لفظيّة ، وكذلك إذا كان الخبر فعلا مضارعا </w:t>
      </w:r>
      <w:r>
        <w:rPr>
          <w:rStyle w:val="FootnoteAnchor"/>
          <w:rtl w:val="true"/>
        </w:rPr>
        <w:footnoteReference w:id="1197"/>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هو يقوم ،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وَمَكْرُ أُولئِكَ هُوَ يَبُورُ</w:t>
      </w:r>
      <w:r>
        <w:rPr>
          <w:rFonts w:eastAsia="Amiri" w:cs="Amiri" w:ascii="Amiri" w:hAnsi="Amiri"/>
          <w:color w:val="111111"/>
          <w:sz w:val="28"/>
          <w:szCs w:val="28"/>
          <w:rtl w:val="true"/>
          <w:lang w:bidi="ar-SA"/>
        </w:rPr>
        <w:t>)</w:t>
      </w:r>
      <w:r>
        <w:rPr>
          <w:rStyle w:val="FootnoteAnchor"/>
          <w:rtl w:val="true"/>
        </w:rPr>
        <w:footnoteReference w:id="1198"/>
      </w:r>
      <w:r>
        <w:rPr>
          <w:rFonts w:ascii="Amiri" w:hAnsi="Amiri" w:eastAsia="Amiri" w:cs="Amiri"/>
          <w:color w:val="111111"/>
          <w:sz w:val="28"/>
          <w:sz w:val="28"/>
          <w:szCs w:val="28"/>
          <w:rtl w:val="true"/>
          <w:lang w:bidi="ar-SA"/>
        </w:rPr>
        <w:t xml:space="preserve">ولا بدّ أن تكون هذه الصيغة مطابقة للمبتدإ في الإفراد والتثنية والجمع والتذكير والتأنيث والخطاب والتكلّم والغيبة </w:t>
      </w:r>
      <w:r>
        <w:rPr>
          <w:rStyle w:val="FootnoteAnchor"/>
          <w:rtl w:val="true"/>
        </w:rPr>
        <w:footnoteReference w:id="1199"/>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هو القائم ، والزيدان هما القائمان ، والزيدون هم القائمون ، وهند هي القائمة ، قال تعالى حكاية عن عيسى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تَوَفَّيْتَنِي كُنْتَ أَنْتَ الرَّقِيبَ عَلَيْهِمْ</w:t>
      </w:r>
      <w:r>
        <w:rPr>
          <w:rFonts w:eastAsia="Amiri" w:cs="Amiri" w:ascii="Amiri" w:hAnsi="Amiri"/>
          <w:color w:val="111111"/>
          <w:sz w:val="28"/>
          <w:szCs w:val="28"/>
          <w:rtl w:val="true"/>
          <w:lang w:bidi="ar-SA"/>
        </w:rPr>
        <w:t>)</w:t>
      </w:r>
      <w:r>
        <w:rPr>
          <w:rStyle w:val="FootnoteAnchor"/>
          <w:rtl w:val="true"/>
        </w:rPr>
        <w:footnoteReference w:id="1200"/>
      </w:r>
      <w:r>
        <w:rPr>
          <w:rFonts w:ascii="Amiri" w:hAnsi="Amiri" w:eastAsia="Amiri" w:cs="Amiri"/>
          <w:color w:val="111111"/>
          <w:sz w:val="28"/>
          <w:sz w:val="28"/>
          <w:szCs w:val="28"/>
          <w:rtl w:val="true"/>
          <w:lang w:bidi="ar-SA"/>
        </w:rPr>
        <w:t xml:space="preserve">ولا موضع لهذه الصيغة من الإعراب عند الخليل </w:t>
      </w:r>
      <w:r>
        <w:rPr>
          <w:rStyle w:val="FootnoteAnchor"/>
          <w:rtl w:val="true"/>
        </w:rPr>
        <w:footnoteReference w:id="1201"/>
      </w:r>
      <w:r>
        <w:rPr>
          <w:rFonts w:ascii="IRNazanin" w:hAnsi="IRNazanin" w:eastAsia="IRNazanin"/>
          <w:color w:val="111111"/>
          <w:sz w:val="28"/>
          <w:sz w:val="28"/>
          <w:szCs w:val="28"/>
          <w:rtl w:val="true"/>
          <w:lang w:bidi="fa-IR"/>
        </w:rPr>
        <w:t xml:space="preserve">مع قوله بأنّه اسم </w:t>
      </w:r>
      <w:r>
        <w:rPr>
          <w:rStyle w:val="FootnoteAnchor"/>
          <w:rtl w:val="true"/>
        </w:rPr>
        <w:footnoteReference w:id="1202"/>
      </w:r>
      <w:r>
        <w:rPr>
          <w:rFonts w:ascii="Amiri" w:hAnsi="Amiri" w:eastAsia="Amiri" w:cs="Amiri"/>
          <w:color w:val="111111"/>
          <w:sz w:val="28"/>
          <w:sz w:val="28"/>
          <w:szCs w:val="28"/>
          <w:rtl w:val="true"/>
          <w:lang w:bidi="ar-SA"/>
        </w:rPr>
        <w:t xml:space="preserve">لأنّه إنّما دخل للفصل كالكاف في أولئك ، والتاء في أنت فكما أنّ هذه لا محلّ لها من </w:t>
      </w:r>
      <w:bookmarkStart w:id="434" w:name="pg14482_156227"/>
    </w:p>
    <w:p>
      <w:pPr>
        <w:pStyle w:val="BookText"/>
        <w:rPr/>
      </w:pPr>
      <w:bookmarkEnd w:id="434"/>
      <w:r>
        <w:rPr>
          <w:rFonts w:ascii="Amiri" w:hAnsi="Amiri" w:eastAsia="Amiri" w:cs="Amiri"/>
          <w:color w:val="111111"/>
          <w:sz w:val="28"/>
          <w:sz w:val="28"/>
          <w:szCs w:val="28"/>
          <w:rtl w:val="true"/>
          <w:lang w:bidi="ar-SA"/>
        </w:rPr>
        <w:t xml:space="preserve">الإعراب ، لا يكون لصيغة الضمير المذكور محلّ من الإعراب ، وبنو تميم يجعلونه مبتدأ </w:t>
      </w:r>
      <w:r>
        <w:rPr>
          <w:rStyle w:val="FootnoteAnchor"/>
          <w:rtl w:val="true"/>
        </w:rPr>
        <w:footnoteReference w:id="1203"/>
      </w:r>
      <w:r>
        <w:rPr>
          <w:rFonts w:ascii="Amiri" w:hAnsi="Amiri" w:eastAsia="Amiri" w:cs="Amiri"/>
          <w:color w:val="111111"/>
          <w:sz w:val="28"/>
          <w:sz w:val="28"/>
          <w:szCs w:val="28"/>
          <w:rtl w:val="true"/>
          <w:lang w:bidi="ar-SA"/>
        </w:rPr>
        <w:t xml:space="preserve">فيرفعون ما بعده على أنه خبره ، والجملة خبر عن كان أو غيره على حسب ما معه من العوامل ، وخصّ بصيغة المرفوع لأنّه في معنى التأكيد ، كما تقول في التأكيد ضربتك أنت ونحو ذلك </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35" w:name="__RefHeading___Toc716836_996550957"/>
      <w:bookmarkStart w:id="436" w:name="_Toc159"/>
      <w:bookmarkEnd w:id="435"/>
      <w:r>
        <w:rPr>
          <w:rtl w:val="true"/>
        </w:rPr>
        <w:t>ذكر ضمير الشّأن</w:t>
      </w:r>
      <w:bookmarkEnd w:id="436"/>
    </w:p>
    <w:p>
      <w:pPr>
        <w:pStyle w:val="BookText"/>
        <w:rPr/>
      </w:pPr>
      <w:r>
        <w:rPr>
          <w:rStyle w:val="FootnoteAnchor"/>
          <w:rtl w:val="true"/>
        </w:rPr>
        <w:footnoteReference w:id="12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ويتقدّم قبل الجملة ضمير يسمّى ضمير الشّأن </w:t>
      </w:r>
      <w:r>
        <w:rPr>
          <w:rStyle w:val="FootnoteAnchor"/>
          <w:rtl w:val="true"/>
        </w:rPr>
        <w:footnoteReference w:id="1206"/>
      </w:r>
      <w:r>
        <w:rPr>
          <w:rFonts w:ascii="Amiri" w:hAnsi="Amiri" w:eastAsia="Amiri" w:cs="Amiri"/>
          <w:color w:val="111111"/>
          <w:sz w:val="28"/>
          <w:sz w:val="28"/>
          <w:szCs w:val="28"/>
          <w:rtl w:val="true"/>
          <w:lang w:bidi="ar-SA"/>
        </w:rPr>
        <w:t xml:space="preserve">يفسّر بالجملة التي بعده لأنّ كلّ جملة هي شأن وأمر وقصّة وإذا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زيد قائم ، فكأنّك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 والشأن زيد قائم ثمّ أضمرت الشّأن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زيد قائم ، واحترز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يتقدّم قبل الجملة ، عن الضمير في نعم رجلا زيد ، وربّه رجلا ؛ فإنّه متقدّم على المفسّر له لكن تقدّمه على المفرد لا على الجملة ، ويكون مرفوعا منفصلا ومستترا ، ومنصوبا متصلا بارزا ، فالمرفوع المنفصل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زيد قائم والمستتر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زيد قائم وليس زيد قائم ، والمنصوب المتصل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زيد قائم ، وإذا وقع مبتدأ انفصل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زيد قائم ، لأنّ عامل المبتدأ الابتداء ، وهو معنى ، واستحال اتصال الضمير بالمعنى الذي هو الابتداء لكونه غير لفظ ، وكذا إذا وقع بعد ما الحجازية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زيد قائم ، لتعذر اتصاله مرفوعا بغير الفعل ، وحذف ضمير الشأن إذا كان منصوبا ضعيف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مَنْ يَأْتِ رَبَّهُ مُجْرِماً</w:t>
      </w:r>
      <w:r>
        <w:rPr>
          <w:rFonts w:eastAsia="Amiri" w:cs="Amiri" w:ascii="Amiri" w:hAnsi="Amiri"/>
          <w:color w:val="111111"/>
          <w:sz w:val="28"/>
          <w:szCs w:val="28"/>
          <w:rtl w:val="true"/>
          <w:lang w:bidi="ar-SA"/>
        </w:rPr>
        <w:t>)</w:t>
      </w:r>
      <w:r>
        <w:rPr>
          <w:rStyle w:val="FootnoteAnchor"/>
          <w:rtl w:val="true"/>
        </w:rPr>
        <w:footnoteReference w:id="1207"/>
      </w:r>
      <w:r>
        <w:rPr>
          <w:rFonts w:ascii="Amiri" w:hAnsi="Amiri" w:eastAsia="Amiri" w:cs="Amiri"/>
          <w:color w:val="111111"/>
          <w:sz w:val="28"/>
          <w:sz w:val="28"/>
          <w:szCs w:val="28"/>
          <w:rtl w:val="true"/>
          <w:lang w:bidi="ar-SA"/>
        </w:rPr>
        <w:t xml:space="preserve">وجاء حذفه في الشعر </w:t>
      </w:r>
      <w:r>
        <w:rPr>
          <w:rStyle w:val="FootnoteAnchor"/>
          <w:rtl w:val="true"/>
        </w:rPr>
        <w:footnoteReference w:id="1208"/>
      </w:r>
      <w:r>
        <w:rPr>
          <w:rFonts w:ascii="IRNazanin" w:hAnsi="IRNazanin" w:eastAsia="IRNazanin"/>
          <w:color w:val="111111"/>
          <w:sz w:val="28"/>
          <w:sz w:val="28"/>
          <w:szCs w:val="28"/>
          <w:rtl w:val="true"/>
          <w:lang w:bidi="fa-IR"/>
        </w:rPr>
        <w:t xml:space="preserve">نحو قوله </w:t>
      </w:r>
      <w:r>
        <w:rPr>
          <w:rFonts w:eastAsia="IRNazanin" w:cs="IRNazanin"/>
          <w:color w:val="111111"/>
          <w:sz w:val="28"/>
          <w:szCs w:val="28"/>
          <w:rtl w:val="true"/>
          <w:lang w:bidi="fa-IR"/>
        </w:rPr>
        <w:t xml:space="preserve">: </w:t>
      </w:r>
      <w:r>
        <w:rPr>
          <w:rStyle w:val="FootnoteAnchor"/>
          <w:rtl w:val="true"/>
        </w:rPr>
        <w:footnoteReference w:id="1209"/>
      </w:r>
    </w:p>
    <w:p>
      <w:pPr>
        <w:pStyle w:val="BookText"/>
        <w:rPr/>
      </w:pPr>
      <w:r>
        <w:rPr>
          <w:rFonts w:ascii="Amiri" w:hAnsi="Amiri" w:eastAsia="Amiri" w:cs="Amiri"/>
          <w:color w:val="111111"/>
          <w:sz w:val="28"/>
          <w:sz w:val="28"/>
          <w:szCs w:val="28"/>
          <w:rtl w:val="true"/>
          <w:lang w:bidi="ar-SA"/>
        </w:rPr>
        <w:t>إذا هبّت رياحك فاغتنمها</w:t>
      </w:r>
    </w:p>
    <w:p>
      <w:pPr>
        <w:pStyle w:val="BookText"/>
        <w:rPr/>
      </w:pPr>
      <w:r>
        <w:rPr>
          <w:rFonts w:ascii="Amiri" w:hAnsi="Amiri" w:eastAsia="Amiri" w:cs="Amiri"/>
          <w:color w:val="111111"/>
          <w:sz w:val="28"/>
          <w:sz w:val="28"/>
          <w:szCs w:val="28"/>
          <w:rtl w:val="true"/>
          <w:lang w:bidi="ar-SA"/>
        </w:rPr>
        <w:t>فإنّ لكلّ خافقة سكون</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فسكون مبتدأ ولكلّ خافقة خبره ، واسم إنّ هو ضمير الشأن محذوف والتقدير فإنّه لكلّ خافقة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ومنه قول الشّاعر </w:t>
      </w:r>
      <w:r>
        <w:rPr>
          <w:rFonts w:eastAsia="IRNazanin" w:cs="IRNazanin"/>
          <w:color w:val="111111"/>
          <w:sz w:val="28"/>
          <w:szCs w:val="28"/>
          <w:rtl w:val="true"/>
          <w:lang w:bidi="fa-IR"/>
        </w:rPr>
        <w:t xml:space="preserve">: </w:t>
      </w:r>
      <w:r>
        <w:rPr>
          <w:rStyle w:val="FootnoteAnchor"/>
          <w:rtl w:val="true"/>
        </w:rPr>
        <w:footnoteReference w:id="1210"/>
      </w:r>
    </w:p>
    <w:p>
      <w:pPr>
        <w:pStyle w:val="BookText"/>
        <w:rPr/>
      </w:pPr>
      <w:r>
        <w:rPr>
          <w:rFonts w:ascii="IRNazanin" w:hAnsi="IRNazanin" w:eastAsia="IRNazanin"/>
          <w:color w:val="111111"/>
          <w:sz w:val="28"/>
          <w:sz w:val="28"/>
          <w:szCs w:val="28"/>
          <w:rtl w:val="true"/>
          <w:lang w:bidi="fa-IR"/>
        </w:rPr>
        <w:t xml:space="preserve">الجآذر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أولاد البقر واحدها جؤذر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من يدخل الكنيسة يوما</w:t>
      </w:r>
    </w:p>
    <w:p>
      <w:pPr>
        <w:pStyle w:val="BookText"/>
        <w:rPr/>
      </w:pPr>
      <w:r>
        <w:rPr>
          <w:rFonts w:ascii="Amiri" w:hAnsi="Amiri" w:eastAsia="Amiri" w:cs="Amiri"/>
          <w:color w:val="111111"/>
          <w:sz w:val="28"/>
          <w:sz w:val="28"/>
          <w:szCs w:val="28"/>
          <w:rtl w:val="true"/>
          <w:lang w:bidi="ar-SA"/>
        </w:rPr>
        <w:t>يلق فيها جآذرا وظباء</w:t>
      </w:r>
    </w:p>
    <w:p>
      <w:pPr>
        <w:pStyle w:val="BookText"/>
        <w:rPr/>
      </w:pPr>
      <w:r>
        <w:rPr>
          <w:rFonts w:ascii="Amiri" w:hAnsi="Amiri" w:eastAsia="Amiri" w:cs="Amiri"/>
          <w:color w:val="111111"/>
          <w:sz w:val="28"/>
          <w:sz w:val="28"/>
          <w:szCs w:val="28"/>
          <w:rtl w:val="true"/>
          <w:lang w:bidi="ar-SA"/>
        </w:rPr>
        <w:t xml:space="preserve">فمن مبتدأ ، ويدخل خبره ، ولا يجوز أن يكون من هو اسم إنّ ، لأنّ من شرط ، والشّرط له صدر الكلام ، واسم إنّ ليس له صدر الكلام ، فالمبتدأ والخبر في موضع رفع بأنه خبر إن ، واسم إنّ ضمير الشأن ، وهو محذوف ، وتقديره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يدخل ، وكذلك يضعف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زيد قائم بحذف الضمير ، لأنّه مراد ، لكونه جزء الجملة وليس على حذفه دليل ، وأمّا ضمير الشأن مع أنّ المفتوحة إذا خفّفت فإنّ حذفه لازم ، لأنّهم لو لم يقدّروا ذلك لكان للمخفّفة المكسورة على المخفّفة المفتوحة مزيّة في العمل ، والمفتوحة أقرب إلى الفعل ، وقد جوّزوا إعمال المخفّفة المكسورة ،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كُلًّا لَمَّا لَيُوَفِّيَنَّهُمْ رَبُّكَ أَعْمالَهُمْ</w:t>
      </w:r>
      <w:r>
        <w:rPr>
          <w:rFonts w:eastAsia="Amiri" w:cs="Amiri" w:ascii="Amiri" w:hAnsi="Amiri"/>
          <w:color w:val="111111"/>
          <w:sz w:val="28"/>
          <w:szCs w:val="28"/>
          <w:rtl w:val="true"/>
          <w:lang w:bidi="ar-SA"/>
        </w:rPr>
        <w:t>)</w:t>
      </w:r>
      <w:r>
        <w:rPr>
          <w:rStyle w:val="FootnoteAnchor"/>
          <w:rtl w:val="true"/>
        </w:rPr>
        <w:footnoteReference w:id="1211"/>
      </w:r>
      <w:r>
        <w:rPr>
          <w:rFonts w:ascii="Amiri" w:hAnsi="Amiri" w:eastAsia="Amiri" w:cs="Amiri"/>
          <w:color w:val="111111"/>
          <w:sz w:val="28"/>
          <w:sz w:val="28"/>
          <w:szCs w:val="28"/>
          <w:rtl w:val="true"/>
          <w:lang w:bidi="ar-SA"/>
        </w:rPr>
        <w:t xml:space="preserve">ولم يجيزوا إعمال المخفّفة المفتوحة قال الشاعر </w:t>
      </w:r>
      <w:r>
        <w:rPr>
          <w:rFonts w:eastAsia="Amiri" w:cs="Amiri" w:ascii="Amiri" w:hAnsi="Amiri"/>
          <w:color w:val="111111"/>
          <w:sz w:val="28"/>
          <w:szCs w:val="28"/>
          <w:rtl w:val="true"/>
          <w:lang w:bidi="ar-SA"/>
        </w:rPr>
        <w:t xml:space="preserve">: </w:t>
      </w:r>
      <w:r>
        <w:rPr>
          <w:rStyle w:val="FootnoteAnchor"/>
          <w:rtl w:val="true"/>
        </w:rPr>
        <w:footnoteReference w:id="1212"/>
      </w:r>
    </w:p>
    <w:p>
      <w:pPr>
        <w:pStyle w:val="BookText"/>
        <w:rPr/>
      </w:pPr>
      <w:r>
        <w:rPr>
          <w:rFonts w:ascii="Amiri" w:hAnsi="Amiri" w:eastAsia="Amiri" w:cs="Amiri"/>
          <w:color w:val="111111"/>
          <w:sz w:val="28"/>
          <w:sz w:val="28"/>
          <w:szCs w:val="28"/>
          <w:rtl w:val="true"/>
          <w:lang w:bidi="ar-SA"/>
        </w:rPr>
        <w:t>إمّا ترينا حفاة لا نعال لنا</w:t>
      </w:r>
    </w:p>
    <w:p>
      <w:pPr>
        <w:pStyle w:val="BookText"/>
        <w:rPr/>
      </w:pPr>
      <w:r>
        <w:rPr>
          <w:rFonts w:ascii="Amiri" w:hAnsi="Amiri" w:eastAsia="Amiri" w:cs="Amiri"/>
          <w:color w:val="111111"/>
          <w:sz w:val="28"/>
          <w:sz w:val="28"/>
          <w:szCs w:val="28"/>
          <w:rtl w:val="true"/>
          <w:lang w:bidi="ar-SA"/>
        </w:rPr>
        <w:t>إنّا كذلك ما نحفى وننتعل</w:t>
      </w:r>
    </w:p>
    <w:p>
      <w:pPr>
        <w:pStyle w:val="BookText"/>
        <w:rPr/>
      </w:pPr>
      <w:r>
        <w:rPr>
          <w:rFonts w:ascii="Amiri" w:hAnsi="Amiri" w:eastAsia="Amiri" w:cs="Amiri"/>
          <w:color w:val="111111"/>
          <w:sz w:val="28"/>
          <w:sz w:val="28"/>
          <w:szCs w:val="28"/>
          <w:rtl w:val="true"/>
          <w:lang w:bidi="ar-SA"/>
        </w:rPr>
        <w:t xml:space="preserve">وورد منسوبا له في الكتاب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والمنصف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والمحتسب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وأمالي ابن الشجري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والإنصاف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غير نسبة في الخصائص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 المفصل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وهمع الهوامع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بعضهم صدر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فتية كسيوف الهند قد علموا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هالك كلّ من يحفى وينتعل</w:t>
      </w:r>
    </w:p>
    <w:p>
      <w:pPr>
        <w:pStyle w:val="BookText"/>
        <w:rPr/>
      </w:pPr>
      <w:r>
        <w:rPr>
          <w:rFonts w:ascii="Amiri" w:hAnsi="Amiri" w:eastAsia="Amiri" w:cs="Amiri"/>
          <w:color w:val="111111"/>
          <w:sz w:val="28"/>
          <w:sz w:val="28"/>
          <w:szCs w:val="28"/>
          <w:rtl w:val="true"/>
          <w:lang w:bidi="ar-SA"/>
        </w:rPr>
        <w:t xml:space="preserve">فلم تنصب هالك ، فوجب تقدير عملها في ضمير الشأن </w:t>
      </w:r>
      <w:r>
        <w:rPr>
          <w:rStyle w:val="FootnoteAnchor"/>
          <w:rtl w:val="true"/>
        </w:rPr>
        <w:footnoteReference w:id="1213"/>
      </w:r>
      <w:r>
        <w:rPr>
          <w:rFonts w:ascii="Amiri" w:hAnsi="Amiri" w:eastAsia="Amiri" w:cs="Amiri"/>
          <w:color w:val="111111"/>
          <w:sz w:val="28"/>
          <w:sz w:val="28"/>
          <w:szCs w:val="28"/>
          <w:rtl w:val="true"/>
          <w:lang w:bidi="ar-SA"/>
        </w:rPr>
        <w:t xml:space="preserve">لكونها أشبه بالفعل من المكسورة ، ألا ترى أنّ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على لفظ أنّ الذي مضارعه يئن من الأنين</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يأت ضمير الشأن مجرورا كما جاء مرفوعا ومنصوبا ، لأنّه كناية عن </w:t>
      </w:r>
      <w:bookmarkStart w:id="437" w:name="pg14482_156229"/>
    </w:p>
    <w:p>
      <w:pPr>
        <w:pStyle w:val="BookText"/>
        <w:rPr/>
      </w:pPr>
      <w:bookmarkEnd w:id="437"/>
      <w:r>
        <w:rPr>
          <w:rFonts w:ascii="Amiri" w:hAnsi="Amiri" w:eastAsia="Amiri" w:cs="Amiri"/>
          <w:color w:val="111111"/>
          <w:sz w:val="28"/>
          <w:sz w:val="28"/>
          <w:szCs w:val="28"/>
          <w:rtl w:val="true"/>
          <w:lang w:bidi="ar-SA"/>
        </w:rPr>
        <w:t>الجملة ، والجملة لا مدخل لحرف الجرّ عليها</w:t>
      </w:r>
      <w:r>
        <w:rPr>
          <w:rFonts w:eastAsia="Amiri" w:cs="Amiri" w:ascii="Amiri" w:hAnsi="Amiri"/>
          <w:color w:val="111111"/>
          <w:sz w:val="28"/>
          <w:szCs w:val="28"/>
          <w:rtl w:val="true"/>
          <w:lang w:bidi="ar-SA"/>
        </w:rPr>
        <w:t>.</w:t>
      </w:r>
    </w:p>
    <w:p>
      <w:pPr>
        <w:pStyle w:val="Heading5"/>
        <w:numPr>
          <w:ilvl w:val="4"/>
          <w:numId w:val="1"/>
        </w:numPr>
        <w:rPr/>
      </w:pPr>
      <w:bookmarkStart w:id="438" w:name="__RefHeading___Toc716838_996550957"/>
      <w:bookmarkStart w:id="439" w:name="_Toc160"/>
      <w:bookmarkEnd w:id="438"/>
      <w:r>
        <w:rPr/>
        <w:t>2</w:t>
      </w:r>
      <w:r>
        <w:rPr>
          <w:rtl w:val="true"/>
        </w:rPr>
        <w:t xml:space="preserve">- </w:t>
      </w:r>
      <w:r>
        <w:rPr>
          <w:rtl w:val="true"/>
        </w:rPr>
        <w:t>ذكر أسماء الإشارة</w:t>
      </w:r>
      <w:bookmarkEnd w:id="439"/>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ثاني أقسام المبنيّات ، وأسماء الإشارة ما وضع لمشار إليه وهي بدون الصفة مبهمة لصلاحيّتها لكلّ مشار إليه </w:t>
      </w:r>
      <w:r>
        <w:rPr>
          <w:rStyle w:val="FootnoteAnchor"/>
          <w:rtl w:val="true"/>
        </w:rPr>
        <w:footnoteReference w:id="1215"/>
      </w:r>
      <w:r>
        <w:rPr>
          <w:rFonts w:ascii="Amiri" w:hAnsi="Amiri" w:eastAsia="Amiri" w:cs="Amiri"/>
          <w:color w:val="111111"/>
          <w:sz w:val="28"/>
          <w:sz w:val="28"/>
          <w:szCs w:val="28"/>
          <w:rtl w:val="true"/>
          <w:lang w:bidi="ar-SA"/>
        </w:rPr>
        <w:t xml:space="preserve">وبنيت لمشابهتها الحرف </w:t>
      </w:r>
      <w:r>
        <w:rPr>
          <w:rStyle w:val="FootnoteAnchor"/>
          <w:rtl w:val="true"/>
        </w:rPr>
        <w:footnoteReference w:id="1216"/>
      </w:r>
      <w:r>
        <w:rPr>
          <w:rFonts w:ascii="Amiri" w:hAnsi="Amiri" w:eastAsia="Amiri" w:cs="Amiri"/>
          <w:color w:val="111111"/>
          <w:sz w:val="28"/>
          <w:sz w:val="28"/>
          <w:szCs w:val="28"/>
          <w:rtl w:val="true"/>
          <w:lang w:bidi="ar-SA"/>
        </w:rPr>
        <w:t xml:space="preserve">من حيث احتياجها إلى ما يبيّن ذات المشار إليه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 للمذكّر ، وذان لمثنّاه رفعا ، وذين نصبا وجرا ، وللمفرد المؤنث عدّة ألفاظ مترادفة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تاوتي وته وتهي وذه وذهي ، ولمثنّاه تان رفعا وتين نصبا وجرا ، وأولاء مقصورا وممدودا </w:t>
      </w:r>
      <w:r>
        <w:rPr>
          <w:rStyle w:val="FootnoteAnchor"/>
          <w:rtl w:val="true"/>
        </w:rPr>
        <w:footnoteReference w:id="1217"/>
      </w:r>
      <w:r>
        <w:rPr>
          <w:rFonts w:ascii="Amiri" w:hAnsi="Amiri" w:eastAsia="Amiri" w:cs="Amiri"/>
          <w:color w:val="111111"/>
          <w:sz w:val="28"/>
          <w:sz w:val="28"/>
          <w:szCs w:val="28"/>
          <w:rtl w:val="true"/>
          <w:lang w:bidi="ar-SA"/>
        </w:rPr>
        <w:t xml:space="preserve">مشترك بين جمع المذكّر والمؤنّث لا يختلف فيهما ، وذا أصله ذوي متحرك العين على وزن فعل </w:t>
      </w:r>
      <w:r>
        <w:rPr>
          <w:rStyle w:val="FootnoteAnchor"/>
          <w:rtl w:val="true"/>
        </w:rPr>
        <w:footnoteReference w:id="1218"/>
      </w:r>
      <w:r>
        <w:rPr>
          <w:rFonts w:ascii="Amiri" w:hAnsi="Amiri" w:eastAsia="Amiri" w:cs="Amiri"/>
          <w:color w:val="111111"/>
          <w:sz w:val="28"/>
          <w:sz w:val="28"/>
          <w:szCs w:val="28"/>
          <w:rtl w:val="true"/>
          <w:lang w:bidi="ar-SA"/>
        </w:rPr>
        <w:t xml:space="preserve">فحذفت اللام لتأكيد إبهام هذه الأسماء ، وقلبت الواو ألفا لتحرّكها وانفتاح ما قبلها فصار ذا ، ويلحق أوائل أسماء الإشارة حرف التنبيه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Style w:val="FootnoteAnchor"/>
          <w:rtl w:val="true"/>
        </w:rPr>
        <w:footnoteReference w:id="1219"/>
      </w:r>
      <w:r>
        <w:rPr>
          <w:rFonts w:ascii="Amiri" w:hAnsi="Amiri" w:eastAsia="Amiri" w:cs="Amiri"/>
          <w:color w:val="111111"/>
          <w:sz w:val="28"/>
          <w:sz w:val="28"/>
          <w:szCs w:val="28"/>
          <w:rtl w:val="true"/>
          <w:lang w:bidi="ar-SA"/>
        </w:rPr>
        <w:t xml:space="preserve">، ويلحق أواخرها حرف الخطاب بحسب من تخاطبه وألفاظ الإشارة خمسة ، وحروف الخطاب خمسة ، وإذا ضربت خمسة في خمسة كانت خمسة وعشرين ، فإذا خاطبت مفردا مذكّرا مشيرا إلى مفرد مذكّر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بفتح الكاف ، وإن خاطبت مفردا مؤنّثا مشيرا إلى المفرد المذكّر المذكور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بكسر الكاف ، وإن أشرت إلى المفرد المذكور وخاطبت مثنّى مذكّرا أو مؤنّثا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ذاكما ، وإن خاطبت جمع المذكّرين قلت ذاكم ، وإن خاطبت جمع المؤنّث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ذاكنّ ،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فَذلِكُنَّ الَّذِي لُمْتُنَّنِي فِيهِ</w:t>
      </w:r>
      <w:r>
        <w:rPr>
          <w:rFonts w:eastAsia="Amiri" w:cs="Amiri" w:ascii="Amiri" w:hAnsi="Amiri"/>
          <w:color w:val="111111"/>
          <w:sz w:val="28"/>
          <w:szCs w:val="28"/>
          <w:rtl w:val="true"/>
          <w:lang w:bidi="ar-SA"/>
        </w:rPr>
        <w:t>)</w:t>
      </w:r>
      <w:r>
        <w:rPr>
          <w:rStyle w:val="FootnoteAnchor"/>
          <w:rtl w:val="true"/>
        </w:rPr>
        <w:footnoteReference w:id="1220"/>
      </w:r>
      <w:r>
        <w:rPr>
          <w:rFonts w:ascii="Amiri" w:hAnsi="Amiri" w:eastAsia="Amiri" w:cs="Amiri"/>
          <w:color w:val="111111"/>
          <w:sz w:val="28"/>
          <w:sz w:val="28"/>
          <w:szCs w:val="28"/>
          <w:rtl w:val="true"/>
          <w:lang w:bidi="ar-SA"/>
        </w:rPr>
        <w:t xml:space="preserve">الإشارة إلى يوسف والخطاب مع النّسوة ، وذلك هو ذاك زيدت فيه اللام ، ومثال المفرد المؤنّث مشارا إليه مع المخاطبين المذكورين ؛ تاك ، تاك ، تاكما ، تاكم ، </w:t>
      </w:r>
    </w:p>
    <w:p>
      <w:pPr>
        <w:pStyle w:val="BookText"/>
        <w:rPr/>
      </w:pPr>
      <w:r>
        <w:rPr>
          <w:rFonts w:ascii="Amiri" w:hAnsi="Amiri" w:eastAsia="Amiri" w:cs="Amiri"/>
          <w:color w:val="111111"/>
          <w:sz w:val="28"/>
          <w:sz w:val="28"/>
          <w:szCs w:val="28"/>
          <w:rtl w:val="true"/>
          <w:lang w:bidi="ar-SA"/>
        </w:rPr>
        <w:t xml:space="preserve">تاكنّ ، ومثال المثنّى المذكّر مشارا إليه 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ذانك ، ذانك ، ذانكما ، ذانكم ، ذانكنّ ، وفي النصب والجر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ذينك ذينك ذينكما ذينكم ذينكنّ ، ومثال المثنّى المؤنّث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تانك ، تانك ، تانكما ، تانكم ، تانكنّ ، وفي حالة النصب والجرّ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تينك ، تينك ، تينكما تينكم تينكنّ ، ومررت بتينك إلى تينكنّ ومثال مجموع المذكّر والمؤنّث ، مشارا إليهما مع المخاطبين المذكورين ، أولاك أولاك أولاكما أولاكم أولاكنّ وقد نقل النيليّ جواز فتح كاف الخطاب في ذلك كلّه وهو غريب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نقله الثقات من غير إلحاق علامة تثنية ولا جمع ولا غير ذلك بل يفرد ويذكّر على كل حال </w:t>
      </w:r>
      <w:r>
        <w:rPr>
          <w:rStyle w:val="FootnoteAnchor"/>
          <w:rtl w:val="true"/>
        </w:rPr>
        <w:footnoteReference w:id="1221"/>
      </w:r>
      <w:r>
        <w:rPr>
          <w:rFonts w:ascii="Amiri" w:hAnsi="Amiri" w:eastAsia="Amiri" w:cs="Amiri"/>
          <w:color w:val="111111"/>
          <w:sz w:val="28"/>
          <w:sz w:val="28"/>
          <w:szCs w:val="28"/>
          <w:rtl w:val="true"/>
          <w:lang w:bidi="ar-SA"/>
        </w:rPr>
        <w:t xml:space="preserve">واعلم أنّهم لم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ذاه ذاهما ذاهم لأنّ الهاء للغائب ، والغائب لا يصحّ تنبيهه على الحاضر ، بل الحاضر ينبّه على الغائب</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قولك في التثنية ذان ليس بتثنية ذابل هو صيغة تفيد التثنية كأنتما </w:t>
      </w:r>
      <w:r>
        <w:rPr>
          <w:rStyle w:val="FootnoteAnchor"/>
          <w:rtl w:val="true"/>
        </w:rPr>
        <w:footnoteReference w:id="1222"/>
      </w:r>
      <w:r>
        <w:rPr>
          <w:rFonts w:ascii="Amiri" w:hAnsi="Amiri" w:eastAsia="Amiri" w:cs="Amiri"/>
          <w:color w:val="111111"/>
          <w:sz w:val="28"/>
          <w:sz w:val="28"/>
          <w:szCs w:val="28"/>
          <w:rtl w:val="true"/>
          <w:lang w:bidi="ar-SA"/>
        </w:rPr>
        <w:t xml:space="preserve">فكما أنّ أنتما ليس بتثنية أنت فكذلك ذان ليس بتثنية ذا لأنّه لو كان تثنية ذا ، لقيل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ذوان ، لأنّ التثنية من شأنها أن تردّ ما كان محذوفا من المفرد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أبوان وأخوان ودميان ورحيان ، ولأنّ تثنية المعرفة توجب تنكيرها غالبا ، وذان معرفة ، ومنهم من يجعل مثنّى أسماء الإشارة على كلّ حال بألف </w:t>
      </w:r>
      <w:r>
        <w:rPr>
          <w:rStyle w:val="FootnoteAnchor"/>
          <w:rtl w:val="true"/>
        </w:rPr>
        <w:footnoteReference w:id="1223"/>
      </w:r>
      <w:r>
        <w:rPr>
          <w:rFonts w:ascii="Amiri" w:hAnsi="Amiri" w:eastAsia="Amiri" w:cs="Amiri"/>
          <w:color w:val="111111"/>
          <w:sz w:val="28"/>
          <w:sz w:val="28"/>
          <w:szCs w:val="28"/>
          <w:rtl w:val="true"/>
          <w:lang w:bidi="ar-SA"/>
        </w:rPr>
        <w:t xml:space="preserve">وعليه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هذانِ لَساحِرانِ</w:t>
      </w:r>
      <w:r>
        <w:rPr>
          <w:rFonts w:eastAsia="Amiri" w:cs="Amiri" w:ascii="Amiri" w:hAnsi="Amiri"/>
          <w:color w:val="111111"/>
          <w:sz w:val="28"/>
          <w:szCs w:val="28"/>
          <w:rtl w:val="true"/>
          <w:lang w:bidi="ar-SA"/>
        </w:rPr>
        <w:t>)</w:t>
      </w:r>
      <w:r>
        <w:rPr>
          <w:rStyle w:val="FootnoteAnchor"/>
          <w:rtl w:val="true"/>
        </w:rPr>
        <w:footnoteReference w:id="1224"/>
      </w:r>
      <w:r>
        <w:rPr>
          <w:rFonts w:ascii="Amiri" w:hAnsi="Amiri" w:eastAsia="Amiri" w:cs="Amiri"/>
          <w:color w:val="111111"/>
          <w:sz w:val="28"/>
          <w:sz w:val="28"/>
          <w:szCs w:val="28"/>
          <w:rtl w:val="true"/>
          <w:lang w:bidi="ar-SA"/>
        </w:rPr>
        <w:t xml:space="preserve">واعلم أنّ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يلحق بأوائلها حرف التنبيه ليس على إطلاقه ، </w:t>
      </w:r>
      <w:bookmarkStart w:id="440" w:name="pg14482_156231"/>
    </w:p>
    <w:p>
      <w:pPr>
        <w:pStyle w:val="BookText"/>
        <w:rPr/>
      </w:pPr>
      <w:bookmarkEnd w:id="440"/>
      <w:r>
        <w:rPr>
          <w:rFonts w:ascii="Amiri" w:hAnsi="Amiri" w:eastAsia="Amiri" w:cs="Amiri"/>
          <w:color w:val="111111"/>
          <w:sz w:val="28"/>
          <w:sz w:val="28"/>
          <w:szCs w:val="28"/>
          <w:rtl w:val="true"/>
          <w:lang w:bidi="ar-SA"/>
        </w:rPr>
        <w:t xml:space="preserve">فإنّه يلحق البعض دون البعض ، إذ 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لك بالاتفاق ، وجعلوا ذا للقريب ليكون الاسم المجرّد من الزيادة للقريب المجرّد من زيادة المسافة ، وذاك للمتوسّط بزيادة حرف الخطاب لتشعر الزيادة في اللفظ بالزيادة في المسافة ، وذلك بزيادة اللام للبعيد لتشعر زيادة الحرفين على البعد في المسافة ، وهو رأي بعض النحويين </w:t>
      </w:r>
      <w:r>
        <w:rPr>
          <w:rStyle w:val="FootnoteAnchor"/>
          <w:rtl w:val="true"/>
        </w:rPr>
        <w:footnoteReference w:id="1225"/>
      </w:r>
      <w:r>
        <w:rPr>
          <w:rFonts w:ascii="Amiri" w:hAnsi="Amiri" w:eastAsia="Amiri" w:cs="Amiri"/>
          <w:color w:val="111111"/>
          <w:sz w:val="28"/>
          <w:sz w:val="28"/>
          <w:szCs w:val="28"/>
          <w:rtl w:val="true"/>
          <w:lang w:bidi="ar-SA"/>
        </w:rPr>
        <w:t xml:space="preserve">وإذا قصدوا البعيد في المثنّى شدّدوا النون من ذانك وتانك </w:t>
      </w:r>
      <w:r>
        <w:rPr>
          <w:rStyle w:val="FootnoteAnchor"/>
          <w:rtl w:val="true"/>
        </w:rPr>
        <w:footnoteReference w:id="1226"/>
      </w:r>
      <w:r>
        <w:rPr>
          <w:rFonts w:ascii="Amiri" w:hAnsi="Amiri" w:eastAsia="Amiri" w:cs="Amiri"/>
          <w:color w:val="111111"/>
          <w:sz w:val="28"/>
          <w:sz w:val="28"/>
          <w:szCs w:val="28"/>
          <w:rtl w:val="true"/>
          <w:lang w:bidi="ar-SA"/>
        </w:rPr>
        <w:t xml:space="preserve">وفي الواحدة المؤنّثة استعملوا تلك ، وفي المجموع زادوا اللّام وقصروا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أولالك </w:t>
      </w:r>
      <w:r>
        <w:rPr>
          <w:rStyle w:val="FootnoteAnchor"/>
          <w:rtl w:val="true"/>
        </w:rPr>
        <w:footnoteReference w:id="1227"/>
      </w:r>
      <w:r>
        <w:rPr>
          <w:rFonts w:ascii="Amiri" w:hAnsi="Amiri" w:eastAsia="Amiri" w:cs="Amiri"/>
          <w:color w:val="111111"/>
          <w:sz w:val="28"/>
          <w:sz w:val="28"/>
          <w:szCs w:val="28"/>
          <w:rtl w:val="true"/>
          <w:lang w:bidi="ar-SA"/>
        </w:rPr>
        <w:t xml:space="preserve">فهؤلاء للجماعة القريبة ، وأولئك للمتوسّطة ، وأولالك للبعيدة </w:t>
      </w:r>
      <w:r>
        <w:rPr>
          <w:rStyle w:val="FootnoteAnchor"/>
          <w:rtl w:val="true"/>
        </w:rPr>
        <w:footnoteReference w:id="1228"/>
      </w:r>
      <w:r>
        <w:rPr>
          <w:rFonts w:ascii="Amiri" w:hAnsi="Amiri" w:eastAsia="Amiri" w:cs="Amiri"/>
          <w:color w:val="111111"/>
          <w:sz w:val="28"/>
          <w:sz w:val="28"/>
          <w:szCs w:val="28"/>
          <w:rtl w:val="true"/>
          <w:lang w:bidi="ar-SA"/>
        </w:rPr>
        <w:t>واعلم أنّهم قد وضعوا أسماء يشيرون بها إلى الأمكنة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وهنا ، فثمّ يشيرون به إلى ما بعد من الأمكنة ، وهنا وهاهنا إلى المكان القريب ، وهناك إلى المتوسط ، وهنالك إلى البعيد ، وفي هنا ثلاث لغات ، إحداها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 الهاء مع تخفيف النون ، 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فتحها مع تشديد النون ، 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كسرها مع تشديد النون أيضا لكنّ الفتح أكثر </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1" w:name="__RefHeading___Toc716840_996550957"/>
      <w:bookmarkStart w:id="442" w:name="_Toc161"/>
      <w:bookmarkEnd w:id="441"/>
      <w:r>
        <w:rPr/>
        <w:t>3</w:t>
      </w:r>
      <w:r>
        <w:rPr>
          <w:rtl w:val="true"/>
        </w:rPr>
        <w:t xml:space="preserve">- </w:t>
      </w:r>
      <w:r>
        <w:rPr>
          <w:rtl w:val="true"/>
        </w:rPr>
        <w:t>ذكر الموصولات</w:t>
      </w:r>
      <w:bookmarkEnd w:id="442"/>
    </w:p>
    <w:p>
      <w:pPr>
        <w:pStyle w:val="Heading6"/>
        <w:numPr>
          <w:ilvl w:val="5"/>
          <w:numId w:val="1"/>
        </w:numPr>
        <w:rPr/>
      </w:pPr>
      <w:bookmarkStart w:id="443" w:name="__RefHeading___Toc716842_996550957"/>
      <w:bookmarkStart w:id="444" w:name="_Toc162"/>
      <w:bookmarkEnd w:id="443"/>
      <w:r>
        <w:rPr>
          <w:rtl w:val="true"/>
        </w:rPr>
        <w:t>اشارة</w:t>
      </w:r>
      <w:bookmarkEnd w:id="444"/>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ثالث أقسام المبنيّات ، والموصول مبهم بدون صلته ، كما أنّ اسم الإشارة مبهم بدون صفته ، فإن قيل الموصولات وأسماء الإشارة معارف فكيف يجتمع الإبهام والتعريف ، 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إبهامها إنّما هو بحسب الوضع لا بحسب الاستعمال ، فإنّها معارف بحسبه كما في الضمائر من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وأنت وهو ، وإنّما يبنى الموصول لمشابهته الحرف من حيث احتياجه إلى الغير في إيضاحه وهو الصّلة </w:t>
      </w:r>
      <w:r>
        <w:rPr>
          <w:rStyle w:val="FootnoteAnchor"/>
          <w:rtl w:val="true"/>
        </w:rPr>
        <w:footnoteReference w:id="1231"/>
      </w:r>
      <w:r>
        <w:rPr>
          <w:rFonts w:ascii="Amiri" w:hAnsi="Amiri" w:eastAsia="Amiri" w:cs="Amiri"/>
          <w:color w:val="111111"/>
          <w:sz w:val="28"/>
          <w:sz w:val="28"/>
          <w:szCs w:val="28"/>
          <w:rtl w:val="true"/>
          <w:lang w:bidi="ar-SA"/>
        </w:rPr>
        <w:t xml:space="preserve">وحدّ الموصول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لا يتم جزءا من الكلام من مسند ومسند إليه ، ومضاف إليه وتابع ، </w:t>
      </w:r>
    </w:p>
    <w:p>
      <w:pPr>
        <w:pStyle w:val="BookText"/>
        <w:rPr/>
      </w:pPr>
      <w:r>
        <w:rPr>
          <w:rFonts w:ascii="Amiri" w:hAnsi="Amiri" w:eastAsia="Amiri" w:cs="Amiri"/>
          <w:color w:val="111111"/>
          <w:sz w:val="28"/>
          <w:sz w:val="28"/>
          <w:szCs w:val="28"/>
          <w:rtl w:val="true"/>
          <w:lang w:bidi="ar-SA"/>
        </w:rPr>
        <w:t xml:space="preserve">إلّا مع صلة وعائد ، فقولنا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كالجنس وقولنا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يتم جزءا إلّا بصلة ، يخرج ما يتمّ جزءا بدون الصلة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ورجل وقولنا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وعائد ، يخرج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وإذا ، لأنّه وإن لم يتمّ جزءا من الكلام إلّا بصلة فإنّه بلا عائد ، فمثال الموصول مسندا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الذي قام أبوه ، ومثاله مسندا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قام أبوه زيد ، ومثاله مضافا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الذي قام أبوه عمرو ، ومثاله تابعا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بزيد الذي أبوه قائم ، ويجب أن تكون صلة الموصول جملة خبريّة ولا موضع لها من الإعراب </w:t>
      </w:r>
      <w:r>
        <w:rPr>
          <w:rStyle w:val="FootnoteAnchor"/>
          <w:rtl w:val="true"/>
        </w:rPr>
        <w:footnoteReference w:id="1232"/>
      </w:r>
      <w:r>
        <w:rPr>
          <w:rFonts w:ascii="Amiri" w:hAnsi="Amiri" w:eastAsia="Amiri" w:cs="Amiri"/>
          <w:color w:val="111111"/>
          <w:sz w:val="28"/>
          <w:sz w:val="28"/>
          <w:szCs w:val="28"/>
          <w:rtl w:val="true"/>
          <w:lang w:bidi="ar-SA"/>
        </w:rPr>
        <w:t xml:space="preserve">لكونها كالجزء من الموصول ، وإنّما وجب أن تكون جملة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وصلة إلى وصف المعارف بالجمل التي هي نكرات في الأصل ، ووجب أن تكون خبريّة لأنّ الموصول يخبر به وعنه ، ولو كانت الجملة الإنشائيّة جزءا منه لما صحّ منه ذلك ، ولأنّ الصلة يجب أن تكون موضّحة للموصول ، وما عدا الخبريّة كالأمر والنهي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الجمل الإنشائيّة غير موضّح </w:t>
      </w:r>
      <w:r>
        <w:rPr>
          <w:rStyle w:val="FootnoteAnchor"/>
          <w:rtl w:val="true"/>
        </w:rPr>
        <w:footnoteReference w:id="1233"/>
      </w:r>
      <w:r>
        <w:rPr>
          <w:rFonts w:ascii="Amiri" w:hAnsi="Amiri" w:eastAsia="Amiri" w:cs="Amiri"/>
          <w:color w:val="111111"/>
          <w:sz w:val="28"/>
          <w:sz w:val="28"/>
          <w:szCs w:val="28"/>
          <w:rtl w:val="true"/>
          <w:lang w:bidi="ar-SA"/>
        </w:rPr>
        <w:t xml:space="preserve">، ويشترط في الصلة أيضا ، أن تكون معلومة للمخاطب ، لأنّها لو كانت مجهولة لم تكن موضّحة ، ويشترط أن يكون فيها عائد </w:t>
      </w:r>
      <w:r>
        <w:rPr>
          <w:rStyle w:val="FootnoteAnchor"/>
          <w:rtl w:val="true"/>
        </w:rPr>
        <w:footnoteReference w:id="1234"/>
      </w:r>
      <w:r>
        <w:rPr>
          <w:rFonts w:ascii="Amiri" w:hAnsi="Amiri" w:eastAsia="Amiri" w:cs="Amiri"/>
          <w:color w:val="111111"/>
          <w:sz w:val="28"/>
          <w:sz w:val="28"/>
          <w:szCs w:val="28"/>
          <w:rtl w:val="true"/>
          <w:lang w:bidi="ar-SA"/>
        </w:rPr>
        <w:t xml:space="preserve">وهو ضمير في الصلة يعود إلى الموصول ، لأنّ الصلة جملة مستقلّة فافتقرت إلى العائد ، ليحصل به ربط الصلة بالموصول ، والضمير العائد المذكور يجوز حذفه </w:t>
      </w:r>
      <w:r>
        <w:rPr>
          <w:rStyle w:val="FootnoteAnchor"/>
          <w:rtl w:val="true"/>
        </w:rPr>
        <w:footnoteReference w:id="1235"/>
      </w:r>
      <w:r>
        <w:rPr>
          <w:rFonts w:ascii="Amiri" w:hAnsi="Amiri" w:eastAsia="Amiri" w:cs="Amiri"/>
          <w:color w:val="111111"/>
          <w:sz w:val="28"/>
          <w:sz w:val="28"/>
          <w:szCs w:val="28"/>
          <w:rtl w:val="true"/>
          <w:lang w:bidi="ar-SA"/>
        </w:rPr>
        <w:t xml:space="preserve">إذا كان مفعولا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 ما تشتهي الأنفس</w:t>
      </w:r>
      <w:r>
        <w:rPr>
          <w:rFonts w:eastAsia="Amiri" w:cs="Amiri" w:ascii="Amiri" w:hAnsi="Amiri"/>
          <w:color w:val="111111"/>
          <w:sz w:val="28"/>
          <w:szCs w:val="28"/>
          <w:rtl w:val="true"/>
          <w:lang w:bidi="ar-SA"/>
        </w:rPr>
        <w:t xml:space="preserve">) </w:t>
      </w:r>
      <w:r>
        <w:rPr>
          <w:rStyle w:val="FootnoteAnchor"/>
          <w:rtl w:val="true"/>
        </w:rPr>
        <w:footnoteReference w:id="1236"/>
      </w:r>
      <w:r>
        <w:rPr>
          <w:rFonts w:ascii="Amiri" w:hAnsi="Amiri" w:eastAsia="Amiri" w:cs="Amiri"/>
          <w:color w:val="111111"/>
          <w:sz w:val="28"/>
          <w:sz w:val="28"/>
          <w:szCs w:val="28"/>
          <w:rtl w:val="true"/>
          <w:lang w:bidi="ar-SA"/>
        </w:rPr>
        <w:t xml:space="preserve">أي ما تشتهيه ، لحصول العلم به مع كونه فضلة ، ولم يجز ذلك في الضمير المرفوع والمجرور لكون المرفوع فاعلا وامتناع حذف الفاعل ، واستلزام حذف المجرور ، كثرة الحذف أعني الجار والمجرور </w:t>
      </w:r>
      <w:r>
        <w:rPr>
          <w:rStyle w:val="FootnoteAnchor"/>
          <w:rtl w:val="true"/>
        </w:rPr>
        <w:footnoteReference w:id="1237"/>
      </w:r>
      <w:r>
        <w:rPr>
          <w:rStyle w:val="FootnoteAnchor"/>
          <w:rtl w:val="true"/>
        </w:rPr>
        <w:footnoteReference w:id="1238"/>
      </w:r>
    </w:p>
    <w:p>
      <w:pPr>
        <w:pStyle w:val="BookText"/>
        <w:rPr/>
      </w:pPr>
      <w:r>
        <w:rPr>
          <w:rFonts w:ascii="Amiri" w:hAnsi="Amiri" w:eastAsia="Amiri" w:cs="Amiri"/>
          <w:color w:val="111111"/>
          <w:sz w:val="28"/>
          <w:sz w:val="28"/>
          <w:szCs w:val="28"/>
          <w:rtl w:val="true"/>
          <w:lang w:bidi="ar-SA"/>
        </w:rPr>
        <w:t>عسى الأيام أن يرجو</w:t>
      </w:r>
    </w:p>
    <w:p>
      <w:pPr>
        <w:pStyle w:val="BookText"/>
        <w:rPr/>
      </w:pPr>
      <w:r>
        <w:rPr>
          <w:rFonts w:ascii="Amiri" w:hAnsi="Amiri" w:eastAsia="Amiri" w:cs="Amiri"/>
          <w:color w:val="111111"/>
          <w:sz w:val="28"/>
          <w:sz w:val="28"/>
          <w:szCs w:val="28"/>
          <w:rtl w:val="true"/>
          <w:lang w:bidi="ar-SA"/>
        </w:rPr>
        <w:t>ن قوما كالذي كانوا</w:t>
      </w:r>
    </w:p>
    <w:p>
      <w:pPr>
        <w:pStyle w:val="BookText"/>
        <w:rPr/>
      </w:pPr>
      <w:r>
        <w:rPr>
          <w:rFonts w:ascii="Amiri" w:hAnsi="Amiri" w:eastAsia="Amiri" w:cs="Amiri"/>
          <w:color w:val="111111"/>
          <w:sz w:val="28"/>
          <w:sz w:val="28"/>
          <w:szCs w:val="28"/>
          <w:rtl w:val="true"/>
          <w:lang w:bidi="ar-SA"/>
        </w:rPr>
        <w:t>أي كالذي كانوا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والبيت للفند الزماني ، ورد منسوبا له في أمالي القالي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 الحماسة للمرزوقي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 شواهد المغني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غير نسبة في المغني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5" w:name="pg14482_156233"/>
    </w:p>
    <w:p>
      <w:pPr>
        <w:pStyle w:val="Heading6"/>
        <w:numPr>
          <w:ilvl w:val="5"/>
          <w:numId w:val="1"/>
        </w:numPr>
        <w:rPr/>
      </w:pPr>
      <w:bookmarkStart w:id="446" w:name="__RefHeading___Toc716844_996550957"/>
      <w:bookmarkStart w:id="447" w:name="_Toc163"/>
      <w:bookmarkEnd w:id="445"/>
      <w:bookmarkEnd w:id="446"/>
      <w:r>
        <w:rPr>
          <w:rtl w:val="true"/>
        </w:rPr>
        <w:t>ذكر تعدّد الموصولات</w:t>
      </w:r>
      <w:bookmarkEnd w:id="447"/>
    </w:p>
    <w:p>
      <w:pPr>
        <w:pStyle w:val="BookText"/>
        <w:rPr/>
      </w:pPr>
      <w:r>
        <w:rPr>
          <w:rStyle w:val="FootnoteAnchor"/>
          <w:rtl w:val="true"/>
        </w:rPr>
        <w:footnoteReference w:id="12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للمفرد المذكّر ، والألى والذين لجمع المذكّرين ، واللّذان للمثنّى المذكر بالألف إذا كان في موضع رفع واللذين بالياء إذا كان في موضع نصب أو جرّ وهذه العبارة أولى من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رفعه بالألف ، ونصبه وجرّه بالياء ، لأنّ هذه الصيغ ليست معربة حقيقة لأنّها من المبنيّات ، ولعدم تحقّق التثنية فيها ، فإنّ اللذان واللذّين اسم وضع للمثنّى ، وكذلك اللتان واللتين ، كما قيل في أسماء الإشارة ولذلك حذفت الياء في تثنية الذي والتي كما حذفت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مثنّى حقيقة لما حذف ذلك ، وكذلك الذين ليس جمعا للذي ، لأنّه على اللغة الفصيحة بصيغة واحدة في الرفع والنصب والجر ، ولو كان جمعا محقّقا لوجب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الذون رفعا ، ولكن هو اسم وضع للجميع ، وأمّا جمع المؤنّث ، ففيه لغات ، وهي اللاتي واللواتي واللّات واللّوات واللّائي بهمزة وياء بعدها ، واللّاء بهمزة وحدها واللّاي بياء مكسورة ، وساكنة أيضا بغير همز </w:t>
      </w:r>
      <w:r>
        <w:rPr>
          <w:rStyle w:val="FootnoteAnchor"/>
          <w:rtl w:val="true"/>
        </w:rPr>
        <w:footnoteReference w:id="1240"/>
      </w:r>
      <w:r>
        <w:rPr>
          <w:rFonts w:ascii="Amiri" w:hAnsi="Amiri" w:eastAsia="Amiri" w:cs="Amiri"/>
          <w:color w:val="111111"/>
          <w:sz w:val="28"/>
          <w:sz w:val="28"/>
          <w:szCs w:val="28"/>
          <w:rtl w:val="true"/>
          <w:lang w:bidi="ar-SA"/>
        </w:rPr>
        <w:t xml:space="preserve">ومن الموصولات ذو الطائيّة بمعنى الذي ، كقوله </w:t>
      </w:r>
      <w:r>
        <w:rPr>
          <w:rFonts w:eastAsia="Amiri" w:cs="Amiri" w:ascii="Amiri" w:hAnsi="Amiri"/>
          <w:color w:val="111111"/>
          <w:sz w:val="28"/>
          <w:szCs w:val="28"/>
          <w:rtl w:val="true"/>
          <w:lang w:bidi="ar-SA"/>
        </w:rPr>
        <w:t xml:space="preserve">: </w:t>
      </w:r>
      <w:r>
        <w:rPr>
          <w:rStyle w:val="FootnoteAnchor"/>
          <w:rtl w:val="true"/>
        </w:rPr>
        <w:footnoteReference w:id="1241"/>
      </w:r>
    </w:p>
    <w:p>
      <w:pPr>
        <w:pStyle w:val="BookText"/>
        <w:rPr/>
      </w:pPr>
      <w:r>
        <w:rPr>
          <w:rFonts w:ascii="Amiri" w:hAnsi="Amiri" w:eastAsia="Amiri" w:cs="Amiri"/>
          <w:color w:val="111111"/>
          <w:sz w:val="28"/>
          <w:sz w:val="28"/>
          <w:szCs w:val="28"/>
          <w:rtl w:val="true"/>
          <w:lang w:bidi="ar-SA"/>
        </w:rPr>
        <w:t>فإنّ الماء ماء أبي وجدّي</w:t>
      </w:r>
    </w:p>
    <w:p>
      <w:pPr>
        <w:pStyle w:val="BookText"/>
        <w:rPr/>
      </w:pPr>
      <w:r>
        <w:rPr>
          <w:rFonts w:ascii="Amiri" w:hAnsi="Amiri" w:eastAsia="Amiri" w:cs="Amiri"/>
          <w:color w:val="111111"/>
          <w:sz w:val="28"/>
          <w:sz w:val="28"/>
          <w:szCs w:val="28"/>
          <w:rtl w:val="true"/>
          <w:lang w:bidi="ar-SA"/>
        </w:rPr>
        <w:t xml:space="preserve">ويروى صدر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البئر بئر أبي وجدّي</w:t>
      </w:r>
    </w:p>
    <w:p>
      <w:pPr>
        <w:pStyle w:val="BookText"/>
        <w:rPr/>
      </w:pPr>
      <w:r>
        <w:rPr>
          <w:rFonts w:ascii="Amiri" w:hAnsi="Amiri" w:eastAsia="Amiri" w:cs="Amiri"/>
          <w:color w:val="111111"/>
          <w:sz w:val="28"/>
          <w:sz w:val="28"/>
          <w:szCs w:val="28"/>
          <w:rtl w:val="true"/>
          <w:lang w:bidi="ar-SA"/>
        </w:rPr>
        <w:t xml:space="preserve">ورد منسوبا له في الأمالي الشجرية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والإنصاف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وشرح الكافية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 الشواهد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 التصريح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وخزانة الأدب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من غير نسبة في شرح المفصل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ولسان العرب ، ذوا وهمع الهوامع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 الأشموني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وبئري ذو حفرت وذو طويت </w:t>
      </w:r>
      <w:bookmarkStart w:id="448" w:name="pg14482_156234"/>
    </w:p>
    <w:p>
      <w:pPr>
        <w:pStyle w:val="BookText"/>
        <w:rPr/>
      </w:pPr>
      <w:bookmarkEnd w:id="44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وذو هذه ، بالواو في الأحوال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ومن وهما مفردان بكل حال وإنما تقع التثنية والجمع والتذكير والتأنيث في صلاتهما لا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للمذكّر بمعنى الذي وأيّة للمؤنّث بمعنى التي ، وذا بعد ما للاستفهام خاصة كقولك </w:t>
      </w:r>
      <w:r>
        <w:rPr>
          <w:rStyle w:val="FootnoteAnchor"/>
          <w:rtl w:val="true"/>
        </w:rPr>
        <w:footnoteReference w:id="12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 وهي بمعنى الذي ، عند البصريين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 واللام مع اسمي الفاعل والمفعول والصفة المشبّهة بمعنى الذي والتي وسيأتي الكلام على هذه الموصولات</w:t>
      </w:r>
      <w:r>
        <w:rPr>
          <w:rFonts w:eastAsia="Amiri" w:cs="Amiri" w:ascii="Amiri" w:hAnsi="Amiri"/>
          <w:color w:val="111111"/>
          <w:sz w:val="28"/>
          <w:szCs w:val="28"/>
          <w:rtl w:val="true"/>
          <w:lang w:bidi="ar-SA"/>
        </w:rPr>
        <w:t>.</w:t>
      </w:r>
    </w:p>
    <w:p>
      <w:pPr>
        <w:pStyle w:val="Heading6"/>
        <w:numPr>
          <w:ilvl w:val="5"/>
          <w:numId w:val="1"/>
        </w:numPr>
        <w:rPr/>
      </w:pPr>
      <w:bookmarkStart w:id="449" w:name="__RefHeading___Toc716846_996550957"/>
      <w:bookmarkStart w:id="450" w:name="_Toc164"/>
      <w:bookmarkEnd w:id="449"/>
      <w:r>
        <w:rPr>
          <w:rtl w:val="true"/>
        </w:rPr>
        <w:t>ذكر الإخبار بالذي وبابها</w:t>
      </w:r>
      <w:bookmarkEnd w:id="450"/>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ويخبر بها عن كلّ اسم في جملة معلوم من وجه غير معلوم من وجه آخر ، ما لم يمنع مانع من الإخبار بها كما سنذكر ، سواء كان ذلك الاسم في الجملة الاسميّة أو الفعليّة ، أعني إذا كان الإخبار بالذي خاصة ، فإنها تعمّ الجملتين ، وأما الألف واللّام فلا يخبر بهما إلّا في الجملة الفعليّة خاصة ، لأنّ صلة الألف واللّام لا تكون إلا اسم فاعل أو مفعول أو صفة مشبّهة لكراهتهم أن يدخلوا صيغة الألف واللّام على الجملة ، لكون صيغتهما مثل صيغة لام التعريف ، فسبكوا من الجملة الفعليّة اسم فاعل أو مفعول ليصحّ دخول اللّام عليهما </w:t>
      </w:r>
      <w:r>
        <w:rPr>
          <w:rStyle w:val="FootnoteAnchor"/>
          <w:rtl w:val="true"/>
        </w:rPr>
        <w:footnoteReference w:id="1244"/>
      </w:r>
      <w:r>
        <w:rPr>
          <w:rFonts w:ascii="Amiri" w:hAnsi="Amiri" w:eastAsia="Amiri" w:cs="Amiri"/>
          <w:color w:val="111111"/>
          <w:sz w:val="28"/>
          <w:sz w:val="28"/>
          <w:szCs w:val="28"/>
          <w:rtl w:val="true"/>
          <w:lang w:bidi="ar-SA"/>
        </w:rPr>
        <w:t xml:space="preserve">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الضارب زيد ، والمضروب عمرو ، بمعنى الذي ضرب والذي ضرب ، ولا يبنى ذلك إلّا من الفعليّة ، فلذلك خصّت اللام بالفعليّة وعمّ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الجملتين الاسميّة والفعليّة </w:t>
      </w:r>
      <w:r>
        <w:rPr>
          <w:rStyle w:val="FootnoteAnchor"/>
          <w:rtl w:val="true"/>
        </w:rPr>
        <w:footnoteReference w:id="1245"/>
      </w:r>
      <w:r>
        <w:rPr>
          <w:rFonts w:ascii="Amiri" w:hAnsi="Amiri" w:eastAsia="Amiri" w:cs="Amiri"/>
          <w:color w:val="111111"/>
          <w:sz w:val="28"/>
          <w:sz w:val="28"/>
          <w:szCs w:val="28"/>
          <w:rtl w:val="true"/>
          <w:lang w:bidi="ar-SA"/>
        </w:rPr>
        <w:t xml:space="preserve">وطريق الإخبار أن يصدّر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ويؤخّر الاسم خبرا ، ويجعل مكانه ضمير عائد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مطابق للظاهر المخبر عنه إعرابا وتذكيرا وتأنيثا وتثنية وجمعا ، ويكون مستترا وبارزا متصلا ومنفصلا ، فإذا أخبرت عن التاء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زيدا بالذي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ضرب زيدا أنا </w:t>
      </w:r>
      <w:r>
        <w:rPr>
          <w:rStyle w:val="FootnoteAnchor"/>
          <w:rtl w:val="true"/>
        </w:rPr>
        <w:footnoteReference w:id="1246"/>
      </w:r>
      <w:r>
        <w:rPr>
          <w:rFonts w:ascii="Amiri" w:hAnsi="Amiri" w:eastAsia="Amiri" w:cs="Amiri"/>
          <w:color w:val="111111"/>
          <w:sz w:val="28"/>
          <w:sz w:val="28"/>
          <w:szCs w:val="28"/>
          <w:rtl w:val="true"/>
          <w:lang w:bidi="ar-SA"/>
        </w:rPr>
        <w:t xml:space="preserve">، فإنّك صدّرت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وجعلت موضع الضمير البارز الذي هو تاء ، ضربت </w:t>
      </w:r>
    </w:p>
    <w:p>
      <w:pPr>
        <w:pStyle w:val="BookText"/>
        <w:rPr/>
      </w:pPr>
      <w:r>
        <w:rPr>
          <w:rFonts w:ascii="Amiri" w:hAnsi="Amiri" w:eastAsia="Amiri" w:cs="Amiri"/>
          <w:color w:val="111111"/>
          <w:sz w:val="28"/>
          <w:sz w:val="28"/>
          <w:szCs w:val="28"/>
          <w:rtl w:val="true"/>
          <w:lang w:bidi="ar-SA"/>
        </w:rPr>
        <w:t xml:space="preserve">ضميرا ، فلزم أن يستتر في ضرب الذي هو الفعل الماضي ، وأخّرت الضمير البارز المتصل الذي هو تاء ضربت فلزم انفصاله فالذي مبتدأ ، وأنا خبره وما بينهما صلة الذي ، وإذا أخبرت عن زيد في ضربت زيدا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ضربته زيدا ، فجعلت موضع المخبر عنه ضميرا للذي وهو الهاء في ضربته وأخّرت زيدا ، فالذي مبتدأ ، وزيد خبره ، وما بينهما صلة الذي ، وإذا أخبرت عن زيد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قائم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قائم زيد ، والأمر فيه كما ذكرنا ، والذي في هذه الصور مبتدأ واجب التقديم ، والاسم المخبر عنه بالذي خبر واجب التأخير ومع ذلك لم يذكرا في مواضع وجوب تقديم المبتدإ ووجوب تأخير الخبر ، وإذا أخبرت بالألف واللّام عن التاء في ضربت زيدا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الضارب زيدا أنا </w:t>
      </w:r>
      <w:r>
        <w:rPr>
          <w:rStyle w:val="FootnoteAnchor"/>
          <w:rtl w:val="true"/>
        </w:rPr>
        <w:footnoteReference w:id="1247"/>
      </w:r>
      <w:r>
        <w:rPr>
          <w:rFonts w:ascii="Amiri" w:hAnsi="Amiri" w:eastAsia="Amiri" w:cs="Amiri"/>
          <w:color w:val="111111"/>
          <w:sz w:val="28"/>
          <w:sz w:val="28"/>
          <w:szCs w:val="28"/>
          <w:rtl w:val="true"/>
          <w:lang w:bidi="ar-SA"/>
        </w:rPr>
        <w:t xml:space="preserve">، فالألف واللّام مبتدأ بمعنى الذي وأنا خبره ، وما بينهما صلة الألف واللّام ، والعائد مستكنّ في الضارب لأنّ اسم الفاعل قد جرى على من هو له ، وإذا أخبرت عن الكاف في ضربتك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الضاربه أنا أنت فاللّام مبتدأ ، وأنت خبره وما بينهما صلة اللام ، والعائد الهاء في الضاربه وأنا فاعل ، ووجب إبراز الضمير ؛ لأنّ الألف واللام لمخاطب الذي هو أنت ، والفعل لضمير المتكلّم فقد جرى اسم الفاعل على غير من هو له ، فوجب إبراز الضمير كما ذكر في بابه </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المراد بقولهم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 بالذي ، إنّما هو إخبار عن الذي بذلك الاسم لا إخبار بالذي حقيقة ، فتكون الباء في أخبر بالذي ، إمّا بمعنى الاستعانة أي استعن على هذا الإخبار المخصوص بالذي ، وإمّا بمعنى عن فيكون تقدير أخبر بالذي ، أخبر عن الذي ، وكما أوّلنا الباء بأنّها بمعنى عن كذلك تؤوّل عن بأنّها بمعنى الباء فيصير أخبر عن الذي تريد </w:t>
      </w:r>
      <w:r>
        <w:rPr>
          <w:rStyle w:val="FootnoteAnchor"/>
          <w:rtl w:val="true"/>
        </w:rPr>
        <w:footnoteReference w:id="1249"/>
      </w:r>
      <w:r>
        <w:rPr>
          <w:rFonts w:ascii="Amiri" w:hAnsi="Amiri" w:eastAsia="Amiri" w:cs="Amiri"/>
          <w:color w:val="111111"/>
          <w:sz w:val="28"/>
          <w:sz w:val="28"/>
          <w:szCs w:val="28"/>
          <w:rtl w:val="true"/>
          <w:lang w:bidi="ar-SA"/>
        </w:rPr>
        <w:t xml:space="preserve">وإنّما لزم تأويل هذا اللفظ لأنّ الذي في هذا الباب مبتدأ مخبر </w:t>
      </w:r>
    </w:p>
    <w:p>
      <w:pPr>
        <w:pStyle w:val="BookText"/>
        <w:rPr/>
      </w:pPr>
      <w:r>
        <w:rPr>
          <w:rFonts w:ascii="Amiri" w:hAnsi="Amiri" w:eastAsia="Amiri" w:cs="Amiri"/>
          <w:color w:val="111111"/>
          <w:sz w:val="28"/>
          <w:sz w:val="28"/>
          <w:szCs w:val="28"/>
          <w:rtl w:val="true"/>
          <w:lang w:bidi="ar-SA"/>
        </w:rPr>
        <w:t>عنه لا به ، والاسم المخبر عنه بالذي خبر مخبر به لا عنه</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الألف واللام لا توصل إلّا بالجملة الفعليّة ليس على إطلاقه بل لا بدّ من قيد آخر ، وهو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الجملة الفعليّة التي لها تصرّف ، ليمكن سبك اسم الفاعل والمفعول منها ، فإنّ الأفعال الجامدة لا يمكن ذلك منها لأنها لا تتصرف </w:t>
      </w:r>
      <w:r>
        <w:rPr>
          <w:rStyle w:val="FootnoteAnchor"/>
          <w:rtl w:val="true"/>
        </w:rPr>
        <w:footnoteReference w:id="1250"/>
      </w:r>
      <w:r>
        <w:rPr>
          <w:rFonts w:ascii="Amiri" w:hAnsi="Amiri" w:eastAsia="Amiri" w:cs="Amiri"/>
          <w:color w:val="111111"/>
          <w:sz w:val="28"/>
          <w:sz w:val="28"/>
          <w:szCs w:val="28"/>
          <w:rtl w:val="true"/>
          <w:lang w:bidi="ar-SA"/>
        </w:rPr>
        <w:t xml:space="preserve">وهي 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 وعسى ، ونعم وبئس وفعل التعجب وحبّذا ، وإذا تعذّر في الإخبار بالذي أحد الأمور الثلاثة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تصدير الذي ، أو إقامة الضمير العائد مقام الاسم المخبر عنه ، أو تأخير المخبر عنه خبرا ، تعذّر الإخبار بالذي ، فلا يصحّ الإخبار عن ضمير الشأن لأنّ له صدر الكلام فلا يؤخّر </w:t>
      </w:r>
      <w:r>
        <w:rPr>
          <w:rStyle w:val="FootnoteAnchor"/>
          <w:rtl w:val="true"/>
        </w:rPr>
        <w:footnoteReference w:id="1251"/>
      </w:r>
      <w:r>
        <w:rPr>
          <w:rFonts w:ascii="Amiri" w:hAnsi="Amiri" w:eastAsia="Amiri" w:cs="Amiri"/>
          <w:color w:val="111111"/>
          <w:sz w:val="28"/>
          <w:sz w:val="28"/>
          <w:szCs w:val="28"/>
          <w:rtl w:val="true"/>
          <w:lang w:bidi="ar-SA"/>
        </w:rPr>
        <w:t xml:space="preserve">ولا عن الوصف بدون الموصوف ، لأنّه يلزم وقوع الصفة مضمرة ، والمضمر لا يجوز أن يوصف به ، فلو أخبرت عن الكريم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زيدا الكريم ،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رأيت زيدا إيّاه الكريم لم يجز ، وكذلك لا يخبر عن الموصوف بدون صفته ، لأنّه يلزم أن يقع المضمر موصوفا وذلك غير جائز ، فلو أخبرت عن زيد ،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زيدا الكريم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رأيت إياه الكريم زيد لم يجز ذلك </w:t>
      </w:r>
      <w:r>
        <w:rPr>
          <w:rStyle w:val="FootnoteAnchor"/>
          <w:rtl w:val="true"/>
        </w:rPr>
        <w:footnoteReference w:id="1252"/>
      </w:r>
      <w:r>
        <w:rPr>
          <w:rFonts w:ascii="Amiri" w:hAnsi="Amiri" w:eastAsia="Amiri" w:cs="Amiri"/>
          <w:color w:val="111111"/>
          <w:sz w:val="28"/>
          <w:sz w:val="28"/>
          <w:szCs w:val="28"/>
          <w:rtl w:val="true"/>
          <w:lang w:bidi="ar-SA"/>
        </w:rPr>
        <w:t xml:space="preserve">وكذلك الحال والتمييز لامتناع وقوع الضمير حالا أو تمييزا ؛ لأنّ الضمير معرفة ويمتنع أن يكون شيء منهما معرفة ، وكذلك المصدر العامل </w:t>
      </w:r>
      <w:r>
        <w:rPr>
          <w:rStyle w:val="FootnoteAnchor"/>
          <w:rtl w:val="true"/>
        </w:rPr>
        <w:footnoteReference w:id="1253"/>
      </w:r>
      <w:r>
        <w:rPr>
          <w:rFonts w:ascii="Amiri" w:hAnsi="Amiri" w:eastAsia="Amiri" w:cs="Amiri"/>
          <w:color w:val="111111"/>
          <w:sz w:val="28"/>
          <w:sz w:val="28"/>
          <w:szCs w:val="28"/>
          <w:rtl w:val="true"/>
          <w:lang w:bidi="ar-SA"/>
        </w:rPr>
        <w:t xml:space="preserve">في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أعجبني ضربي زيدا ، لامتناع جعل الضمير عاملا مكان المصدر ، لأنّ الضمير لا يعمل ، وإن قدرت المصدر عاملا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أعجبني هو زيدا ضربي ، لم يجز أيضا ، لأن المصدر لا يعمل مؤخرا ، وإنّما قيّد المصدر بالعامل ، لجواز الإخبار عن المصدر الغير العامل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في رأيت ضربك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رأيته ضربك ، وكذلك لا يخبر عن الضمير المستحق لغير الموصول ، ولا عن الاسم المشتمل عليه ، أمّا الضمير المستحق لغير الموصول فنحو الهاء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ضربته </w:t>
      </w:r>
      <w:r>
        <w:rPr>
          <w:rStyle w:val="FootnoteAnchor"/>
          <w:rtl w:val="true"/>
        </w:rPr>
        <w:footnoteReference w:id="1254"/>
      </w:r>
      <w:r>
        <w:rPr>
          <w:rFonts w:ascii="Amiri" w:hAnsi="Amiri" w:eastAsia="Amiri" w:cs="Amiri"/>
          <w:color w:val="111111"/>
          <w:sz w:val="28"/>
          <w:sz w:val="28"/>
          <w:szCs w:val="28"/>
          <w:rtl w:val="true"/>
          <w:lang w:bidi="ar-SA"/>
        </w:rPr>
        <w:t xml:space="preserve">وأمّا الاسم المشتمل على الضمير المستحق لغير الذي </w:t>
      </w:r>
    </w:p>
    <w:p>
      <w:pPr>
        <w:pStyle w:val="BookText"/>
        <w:rPr/>
      </w:pPr>
      <w:r>
        <w:rPr>
          <w:rFonts w:ascii="Amiri" w:hAnsi="Amiri" w:eastAsia="Amiri" w:cs="Amiri"/>
          <w:color w:val="111111"/>
          <w:sz w:val="28"/>
          <w:sz w:val="28"/>
          <w:szCs w:val="28"/>
          <w:rtl w:val="true"/>
          <w:lang w:bidi="ar-SA"/>
        </w:rPr>
        <w:t xml:space="preserve">فنحو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ضربت أخاه </w:t>
      </w:r>
      <w:r>
        <w:rPr>
          <w:rStyle w:val="FootnoteAnchor"/>
          <w:rtl w:val="true"/>
        </w:rPr>
        <w:footnoteReference w:id="1255"/>
      </w:r>
      <w:r>
        <w:rPr>
          <w:rFonts w:ascii="Amiri" w:hAnsi="Amiri" w:eastAsia="Amiri" w:cs="Amiri"/>
          <w:color w:val="111111"/>
          <w:sz w:val="28"/>
          <w:sz w:val="28"/>
          <w:szCs w:val="28"/>
          <w:rtl w:val="true"/>
          <w:lang w:bidi="ar-SA"/>
        </w:rPr>
        <w:t xml:space="preserve">، فلا يجوز أن تخبر عن الهاء في ضربته ولا عن أخاه ، فإنك إن أعدت الهاء على زيد الذي هو المبتدأ بقي الموصول بلا عائد ، وإن أعدتها على الذي بقي المبتدأ الذي هو زيد ، بلا عائد </w:t>
      </w:r>
      <w:r>
        <w:rPr>
          <w:rStyle w:val="FootnoteAnchor"/>
          <w:rtl w:val="true"/>
        </w:rPr>
        <w:footnoteReference w:id="125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لا يصحّ الإخبار عن المجرور بربّ ومذ ومنذ ، وكاف التشبيه ، وواو القسم وتائه ، وحتّى ، والمضاف بدون المضاف إليه لامتناع إضمار هذه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أنواع ما </w:t>
      </w:r>
      <w:r>
        <w:rPr>
          <w:rStyle w:val="FootnoteAnchor"/>
          <w:rtl w:val="true"/>
        </w:rPr>
        <w:footnoteReference w:id="1257"/>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وذكرت أقسامها هاهنا للاختصار ، لئلّا يفرد لها باب آخر ، وهي تستعمل غالبا فيما لا يعقل ، وقد جاءت لمن يعقل </w:t>
      </w:r>
      <w:r>
        <w:rPr>
          <w:rStyle w:val="FootnoteAnchor"/>
          <w:rtl w:val="true"/>
        </w:rPr>
        <w:footnoteReference w:id="1258"/>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وَالسَّماءِ وَما بَناها</w:t>
      </w:r>
      <w:r>
        <w:rPr>
          <w:rFonts w:eastAsia="Amiri" w:cs="Amiri" w:ascii="Amiri" w:hAnsi="Amiri"/>
          <w:color w:val="111111"/>
          <w:sz w:val="28"/>
          <w:szCs w:val="28"/>
          <w:rtl w:val="true"/>
          <w:lang w:bidi="ar-SA"/>
        </w:rPr>
        <w:t>)</w:t>
      </w:r>
      <w:r>
        <w:rPr>
          <w:rStyle w:val="FootnoteAnchor"/>
          <w:rtl w:val="true"/>
        </w:rPr>
        <w:footnoteReference w:id="1259"/>
      </w:r>
      <w:r>
        <w:rPr>
          <w:rFonts w:ascii="Amiri" w:hAnsi="Amiri" w:eastAsia="Amiri" w:cs="Amiri"/>
          <w:color w:val="111111"/>
          <w:sz w:val="28"/>
          <w:sz w:val="28"/>
          <w:szCs w:val="28"/>
          <w:rtl w:val="true"/>
          <w:lang w:bidi="ar-SA"/>
        </w:rPr>
        <w:t xml:space="preserve">وهي مشتركة بين ستة معان ، فإنّها تأتي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موصولة ، واستفهاميّة ، وشرطيّة ، وموصوفة ، وصفة ، وتامّة ، وهي في جميع أقسامها مبنيّة ، فمثال الموصولة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ما عِنْدَ اللهِ خَيْرٌ مِنَ اللهْوِ وَمِنَ التِّجارَةِ</w:t>
      </w:r>
      <w:r>
        <w:rPr>
          <w:rFonts w:eastAsia="Amiri" w:cs="Amiri" w:ascii="Amiri" w:hAnsi="Amiri"/>
          <w:color w:val="111111"/>
          <w:sz w:val="28"/>
          <w:szCs w:val="28"/>
          <w:rtl w:val="true"/>
          <w:lang w:bidi="ar-SA"/>
        </w:rPr>
        <w:t>)</w:t>
      </w:r>
      <w:r>
        <w:rPr>
          <w:rStyle w:val="FootnoteAnchor"/>
          <w:rtl w:val="true"/>
        </w:rPr>
        <w:footnoteReference w:id="1260"/>
      </w:r>
      <w:r>
        <w:rPr>
          <w:rFonts w:ascii="Amiri" w:hAnsi="Amiri" w:eastAsia="Amiri" w:cs="Amiri"/>
          <w:color w:val="111111"/>
          <w:sz w:val="28"/>
          <w:sz w:val="28"/>
          <w:szCs w:val="28"/>
          <w:rtl w:val="true"/>
          <w:lang w:bidi="ar-SA"/>
        </w:rPr>
        <w:t xml:space="preserve">أي الذي عند الله وهي معرفة </w:t>
      </w:r>
      <w:r>
        <w:rPr>
          <w:rStyle w:val="FootnoteAnchor"/>
          <w:rtl w:val="true"/>
        </w:rPr>
        <w:footnoteReference w:id="1261"/>
      </w:r>
      <w:r>
        <w:rPr>
          <w:rFonts w:ascii="Amiri" w:hAnsi="Amiri" w:eastAsia="Amiri" w:cs="Amiri"/>
          <w:color w:val="111111"/>
          <w:sz w:val="28"/>
          <w:sz w:val="28"/>
          <w:szCs w:val="28"/>
          <w:rtl w:val="true"/>
          <w:lang w:bidi="ar-SA"/>
        </w:rPr>
        <w:t xml:space="preserve">لكن لا توصف بها المعرفة ، كما توصف بالذي ، لأنّ ما الموصولة تتضمّن الصفة والموصوف جميعا ، 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أعجبني ما صنعته فمعناه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أعجبني الشيء الذي صنعته ، لأنّ الشيء موصوف والذي صنعته صفته ، ومثال الاستفهاميّة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تِلْكَ بِيَمِينِكَ يا مُوسى</w:t>
      </w:r>
      <w:r>
        <w:rPr>
          <w:rFonts w:eastAsia="Amiri" w:cs="Amiri" w:ascii="Amiri" w:hAnsi="Amiri"/>
          <w:color w:val="111111"/>
          <w:sz w:val="28"/>
          <w:szCs w:val="28"/>
          <w:rtl w:val="true"/>
          <w:lang w:bidi="ar-SA"/>
        </w:rPr>
        <w:t>)</w:t>
      </w:r>
      <w:r>
        <w:rPr>
          <w:rStyle w:val="FootnoteAnchor"/>
          <w:rtl w:val="true"/>
        </w:rPr>
        <w:footnoteReference w:id="1262"/>
      </w:r>
      <w:r>
        <w:rPr>
          <w:rFonts w:ascii="Amiri" w:hAnsi="Amiri" w:eastAsia="Amiri" w:cs="Amiri"/>
          <w:color w:val="111111"/>
          <w:sz w:val="28"/>
          <w:sz w:val="28"/>
          <w:szCs w:val="28"/>
          <w:rtl w:val="true"/>
          <w:lang w:bidi="ar-SA"/>
        </w:rPr>
        <w:t xml:space="preserve">وهي هنا نكرة </w:t>
      </w:r>
      <w:r>
        <w:rPr>
          <w:rStyle w:val="FootnoteAnchor"/>
          <w:rtl w:val="true"/>
        </w:rPr>
        <w:footnoteReference w:id="1263"/>
      </w:r>
      <w:r>
        <w:rPr>
          <w:rFonts w:ascii="Amiri" w:hAnsi="Amiri" w:eastAsia="Amiri" w:cs="Amiri"/>
          <w:color w:val="111111"/>
          <w:sz w:val="28"/>
          <w:sz w:val="28"/>
          <w:szCs w:val="28"/>
          <w:rtl w:val="true"/>
          <w:lang w:bidi="ar-SA"/>
        </w:rPr>
        <w:t xml:space="preserve">ومثال الشرطيّة قوله تعالى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تَفْعَلُوا مِنْ خَيْرٍ يَعْلَمْهُ اللهُ</w:t>
      </w:r>
      <w:r>
        <w:rPr>
          <w:rFonts w:eastAsia="Amiri" w:cs="Amiri" w:ascii="Amiri" w:hAnsi="Amiri"/>
          <w:color w:val="111111"/>
          <w:sz w:val="28"/>
          <w:szCs w:val="28"/>
          <w:rtl w:val="true"/>
          <w:lang w:bidi="ar-SA"/>
        </w:rPr>
        <w:t>)</w:t>
      </w:r>
      <w:r>
        <w:rPr>
          <w:rStyle w:val="FootnoteAnchor"/>
          <w:rtl w:val="true"/>
        </w:rPr>
        <w:footnoteReference w:id="1264"/>
      </w:r>
      <w:r>
        <w:rPr>
          <w:rFonts w:ascii="Amiri" w:hAnsi="Amiri" w:eastAsia="Amiri" w:cs="Amiri"/>
          <w:color w:val="111111"/>
          <w:sz w:val="28"/>
          <w:sz w:val="28"/>
          <w:szCs w:val="28"/>
          <w:rtl w:val="true"/>
          <w:lang w:bidi="ar-SA"/>
        </w:rPr>
        <w:t xml:space="preserve">وهي نكرة أيضا ، ومثال الموصوفة قول الشّاعر </w:t>
      </w:r>
      <w:r>
        <w:rPr>
          <w:rFonts w:eastAsia="Amiri" w:cs="Amiri" w:ascii="Amiri" w:hAnsi="Amiri"/>
          <w:color w:val="111111"/>
          <w:sz w:val="28"/>
          <w:szCs w:val="28"/>
          <w:rtl w:val="true"/>
          <w:lang w:bidi="ar-SA"/>
        </w:rPr>
        <w:t xml:space="preserve">: </w:t>
      </w:r>
      <w:r>
        <w:rPr>
          <w:rStyle w:val="FootnoteAnchor"/>
          <w:rtl w:val="true"/>
        </w:rPr>
        <w:footnoteReference w:id="1265"/>
      </w:r>
    </w:p>
    <w:p>
      <w:pPr>
        <w:pStyle w:val="BookText"/>
        <w:rPr/>
      </w:pPr>
      <w:r>
        <w:rPr>
          <w:rFonts w:ascii="Amiri" w:hAnsi="Amiri" w:eastAsia="Amiri" w:cs="Amiri"/>
          <w:color w:val="111111"/>
          <w:sz w:val="28"/>
          <w:sz w:val="28"/>
          <w:szCs w:val="28"/>
          <w:rtl w:val="true"/>
          <w:lang w:bidi="ar-SA"/>
        </w:rPr>
        <w:t xml:space="preserve">ونسب في بعض المصادر إلى حنيف بن عمير اليشكري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لنهار ابن أخت مسيلمة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الفرجة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الانفراج 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حبل تشد به قوائم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ربّما تكره النفوس من الأم</w:t>
      </w:r>
    </w:p>
    <w:p>
      <w:pPr>
        <w:pStyle w:val="BookText"/>
        <w:rPr/>
      </w:pPr>
      <w:r>
        <w:rPr>
          <w:rFonts w:ascii="IRNazanin" w:hAnsi="IRNazanin" w:eastAsia="IRNazanin"/>
          <w:color w:val="111111"/>
          <w:sz w:val="28"/>
          <w:sz w:val="28"/>
          <w:szCs w:val="28"/>
          <w:rtl w:val="true"/>
          <w:lang w:bidi="fa-IR"/>
        </w:rPr>
        <w:t xml:space="preserve">ر له </w:t>
      </w:r>
      <w:r>
        <w:rPr>
          <w:rStyle w:val="FootnoteAnchor"/>
          <w:rtl w:val="true"/>
        </w:rPr>
        <w:footnoteReference w:id="1266"/>
      </w:r>
      <w:r>
        <w:rPr>
          <w:rFonts w:ascii="Amiri" w:hAnsi="Amiri" w:eastAsia="Amiri" w:cs="Amiri"/>
          <w:color w:val="111111"/>
          <w:sz w:val="28"/>
          <w:sz w:val="28"/>
          <w:szCs w:val="28"/>
          <w:rtl w:val="true"/>
          <w:lang w:bidi="ar-SA"/>
        </w:rPr>
        <w:t>فرجة كحلّ</w:t>
      </w:r>
    </w:p>
    <w:p>
      <w:pPr>
        <w:pStyle w:val="BookText"/>
        <w:rPr/>
      </w:pPr>
      <w:r>
        <w:rPr>
          <w:rFonts w:ascii="IRNazanin" w:hAnsi="IRNazanin" w:eastAsia="IRNazanin"/>
          <w:color w:val="111111"/>
          <w:sz w:val="28"/>
          <w:sz w:val="28"/>
          <w:szCs w:val="28"/>
          <w:rtl w:val="true"/>
          <w:lang w:bidi="fa-IR"/>
        </w:rPr>
        <w:t>العقال</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نكرة أيضا ، لدخول ربّ عليها ، وإنّما كانت موصوفة ، لأنّ المجرور بربّ لا بدّ من وصفه ، وهي هنا موصوفة بالجملة ، وهي نكرة أيضا ، والتقدير ، ربّ شيء تكرهه النفوس أي مكروه ، وأمّا الموصوفة بالمفرد فنحو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ما لَدَيَّ عَتِيدٌ</w:t>
      </w:r>
      <w:r>
        <w:rPr>
          <w:rFonts w:eastAsia="Amiri" w:cs="Amiri" w:ascii="Amiri" w:hAnsi="Amiri"/>
          <w:color w:val="111111"/>
          <w:sz w:val="28"/>
          <w:szCs w:val="28"/>
          <w:rtl w:val="true"/>
          <w:lang w:bidi="ar-SA"/>
        </w:rPr>
        <w:t>)</w:t>
      </w:r>
      <w:r>
        <w:rPr>
          <w:rStyle w:val="FootnoteAnchor"/>
          <w:rtl w:val="true"/>
        </w:rPr>
        <w:footnoteReference w:id="1267"/>
      </w:r>
      <w:r>
        <w:rPr>
          <w:rFonts w:ascii="Amiri" w:hAnsi="Amiri" w:eastAsia="Amiri" w:cs="Amiri"/>
          <w:color w:val="111111"/>
          <w:sz w:val="28"/>
          <w:sz w:val="28"/>
          <w:szCs w:val="28"/>
          <w:rtl w:val="true"/>
          <w:lang w:bidi="ar-SA"/>
        </w:rPr>
        <w:t xml:space="preserve">أي هذا شيء لديّ عتيد ، فعتيد صفة لما </w:t>
      </w:r>
      <w:r>
        <w:rPr>
          <w:rStyle w:val="FootnoteAnchor"/>
          <w:rtl w:val="true"/>
        </w:rPr>
        <w:footnoteReference w:id="1268"/>
      </w:r>
      <w:r>
        <w:rPr>
          <w:rFonts w:ascii="Amiri" w:hAnsi="Amiri" w:eastAsia="Amiri" w:cs="Amiri"/>
          <w:color w:val="111111"/>
          <w:sz w:val="28"/>
          <w:sz w:val="28"/>
          <w:szCs w:val="28"/>
          <w:rtl w:val="true"/>
          <w:lang w:bidi="ar-SA"/>
        </w:rPr>
        <w:t xml:space="preserve">، ومثال الصفة قوله صلى‌الله‌عليه‌وسلم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أحبب حبيبك هونا ما ، عسى أن يكون بغيضك يوما ما ، وأبغض بغيضك هونا ما ، عسى أن يكون حبيبك يوما ما</w:t>
      </w:r>
      <w:r>
        <w:rPr>
          <w:rFonts w:eastAsia="Amiri" w:cs="Amiri" w:ascii="Amiri" w:hAnsi="Amiri"/>
          <w:color w:val="111111"/>
          <w:sz w:val="28"/>
          <w:szCs w:val="28"/>
          <w:rtl w:val="true"/>
          <w:lang w:bidi="ar-SA"/>
        </w:rPr>
        <w:t xml:space="preserve">» </w:t>
      </w:r>
      <w:r>
        <w:rPr>
          <w:rStyle w:val="FootnoteAnchor"/>
          <w:rtl w:val="true"/>
        </w:rPr>
        <w:footnoteReference w:id="1269"/>
      </w:r>
      <w:r>
        <w:rPr>
          <w:rFonts w:ascii="Amiri" w:hAnsi="Amiri" w:eastAsia="Amiri" w:cs="Amiri"/>
          <w:color w:val="111111"/>
          <w:sz w:val="28"/>
          <w:sz w:val="28"/>
          <w:szCs w:val="28"/>
          <w:rtl w:val="true"/>
          <w:lang w:bidi="ar-SA"/>
        </w:rPr>
        <w:t xml:space="preserve">أي ، أحبب حبيبك حبّا قليلا ، وأبغض بغيضك بغضا قليلا ، وقيل </w:t>
      </w:r>
      <w:r>
        <w:rPr>
          <w:rFonts w:eastAsia="Amiri" w:cs="Amiri" w:ascii="Amiri" w:hAnsi="Amiri"/>
          <w:color w:val="111111"/>
          <w:sz w:val="28"/>
          <w:szCs w:val="28"/>
          <w:rtl w:val="true"/>
          <w:lang w:bidi="ar-SA"/>
        </w:rPr>
        <w:t xml:space="preserve">: </w:t>
      </w:r>
      <w:r>
        <w:rPr>
          <w:rStyle w:val="FootnoteAnchor"/>
          <w:rtl w:val="true"/>
        </w:rPr>
        <w:footnoteReference w:id="12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حرف يفيد التقليل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للتأكيد وهو الأصحّ ، وهي أيضا نكرة ، ومثال التامّة ، وهي أن تكون بمعنى شيء </w:t>
      </w:r>
      <w:r>
        <w:rPr>
          <w:rStyle w:val="FootnoteAnchor"/>
          <w:rtl w:val="true"/>
        </w:rPr>
        <w:footnoteReference w:id="1271"/>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تُبْدُوا الصَّدَقاتِ </w:t>
      </w:r>
      <w:bookmarkStart w:id="451" w:name="pg14482_156239"/>
    </w:p>
    <w:p>
      <w:pPr>
        <w:pStyle w:val="BookText"/>
        <w:rPr/>
      </w:pPr>
      <w:bookmarkEnd w:id="451"/>
      <w:r>
        <w:rPr>
          <w:rFonts w:ascii="Amiri" w:hAnsi="Amiri" w:eastAsia="Amiri" w:cs="Amiri"/>
          <w:color w:val="111111"/>
          <w:sz w:val="28"/>
          <w:sz w:val="28"/>
          <w:szCs w:val="28"/>
          <w:rtl w:val="true"/>
          <w:lang w:bidi="ar-SA"/>
        </w:rPr>
        <w:t>فَنِعِمَّا هِيَ</w:t>
      </w:r>
      <w:r>
        <w:rPr>
          <w:rFonts w:eastAsia="Amiri" w:cs="Amiri" w:ascii="Amiri" w:hAnsi="Amiri"/>
          <w:color w:val="111111"/>
          <w:sz w:val="28"/>
          <w:szCs w:val="28"/>
          <w:rtl w:val="true"/>
          <w:lang w:bidi="ar-SA"/>
        </w:rPr>
        <w:t>)</w:t>
      </w:r>
      <w:r>
        <w:rPr>
          <w:rStyle w:val="FootnoteAnchor"/>
          <w:rtl w:val="true"/>
        </w:rPr>
        <w:footnoteReference w:id="1272"/>
      </w:r>
      <w:r>
        <w:rPr>
          <w:rFonts w:ascii="Amiri" w:hAnsi="Amiri" w:eastAsia="Amiri" w:cs="Amiri"/>
          <w:color w:val="111111"/>
          <w:sz w:val="28"/>
          <w:sz w:val="28"/>
          <w:szCs w:val="28"/>
          <w:rtl w:val="true"/>
          <w:lang w:bidi="ar-SA"/>
        </w:rPr>
        <w:t xml:space="preserve">أي فنعم شيئا إبداؤها فحذف المضاف وهو إبداء ، وأقيم المضاف إليه مقامه وهو الضمير المجرور الراجع إلى الصّدقات فصار مرفوعا ، ومعنى كونها تامة أنّها غير محتاجة إلى صلة ولا صفة ، وهي هنا منصوبة على التمييز ، ومفسّرة </w:t>
      </w:r>
      <w:r>
        <w:rPr>
          <w:rStyle w:val="FootnoteAnchor"/>
          <w:rtl w:val="true"/>
        </w:rPr>
        <w:footnoteReference w:id="1273"/>
      </w:r>
      <w:r>
        <w:rPr>
          <w:rFonts w:ascii="Amiri" w:hAnsi="Amiri" w:eastAsia="Amiri" w:cs="Amiri"/>
          <w:color w:val="111111"/>
          <w:sz w:val="28"/>
          <w:sz w:val="28"/>
          <w:szCs w:val="28"/>
          <w:rtl w:val="true"/>
          <w:lang w:bidi="ar-SA"/>
        </w:rPr>
        <w:t xml:space="preserve">لفاعل نعم ، أي نعم الشيء شيئا هي الصدقات </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52" w:name="__RefHeading___Toc716848_996550957"/>
      <w:bookmarkStart w:id="453" w:name="_Toc165"/>
      <w:bookmarkEnd w:id="452"/>
      <w:r>
        <w:rPr>
          <w:rtl w:val="true"/>
        </w:rPr>
        <w:t>ذكر أنواع من</w:t>
      </w:r>
      <w:bookmarkEnd w:id="453"/>
    </w:p>
    <w:p>
      <w:pPr>
        <w:pStyle w:val="BookText"/>
        <w:rPr/>
      </w:pPr>
      <w:r>
        <w:rPr>
          <w:rStyle w:val="FootnoteAnchor"/>
          <w:rtl w:val="true"/>
        </w:rPr>
        <w:footnoteReference w:id="12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والاعتذار عن ذكر باقي أقسامها مع الموصولات ، وكذلك غيرها هو ما تقدّم في ذكر أنواع ما ، وأنواع من كأنواع ما ، إلّا في التمام والصفة ، فإنّ من لا تكون </w:t>
      </w:r>
      <w:r>
        <w:rPr>
          <w:rStyle w:val="FootnoteAnchor"/>
          <w:rtl w:val="true"/>
        </w:rPr>
        <w:footnoteReference w:id="1276"/>
      </w:r>
      <w:r>
        <w:rPr>
          <w:rFonts w:ascii="Amiri" w:hAnsi="Amiri" w:eastAsia="Amiri" w:cs="Amiri"/>
          <w:color w:val="111111"/>
          <w:sz w:val="28"/>
          <w:sz w:val="28"/>
          <w:szCs w:val="28"/>
          <w:rtl w:val="true"/>
          <w:lang w:bidi="ar-SA"/>
        </w:rPr>
        <w:t xml:space="preserve">تامّة ، ولا يوصف بها ، فالموصولة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من أبوه طيّب ، وهي خاصة معرفة ، ونكرة في باقي أقسامها ، والاستفهاميّة </w:t>
      </w:r>
      <w:r>
        <w:rPr>
          <w:rFonts w:eastAsia="Amiri" w:cs="Amiri" w:ascii="Amiri" w:hAnsi="Amiri"/>
          <w:color w:val="111111"/>
          <w:sz w:val="28"/>
          <w:szCs w:val="28"/>
          <w:rtl w:val="true"/>
          <w:lang w:bidi="ar-SA"/>
        </w:rPr>
        <w:t xml:space="preserve">: </w:t>
      </w:r>
      <w:r>
        <w:rPr>
          <w:rStyle w:val="FootnoteAnchor"/>
          <w:rtl w:val="true"/>
        </w:rPr>
        <w:footnoteReference w:id="1277"/>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عندك والموصوفة بالمفرد </w:t>
      </w:r>
      <w:r>
        <w:rPr>
          <w:rStyle w:val="FootnoteAnchor"/>
          <w:rtl w:val="true"/>
        </w:rPr>
        <w:footnoteReference w:id="1278"/>
      </w:r>
      <w:r>
        <w:rPr>
          <w:rFonts w:ascii="IRNazanin" w:hAnsi="IRNazanin" w:eastAsia="IRNazanin"/>
          <w:color w:val="111111"/>
          <w:sz w:val="28"/>
          <w:sz w:val="28"/>
          <w:szCs w:val="28"/>
          <w:rtl w:val="true"/>
          <w:lang w:bidi="fa-IR"/>
        </w:rPr>
        <w:t xml:space="preserve">نحو قوله </w:t>
      </w:r>
      <w:r>
        <w:rPr>
          <w:rFonts w:eastAsia="IRNazanin" w:cs="IRNazanin"/>
          <w:color w:val="111111"/>
          <w:sz w:val="28"/>
          <w:szCs w:val="28"/>
          <w:rtl w:val="true"/>
          <w:lang w:bidi="fa-IR"/>
        </w:rPr>
        <w:t xml:space="preserve">: </w:t>
      </w:r>
      <w:r>
        <w:rPr>
          <w:rStyle w:val="FootnoteAnchor"/>
          <w:rtl w:val="true"/>
        </w:rPr>
        <w:footnoteReference w:id="1279"/>
      </w:r>
    </w:p>
    <w:p>
      <w:pPr>
        <w:pStyle w:val="BookText"/>
        <w:rPr/>
      </w:pPr>
      <w:r>
        <w:rPr>
          <w:rFonts w:ascii="Amiri" w:hAnsi="Amiri" w:eastAsia="Amiri" w:cs="Amiri"/>
          <w:color w:val="111111"/>
          <w:sz w:val="28"/>
          <w:sz w:val="28"/>
          <w:szCs w:val="28"/>
          <w:rtl w:val="true"/>
          <w:lang w:bidi="ar-SA"/>
        </w:rPr>
        <w:t xml:space="preserve">وقد رواه سيبويه في الكتاب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منسوبا لحسان ، ورواه ابن الشجري في أماليه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منسوبا لكعب وفي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منسوبا بالحسان ورواه السيوطي في شرح شواهد المغني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منسوبا لكعب بن مالك ، وروي البيت من غير نسبة في مجالس ثعلب ، القسم الأول ،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 المفصل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 الكافية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ومغني اللبيب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وهمع الهوامع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معجم شواهد العربية ، لعبد السّلام هارون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ويروى فضلا مكان فخرا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وكفى بنا فخرا على من غيرنا</w:t>
      </w:r>
    </w:p>
    <w:p>
      <w:pPr>
        <w:pStyle w:val="BookText"/>
        <w:rPr/>
      </w:pPr>
      <w:r>
        <w:rPr>
          <w:rFonts w:ascii="Amiri" w:hAnsi="Amiri" w:eastAsia="Amiri" w:cs="Amiri"/>
          <w:color w:val="111111"/>
          <w:sz w:val="28"/>
          <w:sz w:val="28"/>
          <w:szCs w:val="28"/>
          <w:rtl w:val="true"/>
          <w:lang w:bidi="ar-SA"/>
        </w:rPr>
        <w:t>حبّ النبيّ محمّد إيّانا</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نحو قوله </w:t>
      </w:r>
      <w:r>
        <w:rPr>
          <w:rFonts w:eastAsia="Amiri" w:cs="Amiri" w:ascii="Amiri" w:hAnsi="Amiri"/>
          <w:color w:val="111111"/>
          <w:sz w:val="28"/>
          <w:szCs w:val="28"/>
          <w:rtl w:val="true"/>
          <w:lang w:bidi="ar-SA"/>
        </w:rPr>
        <w:t xml:space="preserve">: </w:t>
      </w:r>
      <w:r>
        <w:rPr>
          <w:rStyle w:val="FootnoteAnchor"/>
          <w:rtl w:val="true"/>
        </w:rPr>
        <w:footnoteReference w:id="1280"/>
      </w:r>
      <w:bookmarkStart w:id="454" w:name="pg14482_156240"/>
    </w:p>
    <w:p>
      <w:pPr>
        <w:pStyle w:val="BookText"/>
        <w:rPr/>
      </w:pPr>
      <w:bookmarkEnd w:id="454"/>
      <w:r>
        <w:rPr>
          <w:rFonts w:ascii="Amiri" w:hAnsi="Amiri" w:eastAsia="Amiri" w:cs="Amiri"/>
          <w:color w:val="111111"/>
          <w:sz w:val="28"/>
          <w:sz w:val="28"/>
          <w:szCs w:val="28"/>
          <w:rtl w:val="true"/>
          <w:lang w:bidi="ar-SA"/>
        </w:rPr>
        <w:t>ربّ من أنضجت غيظا صدره</w:t>
      </w:r>
    </w:p>
    <w:p>
      <w:pPr>
        <w:pStyle w:val="BookText"/>
        <w:rPr/>
      </w:pPr>
      <w:r>
        <w:rPr>
          <w:rFonts w:ascii="Amiri" w:hAnsi="Amiri" w:eastAsia="Amiri" w:cs="Amiri"/>
          <w:color w:val="111111"/>
          <w:sz w:val="28"/>
          <w:sz w:val="28"/>
          <w:szCs w:val="28"/>
          <w:rtl w:val="true"/>
          <w:lang w:bidi="ar-SA"/>
        </w:rPr>
        <w:t>قد تمنّى لي موتا لم يطع</w:t>
      </w:r>
    </w:p>
    <w:p>
      <w:pPr>
        <w:pStyle w:val="BookText"/>
        <w:rPr/>
      </w:pPr>
      <w:r>
        <w:rPr>
          <w:rFonts w:ascii="Amiri" w:hAnsi="Amiri" w:eastAsia="Amiri" w:cs="Amiri"/>
          <w:color w:val="111111"/>
          <w:sz w:val="28"/>
          <w:sz w:val="28"/>
          <w:szCs w:val="28"/>
          <w:rtl w:val="true"/>
          <w:lang w:bidi="ar-SA"/>
        </w:rPr>
        <w:t xml:space="preserve">فإنّ من هنا بمعنى شخص أو إنسان موصوف بما ذكر ، والشرطيّة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يكرمني أكرمه ، ومن تستعمل غالبا فيمن يعقل ، وقد تستعمل في غير من يعقل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خَلَقَ كُلَّ دَابَّةٍ مِنْ ماءٍ فَمِنْهُمْ مَنْ يَمْشِي عَلى بَطْنِهِ</w:t>
      </w:r>
      <w:r>
        <w:rPr>
          <w:rFonts w:eastAsia="Amiri" w:cs="Amiri" w:ascii="Amiri" w:hAnsi="Amiri"/>
          <w:color w:val="111111"/>
          <w:sz w:val="28"/>
          <w:szCs w:val="28"/>
          <w:rtl w:val="true"/>
          <w:lang w:bidi="ar-SA"/>
        </w:rPr>
        <w:t>)</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55" w:name="__RefHeading___Toc716850_996550957"/>
      <w:bookmarkStart w:id="456" w:name="_Toc166"/>
      <w:bookmarkEnd w:id="455"/>
      <w:r>
        <w:rPr>
          <w:rtl w:val="true"/>
        </w:rPr>
        <w:t>ذكر أنواع أيّ وأيّة</w:t>
      </w:r>
      <w:bookmarkEnd w:id="456"/>
    </w:p>
    <w:p>
      <w:pPr>
        <w:pStyle w:val="BookText"/>
        <w:rPr/>
      </w:pPr>
      <w:r>
        <w:rPr>
          <w:rStyle w:val="FootnoteAnchor"/>
          <w:rtl w:val="true"/>
        </w:rPr>
        <w:footnoteReference w:id="12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كأنواع ما إلّا في التمام ، فإنّ أيّا وأيّة لا يقعان تامّين ، فالاستفهاميّة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أيّهم وأيّتهم عندك؟ والشرطيّة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أيّهم تكرمه أكرمه ، والموصوفة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الرجل ويا أيّتها المرأة ، والموصولة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لَنَنْزِعَنَّ مِنْ كُلِّ شِيعَةٍ أَيُّهُمْ أَشَدُّ عَلَى الرَّحْمنِ عِتِيًّا</w:t>
      </w:r>
      <w:r>
        <w:rPr>
          <w:rFonts w:eastAsia="Amiri" w:cs="Amiri" w:ascii="Amiri" w:hAnsi="Amiri"/>
          <w:color w:val="111111"/>
          <w:sz w:val="28"/>
          <w:szCs w:val="28"/>
          <w:rtl w:val="true"/>
          <w:lang w:bidi="ar-SA"/>
        </w:rPr>
        <w:t>)</w:t>
      </w:r>
      <w:r>
        <w:rPr>
          <w:rStyle w:val="FootnoteAnchor"/>
          <w:rtl w:val="true"/>
        </w:rPr>
        <w:footnoteReference w:id="1283"/>
      </w:r>
      <w:r>
        <w:rPr>
          <w:rFonts w:ascii="Amiri" w:hAnsi="Amiri" w:eastAsia="Amiri" w:cs="Amiri"/>
          <w:color w:val="111111"/>
          <w:sz w:val="28"/>
          <w:sz w:val="28"/>
          <w:szCs w:val="28"/>
          <w:rtl w:val="true"/>
          <w:lang w:bidi="ar-SA"/>
        </w:rPr>
        <w:t xml:space="preserve">أي الذي هو أشدّ والصفة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برجل أيّ رجل</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أيّا وأيّة خاصة تعربان في الأقسام المذكورة إلّا في قسمين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حذف صدر صلتها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أَيُّهُمْ أَشَدُّ عَلَى الرَّحْمنِ عِتِيًّا</w:t>
      </w:r>
      <w:r>
        <w:rPr>
          <w:rFonts w:eastAsia="Amiri" w:cs="Amiri" w:ascii="Amiri" w:hAnsi="Amiri"/>
          <w:color w:val="111111"/>
          <w:sz w:val="28"/>
          <w:szCs w:val="28"/>
          <w:rtl w:val="true"/>
          <w:lang w:bidi="ar-SA"/>
        </w:rPr>
        <w:t>)</w:t>
      </w:r>
      <w:r>
        <w:rPr>
          <w:rStyle w:val="FootnoteAnchor"/>
          <w:rtl w:val="true"/>
        </w:rPr>
        <w:footnoteReference w:id="1284"/>
      </w:r>
      <w:r>
        <w:rPr>
          <w:rFonts w:ascii="Amiri" w:hAnsi="Amiri" w:eastAsia="Amiri" w:cs="Amiri"/>
          <w:color w:val="111111"/>
          <w:sz w:val="28"/>
          <w:sz w:val="28"/>
          <w:szCs w:val="28"/>
          <w:rtl w:val="true"/>
          <w:lang w:bidi="ar-SA"/>
        </w:rPr>
        <w:t xml:space="preserve">أي أيّهم هو أشدّ </w:t>
      </w:r>
      <w:r>
        <w:rPr>
          <w:rStyle w:val="FootnoteAnchor"/>
          <w:rtl w:val="true"/>
        </w:rPr>
        <w:footnoteReference w:id="1285"/>
      </w:r>
      <w:r>
        <w:rPr>
          <w:rFonts w:ascii="Amiri" w:hAnsi="Amiri" w:eastAsia="Amiri" w:cs="Amiri"/>
          <w:color w:val="111111"/>
          <w:sz w:val="28"/>
          <w:sz w:val="28"/>
          <w:szCs w:val="28"/>
          <w:rtl w:val="true"/>
          <w:lang w:bidi="ar-SA"/>
        </w:rPr>
        <w:t xml:space="preserve">، وبنيت لمشابهة الحرف في افتقارها إلى ذلك المحذوف </w:t>
      </w:r>
      <w:r>
        <w:rPr>
          <w:rStyle w:val="FootnoteAnchor"/>
          <w:rtl w:val="true"/>
        </w:rPr>
        <w:footnoteReference w:id="1286"/>
      </w: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موصوفة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الرجل ويا أيتها المرأة ، وبنيا لقطعهما عن الإضافة وجعلهما مفردين </w:t>
      </w:r>
      <w:r>
        <w:rPr>
          <w:rStyle w:val="FootnoteAnchor"/>
          <w:rtl w:val="true"/>
        </w:rPr>
        <w:footnoteReference w:id="1287"/>
      </w:r>
      <w:r>
        <w:rPr>
          <w:rFonts w:ascii="Amiri" w:hAnsi="Amiri" w:eastAsia="Amiri" w:cs="Amiri"/>
          <w:color w:val="111111"/>
          <w:sz w:val="28"/>
          <w:sz w:val="28"/>
          <w:szCs w:val="28"/>
          <w:rtl w:val="true"/>
          <w:lang w:bidi="ar-SA"/>
        </w:rPr>
        <w:t xml:space="preserve">والمنادى المفرد المعرفة مبنيّ أبدا كما تقدّم في بابه </w:t>
      </w:r>
      <w:r>
        <w:rPr>
          <w:rStyle w:val="FootnoteAnchor"/>
          <w:rtl w:val="true"/>
        </w:rPr>
        <w:footnoteReference w:id="1288"/>
      </w:r>
      <w:r>
        <w:rPr>
          <w:rFonts w:ascii="Amiri" w:hAnsi="Amiri" w:eastAsia="Amiri" w:cs="Amiri"/>
          <w:color w:val="111111"/>
          <w:sz w:val="28"/>
          <w:sz w:val="28"/>
          <w:szCs w:val="28"/>
          <w:rtl w:val="true"/>
          <w:lang w:bidi="ar-SA"/>
        </w:rPr>
        <w:t xml:space="preserve">وأمّا </w:t>
      </w:r>
      <w:bookmarkStart w:id="457" w:name="pg14482_156241"/>
    </w:p>
    <w:p>
      <w:pPr>
        <w:pStyle w:val="BookText"/>
        <w:rPr/>
      </w:pPr>
      <w:bookmarkEnd w:id="457"/>
      <w:r>
        <w:rPr>
          <w:rFonts w:ascii="Amiri" w:hAnsi="Amiri" w:eastAsia="Amiri" w:cs="Amiri"/>
          <w:color w:val="111111"/>
          <w:sz w:val="28"/>
          <w:sz w:val="28"/>
          <w:szCs w:val="28"/>
          <w:rtl w:val="true"/>
          <w:lang w:bidi="ar-SA"/>
        </w:rPr>
        <w:t>وجوب إعرابهما في باقي الأقسام المذكورة فلانتفاء موجب البناء</w:t>
      </w:r>
      <w:r>
        <w:rPr>
          <w:rFonts w:eastAsia="Amiri" w:cs="Amiri" w:ascii="Amiri" w:hAnsi="Amiri"/>
          <w:color w:val="111111"/>
          <w:sz w:val="28"/>
          <w:szCs w:val="28"/>
          <w:rtl w:val="true"/>
          <w:lang w:bidi="ar-SA"/>
        </w:rPr>
        <w:t>.</w:t>
      </w:r>
    </w:p>
    <w:p>
      <w:pPr>
        <w:pStyle w:val="Heading6"/>
        <w:numPr>
          <w:ilvl w:val="5"/>
          <w:numId w:val="1"/>
        </w:numPr>
        <w:rPr/>
      </w:pPr>
      <w:bookmarkStart w:id="458" w:name="__RefHeading___Toc716852_996550957"/>
      <w:bookmarkStart w:id="459" w:name="_Toc167"/>
      <w:bookmarkEnd w:id="458"/>
      <w:r>
        <w:rPr>
          <w:rtl w:val="true"/>
        </w:rPr>
        <w:t>ذكر ما ذا</w:t>
      </w:r>
      <w:bookmarkEnd w:id="459"/>
    </w:p>
    <w:p>
      <w:pPr>
        <w:pStyle w:val="BookText"/>
        <w:rPr/>
      </w:pPr>
      <w:r>
        <w:rPr>
          <w:rStyle w:val="FootnoteAnchor"/>
          <w:rtl w:val="true"/>
        </w:rPr>
        <w:footnoteReference w:id="12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تستعمل على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معناها ما الذي نحو ما ذا صنعت؟ ما للاستفهام وهي مبتدأ ، وذا بمعنى الذي ، وصنعت صلته ، والعائد محذوف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صنعته؟ والموصول مع صلته خبر المبتدأ ، وجوابه مرفوع ليطابق السؤال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بالرفع ، ويجوز نصبه بتقدير الفعل المذكور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 بالنّصب ، أي صنعت خيرا ، ولكنّ الرفع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ما ذا بمنزلة كلمة واحدة مركّبة من كلمتين بمعنى أيّ شيء فيصير المعنى ، أيّ شيء صنعت ، ويحكم على موضعه بحسب ما يقتضيه العامل وهو هنا في محلّ النصب ، بأن يكون مفعولا لصنعت ، فيكون الجواب منصوبا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خيرا بالنصب لتطابق السؤال </w:t>
      </w:r>
      <w:r>
        <w:rPr>
          <w:rStyle w:val="FootnoteAnchor"/>
          <w:rtl w:val="true"/>
        </w:rPr>
        <w:footnoteReference w:id="1290"/>
      </w:r>
      <w:r>
        <w:rPr>
          <w:rFonts w:ascii="Amiri" w:hAnsi="Amiri" w:eastAsia="Amiri" w:cs="Amiri"/>
          <w:color w:val="111111"/>
          <w:sz w:val="28"/>
          <w:sz w:val="28"/>
          <w:szCs w:val="28"/>
          <w:rtl w:val="true"/>
          <w:lang w:bidi="ar-SA"/>
        </w:rPr>
        <w:t xml:space="preserve">وقد يجوز فيه الرفع على تقدير ؛ أن يكون خبر مبتدأ محذوف ، وإنّما قدّم ما ذا لتضمّنه معنى الإنشاء </w:t>
      </w:r>
      <w:r>
        <w:rPr>
          <w:rStyle w:val="FootnoteAnchor"/>
          <w:rtl w:val="true"/>
        </w:rPr>
        <w:footnoteReference w:id="1291"/>
      </w:r>
      <w:r>
        <w:rPr>
          <w:rFonts w:ascii="Amiri" w:hAnsi="Amiri" w:eastAsia="Amiri" w:cs="Amiri"/>
          <w:color w:val="111111"/>
          <w:sz w:val="28"/>
          <w:sz w:val="28"/>
          <w:szCs w:val="28"/>
          <w:rtl w:val="true"/>
          <w:lang w:bidi="ar-SA"/>
        </w:rPr>
        <w:t xml:space="preserve">وقد أجمع القرّاء على نصب خيرا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وَقِيلَ لِلَّذِينَ اتَّقَوْا ما ذا أَنْزَلَ رَبُّكُمْ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w:t>
      </w:r>
      <w:r>
        <w:rPr>
          <w:rFonts w:eastAsia="Amiri" w:cs="Amiri" w:ascii="Amiri" w:hAnsi="Amiri"/>
          <w:color w:val="111111"/>
          <w:sz w:val="28"/>
          <w:szCs w:val="28"/>
          <w:rtl w:val="true"/>
          <w:lang w:bidi="ar-SA"/>
        </w:rPr>
        <w:t>)</w:t>
      </w:r>
      <w:r>
        <w:rPr>
          <w:rStyle w:val="FootnoteAnchor"/>
          <w:rtl w:val="true"/>
        </w:rPr>
        <w:footnoteReference w:id="1292"/>
      </w:r>
      <w:r>
        <w:rPr>
          <w:rFonts w:ascii="Amiri" w:hAnsi="Amiri" w:eastAsia="Amiri" w:cs="Amiri"/>
          <w:color w:val="111111"/>
          <w:sz w:val="28"/>
          <w:sz w:val="28"/>
          <w:szCs w:val="28"/>
          <w:rtl w:val="true"/>
          <w:lang w:bidi="ar-SA"/>
        </w:rPr>
        <w:t xml:space="preserve">تنبيها على أنّهم قصدوا خلاف ما قصد من كان قبلهم من الكفّار إذ قيل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ذا أَنْزَلَ رَبُّكُمْ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أَساطِيرُ الْأَوَّلِينَ</w:t>
      </w:r>
      <w:r>
        <w:rPr>
          <w:rFonts w:eastAsia="Amiri" w:cs="Amiri" w:ascii="Amiri" w:hAnsi="Amiri"/>
          <w:color w:val="111111"/>
          <w:sz w:val="28"/>
          <w:szCs w:val="28"/>
          <w:rtl w:val="true"/>
          <w:lang w:bidi="ar-SA"/>
        </w:rPr>
        <w:t>)</w:t>
      </w:r>
      <w:r>
        <w:rPr>
          <w:rStyle w:val="FootnoteAnchor"/>
          <w:rtl w:val="true"/>
        </w:rPr>
        <w:footnoteReference w:id="1293"/>
      </w:r>
      <w:r>
        <w:rPr>
          <w:rFonts w:ascii="Amiri" w:hAnsi="Amiri" w:eastAsia="Amiri" w:cs="Amiri"/>
          <w:color w:val="111111"/>
          <w:sz w:val="28"/>
          <w:sz w:val="28"/>
          <w:szCs w:val="28"/>
          <w:rtl w:val="true"/>
          <w:lang w:bidi="ar-SA"/>
        </w:rPr>
        <w:t xml:space="preserve">فهذا لا يستقيم فيه إلّا الرفع على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أساطير الأولين ، عدولا منهم عن الجواب ، إذ لا يستقيم أن يكون المعنى أنزل ربّنا أساطير الأولين </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0" w:name="__RefHeading___Toc716854_996550957"/>
      <w:bookmarkStart w:id="461" w:name="_Toc168"/>
      <w:bookmarkEnd w:id="460"/>
      <w:r>
        <w:rPr/>
        <w:t>4</w:t>
      </w:r>
      <w:r>
        <w:rPr>
          <w:rtl w:val="true"/>
        </w:rPr>
        <w:t xml:space="preserve">- </w:t>
      </w:r>
      <w:r>
        <w:rPr>
          <w:rtl w:val="true"/>
        </w:rPr>
        <w:t>ذكر أسماء الأفعال</w:t>
      </w:r>
      <w:bookmarkEnd w:id="461"/>
    </w:p>
    <w:p>
      <w:pPr>
        <w:pStyle w:val="Heading6"/>
        <w:numPr>
          <w:ilvl w:val="5"/>
          <w:numId w:val="1"/>
        </w:numPr>
        <w:rPr/>
      </w:pPr>
      <w:bookmarkStart w:id="462" w:name="__RefHeading___Toc716856_996550957"/>
      <w:bookmarkStart w:id="463" w:name="_Toc169"/>
      <w:bookmarkEnd w:id="462"/>
      <w:r>
        <w:rPr>
          <w:rtl w:val="true"/>
        </w:rPr>
        <w:t>اشارة</w:t>
      </w:r>
      <w:bookmarkEnd w:id="463"/>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ما كان بمعنى الأمر ، أو الماضي ، وهي رابع المبنيّات ومسميّاتها ألفاظ ؛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فرويد اسم ومسمّاه لفظ أمهل ، وأمهل لفظ ومدلوله طلب المهلة ، وكذلك جميع أسماء الأفعال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 فإنّها اسم للفظ بعد ، وبعد موضوع للمعنى الذين هو البعد ، وكذلك </w:t>
      </w:r>
      <w:r>
        <w:rPr>
          <w:rStyle w:val="FootnoteAnchor"/>
          <w:rtl w:val="true"/>
        </w:rPr>
        <w:footnoteReference w:id="1296"/>
      </w:r>
      <w:r>
        <w:rPr>
          <w:rFonts w:ascii="Amiri" w:hAnsi="Amiri" w:eastAsia="Amiri" w:cs="Amiri"/>
          <w:color w:val="111111"/>
          <w:sz w:val="28"/>
          <w:sz w:val="28"/>
          <w:szCs w:val="28"/>
          <w:rtl w:val="true"/>
          <w:lang w:bidi="ar-SA"/>
        </w:rPr>
        <w:t xml:space="preserve">صه اسم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 ، واسكت موضوع للمعنى الذي هو طلب السكوت </w:t>
      </w:r>
      <w:r>
        <w:rPr>
          <w:rStyle w:val="FootnoteAnchor"/>
          <w:rtl w:val="true"/>
        </w:rPr>
        <w:footnoteReference w:id="1297"/>
      </w:r>
      <w:r>
        <w:rPr>
          <w:rFonts w:ascii="Amiri" w:hAnsi="Amiri" w:eastAsia="Amiri" w:cs="Amiri"/>
          <w:color w:val="111111"/>
          <w:sz w:val="28"/>
          <w:sz w:val="28"/>
          <w:szCs w:val="28"/>
          <w:rtl w:val="true"/>
          <w:lang w:bidi="ar-SA"/>
        </w:rPr>
        <w:t xml:space="preserve">لأنّ رويد مثلا لو كان اسما لطلب المهلة ، لكان رويد وأمهل مترادفين ولم يكن اسما له </w:t>
      </w:r>
      <w:r>
        <w:rPr>
          <w:rStyle w:val="FootnoteAnchor"/>
          <w:rtl w:val="true"/>
        </w:rPr>
        <w:footnoteReference w:id="1298"/>
      </w:r>
      <w:r>
        <w:rPr>
          <w:rFonts w:ascii="Amiri" w:hAnsi="Amiri" w:eastAsia="Amiri" w:cs="Amiri"/>
          <w:color w:val="111111"/>
          <w:sz w:val="28"/>
          <w:sz w:val="28"/>
          <w:szCs w:val="28"/>
          <w:rtl w:val="true"/>
          <w:lang w:bidi="ar-SA"/>
        </w:rPr>
        <w:t xml:space="preserve">، وكذلك القول في جميع هذا الباب ، وفائدة أسماء الأفعال ؛ الاختصار والمبالغة لأنّها للمذكّر والمؤنّث والمثنّى والمجموع ، بلفظ واحد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 يا زيدان ويا زيدون ، فلا تلحقها علامة تثنية ولا جمع ، بخلاف اسكتا واسكتوا ، وأمّا المبالغة فإنّ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زيد ، بعد جدا ، فهيهات معدولة عن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بعد مكرّرا ، وكذلك القول في مه وغيرها من هذا الباب وإنّما بنيت هذه الأسماء لأنها نائبة عن الجملة ، والجمل محكيّة لا تعرب ، أو لشبهها بما هي بمعناه وهو فعل الأمر والماضي </w:t>
      </w:r>
      <w:r>
        <w:rPr>
          <w:rStyle w:val="FootnoteAnchor"/>
          <w:rtl w:val="true"/>
        </w:rPr>
        <w:footnoteReference w:id="1299"/>
      </w:r>
      <w:r>
        <w:rPr>
          <w:rFonts w:ascii="Amiri" w:hAnsi="Amiri" w:eastAsia="Amiri" w:cs="Amiri"/>
          <w:color w:val="111111"/>
          <w:sz w:val="28"/>
          <w:sz w:val="28"/>
          <w:szCs w:val="28"/>
          <w:rtl w:val="true"/>
          <w:lang w:bidi="ar-SA"/>
        </w:rPr>
        <w:t xml:space="preserve">ولا بدّ لها من موضع من الإعراب لوجود التركيب ، واختيار ابن الحاجب أنّ موضعها رفع بالابتداء وفاعلها المستتر فيها أغنى عن الخبر كما أغنى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أقائم الزيدان عن الخبر </w:t>
      </w:r>
      <w:r>
        <w:rPr>
          <w:rStyle w:val="FootnoteAnchor"/>
          <w:rtl w:val="true"/>
        </w:rPr>
        <w:footnoteReference w:id="1300"/>
      </w:r>
      <w:r>
        <w:rPr>
          <w:rFonts w:ascii="Amiri" w:hAnsi="Amiri" w:eastAsia="Amiri" w:cs="Amiri"/>
          <w:color w:val="111111"/>
          <w:sz w:val="28"/>
          <w:sz w:val="28"/>
          <w:szCs w:val="28"/>
          <w:rtl w:val="true"/>
          <w:lang w:bidi="ar-SA"/>
        </w:rPr>
        <w:t xml:space="preserve">واختيار تقي الدين النيلي ، أنّ موضعها نصب على المصدر كأنه قيل في رويد 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أرود إروادا زيدا </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 xml:space="preserve">. </w:t>
      </w:r>
      <w:bookmarkStart w:id="464" w:name="pg14482_156243"/>
    </w:p>
    <w:p>
      <w:pPr>
        <w:pStyle w:val="Heading6"/>
        <w:numPr>
          <w:ilvl w:val="5"/>
          <w:numId w:val="1"/>
        </w:numPr>
        <w:rPr/>
      </w:pPr>
      <w:bookmarkStart w:id="465" w:name="__RefHeading___Toc716858_996550957"/>
      <w:bookmarkStart w:id="466" w:name="_Toc170"/>
      <w:bookmarkEnd w:id="464"/>
      <w:bookmarkEnd w:id="465"/>
      <w:r>
        <w:rPr>
          <w:rtl w:val="true"/>
        </w:rPr>
        <w:t>فصل</w:t>
      </w:r>
      <w:bookmarkEnd w:id="466"/>
    </w:p>
    <w:p>
      <w:pPr>
        <w:pStyle w:val="BookText"/>
        <w:rPr/>
      </w:pPr>
      <w:r>
        <w:rPr>
          <w:rFonts w:ascii="Amiri" w:hAnsi="Amiri" w:eastAsia="Amiri" w:cs="Amiri"/>
          <w:color w:val="111111"/>
          <w:sz w:val="28"/>
          <w:sz w:val="28"/>
          <w:szCs w:val="28"/>
          <w:rtl w:val="true"/>
          <w:lang w:bidi="ar-SA"/>
        </w:rPr>
        <w:t xml:space="preserve">وأسماء الأفعال تنقسم إلى مرتجل ، ومشتقّ ، ومنقول ، فالمرتجل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 ومه وهيهات ، والمشتقّ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نزال ومناع ، والمنقول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زيدا ، ودونك عمرا ، أي خذه ، وعندك بكرا أي إلزمه ، فإنّ ذلك منقول عن الجار والمجرور والظرف وما أضيف إليه ، فإنّ عليك مثلا كان جارا ومجرورا ثم صار اسم فعل هنا ، وكذا دونك وعندك ، كلّ واحد منهما كان ظرفا مضافا إلى كاف المخاطب ثمّ استعمل اسم فعل حسبما ذكر </w:t>
      </w:r>
      <w:r>
        <w:rPr>
          <w:rStyle w:val="FootnoteAnchor"/>
          <w:rtl w:val="true"/>
        </w:rPr>
        <w:footnoteReference w:id="1302"/>
      </w:r>
      <w:r>
        <w:rPr>
          <w:rFonts w:ascii="Amiri" w:hAnsi="Amiri" w:eastAsia="Amiri" w:cs="Amiri"/>
          <w:color w:val="111111"/>
          <w:sz w:val="28"/>
          <w:sz w:val="28"/>
          <w:szCs w:val="28"/>
          <w:rtl w:val="true"/>
          <w:lang w:bidi="ar-SA"/>
        </w:rPr>
        <w:t xml:space="preserve">وينقسم قسمة أخرى ؛ إلى لازم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 وهيهات وإلى متعدّ بنفسه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رويد زيدا ، وإلى متعدّ بحرف الجرّ نحو قول المؤذن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على الصّلاة أي أقبلوا على الصلاة </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67" w:name="__RefHeading___Toc716860_996550957"/>
      <w:bookmarkStart w:id="468" w:name="_Toc171"/>
      <w:bookmarkEnd w:id="467"/>
      <w:r>
        <w:rPr>
          <w:rtl w:val="true"/>
        </w:rPr>
        <w:t>فصل</w:t>
      </w:r>
      <w:bookmarkEnd w:id="468"/>
    </w:p>
    <w:p>
      <w:pPr>
        <w:pStyle w:val="BookText"/>
        <w:rPr/>
      </w:pPr>
      <w:r>
        <w:rPr>
          <w:rStyle w:val="FootnoteAnchor"/>
          <w:rtl w:val="true"/>
        </w:rPr>
        <w:footnoteReference w:id="13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ومذهب سيبويه ، أنّ كلّ فعل ثلاثي لك أن تبني منه فعال بمعنى افعل </w:t>
      </w:r>
      <w:r>
        <w:rPr>
          <w:rStyle w:val="FootnoteAnchor"/>
          <w:rtl w:val="true"/>
        </w:rPr>
        <w:footnoteReference w:id="1305"/>
      </w:r>
      <w:r>
        <w:rPr>
          <w:rFonts w:ascii="Amiri" w:hAnsi="Amiri" w:eastAsia="Amiri" w:cs="Amiri"/>
          <w:color w:val="111111"/>
          <w:sz w:val="28"/>
          <w:sz w:val="28"/>
          <w:szCs w:val="28"/>
          <w:rtl w:val="true"/>
          <w:lang w:bidi="ar-SA"/>
        </w:rPr>
        <w:t xml:space="preserve">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ضراب اسم اضرب ، وقعاد اسم اقعد ، وقوام اسم قم ، ونزال اسم انزل ، وعند غيره يؤخذ سماعا كما في الرباعي بالاتفاق </w:t>
      </w:r>
      <w:r>
        <w:rPr>
          <w:rStyle w:val="FootnoteAnchor"/>
          <w:rtl w:val="true"/>
        </w:rPr>
        <w:footnoteReference w:id="1306"/>
      </w:r>
      <w:r>
        <w:rPr>
          <w:rFonts w:ascii="Amiri" w:hAnsi="Amiri" w:eastAsia="Amiri" w:cs="Amiri"/>
          <w:color w:val="111111"/>
          <w:sz w:val="28"/>
          <w:sz w:val="28"/>
          <w:szCs w:val="28"/>
          <w:rtl w:val="true"/>
          <w:lang w:bidi="ar-SA"/>
        </w:rPr>
        <w:t xml:space="preserve">إذ لم يأت منه إلّا قرقار </w:t>
      </w:r>
      <w:r>
        <w:rPr>
          <w:rStyle w:val="FootnoteAnchor"/>
          <w:rtl w:val="true"/>
        </w:rPr>
        <w:footnoteReference w:id="1307"/>
      </w:r>
      <w:r>
        <w:rPr>
          <w:rFonts w:ascii="IRNazanin" w:hAnsi="IRNazanin" w:eastAsia="IRNazanin"/>
          <w:color w:val="111111"/>
          <w:sz w:val="28"/>
          <w:sz w:val="28"/>
          <w:szCs w:val="28"/>
          <w:rtl w:val="true"/>
          <w:lang w:bidi="fa-IR"/>
        </w:rPr>
        <w:t xml:space="preserve">وعرعار </w:t>
      </w:r>
      <w:r>
        <w:rPr>
          <w:rStyle w:val="FootnoteAnchor"/>
          <w:rtl w:val="true"/>
        </w:rPr>
        <w:footnoteReference w:id="1308"/>
      </w:r>
      <w:r>
        <w:rPr>
          <w:rFonts w:ascii="Amiri" w:hAnsi="Amiri" w:eastAsia="Amiri" w:cs="Amiri"/>
          <w:color w:val="111111"/>
          <w:sz w:val="28"/>
          <w:sz w:val="28"/>
          <w:szCs w:val="28"/>
          <w:rtl w:val="true"/>
          <w:lang w:bidi="ar-SA"/>
        </w:rPr>
        <w:t xml:space="preserve">قال الشّاعر </w:t>
      </w:r>
      <w:r>
        <w:rPr>
          <w:rFonts w:eastAsia="Amiri" w:cs="Amiri" w:ascii="Amiri" w:hAnsi="Amiri"/>
          <w:color w:val="111111"/>
          <w:sz w:val="28"/>
          <w:szCs w:val="28"/>
          <w:rtl w:val="true"/>
          <w:lang w:bidi="ar-SA"/>
        </w:rPr>
        <w:t xml:space="preserve">: </w:t>
      </w:r>
      <w:r>
        <w:rPr>
          <w:rStyle w:val="FootnoteAnchor"/>
          <w:rtl w:val="true"/>
        </w:rPr>
        <w:footnoteReference w:id="1309"/>
      </w:r>
    </w:p>
    <w:p>
      <w:pPr>
        <w:pStyle w:val="BookText"/>
        <w:rPr/>
      </w:pPr>
      <w:r>
        <w:rPr>
          <w:rFonts w:ascii="Amiri" w:hAnsi="Amiri" w:eastAsia="Amiri" w:cs="Amiri"/>
          <w:color w:val="111111"/>
          <w:sz w:val="28"/>
          <w:sz w:val="28"/>
          <w:szCs w:val="28"/>
          <w:rtl w:val="true"/>
          <w:lang w:bidi="ar-SA"/>
        </w:rPr>
        <w:t>واختلط المعروف بالإنكار</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منسوبا له في لسان العرب ، قرر ، وخزانة الأدب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من غير نسبة في الكتاب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 المفصل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 الكافية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 الأشموني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bookmarkStart w:id="469" w:name="pg14482_156244"/>
    </w:p>
    <w:p>
      <w:pPr>
        <w:pStyle w:val="BookText"/>
        <w:rPr/>
      </w:pPr>
      <w:bookmarkEnd w:id="469"/>
      <w:r>
        <w:rPr>
          <w:rFonts w:ascii="Amiri" w:hAnsi="Amiri" w:eastAsia="Amiri" w:cs="Amiri"/>
          <w:color w:val="111111"/>
          <w:sz w:val="28"/>
          <w:sz w:val="28"/>
          <w:szCs w:val="28"/>
          <w:rtl w:val="true"/>
          <w:lang w:bidi="ar-SA"/>
        </w:rPr>
        <w:t>قالت له ريح الصّبا قرقار</w:t>
      </w:r>
    </w:p>
    <w:p>
      <w:pPr>
        <w:pStyle w:val="BookText"/>
        <w:rPr/>
      </w:pPr>
      <w:r>
        <w:rPr>
          <w:rFonts w:ascii="Amiri" w:hAnsi="Amiri" w:eastAsia="Amiri" w:cs="Amiri"/>
          <w:color w:val="111111"/>
          <w:sz w:val="28"/>
          <w:sz w:val="28"/>
          <w:szCs w:val="28"/>
          <w:rtl w:val="true"/>
          <w:lang w:bidi="ar-SA"/>
        </w:rPr>
        <w:t xml:space="preserve">أي قالت الريح للسّحاب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قرقر يا رعد ، فهو اسم لقولك أرعد ، وأمّا عرعار ، فحكاية صوت الصبي إذا خرج فلم يجد من يلعب معه فينادي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عرعار فيخرجون إليه ، فكأنه اسم لقولك اخرجوا للّعب ، قال الشاعر </w:t>
      </w:r>
      <w:r>
        <w:rPr>
          <w:rFonts w:eastAsia="Amiri" w:cs="Amiri" w:ascii="Amiri" w:hAnsi="Amiri"/>
          <w:color w:val="111111"/>
          <w:sz w:val="28"/>
          <w:szCs w:val="28"/>
          <w:rtl w:val="true"/>
          <w:lang w:bidi="ar-SA"/>
        </w:rPr>
        <w:t xml:space="preserve">: </w:t>
      </w:r>
      <w:r>
        <w:rPr>
          <w:rStyle w:val="FootnoteAnchor"/>
          <w:rtl w:val="true"/>
        </w:rPr>
        <w:footnoteReference w:id="1310"/>
      </w:r>
    </w:p>
    <w:p>
      <w:pPr>
        <w:pStyle w:val="BookText"/>
        <w:rPr/>
      </w:pPr>
      <w:r>
        <w:rPr>
          <w:rFonts w:ascii="Amiri" w:hAnsi="Amiri" w:eastAsia="Amiri" w:cs="Amiri"/>
          <w:color w:val="111111"/>
          <w:sz w:val="28"/>
          <w:sz w:val="28"/>
          <w:szCs w:val="28"/>
          <w:rtl w:val="true"/>
          <w:lang w:bidi="ar-SA"/>
        </w:rPr>
        <w:t>متكنّفي جنبي عكاظ كليهما</w:t>
      </w:r>
    </w:p>
    <w:p>
      <w:pPr>
        <w:pStyle w:val="BookText"/>
        <w:rPr/>
      </w:pPr>
      <w:r>
        <w:rPr>
          <w:rFonts w:ascii="Amiri" w:hAnsi="Amiri" w:eastAsia="Amiri" w:cs="Amiri"/>
          <w:color w:val="111111"/>
          <w:sz w:val="28"/>
          <w:sz w:val="28"/>
          <w:szCs w:val="28"/>
          <w:rtl w:val="true"/>
          <w:lang w:bidi="ar-SA"/>
        </w:rPr>
        <w:t xml:space="preserve">وورد البيت منسوبا له في شرح المفصل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ولسان العرب ، عرر ، وخزانة الأدب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من غير نسبة في شرح الكافية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 الأشموني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يدعو وليدهم بها عرعار</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كذلك لكان من باب الأصوات ، بل هو اسم للعب معيّن للصبيان </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70" w:name="__RefHeading___Toc716862_996550957"/>
      <w:bookmarkStart w:id="471" w:name="_Toc172"/>
      <w:bookmarkEnd w:id="470"/>
      <w:r>
        <w:rPr>
          <w:rtl w:val="true"/>
        </w:rPr>
        <w:t>فصل</w:t>
      </w:r>
      <w:bookmarkEnd w:id="471"/>
    </w:p>
    <w:p>
      <w:pPr>
        <w:pStyle w:val="BookText"/>
        <w:rPr/>
      </w:pPr>
      <w:r>
        <w:rPr>
          <w:rStyle w:val="FootnoteAnchor"/>
          <w:rtl w:val="true"/>
        </w:rPr>
        <w:footnoteReference w:id="13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أسماء الأفعال ، ها بمعنى خذ ، وتلحقها الكاف فيقال هاك ، فيتصرف مع الكاف في أحواله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هاك وهاك وهاكما إلى هاكنّ</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واعلم أنّ هلمّ من أسماء الأفعال </w:t>
      </w:r>
      <w:r>
        <w:rPr>
          <w:rStyle w:val="FootnoteAnchor"/>
          <w:rtl w:val="true"/>
        </w:rPr>
        <w:footnoteReference w:id="1313"/>
      </w:r>
      <w:r>
        <w:rPr>
          <w:rFonts w:ascii="Amiri" w:hAnsi="Amiri" w:eastAsia="Amiri" w:cs="Amiri"/>
          <w:color w:val="111111"/>
          <w:sz w:val="28"/>
          <w:sz w:val="28"/>
          <w:szCs w:val="28"/>
          <w:rtl w:val="true"/>
          <w:lang w:bidi="ar-SA"/>
        </w:rPr>
        <w:t xml:space="preserve">وهي عند الخليل مركّبة من لمّ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الله شعثه إذا جمعه ، ومن ها التنبيه فأصلها ها لمّ </w:t>
      </w:r>
      <w:r>
        <w:rPr>
          <w:rStyle w:val="FootnoteAnchor"/>
          <w:rtl w:val="true"/>
        </w:rPr>
        <w:footnoteReference w:id="1314"/>
      </w:r>
      <w:r>
        <w:rPr>
          <w:rFonts w:ascii="Amiri" w:hAnsi="Amiri" w:eastAsia="Amiri" w:cs="Amiri"/>
          <w:color w:val="111111"/>
          <w:sz w:val="28"/>
          <w:sz w:val="28"/>
          <w:szCs w:val="28"/>
          <w:rtl w:val="true"/>
          <w:lang w:bidi="ar-SA"/>
        </w:rPr>
        <w:t xml:space="preserve">ثمّ حذفت الألف لكثرة الاستعمال ، وقال الكوفيون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مركبّة من هل بمعنى أسرع وأمّ بمعنى اقصد </w:t>
      </w:r>
      <w:bookmarkStart w:id="472" w:name="pg14482_156245"/>
    </w:p>
    <w:p>
      <w:pPr>
        <w:pStyle w:val="BookText"/>
        <w:rPr/>
      </w:pPr>
      <w:bookmarkEnd w:id="472"/>
      <w:r>
        <w:rPr>
          <w:rFonts w:ascii="Amiri" w:hAnsi="Amiri" w:eastAsia="Amiri" w:cs="Amiri"/>
          <w:color w:val="111111"/>
          <w:sz w:val="28"/>
          <w:sz w:val="28"/>
          <w:szCs w:val="28"/>
          <w:rtl w:val="true"/>
          <w:lang w:bidi="ar-SA"/>
        </w:rPr>
        <w:t xml:space="preserve">ثم حذفت الهمزة وجعلا اسما واحدا للفعل </w:t>
      </w:r>
      <w:r>
        <w:rPr>
          <w:rStyle w:val="FootnoteAnchor"/>
          <w:rtl w:val="true"/>
        </w:rPr>
        <w:footnoteReference w:id="1315"/>
      </w:r>
      <w:r>
        <w:rPr>
          <w:rFonts w:ascii="Amiri" w:hAnsi="Amiri" w:eastAsia="Amiri" w:cs="Amiri"/>
          <w:color w:val="111111"/>
          <w:sz w:val="28"/>
          <w:sz w:val="28"/>
          <w:szCs w:val="28"/>
          <w:rtl w:val="true"/>
          <w:lang w:bidi="ar-SA"/>
        </w:rPr>
        <w:t xml:space="preserve">بمنزلة باقي أسماء الأفعال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رويد ، ونزال ، وهي عند الحجازيين على لفظ واحد في التثنية والجمع والتذكير والتأنيث ، وبنو تميم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هلمّا هلمّوا هلممن ، ويلحقونها نون التأكيد أيضا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هلمّنّ وهلمنّ يا هذه وهلمانّ وهلمنّ يا هؤلاء ، وهلممنانّ يا نساء </w:t>
      </w:r>
      <w:r>
        <w:rPr>
          <w:rStyle w:val="FootnoteAnchor"/>
          <w:rtl w:val="true"/>
        </w:rPr>
        <w:footnoteReference w:id="1316"/>
      </w:r>
      <w:r>
        <w:rPr>
          <w:rFonts w:ascii="Amiri" w:hAnsi="Amiri" w:eastAsia="Amiri" w:cs="Amiri"/>
          <w:color w:val="111111"/>
          <w:sz w:val="28"/>
          <w:sz w:val="28"/>
          <w:szCs w:val="28"/>
          <w:rtl w:val="true"/>
          <w:lang w:bidi="ar-SA"/>
        </w:rPr>
        <w:t xml:space="preserve">واعلم أنّ هلمّ على وجهين </w:t>
      </w:r>
      <w:r>
        <w:rPr>
          <w:rFonts w:eastAsia="Amiri" w:cs="Amiri" w:ascii="Amiri" w:hAnsi="Amiri"/>
          <w:color w:val="111111"/>
          <w:sz w:val="28"/>
          <w:szCs w:val="28"/>
          <w:rtl w:val="true"/>
          <w:lang w:bidi="ar-SA"/>
        </w:rPr>
        <w:t xml:space="preserve">: </w:t>
      </w:r>
      <w:r>
        <w:rPr>
          <w:rStyle w:val="FootnoteAnchor"/>
          <w:rtl w:val="true"/>
        </w:rPr>
        <w:footnoteReference w:id="1317"/>
      </w:r>
      <w:r>
        <w:rPr>
          <w:rFonts w:ascii="Amiri" w:hAnsi="Amiri" w:eastAsia="Amiri" w:cs="Amiri"/>
          <w:color w:val="111111"/>
          <w:sz w:val="28"/>
          <w:sz w:val="28"/>
          <w:szCs w:val="28"/>
          <w:rtl w:val="true"/>
          <w:lang w:bidi="ar-SA"/>
        </w:rPr>
        <w:t xml:space="preserve">متعديّة وغير متعديّة ، فالمتعديّة بمعنى أحضر وقرّب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هَلُمَّ شُهَداءَكُمُ</w:t>
      </w:r>
      <w:r>
        <w:rPr>
          <w:rFonts w:eastAsia="Amiri" w:cs="Amiri" w:ascii="Amiri" w:hAnsi="Amiri"/>
          <w:color w:val="111111"/>
          <w:sz w:val="28"/>
          <w:szCs w:val="28"/>
          <w:rtl w:val="true"/>
          <w:lang w:bidi="ar-SA"/>
        </w:rPr>
        <w:t>)</w:t>
      </w:r>
      <w:r>
        <w:rPr>
          <w:rStyle w:val="FootnoteAnchor"/>
          <w:rtl w:val="true"/>
        </w:rPr>
        <w:footnoteReference w:id="1318"/>
      </w:r>
      <w:r>
        <w:rPr>
          <w:rFonts w:ascii="Amiri" w:hAnsi="Amiri" w:eastAsia="Amiri" w:cs="Amiri"/>
          <w:color w:val="111111"/>
          <w:sz w:val="28"/>
          <w:sz w:val="28"/>
          <w:szCs w:val="28"/>
          <w:rtl w:val="true"/>
          <w:lang w:bidi="ar-SA"/>
        </w:rPr>
        <w:t xml:space="preserve">فإنّه من القسم المتعدي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أحضروا شهداءكم ، وغير المتعدي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 وأقبل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هَلُمَّ إِلَيْنا</w:t>
      </w:r>
      <w:r>
        <w:rPr>
          <w:rFonts w:eastAsia="Amiri" w:cs="Amiri" w:ascii="Amiri" w:hAnsi="Amiri"/>
          <w:color w:val="111111"/>
          <w:sz w:val="28"/>
          <w:szCs w:val="28"/>
          <w:rtl w:val="true"/>
          <w:lang w:bidi="ar-SA"/>
        </w:rPr>
        <w:t>)</w:t>
      </w:r>
      <w:r>
        <w:rPr>
          <w:rStyle w:val="FootnoteAnchor"/>
          <w:rtl w:val="true"/>
        </w:rPr>
        <w:footnoteReference w:id="1319"/>
      </w:r>
      <w:r>
        <w:rPr>
          <w:rFonts w:ascii="Amiri" w:hAnsi="Amiri" w:eastAsia="Amiri" w:cs="Amiri"/>
          <w:color w:val="111111"/>
          <w:sz w:val="28"/>
          <w:sz w:val="28"/>
          <w:szCs w:val="28"/>
          <w:rtl w:val="true"/>
          <w:lang w:bidi="ar-SA"/>
        </w:rPr>
        <w:t xml:space="preserve">فإنّه من القبيل الذي لا يتعدّى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تقرّب إلينا </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73" w:name="__RefHeading___Toc716864_996550957"/>
      <w:bookmarkStart w:id="474" w:name="_Toc173"/>
      <w:bookmarkEnd w:id="473"/>
      <w:r>
        <w:rPr>
          <w:rtl w:val="true"/>
        </w:rPr>
        <w:t>فصل</w:t>
      </w:r>
      <w:bookmarkEnd w:id="474"/>
    </w:p>
    <w:p>
      <w:pPr>
        <w:pStyle w:val="BookText"/>
        <w:rPr/>
      </w:pPr>
      <w:r>
        <w:rPr>
          <w:rStyle w:val="FootnoteAnchor"/>
          <w:rtl w:val="true"/>
        </w:rPr>
        <w:footnoteReference w:id="13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المبنيّات ما يوافق فعال في الصيغة فذكروه هنا وإن لم يكن من أسماء الأفعال لئلا يطول بإفراد باب له وهو على ثلاثة أضرب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الضرب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اسم للمصدر المعرفة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فجار علما للفجور ، وهو مبنيّ لمشابهته 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اسم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الزنة والعدل ؛ لأنّ فجار معدولة عن الفجور لفظا ومعنى </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الضرب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في معنى الصفة في النّداء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فساق ويا خباث وهو أيضا مبنيّ للزنة والعدل ، لأنّ فساق مثلا معدول عن فاسقة وهو معرفة أيضا ، لجواز وصفه بالمعرفة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فساق الخبيثة</w:t>
      </w:r>
      <w:r>
        <w:rPr>
          <w:rFonts w:eastAsia="Amiri" w:cs="Amiri" w:ascii="Amiri" w:hAnsi="Amiri"/>
          <w:color w:val="111111"/>
          <w:sz w:val="28"/>
          <w:szCs w:val="28"/>
          <w:rtl w:val="true"/>
          <w:lang w:bidi="ar-SA"/>
        </w:rPr>
        <w:t xml:space="preserve">. </w:t>
      </w:r>
      <w:bookmarkStart w:id="475" w:name="pg14482_156246"/>
    </w:p>
    <w:p>
      <w:pPr>
        <w:pStyle w:val="BookText"/>
        <w:rPr/>
      </w:pPr>
      <w:bookmarkEnd w:id="475"/>
      <w:r>
        <w:rPr>
          <w:rFonts w:ascii="Amiri" w:hAnsi="Amiri" w:eastAsia="Amiri" w:cs="Amiri"/>
          <w:color w:val="111111"/>
          <w:sz w:val="28"/>
          <w:sz w:val="28"/>
          <w:szCs w:val="28"/>
          <w:rtl w:val="true"/>
          <w:lang w:bidi="ar-SA"/>
        </w:rPr>
        <w:t xml:space="preserve">الضرب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وضع علما للأعيان المؤنّثة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قطام وغلاب وإنّما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ليخرج باب فساق ، وإنّما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للأعيان ليخرج باب فجار ، لأنّه وإن كان علما لكنه علم للمعنى الذي هو المصدر لا للأعيان ولم يقع هذا الضرب الثالث إلّا مؤنّثا ، وهي مبنيّ أيضا في لغة أهل الحجاز </w:t>
      </w:r>
      <w:r>
        <w:rPr>
          <w:rStyle w:val="FootnoteAnchor"/>
          <w:rtl w:val="true"/>
        </w:rPr>
        <w:footnoteReference w:id="1323"/>
      </w:r>
      <w:r>
        <w:rPr>
          <w:rFonts w:ascii="Amiri" w:hAnsi="Amiri" w:eastAsia="Amiri" w:cs="Amiri"/>
          <w:color w:val="111111"/>
          <w:sz w:val="28"/>
          <w:sz w:val="28"/>
          <w:szCs w:val="28"/>
          <w:rtl w:val="true"/>
          <w:lang w:bidi="ar-SA"/>
        </w:rPr>
        <w:t xml:space="preserve">وعلّة بنائه ما قيل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فجار من العدل والزنة ، وغلاب معدول عن غالبة ، وقطام عن قاطمة لفظا ومعنى </w:t>
      </w:r>
      <w:r>
        <w:rPr>
          <w:rStyle w:val="FootnoteAnchor"/>
          <w:rtl w:val="true"/>
        </w:rPr>
        <w:footnoteReference w:id="13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قولنا في غلاب وقطام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معدول عن غالبة وقاطمة ، إنّما هو عدل تقديريّ لا تحقيقي </w:t>
      </w:r>
      <w:r>
        <w:rPr>
          <w:rStyle w:val="FootnoteAnchor"/>
          <w:rtl w:val="true"/>
        </w:rPr>
        <w:footnoteReference w:id="1325"/>
      </w:r>
      <w:r>
        <w:rPr>
          <w:rFonts w:ascii="Amiri" w:hAnsi="Amiri" w:eastAsia="Amiri" w:cs="Amiri"/>
          <w:color w:val="111111"/>
          <w:sz w:val="28"/>
          <w:sz w:val="28"/>
          <w:szCs w:val="28"/>
          <w:rtl w:val="true"/>
          <w:lang w:bidi="ar-SA"/>
        </w:rPr>
        <w:t xml:space="preserve">وإنّما وجب المصير إليه للعلم بأنهم لا يبنون إلّا لمانع من الإعراب ، ولا مانع سوى ما قدّر من العدل ومشابهة فعال المبنيّ في الزنة ، وفي هذا الضرب الثالث خاصة خلاف أعني علم الأعيان فإنّه مبنيّ في لغة الحجاز معرب في لغة بني تميم إعراب ما لا ينصرف ، إلّا ما كان في آخره راء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حضار اسم كوكب يطلع قدّام سهيل ويشتبه به </w:t>
      </w:r>
      <w:r>
        <w:rPr>
          <w:rStyle w:val="FootnoteAnchor"/>
          <w:rtl w:val="true"/>
        </w:rPr>
        <w:footnoteReference w:id="1326"/>
      </w:r>
      <w:r>
        <w:rPr>
          <w:rFonts w:ascii="Amiri" w:hAnsi="Amiri" w:eastAsia="Amiri" w:cs="Amiri"/>
          <w:color w:val="111111"/>
          <w:sz w:val="28"/>
          <w:sz w:val="28"/>
          <w:szCs w:val="28"/>
          <w:rtl w:val="true"/>
          <w:lang w:bidi="ar-SA"/>
        </w:rPr>
        <w:t xml:space="preserve">فإنّ بني تميم يوافقون الحجازيين في بنائه إلّا القليل منهم فإنّهم يعممون الإعراب في جميع هذا الضرب الثالث وقد جرى القليلون على القياس في ذلك ، إذ لا فرق بين ما آخره راء وغيرها </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6" w:name="__RefHeading___Toc716866_996550957"/>
      <w:bookmarkStart w:id="477" w:name="_Toc174"/>
      <w:bookmarkEnd w:id="476"/>
      <w:r>
        <w:rPr/>
        <w:t>5</w:t>
      </w:r>
      <w:r>
        <w:rPr>
          <w:rtl w:val="true"/>
        </w:rPr>
        <w:t xml:space="preserve">- </w:t>
      </w:r>
      <w:r>
        <w:rPr>
          <w:rtl w:val="true"/>
        </w:rPr>
        <w:t>ذكر الأصوات</w:t>
      </w:r>
      <w:bookmarkEnd w:id="477"/>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خامس المبنيّات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لفظ حكي به صوت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غاق ، حكاية صوت الغراب ، وطق ، حكاية صوت الحجر ، أو صوّت به للبهائم ليحصل منها ما يقصده المصوّت من إناخة وغيرها كنخ وجوت </w:t>
      </w:r>
      <w:r>
        <w:rPr>
          <w:rStyle w:val="FootnoteAnchor"/>
          <w:rtl w:val="true"/>
        </w:rPr>
        <w:footnoteReference w:id="1329"/>
      </w:r>
      <w:r>
        <w:rPr>
          <w:rFonts w:ascii="Amiri" w:hAnsi="Amiri" w:eastAsia="Amiri" w:cs="Amiri"/>
          <w:color w:val="111111"/>
          <w:sz w:val="28"/>
          <w:sz w:val="28"/>
          <w:szCs w:val="28"/>
          <w:rtl w:val="true"/>
          <w:lang w:bidi="ar-SA"/>
        </w:rPr>
        <w:t xml:space="preserve">وبني هذا النّوع لعدم التركيب لأنّ وضعه على أن ينطق به مفردا </w:t>
      </w:r>
      <w:r>
        <w:rPr>
          <w:rStyle w:val="FootnoteAnchor"/>
          <w:rtl w:val="true"/>
        </w:rPr>
        <w:footnoteReference w:id="1330"/>
      </w:r>
      <w:r>
        <w:rPr>
          <w:rFonts w:ascii="Amiri" w:hAnsi="Amiri" w:eastAsia="Amiri" w:cs="Amiri"/>
          <w:color w:val="111111"/>
          <w:sz w:val="28"/>
          <w:sz w:val="28"/>
          <w:szCs w:val="28"/>
          <w:rtl w:val="true"/>
          <w:lang w:bidi="ar-SA"/>
        </w:rPr>
        <w:t>وقد جاء إعرابه مركّبا قليلا</w:t>
      </w:r>
      <w:r>
        <w:rPr>
          <w:rFonts w:eastAsia="Amiri" w:cs="Amiri" w:ascii="Amiri" w:hAnsi="Amiri"/>
          <w:color w:val="111111"/>
          <w:sz w:val="28"/>
          <w:szCs w:val="28"/>
          <w:rtl w:val="true"/>
          <w:lang w:bidi="ar-SA"/>
        </w:rPr>
        <w:t xml:space="preserve">. </w:t>
      </w:r>
      <w:bookmarkStart w:id="478" w:name="pg14482_156247"/>
    </w:p>
    <w:p>
      <w:pPr>
        <w:pStyle w:val="BookText"/>
        <w:rPr/>
      </w:pPr>
      <w:bookmarkEnd w:id="478"/>
      <w:r>
        <w:rPr>
          <w:rFonts w:ascii="Amiri" w:hAnsi="Amiri" w:eastAsia="Amiri" w:cs="Amiri"/>
          <w:color w:val="111111"/>
          <w:sz w:val="28"/>
          <w:sz w:val="28"/>
          <w:szCs w:val="28"/>
          <w:rtl w:val="true"/>
          <w:lang w:bidi="ar-SA"/>
        </w:rPr>
        <w:t xml:space="preserve">قال ذو الرمة </w:t>
      </w:r>
      <w:r>
        <w:rPr>
          <w:rFonts w:eastAsia="Amiri" w:cs="Amiri" w:ascii="Amiri" w:hAnsi="Amiri"/>
          <w:color w:val="111111"/>
          <w:sz w:val="28"/>
          <w:szCs w:val="28"/>
          <w:rtl w:val="true"/>
          <w:lang w:bidi="ar-SA"/>
        </w:rPr>
        <w:t xml:space="preserve">: </w:t>
      </w:r>
      <w:r>
        <w:rPr>
          <w:rStyle w:val="FootnoteAnchor"/>
          <w:rtl w:val="true"/>
        </w:rPr>
        <w:footnoteReference w:id="1331"/>
      </w:r>
    </w:p>
    <w:p>
      <w:pPr>
        <w:pStyle w:val="BookText"/>
        <w:rPr/>
      </w:pPr>
      <w:r>
        <w:rPr>
          <w:rFonts w:ascii="Amiri" w:hAnsi="Amiri" w:eastAsia="Amiri" w:cs="Amiri"/>
          <w:color w:val="111111"/>
          <w:sz w:val="28"/>
          <w:sz w:val="28"/>
          <w:szCs w:val="28"/>
          <w:rtl w:val="true"/>
          <w:lang w:bidi="ar-SA"/>
        </w:rPr>
        <w:t>تداعين باسم الشّيب في متثلّم</w:t>
      </w:r>
    </w:p>
    <w:p>
      <w:pPr>
        <w:pStyle w:val="BookText"/>
        <w:rPr/>
      </w:pPr>
      <w:r>
        <w:rPr>
          <w:rFonts w:ascii="Amiri" w:hAnsi="Amiri" w:eastAsia="Amiri" w:cs="Amiri"/>
          <w:color w:val="111111"/>
          <w:sz w:val="28"/>
          <w:sz w:val="28"/>
          <w:szCs w:val="28"/>
          <w:rtl w:val="true"/>
          <w:lang w:bidi="ar-SA"/>
        </w:rPr>
        <w:t>جوانبه من بصرة وسلام</w:t>
      </w:r>
    </w:p>
    <w:p>
      <w:pPr>
        <w:pStyle w:val="BookText"/>
        <w:rPr/>
      </w:pPr>
      <w:r>
        <w:rPr>
          <w:rFonts w:ascii="Amiri" w:hAnsi="Amiri" w:eastAsia="Amiri" w:cs="Amiri"/>
          <w:color w:val="111111"/>
          <w:sz w:val="28"/>
          <w:sz w:val="28"/>
          <w:szCs w:val="28"/>
          <w:rtl w:val="true"/>
          <w:lang w:bidi="ar-SA"/>
        </w:rPr>
        <w:t xml:space="preserve">والشّيب بالكسر ، حكاية أصوات مشافر الإبل عند الشّرب </w:t>
      </w:r>
      <w:r>
        <w:rPr>
          <w:rStyle w:val="FootnoteAnchor"/>
          <w:rtl w:val="true"/>
        </w:rPr>
        <w:footnoteReference w:id="1332"/>
      </w:r>
      <w:r>
        <w:rPr>
          <w:rFonts w:ascii="Amiri" w:hAnsi="Amiri" w:eastAsia="Amiri" w:cs="Amiri"/>
          <w:color w:val="111111"/>
          <w:sz w:val="28"/>
          <w:sz w:val="28"/>
          <w:szCs w:val="28"/>
          <w:rtl w:val="true"/>
          <w:lang w:bidi="ar-SA"/>
        </w:rPr>
        <w:t xml:space="preserve">وصف إبلا تشرب في حوض متثلّم جوانبه ، وأصوات مشافرها شيب شيب ، والأصل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تحكى الأصوات على ما هي عليه ، ولا يعتبر تركيبها كما لا يعتبر تركيب قد وضرب ونحوه في الإعراب</w:t>
      </w:r>
      <w:r>
        <w:rPr>
          <w:rFonts w:eastAsia="Amiri" w:cs="Amiri" w:ascii="Amiri" w:hAnsi="Amiri"/>
          <w:color w:val="111111"/>
          <w:sz w:val="28"/>
          <w:szCs w:val="28"/>
          <w:rtl w:val="true"/>
          <w:lang w:bidi="ar-SA"/>
        </w:rPr>
        <w:t>.</w:t>
      </w:r>
    </w:p>
    <w:p>
      <w:pPr>
        <w:pStyle w:val="Heading5"/>
        <w:numPr>
          <w:ilvl w:val="4"/>
          <w:numId w:val="1"/>
        </w:numPr>
        <w:rPr/>
      </w:pPr>
      <w:bookmarkStart w:id="479" w:name="__RefHeading___Toc716868_996550957"/>
      <w:bookmarkStart w:id="480" w:name="_Toc175"/>
      <w:bookmarkEnd w:id="479"/>
      <w:r>
        <w:rPr/>
        <w:t>6</w:t>
      </w:r>
      <w:r>
        <w:rPr>
          <w:rtl w:val="true"/>
        </w:rPr>
        <w:t xml:space="preserve">- </w:t>
      </w:r>
      <w:r>
        <w:rPr>
          <w:rtl w:val="true"/>
        </w:rPr>
        <w:t>ذكر المركّبات</w:t>
      </w:r>
      <w:bookmarkEnd w:id="480"/>
    </w:p>
    <w:p>
      <w:pPr>
        <w:pStyle w:val="BookText"/>
        <w:rPr/>
      </w:pPr>
      <w:r>
        <w:rPr>
          <w:rStyle w:val="FootnoteAnchor"/>
          <w:rtl w:val="true"/>
        </w:rPr>
        <w:footnoteReference w:id="13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سادس المبنيّات ، والمركّب المبنيّ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اسم مركّب من كلمتين ليس بينهما نسبة ، اعلم أنّ المراد بالمركّب هنا ما سبب بنائه التركيب ، وإنّما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المركّب من كلمتين ، ليشمل المركّب من الاسم والفعل والحرف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سيبويه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بينهما نسبة ، أي ليس أحدهما محكوما عليه بالآخر ، ولا عاملا فيه ، وما كان من تركيب هذا شأنه فهو موجب للبناء فيخرج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زيد ، وتأبّط شرّا ، ونحوهما لوجود النسبة فيهما ، وتأبّط شرّا وإن كان مبنيّا ، فليس بناؤه للتركيب بل لكونه محكيّا على أصله ، والمركّب المبنيّ على ضربين ،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الأول والثاني مبنيين معا ، 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الأول مبنيا والثاني معربا كما سنذكر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الضرب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بني فيه الأول والثاني معا</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عشر إلى تسعة عشر خلا الجزء الأول من اثني عشر فإنّه خاصة معرب كما سيأتي ، وبني الأول من الأعداد المذكورة لشبهه بصدر الكلمة ، لأنّ خمسة من خمسة عشر مثل جع من جعفر ، وبني الثاني من أحد عشر واثني عشر إلى تسعة </w:t>
      </w:r>
    </w:p>
    <w:p>
      <w:pPr>
        <w:pStyle w:val="BookText"/>
        <w:rPr/>
      </w:pPr>
      <w:r>
        <w:rPr>
          <w:rFonts w:ascii="IRNazanin" w:hAnsi="IRNazanin" w:eastAsia="IRNazanin"/>
          <w:color w:val="111111"/>
          <w:sz w:val="28"/>
          <w:sz w:val="28"/>
          <w:szCs w:val="28"/>
          <w:rtl w:val="true"/>
          <w:lang w:bidi="fa-IR"/>
        </w:rPr>
        <w:t xml:space="preserve">عشر لتضمّنه معنى الحرف </w:t>
      </w:r>
      <w:r>
        <w:rPr>
          <w:rStyle w:val="FootnoteAnchor"/>
          <w:rtl w:val="true"/>
        </w:rPr>
        <w:footnoteReference w:id="1334"/>
      </w:r>
      <w:r>
        <w:rPr>
          <w:rFonts w:ascii="Amiri" w:hAnsi="Amiri" w:eastAsia="Amiri" w:cs="Amiri"/>
          <w:color w:val="111111"/>
          <w:sz w:val="28"/>
          <w:sz w:val="28"/>
          <w:szCs w:val="28"/>
          <w:rtl w:val="true"/>
          <w:lang w:bidi="ar-SA"/>
        </w:rPr>
        <w:t>أعني الواو ، لأنّ أصل أحد عشر ، أحد وعشر ، وكذا القول في اثني عشر في بناء الثاني خاصة إلى تسعة عشر ، وبنيا على حركة ، لأنّ لهما أصلا في التمكين قبل التركيب ، وكانت فتحة طلبا للخفّة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الفاعل المصوغ من الأعداد المذكورة وهو حادي عشر وثاني عشر إلى تاسع عشر ، واطّرد البناء فيه ولم يعرب الجزء الأول من ثاني عشر كما أعرب من اثني عشر لاستوائه مع إخوته في علّة البناء لأنّ اسم الفاعل المذكور جرى في البناء مجرى أصله ؛ فحادي عشر وثاني عشر ، مبنيّان كبناء أحد عشر وعلى ذلك حتى يكون تاسع مبنيّا كبناء تسعة عشر ، وأما اثنا عشر فبني الثاني خاصة لتضمّنه معنى الحرف ، وأعرب الأوّل ، لأنّهم لمّا حذفوا النون من اثنين لكونها تدلّ على الانفصال ، أشبه المضاف وصار الاسم الثاني كالمضاف إليه ، فأجروا الاسم الأول مجرى الكلمة المستقلّة المضافة فأعربوه بالألف في الرفع وبالياء في النصب والجر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اثنا عشر ورأيت اثني عشر ومررت باثني عشر ، بإعراب الأول وبناء الثاني على الفتح </w:t>
      </w:r>
      <w:r>
        <w:rPr>
          <w:rStyle w:val="FootnoteAnchor"/>
          <w:rtl w:val="true"/>
        </w:rPr>
        <w:footnoteReference w:id="1335"/>
      </w:r>
      <w:r>
        <w:rPr>
          <w:rFonts w:ascii="IRNazanin" w:hAnsi="IRNazanin" w:eastAsia="IRNazanin"/>
          <w:color w:val="111111"/>
          <w:sz w:val="28"/>
          <w:sz w:val="28"/>
          <w:szCs w:val="28"/>
          <w:rtl w:val="true"/>
          <w:lang w:bidi="fa-IR"/>
        </w:rPr>
        <w:t xml:space="preserve">، ومن هذا الضّرب قولهم </w:t>
      </w:r>
      <w:r>
        <w:rPr>
          <w:rStyle w:val="FootnoteAnchor"/>
          <w:rtl w:val="true"/>
        </w:rPr>
        <w:footnoteReference w:id="133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وقعوا في حيص بيص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وتقديره في حيص وبيص أي في فتنة تموج بأهلها متأخّرين ومتقدّمين وعلّة بنائه ما تقدّم أعني ، لتضمّن الثاني معنى الحرف ولكون الأول كصدر الكلمة ، 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جاري بيت بيت </w:t>
      </w:r>
      <w:r>
        <w:rPr>
          <w:rStyle w:val="FootnoteAnchor"/>
          <w:rtl w:val="true"/>
        </w:rPr>
        <w:footnoteReference w:id="1337"/>
      </w:r>
      <w:r>
        <w:rPr>
          <w:rFonts w:ascii="Amiri" w:hAnsi="Amiri" w:eastAsia="Amiri" w:cs="Amiri"/>
          <w:color w:val="111111"/>
          <w:sz w:val="28"/>
          <w:sz w:val="28"/>
          <w:szCs w:val="28"/>
          <w:rtl w:val="true"/>
          <w:lang w:bidi="ar-SA"/>
        </w:rPr>
        <w:t xml:space="preserve">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جاري بيتا إلى بيت أي متلاصقان ، والعامل فيه جاري ؛ لأنّه بمعنى مجاوري ، ومن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سقطوا بين بين أي بين كذا وبين كذا </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الضّرب الثاني </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أن يكون الأول مبنيّا والثاني معربّا 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كحضرموت وبعلبكّ ، بني الأوّل لكونه كصدر الكلمة ، وبقي الثاني على ما يستحقّه من الإعراب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بعلبكّ </w:t>
      </w:r>
      <w:bookmarkStart w:id="481" w:name="pg14482_156249"/>
    </w:p>
    <w:p>
      <w:pPr>
        <w:pStyle w:val="BookText"/>
        <w:rPr/>
      </w:pPr>
      <w:bookmarkEnd w:id="481"/>
      <w:r>
        <w:rPr>
          <w:rFonts w:ascii="Amiri" w:hAnsi="Amiri" w:eastAsia="Amiri" w:cs="Amiri"/>
          <w:color w:val="111111"/>
          <w:sz w:val="28"/>
          <w:sz w:val="28"/>
          <w:szCs w:val="28"/>
          <w:rtl w:val="true"/>
          <w:lang w:bidi="ar-SA"/>
        </w:rPr>
        <w:t xml:space="preserve">ورأيت بعلبكّ ومررت ببعلبكّ ، فلا ينصرف للعلّتين وهذا هو الفصيح ، ومن العرب من يعرب الأوّل بالرفع والنّصب والجرّ كالمضاف ، ويعرب الثاني إعراب المضاف إليه الغير المنصرف ، ومن هؤلاء من يعرب الثاني إعراب المضاف إليه المنصرف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بعلبكّ بجرّ الثاني في الأحوال الثلاث </w:t>
      </w:r>
      <w:r>
        <w:rPr>
          <w:rStyle w:val="FootnoteAnchor"/>
          <w:rtl w:val="true"/>
        </w:rPr>
        <w:footnoteReference w:id="1339"/>
      </w:r>
      <w:r>
        <w:rPr>
          <w:rFonts w:ascii="Amiri" w:hAnsi="Amiri" w:eastAsia="Amiri" w:cs="Amiri"/>
          <w:color w:val="111111"/>
          <w:sz w:val="28"/>
          <w:sz w:val="28"/>
          <w:szCs w:val="28"/>
          <w:rtl w:val="true"/>
          <w:lang w:bidi="ar-SA"/>
        </w:rPr>
        <w:t xml:space="preserve">وأمّا نحو </w:t>
      </w:r>
      <w:r>
        <w:rPr>
          <w:rFonts w:eastAsia="Amiri" w:cs="Amiri" w:ascii="Amiri" w:hAnsi="Amiri"/>
          <w:color w:val="111111"/>
          <w:sz w:val="28"/>
          <w:szCs w:val="28"/>
          <w:rtl w:val="true"/>
          <w:lang w:bidi="ar-SA"/>
        </w:rPr>
        <w:t xml:space="preserve">: </w:t>
      </w:r>
      <w:r>
        <w:rPr>
          <w:rStyle w:val="FootnoteAnchor"/>
          <w:rtl w:val="true"/>
        </w:rPr>
        <w:footnoteReference w:id="134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ذهبوا أيدي 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عدّه المحققون </w:t>
      </w:r>
      <w:r>
        <w:rPr>
          <w:rStyle w:val="FootnoteAnchor"/>
          <w:rtl w:val="true"/>
        </w:rPr>
        <w:footnoteReference w:id="1341"/>
      </w:r>
      <w:r>
        <w:rPr>
          <w:rFonts w:ascii="Amiri" w:hAnsi="Amiri" w:eastAsia="Amiri" w:cs="Amiri"/>
          <w:color w:val="111111"/>
          <w:sz w:val="28"/>
          <w:sz w:val="28"/>
          <w:szCs w:val="28"/>
          <w:rtl w:val="true"/>
          <w:lang w:bidi="ar-SA"/>
        </w:rPr>
        <w:t xml:space="preserve">من باب المبنيّات وهو مشكل ؛ فإنّ معناه ذهبوا مثل أيدي سبا في تشتّتهم ، فحذف المضاف الذي هو مثل ، وأعرب المضاف إليه بإعرابه ثم حقّقت الهمزة من سبأ ، وسكّنت الياء من أيدي على التخفيف وذلك لا يوجب بناء </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2" w:name="__RefHeading___Toc716870_996550957"/>
      <w:bookmarkStart w:id="483" w:name="_Toc176"/>
      <w:bookmarkEnd w:id="482"/>
      <w:r>
        <w:rPr/>
        <w:t>7</w:t>
      </w:r>
      <w:r>
        <w:rPr>
          <w:rtl w:val="true"/>
        </w:rPr>
        <w:t xml:space="preserve">- </w:t>
      </w:r>
      <w:r>
        <w:rPr>
          <w:rtl w:val="true"/>
        </w:rPr>
        <w:t>ذكر الكنايات المبنيّات</w:t>
      </w:r>
      <w:bookmarkEnd w:id="483"/>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سابع المبنيّات ، والكناية من كنيت إذا سترت ومنه كنية الشّخص ؛ سمّيت بذلك لكونها تستر اسمه </w:t>
      </w:r>
      <w:r>
        <w:rPr>
          <w:rStyle w:val="FootnoteAnchor"/>
          <w:rtl w:val="true"/>
        </w:rPr>
        <w:footnoteReference w:id="1344"/>
      </w:r>
      <w:r>
        <w:rPr>
          <w:rFonts w:ascii="Amiri" w:hAnsi="Amiri" w:eastAsia="Amiri" w:cs="Amiri"/>
          <w:color w:val="111111"/>
          <w:sz w:val="28"/>
          <w:sz w:val="28"/>
          <w:szCs w:val="28"/>
          <w:rtl w:val="true"/>
          <w:lang w:bidi="ar-SA"/>
        </w:rPr>
        <w:t xml:space="preserve">وتكون الكناية معربة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 ويسمّى الضمير مكنيّا أيضا ، وليس ذلك بمراد هاهنا ، وإنّما المراد الكنايات المبنيّة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لفظ مجمل يعبّر به عن مفصّل ، ويكون إجماله إمّا لنسيانه أو لقصد إبهامه على السّامعين ، بحيث لا يعلم معناه إلّا من يعرف ذلك التفصيل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كذا كذا درهما ، فكذا كذا درهما ، مجمل وله تفصيل من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عشرين أو خمسين أو غير ذلك ، وقد عبّر عنه بهذا اللفظ المجمل ، أعني كذا كذا درهما ، إمّا للنسيان أو للإبهام على السّامعين </w:t>
      </w:r>
      <w:r>
        <w:rPr>
          <w:rStyle w:val="FootnoteAnchor"/>
          <w:rtl w:val="true"/>
        </w:rPr>
        <w:footnoteReference w:id="1345"/>
      </w:r>
      <w:r>
        <w:rPr>
          <w:rFonts w:ascii="Amiri" w:hAnsi="Amiri" w:eastAsia="Amiri" w:cs="Amiri"/>
          <w:color w:val="111111"/>
          <w:sz w:val="28"/>
          <w:sz w:val="28"/>
          <w:szCs w:val="28"/>
          <w:rtl w:val="true"/>
          <w:lang w:bidi="ar-SA"/>
        </w:rPr>
        <w:t xml:space="preserve">وألفاظ الكنايات كم وكذا للعدد ، وكيت وذيت للحديث وقد قيل </w:t>
      </w:r>
      <w:r>
        <w:rPr>
          <w:rFonts w:eastAsia="Amiri" w:cs="Amiri" w:ascii="Amiri" w:hAnsi="Amiri"/>
          <w:color w:val="111111"/>
          <w:sz w:val="28"/>
          <w:szCs w:val="28"/>
          <w:rtl w:val="true"/>
          <w:lang w:bidi="ar-SA"/>
        </w:rPr>
        <w:t xml:space="preserve">: </w:t>
      </w:r>
      <w:r>
        <w:rPr>
          <w:rStyle w:val="FootnoteAnchor"/>
          <w:rtl w:val="true"/>
        </w:rPr>
        <w:footnoteReference w:id="1346"/>
      </w:r>
      <w:r>
        <w:rPr>
          <w:rFonts w:ascii="Amiri" w:hAnsi="Amiri" w:eastAsia="Amiri" w:cs="Amiri"/>
          <w:color w:val="111111"/>
          <w:sz w:val="28"/>
          <w:sz w:val="28"/>
          <w:szCs w:val="28"/>
          <w:rtl w:val="true"/>
          <w:lang w:bidi="ar-SA"/>
        </w:rPr>
        <w:t xml:space="preserve">إنّ كم الاستفهامية ليست من الكنايات ، لأنّها وضعت للاستفهام عن العدد فلا تكون بهذا </w:t>
      </w:r>
    </w:p>
    <w:p>
      <w:pPr>
        <w:pStyle w:val="BookText"/>
        <w:rPr/>
      </w:pPr>
      <w:r>
        <w:rPr>
          <w:rFonts w:ascii="Amiri" w:hAnsi="Amiri" w:eastAsia="Amiri" w:cs="Amiri"/>
          <w:color w:val="111111"/>
          <w:sz w:val="28"/>
          <w:sz w:val="28"/>
          <w:szCs w:val="28"/>
          <w:rtl w:val="true"/>
          <w:lang w:bidi="ar-SA"/>
        </w:rPr>
        <w:t xml:space="preserve">الاعتبار من الكنايات وإلّا لزم أن يكون أين ومتى ، كنايتين عن مكان وزمان مبهمين ، لأنّ كم كما يفيد الاستفهام والعدد فكذلك أين يفيد الاستفهام والمكان </w:t>
      </w:r>
      <w:r>
        <w:rPr>
          <w:rStyle w:val="FootnoteAnchor"/>
          <w:rtl w:val="true"/>
        </w:rPr>
        <w:footnoteReference w:id="1347"/>
      </w:r>
      <w:r>
        <w:rPr>
          <w:rFonts w:ascii="Amiri" w:hAnsi="Amiri" w:eastAsia="Amiri" w:cs="Amiri"/>
          <w:color w:val="111111"/>
          <w:sz w:val="28"/>
          <w:sz w:val="28"/>
          <w:szCs w:val="28"/>
          <w:rtl w:val="true"/>
          <w:lang w:bidi="ar-SA"/>
        </w:rPr>
        <w:t xml:space="preserve">، وقال السخاوي </w:t>
      </w:r>
      <w:r>
        <w:rPr>
          <w:rStyle w:val="FootnoteAnchor"/>
          <w:rtl w:val="true"/>
        </w:rPr>
        <w:footnoteReference w:id="1348"/>
      </w:r>
      <w:r>
        <w:rPr>
          <w:rFonts w:ascii="Amiri" w:hAnsi="Amiri" w:eastAsia="Amiri" w:cs="Amiri"/>
          <w:color w:val="111111"/>
          <w:sz w:val="28"/>
          <w:sz w:val="28"/>
          <w:szCs w:val="28"/>
          <w:rtl w:val="true"/>
          <w:lang w:bidi="ar-SA"/>
        </w:rPr>
        <w:t xml:space="preserve">في شرح المفصل ما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كم الاستفهامية من الكنايات أيضا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في الاستفهام سؤال عن عدد مبهم فلا شيء من العدد إلّا ويصلح أن يكون جوابا ، وبنيت الاستفهامية لتضمنها همزة الاستفهام ، والخبريّة لكونها مثل الاستفهاميّة في الصيغة </w:t>
      </w:r>
      <w:r>
        <w:rPr>
          <w:rStyle w:val="FootnoteAnchor"/>
          <w:rtl w:val="true"/>
        </w:rPr>
        <w:footnoteReference w:id="1349"/>
      </w:r>
      <w:r>
        <w:rPr>
          <w:rFonts w:ascii="Amiri" w:hAnsi="Amiri" w:eastAsia="Amiri" w:cs="Amiri"/>
          <w:color w:val="111111"/>
          <w:sz w:val="28"/>
          <w:sz w:val="28"/>
          <w:szCs w:val="28"/>
          <w:rtl w:val="true"/>
          <w:lang w:bidi="ar-SA"/>
        </w:rPr>
        <w:t xml:space="preserve">وبني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منقولا عن مبنيّ لأنّ 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ودخلت عليه كاف التشبيه فبقي على ما كان عليه </w:t>
      </w:r>
      <w:r>
        <w:rPr>
          <w:rStyle w:val="FootnoteAnchor"/>
          <w:rtl w:val="true"/>
        </w:rPr>
        <w:footnoteReference w:id="1350"/>
      </w:r>
      <w:r>
        <w:rPr>
          <w:rFonts w:ascii="Amiri" w:hAnsi="Amiri" w:eastAsia="Amiri" w:cs="Amiri"/>
          <w:color w:val="111111"/>
          <w:sz w:val="28"/>
          <w:sz w:val="28"/>
          <w:szCs w:val="28"/>
          <w:rtl w:val="true"/>
          <w:lang w:bidi="ar-SA"/>
        </w:rPr>
        <w:t xml:space="preserve">وأما كيت وكيت وذيت وذيت ، فكنايتان عن الحديث ، وبنيا لكونهما واقعين موقع المبنيّ وهو الجملة </w:t>
      </w:r>
      <w:r>
        <w:rPr>
          <w:rStyle w:val="FootnoteAnchor"/>
          <w:rtl w:val="true"/>
        </w:rPr>
        <w:footnoteReference w:id="1351"/>
      </w:r>
      <w:r>
        <w:rPr>
          <w:rFonts w:ascii="Amiri" w:hAnsi="Amiri" w:eastAsia="Amiri" w:cs="Amiri"/>
          <w:color w:val="111111"/>
          <w:sz w:val="28"/>
          <w:sz w:val="28"/>
          <w:szCs w:val="28"/>
          <w:rtl w:val="true"/>
          <w:lang w:bidi="ar-SA"/>
        </w:rPr>
        <w:t xml:space="preserve">أعني الحديث الذي كني عنه بهما </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ومميّزكم الاستفهامية </w:t>
      </w:r>
      <w:r>
        <w:rPr>
          <w:rStyle w:val="FootnoteAnchor"/>
          <w:rtl w:val="true"/>
        </w:rPr>
        <w:footnoteReference w:id="1352"/>
      </w:r>
      <w:r>
        <w:rPr>
          <w:rFonts w:ascii="Amiri" w:hAnsi="Amiri" w:eastAsia="Amiri" w:cs="Amiri"/>
          <w:color w:val="111111"/>
          <w:sz w:val="28"/>
          <w:sz w:val="28"/>
          <w:szCs w:val="28"/>
          <w:rtl w:val="true"/>
          <w:lang w:bidi="ar-SA"/>
        </w:rPr>
        <w:t xml:space="preserve">مفرد منصوب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رجلا ضربت ، لأنّ كم للعدد فجعل مميّزها كمميّز الأعداد المتوسطة أعني من أحد عشر إلى تسعة وتسعين ولم يجعل كمميّز طرفي العدد أعني العشرة وما دونها والمائة وما فوقها ، لئلا يلزم الترجيح بلا مرجّح ، ويدخل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مميّزها فيخفض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من رجل ضربت ، ومميّزكم الخبريّة مجرور مفرد ، ومجموع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درهم وهبت ، وكم دراهم وهبت ، أما كونه مجرورا ، فلأنّها للتكثير ، والعدد الصريح الكثير ، مميّزه مجرور كمائة وألف ، وأما كونه مفردا ، فلأنّ مميّز العدد الكثير كذلك ، وأمّا كونه جاء مجموعا فلأنّ العدد الكثير ، فيه ما ينبيء عن كميّته صريحا كالمائة والألف ، ولما كان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ليس مثله في التصريح جعل كأنّه نائب عن معنى التصريح </w:t>
      </w:r>
      <w:r>
        <w:rPr>
          <w:rStyle w:val="FootnoteAnchor"/>
          <w:rtl w:val="true"/>
        </w:rPr>
        <w:footnoteReference w:id="1353"/>
      </w:r>
      <w:r>
        <w:rPr>
          <w:rFonts w:ascii="Amiri" w:hAnsi="Amiri" w:eastAsia="Amiri" w:cs="Amiri"/>
          <w:color w:val="111111"/>
          <w:sz w:val="28"/>
          <w:sz w:val="28"/>
          <w:szCs w:val="28"/>
          <w:rtl w:val="true"/>
          <w:lang w:bidi="ar-SA"/>
        </w:rPr>
        <w:t xml:space="preserve">وتدخل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مميّز الخبريّة كثيرا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وَكَمْ مِنْ قَرْيَةٍ أَهْلَكْناها</w:t>
      </w:r>
      <w:r>
        <w:rPr>
          <w:rFonts w:eastAsia="Amiri" w:cs="Amiri" w:ascii="Amiri" w:hAnsi="Amiri"/>
          <w:color w:val="111111"/>
          <w:sz w:val="28"/>
          <w:szCs w:val="28"/>
          <w:rtl w:val="true"/>
          <w:lang w:bidi="ar-SA"/>
        </w:rPr>
        <w:t>)</w:t>
      </w:r>
      <w:r>
        <w:rPr>
          <w:rStyle w:val="FootnoteAnchor"/>
          <w:rtl w:val="true"/>
        </w:rPr>
        <w:footnoteReference w:id="1354"/>
      </w:r>
      <w:r>
        <w:rPr>
          <w:rFonts w:ascii="Amiri" w:hAnsi="Amiri" w:eastAsia="Amiri" w:cs="Amiri"/>
          <w:color w:val="111111"/>
          <w:sz w:val="28"/>
          <w:sz w:val="28"/>
          <w:szCs w:val="28"/>
          <w:rtl w:val="true"/>
          <w:lang w:bidi="ar-SA"/>
        </w:rPr>
        <w:t xml:space="preserve">ولكم الاستفهامية والخبريّة صدر الكلام </w:t>
      </w:r>
      <w:r>
        <w:rPr>
          <w:rStyle w:val="FootnoteAnchor"/>
          <w:rtl w:val="true"/>
        </w:rPr>
        <w:footnoteReference w:id="1355"/>
      </w:r>
      <w:r>
        <w:rPr>
          <w:rFonts w:ascii="Amiri" w:hAnsi="Amiri" w:eastAsia="Amiri" w:cs="Amiri"/>
          <w:color w:val="111111"/>
          <w:sz w:val="28"/>
          <w:sz w:val="28"/>
          <w:szCs w:val="28"/>
          <w:rtl w:val="true"/>
          <w:lang w:bidi="ar-SA"/>
        </w:rPr>
        <w:t xml:space="preserve">لكون الاستفهاميّة لإنشاء الاستفهام ، والخبريّة لإنشاء التكثير ، والكوفيون لا يوجبون لهما صدر اللام ويستشهدون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 يَهْدِ لَهُمْ كَمْ أَهْلَكْنا مِنْ قَبْلِهِمْ مِنَ الْقُرُونِ</w:t>
      </w:r>
      <w:r>
        <w:rPr>
          <w:rFonts w:eastAsia="Amiri" w:cs="Amiri" w:ascii="Amiri" w:hAnsi="Amiri"/>
          <w:color w:val="111111"/>
          <w:sz w:val="28"/>
          <w:szCs w:val="28"/>
          <w:rtl w:val="true"/>
          <w:lang w:bidi="ar-SA"/>
        </w:rPr>
        <w:t>)</w:t>
      </w:r>
      <w:r>
        <w:rPr>
          <w:rStyle w:val="FootnoteAnchor"/>
          <w:rtl w:val="true"/>
        </w:rPr>
        <w:footnoteReference w:id="1356"/>
      </w:r>
      <w:r>
        <w:rPr>
          <w:rFonts w:ascii="Amiri" w:hAnsi="Amiri" w:eastAsia="Amiri" w:cs="Amiri"/>
          <w:color w:val="111111"/>
          <w:sz w:val="28"/>
          <w:sz w:val="28"/>
          <w:szCs w:val="28"/>
          <w:rtl w:val="true"/>
          <w:lang w:bidi="ar-SA"/>
        </w:rPr>
        <w:t xml:space="preserve">ويزعمون أنّ كم فاعل يهد </w:t>
      </w:r>
      <w:r>
        <w:rPr>
          <w:rStyle w:val="FootnoteAnchor"/>
          <w:rtl w:val="true"/>
        </w:rPr>
        <w:footnoteReference w:id="1357"/>
      </w:r>
      <w:r>
        <w:rPr>
          <w:rFonts w:ascii="Amiri" w:hAnsi="Amiri" w:eastAsia="Amiri" w:cs="Amiri"/>
          <w:color w:val="111111"/>
          <w:sz w:val="28"/>
          <w:sz w:val="28"/>
          <w:szCs w:val="28"/>
          <w:rtl w:val="true"/>
          <w:lang w:bidi="ar-SA"/>
        </w:rPr>
        <w:t xml:space="preserve">والبصريون يتأولونه ويقفون على يهد لهم ويبتدئون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أهلكنا </w:t>
      </w:r>
      <w:r>
        <w:rPr>
          <w:rStyle w:val="FootnoteAnchor"/>
          <w:rtl w:val="true"/>
        </w:rPr>
        <w:footnoteReference w:id="1358"/>
      </w:r>
      <w:r>
        <w:rPr>
          <w:rFonts w:ascii="Amiri" w:hAnsi="Amiri" w:eastAsia="Amiri" w:cs="Amiri"/>
          <w:color w:val="111111"/>
          <w:sz w:val="28"/>
          <w:sz w:val="28"/>
          <w:szCs w:val="28"/>
          <w:rtl w:val="true"/>
          <w:lang w:bidi="ar-SA"/>
        </w:rPr>
        <w:t xml:space="preserve">لكن إن كان قبلهما مضاف أو حرف جرّ وجب تقديمه وكانا في موضع خفض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كم رجلا ضربت ، وبكم رجلا مررت ، لأنّ المضاف وحرف الجرّ لا يتأخّر عن معموله ، فلذلك اغتفر تقديمه على ماله صدر الكلام ، ليتنزّل المضاف وحرف الجرّ منزلة الجزء من الكلمة ، ويكون إعراب المضاف نحو الغلام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كم رجلا ، كإعراب كم ، ولذلك نصبت غلام كم رجلا ضربت ، والاستفهاميّة والخبريّة كلاهما يقع مرفوعا ومنصوبا ومجرورا </w:t>
      </w:r>
      <w:r>
        <w:rPr>
          <w:rStyle w:val="FootnoteAnchor"/>
          <w:rtl w:val="true"/>
        </w:rPr>
        <w:footnoteReference w:id="1359"/>
      </w:r>
      <w:r>
        <w:rPr>
          <w:rFonts w:ascii="Amiri" w:hAnsi="Amiri" w:eastAsia="Amiri" w:cs="Amiri"/>
          <w:color w:val="111111"/>
          <w:sz w:val="28"/>
          <w:sz w:val="28"/>
          <w:szCs w:val="28"/>
          <w:rtl w:val="true"/>
          <w:lang w:bidi="ar-SA"/>
        </w:rPr>
        <w:t xml:space="preserve">أما جرّهما فبالمضاف أو حرف الجرّ حسبما تقدّم ، وأمّا النصب فبما بعدهما من الفعل ، إن كان متسلّطا عليهما ، أي غير مشتغل بضميرهما أو متعلّق ضميرهما على حسب ما يقتضيه ، أعني ؛ إن اقتضى مفعولا به كان مفعولا به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رجلا أو رجل ضربت ، بنصب رجل مع الاستفهاميّة ، وجرّه مع الخبريّة ، وإن اقتضى مفعولا مطلقا كان مفعولا مطلقا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ضربة وضربة ضربت ، وإن اقتضى </w:t>
      </w:r>
    </w:p>
    <w:p>
      <w:pPr>
        <w:pStyle w:val="BookText"/>
        <w:rPr/>
      </w:pPr>
      <w:r>
        <w:rPr>
          <w:rFonts w:ascii="Amiri" w:hAnsi="Amiri" w:eastAsia="Amiri" w:cs="Amiri"/>
          <w:color w:val="111111"/>
          <w:sz w:val="28"/>
          <w:sz w:val="28"/>
          <w:szCs w:val="28"/>
          <w:rtl w:val="true"/>
          <w:lang w:bidi="ar-SA"/>
        </w:rPr>
        <w:t xml:space="preserve">ظرفا كان ظرفا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يوما وكم يوم صمت ، وأمّا الرفع فعلى أن يكونا مبتدأين أو خبرين ، وذلك إذا لم يكن بعدهما فعل متسلّط عليهما ولا قبلهما اسم مضاف ولا حرف جرّ فيكونان حينئذ مجرّدين من العوامل اللفظيّة ، فيتعيّن أن يكونا في موضع رفع على الابتداء أو على الخبر ، ولا يكونان فاعلين لاقتضائهما صدر الكلام ، والفاعل ليس له صدر الكلام ، وأمّا تعينهما للابتداء دون الخبر أو للخبر دون الابتداء ، فإذا وقعا غير ظرف تعيّنا للابتداء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رجلا إخوتك ، وكم رجلا قام ، وإن وقعا ظرفا تعيّنا للخبر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يوما سفرك لأنك لو جعلت كم مبتدأ وهي للزمان تعذّر أن يكون خبرها السّفر كما يتعذّر ذلك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سفرك ، فيجب أن يقدّر السّفر ونحوه مبتدأ ، ويكون ما تقدّم ظرفا في موضع رفع على الخبر </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واعلم أنّ إعراب أسماء الاستفهام والشّرط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وما ، استفهاميتين وشرطيّتين مثل إعراب كم فإن كان بعدهما فعل متسلّط عليهما كان محلّهما النصب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ضربت ، ومن تضرب أضرب وإن كان قبلهما حرف جرّ أو اسم مضاف فمحلّهما الجرّ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 مررت وبمن مررت أمرر ، وغلام من ضربت ، وغلام من تضرب أضربه ، فإن لم يكن بعدهما فعل ، شأنه ما ذكرناه ، ولا قبلهما مضاف ولا حرف جرّ فهما في محلّ الرفع بالابتداء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ضربته ، ومن تضربه ، أضربه وفي مميّزكم في مثل قول الفرزدق يهجو جريرا</w:t>
      </w:r>
      <w:r>
        <w:rPr>
          <w:rFonts w:eastAsia="Amiri" w:cs="Amiri" w:ascii="Amiri" w:hAnsi="Amiri"/>
          <w:color w:val="111111"/>
          <w:sz w:val="28"/>
          <w:szCs w:val="28"/>
          <w:rtl w:val="true"/>
          <w:lang w:bidi="ar-SA"/>
        </w:rPr>
        <w:t xml:space="preserve">. </w:t>
      </w:r>
      <w:r>
        <w:rPr>
          <w:rStyle w:val="FootnoteAnchor"/>
          <w:rtl w:val="true"/>
        </w:rPr>
        <w:footnoteReference w:id="1361"/>
      </w:r>
    </w:p>
    <w:p>
      <w:pPr>
        <w:pStyle w:val="BookText"/>
        <w:rPr/>
      </w:pPr>
      <w:r>
        <w:rPr>
          <w:rFonts w:ascii="Amiri" w:hAnsi="Amiri" w:eastAsia="Amiri" w:cs="Amiri"/>
          <w:color w:val="111111"/>
          <w:sz w:val="28"/>
          <w:sz w:val="28"/>
          <w:szCs w:val="28"/>
          <w:rtl w:val="true"/>
          <w:lang w:bidi="ar-SA"/>
        </w:rPr>
        <w:t xml:space="preserve">انظر ترجمته في طبقات فحول الشعراء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والشعر والشعراء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ووفيات الأعيان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والبيت للفرزدق همام بن غالب ، ورد في ديوانه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خالة وروي منسوبا له في الكتاب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الحلل ،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 المفصل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 الكافية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ومغني اللبيب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 التصريح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وخزانة الأدب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البيت من غير نسبة في الكتاب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والمقتضب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وهمع الهوامع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المعوجّة الرّسغ من اليد أو الرجل ، والعشار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عشراء وهي الناقة التي أتى عليها من حملها عشرة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عمّة لك يا جرير وخالة</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فدعاء قد حلبت عليّ عشاري </w:t>
      </w:r>
      <w:bookmarkStart w:id="484" w:name="pg14482_156253"/>
    </w:p>
    <w:p>
      <w:pPr>
        <w:pStyle w:val="BookText"/>
        <w:rPr/>
      </w:pPr>
      <w:bookmarkEnd w:id="484"/>
      <w:r>
        <w:rPr>
          <w:rFonts w:ascii="Amiri" w:hAnsi="Amiri" w:eastAsia="Amiri" w:cs="Amiri"/>
          <w:color w:val="111111"/>
          <w:sz w:val="28"/>
          <w:sz w:val="28"/>
          <w:szCs w:val="28"/>
          <w:rtl w:val="true"/>
          <w:lang w:bidi="ar-SA"/>
        </w:rPr>
        <w:t xml:space="preserve">ثلاثة 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عمة ، وجرّها ، ورفعها ، فالنصب بأن تكون كم للاستفهام والجرّ بأن تكون خبريّة ، وكم مبتدأ في الصورتين ، والرفع بأن تكون عمة مبتدأ نكرة موصوفة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 وقد حلبت ، خبرها </w:t>
      </w:r>
      <w:r>
        <w:rPr>
          <w:rStyle w:val="FootnoteAnchor"/>
          <w:rtl w:val="true"/>
        </w:rPr>
        <w:footnoteReference w:id="1362"/>
      </w:r>
      <w:r>
        <w:rPr>
          <w:rFonts w:ascii="Amiri" w:hAnsi="Amiri" w:eastAsia="Amiri" w:cs="Amiri"/>
          <w:color w:val="111111"/>
          <w:sz w:val="28"/>
          <w:sz w:val="28"/>
          <w:szCs w:val="28"/>
          <w:rtl w:val="true"/>
          <w:lang w:bidi="ar-SA"/>
        </w:rPr>
        <w:t>وكم في هذا الوجه في محلّ النصب على أنّها مصدر أو ظرف ، والتقدير كم حلبة أو حلبة عمة لك وخالة قد حلبت ، أو كم وقت أو وقتا عمة لك وخالة قد حلبت ، فالمميّز أعني حلبة أو وقت محذوف ، ومحلّهما إمّا الجرّ على أنّ كم خبريّة ، أو النصب على أنها استفهامية ، وبعد ذلك عمة وهي نكرة موصوفة مرفوعة بالابتداء ، وقد حلبت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ويحذف المميّز </w:t>
      </w:r>
      <w:r>
        <w:rPr>
          <w:rStyle w:val="FootnoteAnchor"/>
          <w:rtl w:val="true"/>
        </w:rPr>
        <w:footnoteReference w:id="1363"/>
      </w:r>
      <w:r>
        <w:rPr>
          <w:rFonts w:ascii="Amiri" w:hAnsi="Amiri" w:eastAsia="Amiri" w:cs="Amiri"/>
          <w:color w:val="111111"/>
          <w:sz w:val="28"/>
          <w:sz w:val="28"/>
          <w:szCs w:val="28"/>
          <w:rtl w:val="true"/>
          <w:lang w:bidi="ar-SA"/>
        </w:rPr>
        <w:t xml:space="preserve">للعلم به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مالك؟ في الاستفهاميّة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درهما مالك؟ وكم هنا ، في محل الرفع على الابتداء ، ونحو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ضربت في الخبريّة ، أي كم ضربة أو مرة ضربت </w:t>
      </w:r>
      <w:r>
        <w:rPr>
          <w:rStyle w:val="FootnoteAnchor"/>
          <w:rtl w:val="true"/>
        </w:rPr>
        <w:footnoteReference w:id="1364"/>
      </w:r>
      <w:r>
        <w:rPr>
          <w:rFonts w:ascii="Amiri" w:hAnsi="Amiri" w:eastAsia="Amiri" w:cs="Amiri"/>
          <w:color w:val="111111"/>
          <w:sz w:val="28"/>
          <w:sz w:val="28"/>
          <w:szCs w:val="28"/>
          <w:rtl w:val="true"/>
          <w:lang w:bidi="ar-SA"/>
        </w:rPr>
        <w:t>وكم في محل النصب على المصدر أو الظّرف</w:t>
      </w:r>
      <w:r>
        <w:rPr>
          <w:rFonts w:eastAsia="Amiri" w:cs="Amiri" w:ascii="Amiri" w:hAnsi="Amiri"/>
          <w:color w:val="111111"/>
          <w:sz w:val="28"/>
          <w:szCs w:val="28"/>
          <w:rtl w:val="true"/>
          <w:lang w:bidi="ar-SA"/>
        </w:rPr>
        <w:t>.</w:t>
      </w:r>
    </w:p>
    <w:p>
      <w:pPr>
        <w:pStyle w:val="Heading5"/>
        <w:numPr>
          <w:ilvl w:val="4"/>
          <w:numId w:val="1"/>
        </w:numPr>
        <w:rPr/>
      </w:pPr>
      <w:bookmarkStart w:id="485" w:name="__RefHeading___Toc716872_996550957"/>
      <w:bookmarkStart w:id="486" w:name="_Toc177"/>
      <w:bookmarkEnd w:id="485"/>
      <w:r>
        <w:rPr/>
        <w:t>8</w:t>
      </w:r>
      <w:r>
        <w:rPr>
          <w:rtl w:val="true"/>
        </w:rPr>
        <w:t xml:space="preserve">- </w:t>
      </w:r>
      <w:r>
        <w:rPr>
          <w:rtl w:val="true"/>
        </w:rPr>
        <w:t>ذكر الظروف المبنيّة</w:t>
      </w:r>
      <w:bookmarkEnd w:id="486"/>
    </w:p>
    <w:p>
      <w:pPr>
        <w:pStyle w:val="BookText"/>
        <w:rPr/>
      </w:pPr>
      <w:r>
        <w:rPr>
          <w:rStyle w:val="FootnoteAnchor"/>
          <w:rtl w:val="true"/>
        </w:rPr>
        <w:footnoteReference w:id="13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ثامن المبنيّات ، والظرف يكون معربا كما تقدّم في المنصوبات </w:t>
      </w:r>
      <w:r>
        <w:rPr>
          <w:rStyle w:val="FootnoteAnchor"/>
          <w:rtl w:val="true"/>
        </w:rPr>
        <w:footnoteReference w:id="1366"/>
      </w:r>
      <w:r>
        <w:rPr>
          <w:rFonts w:ascii="Amiri" w:hAnsi="Amiri" w:eastAsia="Amiri" w:cs="Amiri"/>
          <w:color w:val="111111"/>
          <w:sz w:val="28"/>
          <w:sz w:val="28"/>
          <w:szCs w:val="28"/>
          <w:rtl w:val="true"/>
          <w:lang w:bidi="ar-SA"/>
        </w:rPr>
        <w:t>ومبنيا وهو المراد هاهنا ، والبناء في الظروف إمّا بقطعها عن الإضافة كما سنمثل ، وإمّا بالإضافة إلى غير المتمكّن كيومئذ ، وشرط بناء ما قطع عن الإضافة أن يكون المضاف إليه مرادا ، فإن قطع ولم يكن المضاف إليه مرادا أعرب</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نحو قوله </w:t>
      </w:r>
      <w:r>
        <w:rPr>
          <w:rFonts w:eastAsia="IRNazanin" w:cs="IRNazanin"/>
          <w:color w:val="111111"/>
          <w:sz w:val="28"/>
          <w:szCs w:val="28"/>
          <w:rtl w:val="true"/>
          <w:lang w:bidi="fa-IR"/>
        </w:rPr>
        <w:t xml:space="preserve">: </w:t>
      </w:r>
      <w:r>
        <w:rPr>
          <w:rStyle w:val="FootnoteAnchor"/>
          <w:rtl w:val="true"/>
        </w:rPr>
        <w:footnoteReference w:id="1367"/>
      </w:r>
    </w:p>
    <w:p>
      <w:pPr>
        <w:pStyle w:val="BookText"/>
        <w:rPr/>
      </w:pPr>
      <w:r>
        <w:rPr>
          <w:rFonts w:ascii="Amiri" w:hAnsi="Amiri" w:eastAsia="Amiri" w:cs="Amiri"/>
          <w:color w:val="111111"/>
          <w:sz w:val="28"/>
          <w:sz w:val="28"/>
          <w:szCs w:val="28"/>
          <w:rtl w:val="true"/>
          <w:lang w:bidi="ar-SA"/>
        </w:rPr>
        <w:t>فساغ لي الشّراب وكنت قبلا</w:t>
      </w:r>
    </w:p>
    <w:p>
      <w:pPr>
        <w:pStyle w:val="BookText"/>
        <w:rPr/>
      </w:pPr>
      <w:r>
        <w:rPr>
          <w:rFonts w:ascii="Amiri" w:hAnsi="Amiri" w:eastAsia="Amiri" w:cs="Amiri"/>
          <w:color w:val="111111"/>
          <w:sz w:val="28"/>
          <w:sz w:val="28"/>
          <w:szCs w:val="28"/>
          <w:rtl w:val="true"/>
          <w:lang w:bidi="ar-SA"/>
        </w:rPr>
        <w:t>أكاد أغصّ بالماء الفرات</w:t>
      </w:r>
    </w:p>
    <w:p>
      <w:pPr>
        <w:pStyle w:val="BookText"/>
        <w:rPr/>
      </w:pPr>
      <w:r>
        <w:rPr>
          <w:rFonts w:ascii="Amiri" w:hAnsi="Amiri" w:eastAsia="Amiri" w:cs="Amiri"/>
          <w:color w:val="111111"/>
          <w:sz w:val="28"/>
          <w:sz w:val="28"/>
          <w:szCs w:val="28"/>
          <w:rtl w:val="true"/>
          <w:lang w:bidi="ar-SA"/>
        </w:rPr>
        <w:t xml:space="preserve">فأعرب قبلا ، ونصبه على الظّرف ، لأنّ المضاف إليه غير مقدّر فيه ، وبنيت الظروف المقطوعة لافتقارها إلى المنويّ كافتقار الحرف إلى الغير ، وبنيت على الضم ، لأنّ ذلك لا يوهم إعرابا ، لأنّ الضمّ لا يدخلها مضافة ، ومثال الظروف المقطوعة المبنيّة على الضمّ ، فوق وتحت وقبل وبعد وما أشبهها من الظروف المبهمة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أمام ووراء وخلف وأسفل وأول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ابدأ بهذا أوّل وتسمّى هذه الظروف الغايات ، لأنّها لمّا قطعت عن الإضافة جرت مجرى بعض الكلمة وصارت حدودا وغايات ينتهى إليها </w:t>
      </w:r>
      <w:r>
        <w:rPr>
          <w:rStyle w:val="FootnoteAnchor"/>
          <w:rtl w:val="true"/>
        </w:rPr>
        <w:footnoteReference w:id="1368"/>
      </w:r>
      <w:r>
        <w:rPr>
          <w:rFonts w:ascii="Amiri" w:hAnsi="Amiri" w:eastAsia="Amiri" w:cs="Amiri"/>
          <w:color w:val="111111"/>
          <w:sz w:val="28"/>
          <w:sz w:val="28"/>
          <w:szCs w:val="28"/>
          <w:rtl w:val="true"/>
          <w:lang w:bidi="ar-SA"/>
        </w:rPr>
        <w:t xml:space="preserve">وأجري مجراها غير وحسب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غير وليس غير ، فلما قطع عن الإضافة غير وحسب بنيا على الضّمّ ، وإن لم يكونا ظرفين لكون المضاف إليه منويا فيهما ، فإن أضيفا أعربا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الظروف المبنيّة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وبنيت لافتقارها إلى جملة تبيّن معناها كافتقار الموصول إلى الصلة ، وبنيت على الضمّ تشبيها بقبل وبعد </w:t>
      </w:r>
      <w:r>
        <w:rPr>
          <w:rStyle w:val="FootnoteAnchor"/>
          <w:rtl w:val="true"/>
        </w:rPr>
        <w:footnoteReference w:id="1369"/>
      </w:r>
      <w:r>
        <w:rPr>
          <w:rFonts w:ascii="Amiri" w:hAnsi="Amiri" w:eastAsia="Amiri" w:cs="Amiri"/>
          <w:color w:val="111111"/>
          <w:sz w:val="28"/>
          <w:sz w:val="28"/>
          <w:szCs w:val="28"/>
          <w:rtl w:val="true"/>
          <w:lang w:bidi="ar-SA"/>
        </w:rPr>
        <w:t xml:space="preserve">، وقد جاء فيها الفتح والكسر </w:t>
      </w:r>
      <w:r>
        <w:rPr>
          <w:rStyle w:val="FootnoteAnchor"/>
          <w:rtl w:val="true"/>
        </w:rPr>
        <w:footnoteReference w:id="1370"/>
      </w:r>
      <w:r>
        <w:rPr>
          <w:rFonts w:ascii="IRNazanin" w:hAnsi="IRNazanin" w:eastAsia="IRNazanin"/>
          <w:color w:val="111111"/>
          <w:sz w:val="28"/>
          <w:sz w:val="28"/>
          <w:szCs w:val="28"/>
          <w:rtl w:val="true"/>
          <w:lang w:bidi="fa-IR"/>
        </w:rPr>
        <w:t xml:space="preserve">وتستعار للزمان </w:t>
      </w:r>
      <w:r>
        <w:rPr>
          <w:rStyle w:val="FootnoteAnchor"/>
          <w:rtl w:val="true"/>
        </w:rPr>
        <w:footnoteReference w:id="1371"/>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 xml:space="preserve">: </w:t>
      </w:r>
      <w:r>
        <w:rPr>
          <w:rStyle w:val="FootnoteAnchor"/>
          <w:rtl w:val="true"/>
        </w:rPr>
        <w:footnoteReference w:id="1372"/>
      </w:r>
    </w:p>
    <w:p>
      <w:pPr>
        <w:pStyle w:val="BookText"/>
        <w:rPr/>
      </w:pPr>
      <w:r>
        <w:rPr>
          <w:rFonts w:ascii="Amiri" w:hAnsi="Amiri" w:eastAsia="Amiri" w:cs="Amiri"/>
          <w:color w:val="111111"/>
          <w:sz w:val="28"/>
          <w:sz w:val="28"/>
          <w:szCs w:val="28"/>
          <w:rtl w:val="true"/>
          <w:lang w:bidi="ar-SA"/>
        </w:rPr>
        <w:t>للفتى عقل يعيش به</w:t>
      </w:r>
    </w:p>
    <w:p>
      <w:pPr>
        <w:pStyle w:val="BookText"/>
        <w:rPr/>
      </w:pPr>
      <w:r>
        <w:rPr>
          <w:rFonts w:ascii="Amiri" w:hAnsi="Amiri" w:eastAsia="Amiri" w:cs="Amiri"/>
          <w:color w:val="111111"/>
          <w:sz w:val="28"/>
          <w:sz w:val="28"/>
          <w:szCs w:val="28"/>
          <w:rtl w:val="true"/>
          <w:lang w:bidi="ar-SA"/>
        </w:rPr>
        <w:t>حيث تهدي ساقه قدمه</w:t>
      </w:r>
    </w:p>
    <w:p>
      <w:pPr>
        <w:pStyle w:val="BookText"/>
        <w:rPr/>
      </w:pPr>
      <w:r>
        <w:rPr>
          <w:rFonts w:ascii="Amiri" w:hAnsi="Amiri" w:eastAsia="Amiri" w:cs="Amiri"/>
          <w:color w:val="111111"/>
          <w:sz w:val="28"/>
          <w:sz w:val="28"/>
          <w:szCs w:val="28"/>
          <w:rtl w:val="true"/>
          <w:lang w:bidi="ar-SA"/>
        </w:rPr>
        <w:t xml:space="preserve">أي مدّة حياته ، ولا تضاف إلّا إلى الجملة ، وشذّ إضافتها إلى المفرد ، نحو قول الشاعر </w:t>
      </w:r>
      <w:r>
        <w:rPr>
          <w:rFonts w:eastAsia="Amiri" w:cs="Amiri" w:ascii="Amiri" w:hAnsi="Amiri"/>
          <w:color w:val="111111"/>
          <w:sz w:val="28"/>
          <w:szCs w:val="28"/>
          <w:rtl w:val="true"/>
          <w:lang w:bidi="ar-SA"/>
        </w:rPr>
        <w:t xml:space="preserve">: </w:t>
      </w:r>
      <w:r>
        <w:rPr>
          <w:rStyle w:val="FootnoteAnchor"/>
          <w:rtl w:val="true"/>
        </w:rPr>
        <w:footnoteReference w:id="1373"/>
      </w:r>
    </w:p>
    <w:p>
      <w:pPr>
        <w:pStyle w:val="BookText"/>
        <w:rPr/>
      </w:pPr>
      <w:r>
        <w:rPr>
          <w:rFonts w:ascii="Amiri" w:hAnsi="Amiri" w:eastAsia="Amiri" w:cs="Amiri"/>
          <w:color w:val="111111"/>
          <w:sz w:val="28"/>
          <w:sz w:val="28"/>
          <w:szCs w:val="28"/>
          <w:rtl w:val="true"/>
          <w:lang w:bidi="ar-SA"/>
        </w:rPr>
        <w:t>نجما يضيء كالشهاب لامعا</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في شرح المفصل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 الكافية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ولسان العرب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والمغني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 شذور الذهب ،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وهمع الهوامع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 شواهد المغني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 الأشموني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 الشواهد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ترى حيث سهيل طالعا</w:t>
      </w:r>
    </w:p>
    <w:p>
      <w:pPr>
        <w:pStyle w:val="BookText"/>
        <w:rPr/>
      </w:pPr>
      <w:r>
        <w:rPr>
          <w:rFonts w:ascii="Amiri" w:hAnsi="Amiri" w:eastAsia="Amiri" w:cs="Amiri"/>
          <w:color w:val="111111"/>
          <w:sz w:val="28"/>
          <w:sz w:val="28"/>
          <w:szCs w:val="28"/>
          <w:rtl w:val="true"/>
          <w:lang w:bidi="ar-SA"/>
        </w:rPr>
        <w:t xml:space="preserve">بنصب حيث لأنّ الموجب لبنائها قد زال </w:t>
      </w:r>
      <w:r>
        <w:rPr>
          <w:rStyle w:val="FootnoteAnchor"/>
          <w:rtl w:val="true"/>
        </w:rPr>
        <w:footnoteReference w:id="1374"/>
      </w:r>
      <w:r>
        <w:rPr>
          <w:rFonts w:ascii="Amiri" w:hAnsi="Amiri" w:eastAsia="Amiri" w:cs="Amiri"/>
          <w:color w:val="111111"/>
          <w:sz w:val="28"/>
          <w:sz w:val="28"/>
          <w:szCs w:val="28"/>
          <w:rtl w:val="true"/>
          <w:lang w:bidi="ar-SA"/>
        </w:rPr>
        <w:t>وجرّ سهيل بإضافتها إليه ونصب طالعا حالا من حيث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الشرطية </w:t>
      </w:r>
      <w:r>
        <w:rPr>
          <w:rStyle w:val="FootnoteAnchor"/>
          <w:rtl w:val="true"/>
        </w:rPr>
        <w:footnoteReference w:id="1375"/>
      </w:r>
      <w:r>
        <w:rPr>
          <w:rFonts w:ascii="Amiri" w:hAnsi="Amiri" w:eastAsia="Amiri" w:cs="Amiri"/>
          <w:color w:val="111111"/>
          <w:sz w:val="28"/>
          <w:sz w:val="28"/>
          <w:szCs w:val="28"/>
          <w:rtl w:val="true"/>
          <w:lang w:bidi="ar-SA"/>
        </w:rPr>
        <w:t xml:space="preserve">وإنّما بنيت لتضمّنها معنى حرف الشرط </w:t>
      </w:r>
      <w:r>
        <w:rPr>
          <w:rStyle w:val="FootnoteAnchor"/>
          <w:rtl w:val="true"/>
        </w:rPr>
        <w:footnoteReference w:id="1376"/>
      </w:r>
      <w:r>
        <w:rPr>
          <w:rFonts w:ascii="Amiri" w:hAnsi="Amiri" w:eastAsia="Amiri" w:cs="Amiri"/>
          <w:color w:val="111111"/>
          <w:sz w:val="28"/>
          <w:sz w:val="28"/>
          <w:szCs w:val="28"/>
          <w:rtl w:val="true"/>
          <w:lang w:bidi="ar-SA"/>
        </w:rPr>
        <w:t xml:space="preserve">ولا يجازى بها في غير الشعر ، ولا يقع بعدها إلّا الجملة الفعليّة غالبا </w:t>
      </w:r>
      <w:r>
        <w:rPr>
          <w:rStyle w:val="FootnoteAnchor"/>
          <w:rtl w:val="true"/>
        </w:rPr>
        <w:footnoteReference w:id="1377"/>
      </w:r>
      <w:r>
        <w:rPr>
          <w:rFonts w:ascii="Amiri" w:hAnsi="Amiri" w:eastAsia="Amiri" w:cs="Amiri"/>
          <w:color w:val="111111"/>
          <w:sz w:val="28"/>
          <w:sz w:val="28"/>
          <w:szCs w:val="28"/>
          <w:rtl w:val="true"/>
          <w:lang w:bidi="ar-SA"/>
        </w:rPr>
        <w:t xml:space="preserve">، إمّا ظاهرة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 زيد فأكرمه ، أو مقدّرة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السَّماءُ انْشَقَّتْ</w:t>
      </w:r>
      <w:r>
        <w:rPr>
          <w:rFonts w:eastAsia="Amiri" w:cs="Amiri" w:ascii="Amiri" w:hAnsi="Amiri"/>
          <w:color w:val="111111"/>
          <w:sz w:val="28"/>
          <w:szCs w:val="28"/>
          <w:rtl w:val="true"/>
          <w:lang w:bidi="ar-SA"/>
        </w:rPr>
        <w:t>)</w:t>
      </w:r>
      <w:r>
        <w:rPr>
          <w:rStyle w:val="FootnoteAnchor"/>
          <w:rtl w:val="true"/>
        </w:rPr>
        <w:footnoteReference w:id="1378"/>
      </w:r>
      <w:r>
        <w:rPr>
          <w:rFonts w:ascii="Amiri" w:hAnsi="Amiri" w:eastAsia="Amiri" w:cs="Amiri"/>
          <w:color w:val="111111"/>
          <w:sz w:val="28"/>
          <w:sz w:val="28"/>
          <w:szCs w:val="28"/>
          <w:rtl w:val="true"/>
          <w:lang w:bidi="ar-SA"/>
        </w:rPr>
        <w:t xml:space="preserve">أي إذا انشقّت السّماء انشقّت ، وقد تتجرّد عن معنى الشّرط وتبقى للزّمان فقط </w:t>
      </w:r>
      <w:r>
        <w:rPr>
          <w:rStyle w:val="FootnoteAnchor"/>
          <w:rtl w:val="true"/>
        </w:rPr>
        <w:footnoteReference w:id="1379"/>
      </w:r>
      <w:r>
        <w:rPr>
          <w:rFonts w:ascii="Amiri" w:hAnsi="Amiri" w:eastAsia="Amiri" w:cs="Amiri"/>
          <w:color w:val="111111"/>
          <w:sz w:val="28"/>
          <w:sz w:val="28"/>
          <w:szCs w:val="28"/>
          <w:rtl w:val="true"/>
          <w:lang w:bidi="ar-SA"/>
        </w:rPr>
        <w:t xml:space="preserve">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وَاللَّيْلِ إِذا يَغْشى</w:t>
      </w:r>
      <w:r>
        <w:rPr>
          <w:rFonts w:eastAsia="Amiri" w:cs="Amiri" w:ascii="Amiri" w:hAnsi="Amiri"/>
          <w:color w:val="111111"/>
          <w:sz w:val="28"/>
          <w:szCs w:val="28"/>
          <w:rtl w:val="true"/>
          <w:lang w:bidi="ar-SA"/>
        </w:rPr>
        <w:t>)</w:t>
      </w:r>
      <w:r>
        <w:rPr>
          <w:rStyle w:val="FootnoteAnchor"/>
          <w:rtl w:val="true"/>
        </w:rPr>
        <w:footnoteReference w:id="1380"/>
      </w:r>
      <w:r>
        <w:rPr>
          <w:rFonts w:ascii="Amiri" w:hAnsi="Amiri" w:eastAsia="Amiri" w:cs="Amiri"/>
          <w:color w:val="111111"/>
          <w:sz w:val="28"/>
          <w:sz w:val="28"/>
          <w:szCs w:val="28"/>
          <w:rtl w:val="true"/>
          <w:lang w:bidi="ar-SA"/>
        </w:rPr>
        <w:t>إذ التقدير أقسم بالليل حاصلا في وقت غشيانه</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التي للمفاجأة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فإذا السبع ، أي فاجأت زمان وجود السبع </w:t>
      </w:r>
      <w:r>
        <w:rPr>
          <w:rStyle w:val="FootnoteAnchor"/>
          <w:rtl w:val="true"/>
        </w:rPr>
        <w:footnoteReference w:id="1381"/>
      </w:r>
      <w:r>
        <w:rPr>
          <w:rFonts w:ascii="Amiri" w:hAnsi="Amiri" w:eastAsia="Amiri" w:cs="Amiri"/>
          <w:color w:val="111111"/>
          <w:sz w:val="28"/>
          <w:sz w:val="28"/>
          <w:szCs w:val="28"/>
          <w:rtl w:val="true"/>
          <w:lang w:bidi="ar-SA"/>
        </w:rPr>
        <w:t xml:space="preserve">، وقد تقع جوابا للشرط كالفاء لما بين التعقيب والمفاجأة من المناسبة كقول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تُصِبْهُمْ سَيِّئَةٌ بِما قَدَّمَتْ أَيْدِيهِمْ إِذا هُمْ يَقْنَطُونَ</w:t>
      </w:r>
      <w:r>
        <w:rPr>
          <w:rFonts w:eastAsia="Amiri" w:cs="Amiri" w:ascii="Amiri" w:hAnsi="Amiri"/>
          <w:color w:val="111111"/>
          <w:sz w:val="28"/>
          <w:szCs w:val="28"/>
          <w:rtl w:val="true"/>
          <w:lang w:bidi="ar-SA"/>
        </w:rPr>
        <w:t>)</w:t>
      </w:r>
      <w:r>
        <w:rPr>
          <w:rStyle w:val="FootnoteAnchor"/>
          <w:rtl w:val="true"/>
        </w:rPr>
        <w:footnoteReference w:id="1382"/>
      </w:r>
      <w:r>
        <w:rPr>
          <w:rFonts w:ascii="Amiri" w:hAnsi="Amiri" w:eastAsia="Amiri" w:cs="Amiri"/>
          <w:color w:val="111111"/>
          <w:sz w:val="28"/>
          <w:sz w:val="28"/>
          <w:szCs w:val="28"/>
          <w:rtl w:val="true"/>
          <w:lang w:bidi="ar-SA"/>
        </w:rPr>
        <w:t xml:space="preserve">أي فهم يقنطون ، وهي ظرف معمول لما دلّ عليه من معنى فاجأت ، ويلزم المبتدأ بعدها غالبا ، لأنّه لا بدّ من إضافتها إلى جملة ، فإنّك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فإذا زيد ، فزيد مبتدأ وخبره محذوف أي فإذا زيد مفاجىء ، فحذف لدلالة المعنى عليه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w:t>
      </w:r>
      <w:r>
        <w:rPr>
          <w:rStyle w:val="FootnoteAnchor"/>
          <w:rtl w:val="true"/>
        </w:rPr>
        <w:footnoteReference w:id="1383"/>
      </w:r>
      <w:r>
        <w:rPr>
          <w:rFonts w:ascii="Amiri" w:hAnsi="Amiri" w:eastAsia="Amiri" w:cs="Amiri"/>
          <w:color w:val="111111"/>
          <w:sz w:val="28"/>
          <w:sz w:val="28"/>
          <w:szCs w:val="28"/>
          <w:rtl w:val="true"/>
          <w:lang w:bidi="ar-SA"/>
        </w:rPr>
        <w:t xml:space="preserve">، وهي للزمان الماضي </w:t>
      </w:r>
      <w:r>
        <w:rPr>
          <w:rStyle w:val="FootnoteAnchor"/>
          <w:rtl w:val="true"/>
        </w:rPr>
        <w:footnoteReference w:id="1384"/>
      </w:r>
      <w:r>
        <w:rPr>
          <w:rFonts w:ascii="Amiri" w:hAnsi="Amiri" w:eastAsia="Amiri" w:cs="Amiri"/>
          <w:color w:val="111111"/>
          <w:sz w:val="28"/>
          <w:sz w:val="28"/>
          <w:szCs w:val="28"/>
          <w:rtl w:val="true"/>
          <w:lang w:bidi="ar-SA"/>
        </w:rPr>
        <w:t xml:space="preserve">وعلّة بنائها ما قيل في إذا الشرطيّة ولا يختصّ بجملة معيّنة كما اختصّت إذا بالجملة الفعليّة بل يقع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الجملتان ؛ الفعليّة والاسميّة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جئتك إذ قام زيد ، وإذ زيد قائم ، وإذ زيد يقوم ، ولم يستفصحوا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زيد قام </w:t>
      </w:r>
      <w:r>
        <w:rPr>
          <w:rStyle w:val="FootnoteAnchor"/>
          <w:rtl w:val="true"/>
        </w:rPr>
        <w:footnoteReference w:id="1385"/>
      </w:r>
      <w:r>
        <w:rPr>
          <w:rFonts w:ascii="Amiri" w:hAnsi="Amiri" w:eastAsia="Amiri" w:cs="Amiri"/>
          <w:color w:val="111111"/>
          <w:sz w:val="28"/>
          <w:sz w:val="28"/>
          <w:szCs w:val="28"/>
          <w:rtl w:val="true"/>
          <w:lang w:bidi="ar-SA"/>
        </w:rPr>
        <w:t xml:space="preserve">لأنّ إذ لما مضى من الزّمان وقام فعل ماض ، فكان الأولى ألّا يفصل بينهما ، لأنّها تطلب الفعل ، إذا وجدته في الخبر كما تطلبه الهمزة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أزيدا لقيته بخلاف إذ زيد يقوم ، لأنّ يقوم مضارع للاسم ، لأنّه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قائم ، فيحتمل فيه ذلك بخلاف قام لكونه غير مضارع للاسم ، وقد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للمفاجأة </w:t>
      </w:r>
      <w:r>
        <w:rPr>
          <w:rStyle w:val="FootnoteAnchor"/>
          <w:rtl w:val="true"/>
        </w:rPr>
        <w:footnoteReference w:id="1386"/>
      </w:r>
      <w:r>
        <w:rPr>
          <w:rFonts w:ascii="Amiri" w:hAnsi="Amiri" w:eastAsia="Amiri" w:cs="Amiri"/>
          <w:color w:val="111111"/>
          <w:sz w:val="28"/>
          <w:sz w:val="28"/>
          <w:szCs w:val="28"/>
          <w:rtl w:val="true"/>
          <w:lang w:bidi="ar-SA"/>
        </w:rPr>
        <w:t xml:space="preserve">كإذا وعليه قوله </w:t>
      </w:r>
      <w:r>
        <w:rPr>
          <w:rFonts w:eastAsia="Amiri" w:cs="Amiri" w:ascii="Amiri" w:hAnsi="Amiri"/>
          <w:color w:val="111111"/>
          <w:sz w:val="28"/>
          <w:szCs w:val="28"/>
          <w:rtl w:val="true"/>
          <w:lang w:bidi="ar-SA"/>
        </w:rPr>
        <w:t xml:space="preserve">: </w:t>
      </w:r>
      <w:r>
        <w:rPr>
          <w:rStyle w:val="FootnoteAnchor"/>
          <w:rtl w:val="true"/>
        </w:rPr>
        <w:footnoteReference w:id="1387"/>
      </w:r>
    </w:p>
    <w:p>
      <w:pPr>
        <w:pStyle w:val="BookText"/>
        <w:rPr/>
      </w:pPr>
      <w:r>
        <w:rPr>
          <w:rFonts w:ascii="Amiri" w:hAnsi="Amiri" w:eastAsia="Amiri" w:cs="Amiri"/>
          <w:color w:val="111111"/>
          <w:sz w:val="28"/>
          <w:sz w:val="28"/>
          <w:szCs w:val="28"/>
          <w:rtl w:val="true"/>
          <w:lang w:bidi="ar-SA"/>
        </w:rPr>
        <w:t>استقدر الله خيرا وارضينّ به</w:t>
      </w:r>
    </w:p>
    <w:p>
      <w:pPr>
        <w:pStyle w:val="BookText"/>
        <w:rPr/>
      </w:pPr>
      <w:r>
        <w:rPr>
          <w:rFonts w:ascii="Amiri" w:hAnsi="Amiri" w:eastAsia="Amiri" w:cs="Amiri"/>
          <w:color w:val="111111"/>
          <w:sz w:val="28"/>
          <w:sz w:val="28"/>
          <w:szCs w:val="28"/>
          <w:rtl w:val="true"/>
          <w:lang w:bidi="ar-SA"/>
        </w:rPr>
        <w:t xml:space="preserve">وقد اختلف حول قائله وسجل الخلاف حوله السيوطي في شرح شواهد المغني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فنصّ على أنه ينسب لعثمان بن لبيد العذري ، أو لعثير أو حريث بن جبلة أو لعثير بن لبيد وروي البيت من غير نسبة في الكتاب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وأمالي ابن الشجري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ومغني اللبيب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 شذور الذهب ،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وهمع الهوامع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فبينما العسر إذ دارت مياسير</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وأنّى </w:t>
      </w:r>
      <w:r>
        <w:rPr>
          <w:rStyle w:val="FootnoteAnchor"/>
          <w:rtl w:val="true"/>
        </w:rPr>
        <w:footnoteReference w:id="1388"/>
      </w:r>
      <w:r>
        <w:rPr>
          <w:rFonts w:ascii="Amiri" w:hAnsi="Amiri" w:eastAsia="Amiri" w:cs="Amiri"/>
          <w:color w:val="111111"/>
          <w:sz w:val="28"/>
          <w:sz w:val="28"/>
          <w:szCs w:val="28"/>
          <w:rtl w:val="true"/>
          <w:lang w:bidi="ar-SA"/>
        </w:rPr>
        <w:t xml:space="preserve">وهما للمكان سواء كانا للاستفهام أو للشّرط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زيد ، وأين تكن أكن ، وأنّى تقعد أقعد ، وبنيا لتضمّنهما حرف الاستفهام أو حرف الشّرط ، وقد استعملت أنّى للزمان والحال كمتى وكيف </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وهي ظرف زمان </w:t>
      </w:r>
      <w:r>
        <w:rPr>
          <w:rStyle w:val="FootnoteAnchor"/>
          <w:rtl w:val="true"/>
        </w:rPr>
        <w:footnoteReference w:id="1390"/>
      </w:r>
      <w:r>
        <w:rPr>
          <w:rFonts w:ascii="Amiri" w:hAnsi="Amiri" w:eastAsia="Amiri" w:cs="Amiri"/>
          <w:color w:val="111111"/>
          <w:sz w:val="28"/>
          <w:sz w:val="28"/>
          <w:szCs w:val="28"/>
          <w:rtl w:val="true"/>
          <w:lang w:bidi="ar-SA"/>
        </w:rPr>
        <w:t xml:space="preserve">في الاستفهام والشّرط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القتال ومتى تأتني أكرمك ، والفرق بينها وبين إذا ، أنّ متى للزّمان المبهم ، وإذا للمعيّن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أيّان ، وهي ظرف زمان كمتى في الاستفهام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يَسْئَلُونَ أَيَّانَ يَوْمُ الدِّينِ</w:t>
      </w:r>
      <w:r>
        <w:rPr>
          <w:rFonts w:eastAsia="Amiri" w:cs="Amiri" w:ascii="Amiri" w:hAnsi="Amiri"/>
          <w:color w:val="111111"/>
          <w:sz w:val="28"/>
          <w:szCs w:val="28"/>
          <w:rtl w:val="true"/>
          <w:lang w:bidi="ar-SA"/>
        </w:rPr>
        <w:t>)</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 لزمان الحال </w:t>
      </w:r>
      <w:r>
        <w:rPr>
          <w:rStyle w:val="FootnoteAnchor"/>
          <w:rtl w:val="true"/>
        </w:rPr>
        <w:footnoteReference w:id="1392"/>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زيد أي على أيّ حال هو ، ولا يجازى بها في الأفصح </w:t>
      </w:r>
      <w:r>
        <w:rPr>
          <w:rStyle w:val="FootnoteAnchor"/>
          <w:rtl w:val="true"/>
        </w:rPr>
        <w:footnoteReference w:id="1393"/>
      </w:r>
      <w:r>
        <w:rPr>
          <w:rFonts w:ascii="Amiri" w:hAnsi="Amiri" w:eastAsia="Amiri" w:cs="Amiri"/>
          <w:color w:val="111111"/>
          <w:sz w:val="28"/>
          <w:sz w:val="28"/>
          <w:szCs w:val="28"/>
          <w:rtl w:val="true"/>
          <w:lang w:bidi="ar-SA"/>
        </w:rPr>
        <w:t xml:space="preserve">وإن دخلت ما عليها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ما تكون أكون ، وقد جازى بها الكوفيون مع ما ، واختاره الزّجاجي </w:t>
      </w:r>
      <w:r>
        <w:rPr>
          <w:rStyle w:val="FootnoteAnchor"/>
          <w:rtl w:val="true"/>
        </w:rPr>
        <w:footnoteReference w:id="1394"/>
      </w:r>
      <w:r>
        <w:rPr>
          <w:rFonts w:ascii="Amiri" w:hAnsi="Amiri" w:eastAsia="Amiri" w:cs="Amiri"/>
          <w:color w:val="111111"/>
          <w:sz w:val="28"/>
          <w:sz w:val="28"/>
          <w:szCs w:val="28"/>
          <w:rtl w:val="true"/>
          <w:lang w:bidi="ar-SA"/>
        </w:rPr>
        <w:t xml:space="preserve">في الجمل </w:t>
      </w:r>
      <w:r>
        <w:rPr>
          <w:rStyle w:val="FootnoteAnchor"/>
          <w:rtl w:val="true"/>
        </w:rPr>
        <w:footnoteReference w:id="1395"/>
      </w:r>
      <w:r>
        <w:rPr>
          <w:rFonts w:ascii="Amiri" w:hAnsi="Amiri" w:eastAsia="Amiri" w:cs="Amiri"/>
          <w:color w:val="111111"/>
          <w:sz w:val="28"/>
          <w:sz w:val="28"/>
          <w:szCs w:val="28"/>
          <w:rtl w:val="true"/>
          <w:lang w:bidi="ar-SA"/>
        </w:rPr>
        <w:t xml:space="preserve">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كيفما تكن أكن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الظروف المبنيّة مذ ومنذ </w:t>
      </w:r>
      <w:r>
        <w:rPr>
          <w:rStyle w:val="FootnoteAnchor"/>
          <w:rtl w:val="true"/>
        </w:rPr>
        <w:footnoteReference w:id="1396"/>
      </w:r>
      <w:r>
        <w:rPr>
          <w:rFonts w:ascii="Amiri" w:hAnsi="Amiri" w:eastAsia="Amiri" w:cs="Amiri"/>
          <w:color w:val="111111"/>
          <w:sz w:val="28"/>
          <w:sz w:val="28"/>
          <w:szCs w:val="28"/>
          <w:rtl w:val="true"/>
          <w:lang w:bidi="ar-SA"/>
        </w:rPr>
        <w:t xml:space="preserve">وهما بمعنيين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أوّل المدّة فيليهما المفرد المعرفة ، وهو الزمان الذي يصلح أن يكون جوابا لمتى ليدلّ على أول المدّة الذي هو المطلوب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كان ابتداء رؤية زيد ، فتقول في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أو مذ يوم الجمعة ، لأنّ جواب متى بتعيين الوقت ، فلذلك وليهما المفرد المعرفة أعني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يوم الجمعة وشبهه</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يكونا بمعنى جميع المدّة ، فيليهما المقصود بالعدد لبيان جميع المدّة التي هي المقصودة ، وهي الزمان الذي يصلح أن يكون جوابا لكم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رأيته مذ أو منذ يومان ، وبنيا لشبههما بمن لأنّهما لابتداء الغاية في الزمان كما أنّ من الابتداء لغاية في المكان </w:t>
      </w:r>
      <w:r>
        <w:rPr>
          <w:rStyle w:val="FootnoteAnchor"/>
          <w:rtl w:val="true"/>
        </w:rPr>
        <w:footnoteReference w:id="1397"/>
      </w:r>
      <w:r>
        <w:rPr>
          <w:rFonts w:ascii="Amiri" w:hAnsi="Amiri" w:eastAsia="Amiri" w:cs="Amiri"/>
          <w:color w:val="111111"/>
          <w:sz w:val="28"/>
          <w:sz w:val="28"/>
          <w:szCs w:val="28"/>
          <w:rtl w:val="true"/>
          <w:lang w:bidi="ar-SA"/>
        </w:rPr>
        <w:t xml:space="preserve">وقد يقع بعدهما أن أو الفعل أو المصدر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رأيته مذ أن سافر ، أو مذ أنّه سافر ، أو مذ سافر أو مذ سفره ، فيجب تقدير زمان مضاف إلى كلّ واحد ممّا ذكر ، فيكون تقدير ذلك ، ما رأيته مذ زمان أن سافر ومذ زمان سافر ومذ زمان سفره ، ووجب ذلك لأنّ منذ ومذ لابتداء غاية الزّمان ، فإذا </w:t>
      </w:r>
    </w:p>
    <w:p>
      <w:pPr>
        <w:pStyle w:val="BookText"/>
        <w:rPr/>
      </w:pPr>
      <w:r>
        <w:rPr>
          <w:rFonts w:ascii="Amiri" w:hAnsi="Amiri" w:eastAsia="Amiri" w:cs="Amiri"/>
          <w:color w:val="111111"/>
          <w:sz w:val="28"/>
          <w:sz w:val="28"/>
          <w:szCs w:val="28"/>
          <w:rtl w:val="true"/>
          <w:lang w:bidi="ar-SA"/>
        </w:rPr>
        <w:t xml:space="preserve">وليهما غيره وجب تقديره ليتوفّر عليهما ما يقتضيانه من الزّمان ، ومذ ومنذ في هذه الصور المذكورة مبتدأ وما بعدهما خبرهما </w:t>
      </w:r>
      <w:r>
        <w:rPr>
          <w:rStyle w:val="FootnoteAnchor"/>
          <w:rtl w:val="true"/>
        </w:rPr>
        <w:footnoteReference w:id="1398"/>
      </w:r>
      <w:r>
        <w:rPr>
          <w:rFonts w:ascii="Amiri" w:hAnsi="Amiri" w:eastAsia="Amiri" w:cs="Amiri"/>
          <w:color w:val="111111"/>
          <w:sz w:val="28"/>
          <w:sz w:val="28"/>
          <w:szCs w:val="28"/>
          <w:rtl w:val="true"/>
          <w:lang w:bidi="ar-SA"/>
        </w:rPr>
        <w:t xml:space="preserve">وهما معرفتان ، لأنّهما في تأويل الإضافة لأنّهما بمعنى أوّل المدّة أو بمعنى جميع المدّة خلافا للزّجاج ، فإنّهما عنده خبران ، والمبتدأ ما بعدهما أي يوم الجمعة أول المدة ، ويومان جميع تلك المدّة </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لدى </w:t>
      </w:r>
      <w:r>
        <w:rPr>
          <w:rStyle w:val="FootnoteAnchor"/>
          <w:rtl w:val="true"/>
        </w:rPr>
        <w:footnoteReference w:id="1400"/>
      </w:r>
      <w:r>
        <w:rPr>
          <w:rFonts w:ascii="Amiri" w:hAnsi="Amiri" w:eastAsia="Amiri" w:cs="Amiri"/>
          <w:color w:val="111111"/>
          <w:sz w:val="28"/>
          <w:sz w:val="28"/>
          <w:szCs w:val="28"/>
          <w:rtl w:val="true"/>
          <w:lang w:bidi="ar-SA"/>
        </w:rPr>
        <w:t xml:space="preserve">وهي من الظروف المبنيّة ، وفيها ثماني لغات </w:t>
      </w:r>
      <w:r>
        <w:rPr>
          <w:rStyle w:val="FootnoteAnchor"/>
          <w:rtl w:val="true"/>
        </w:rPr>
        <w:footnoteReference w:id="1401"/>
      </w:r>
      <w:r>
        <w:rPr>
          <w:rFonts w:ascii="Amiri" w:hAnsi="Amiri" w:eastAsia="Amiri" w:cs="Amiri"/>
          <w:color w:val="111111"/>
          <w:sz w:val="28"/>
          <w:sz w:val="28"/>
          <w:szCs w:val="28"/>
          <w:rtl w:val="true"/>
          <w:lang w:bidi="ar-SA"/>
        </w:rPr>
        <w:t xml:space="preserve">أربع مع ثبوت النون ، وأربع مع حذفها ، فالأربع التي مع ثبوت النون ، لدن بفتح اللام والدال ، ولدن بفتح اللام وضم الدال ، ولدن بفتح اللام وسكون الدال ، ولدن بضم اللام وسكون الدال ، والأربع التي مع حذف النون لد بفتح اللام وسكون الدّال ، ولد بضم اللّام وسكون الدال ، ولد بفتح اللّام وضمّ الدّال ، ولدى بفتح اللّام وفتح الدّال ، وإنّما بنيت لأنّ وضع لد ولد وضع الحرف ، وأجريت بقية اللغات مجراها </w:t>
      </w:r>
      <w:r>
        <w:rPr>
          <w:rStyle w:val="FootnoteAnchor"/>
          <w:rtl w:val="true"/>
        </w:rPr>
        <w:footnoteReference w:id="1402"/>
      </w:r>
      <w:r>
        <w:rPr>
          <w:rFonts w:ascii="Amiri" w:hAnsi="Amiri" w:eastAsia="Amiri" w:cs="Amiri"/>
          <w:color w:val="111111"/>
          <w:sz w:val="28"/>
          <w:sz w:val="28"/>
          <w:szCs w:val="28"/>
          <w:rtl w:val="true"/>
          <w:lang w:bidi="ar-SA"/>
        </w:rPr>
        <w:t xml:space="preserve">ومعناها أخصّ من معنى عند ، لأنّك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كذا ، لما كان في حوزك سواء حضرك أو لم يحضرك ، ولدى لما حضرك ولم يتجاوزك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وحكمها أن يجرّ بها على الإضافة ، فتجرّ ما تضاف إليه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لدى زيد ، لكن نصب العرب بلدن غدوة خاصة </w:t>
      </w:r>
      <w:r>
        <w:rPr>
          <w:rStyle w:val="FootnoteAnchor"/>
          <w:rtl w:val="true"/>
        </w:rPr>
        <w:footnoteReference w:id="1403"/>
      </w:r>
      <w:r>
        <w:rPr>
          <w:rFonts w:ascii="Amiri" w:hAnsi="Amiri" w:eastAsia="Amiri" w:cs="Amiri"/>
          <w:color w:val="111111"/>
          <w:sz w:val="28"/>
          <w:sz w:val="28"/>
          <w:szCs w:val="28"/>
          <w:rtl w:val="true"/>
          <w:lang w:bidi="ar-SA"/>
        </w:rPr>
        <w:t xml:space="preserve">كأنّهم شبّهوا نونها بالتنوين فنصبوا بها غدوة كما نصبوا زيتا في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رطل زيتا </w:t>
      </w:r>
      <w:r>
        <w:rPr>
          <w:rStyle w:val="FootnoteAnchor"/>
          <w:rtl w:val="true"/>
        </w:rPr>
        <w:footnoteReference w:id="1404"/>
      </w: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 xml:space="preserve">: </w:t>
      </w:r>
      <w:r>
        <w:rPr>
          <w:rStyle w:val="FootnoteAnchor"/>
          <w:rtl w:val="true"/>
        </w:rPr>
        <w:footnoteReference w:id="1405"/>
      </w:r>
    </w:p>
    <w:p>
      <w:pPr>
        <w:pStyle w:val="BookText"/>
        <w:rPr/>
      </w:pPr>
      <w:r>
        <w:rPr>
          <w:rFonts w:ascii="Amiri" w:hAnsi="Amiri" w:eastAsia="Amiri" w:cs="Amiri"/>
          <w:color w:val="111111"/>
          <w:sz w:val="28"/>
          <w:sz w:val="28"/>
          <w:szCs w:val="28"/>
          <w:rtl w:val="true"/>
          <w:lang w:bidi="ar-SA"/>
        </w:rPr>
        <w:t>لدن غدوة حتّى أروح وصحبتي</w:t>
      </w:r>
    </w:p>
    <w:p>
      <w:pPr>
        <w:pStyle w:val="BookText"/>
        <w:rPr/>
      </w:pPr>
      <w:r>
        <w:rPr>
          <w:rFonts w:ascii="Amiri" w:hAnsi="Amiri" w:eastAsia="Amiri" w:cs="Amiri"/>
          <w:color w:val="111111"/>
          <w:sz w:val="28"/>
          <w:sz w:val="28"/>
          <w:szCs w:val="28"/>
          <w:rtl w:val="true"/>
          <w:lang w:bidi="ar-SA"/>
        </w:rPr>
        <w:t>عصاة على التّاهين شمّ المناخر</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بنصب غدوة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قطّ ، وهي للماضي المنفي</w:t>
      </w:r>
      <w:r>
        <w:rPr>
          <w:rStyle w:val="FootnoteAnchor"/>
          <w:rtl w:val="true"/>
        </w:rPr>
        <w:footnoteReference w:id="1406"/>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فعلته قطّ ، ولا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أفعله قطّ ، وهي من القطّ الذي هو القطع ، لأنّ الماضي منقطع من المستقبل ، وبنيت لأنّ من لغاتها قط بتخفيف الطّاء وهو وضع الحروف </w:t>
      </w:r>
      <w:r>
        <w:rPr>
          <w:rStyle w:val="FootnoteAnchor"/>
          <w:rtl w:val="true"/>
        </w:rPr>
        <w:footnoteReference w:id="1407"/>
      </w:r>
      <w:r>
        <w:rPr>
          <w:rFonts w:ascii="Amiri" w:hAnsi="Amiri" w:eastAsia="Amiri" w:cs="Amiri"/>
          <w:color w:val="111111"/>
          <w:sz w:val="28"/>
          <w:sz w:val="28"/>
          <w:szCs w:val="28"/>
          <w:rtl w:val="true"/>
          <w:lang w:bidi="ar-SA"/>
        </w:rPr>
        <w:t>وأجريت أختها المشدّدة الطاء مجراها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عوض ، وهي ظرف للزمان المستقبل المنفي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أفعله عوض أي أبدا إلّا أنّ أبدا يستعمل في النفي والإثبات ، وعوض تختصّ بالنفي ، وبنيت لقطعها عن الإضافة إذ المعنى عوض العائضين كدهر الدّاهرين </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 ، وبنيت لتضمّنها معنى لام التعريف لأنّها بمعنى الأمس ، وبنو تميم يمنعونها الصّرف </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والظروف المضافة إلى الجملة يجوز بناؤها على الفتح </w:t>
      </w:r>
      <w:r>
        <w:rPr>
          <w:rStyle w:val="FootnoteAnchor"/>
          <w:rtl w:val="true"/>
        </w:rPr>
        <w:footnoteReference w:id="1410"/>
      </w:r>
      <w:r>
        <w:rPr>
          <w:rFonts w:ascii="Amiri" w:hAnsi="Amiri" w:eastAsia="Amiri" w:cs="Amiri"/>
          <w:color w:val="111111"/>
          <w:sz w:val="28"/>
          <w:sz w:val="28"/>
          <w:szCs w:val="28"/>
          <w:rtl w:val="true"/>
          <w:lang w:bidi="ar-SA"/>
        </w:rPr>
        <w:t xml:space="preserve">ويجوز إعرابها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يَوْمُ يَنْفَعُ الصَّادِقِينَ صِدْقُهُمْ</w:t>
      </w:r>
      <w:r>
        <w:rPr>
          <w:rFonts w:eastAsia="Amiri" w:cs="Amiri" w:ascii="Amiri" w:hAnsi="Amiri"/>
          <w:color w:val="111111"/>
          <w:sz w:val="28"/>
          <w:szCs w:val="28"/>
          <w:rtl w:val="true"/>
          <w:lang w:bidi="ar-SA"/>
        </w:rPr>
        <w:t>)</w:t>
      </w:r>
      <w:r>
        <w:rPr>
          <w:rStyle w:val="FootnoteAnchor"/>
          <w:rtl w:val="true"/>
        </w:rPr>
        <w:footnoteReference w:id="1411"/>
      </w:r>
      <w:r>
        <w:rPr>
          <w:rFonts w:ascii="Amiri" w:hAnsi="Amiri" w:eastAsia="Amiri" w:cs="Amiri"/>
          <w:color w:val="111111"/>
          <w:sz w:val="28"/>
          <w:sz w:val="28"/>
          <w:szCs w:val="28"/>
          <w:rtl w:val="true"/>
          <w:lang w:bidi="ar-SA"/>
        </w:rPr>
        <w:t xml:space="preserve">بفتح يوم ورفعه في السّبعة </w:t>
      </w:r>
      <w:r>
        <w:rPr>
          <w:rStyle w:val="FootnoteAnchor"/>
          <w:rtl w:val="true"/>
        </w:rPr>
        <w:footnoteReference w:id="1412"/>
      </w:r>
      <w:r>
        <w:rPr>
          <w:rFonts w:ascii="Amiri" w:hAnsi="Amiri" w:eastAsia="Amiri" w:cs="Amiri"/>
          <w:color w:val="111111"/>
          <w:sz w:val="28"/>
          <w:sz w:val="28"/>
          <w:szCs w:val="28"/>
          <w:rtl w:val="true"/>
          <w:lang w:bidi="ar-SA"/>
        </w:rPr>
        <w:t xml:space="preserve">وكذلك الظرف المضاف إلى إذ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يَفْتَدِي مِنْ عَذابِ يَوْمِئِذٍ</w:t>
      </w:r>
      <w:r>
        <w:rPr>
          <w:rFonts w:eastAsia="Amiri" w:cs="Amiri" w:ascii="Amiri" w:hAnsi="Amiri"/>
          <w:color w:val="111111"/>
          <w:sz w:val="28"/>
          <w:szCs w:val="28"/>
          <w:rtl w:val="true"/>
          <w:lang w:bidi="ar-SA"/>
        </w:rPr>
        <w:t>)</w:t>
      </w:r>
      <w:r>
        <w:rPr>
          <w:rStyle w:val="FootnoteAnchor"/>
          <w:rtl w:val="true"/>
        </w:rPr>
        <w:footnoteReference w:id="1413"/>
      </w:r>
      <w:r>
        <w:rPr>
          <w:rFonts w:ascii="Amiri" w:hAnsi="Amiri" w:eastAsia="Amiri" w:cs="Amiri"/>
          <w:color w:val="111111"/>
          <w:sz w:val="28"/>
          <w:sz w:val="28"/>
          <w:szCs w:val="28"/>
          <w:rtl w:val="true"/>
          <w:lang w:bidi="ar-SA"/>
        </w:rPr>
        <w:t xml:space="preserve">بفتح ميم يوم وجرّه في السبعة </w:t>
      </w:r>
      <w:r>
        <w:rPr>
          <w:rStyle w:val="FootnoteAnchor"/>
          <w:rtl w:val="true"/>
        </w:rPr>
        <w:footnoteReference w:id="1414"/>
      </w:r>
      <w:r>
        <w:rPr>
          <w:rFonts w:ascii="Amiri" w:hAnsi="Amiri" w:eastAsia="Amiri" w:cs="Amiri"/>
          <w:color w:val="111111"/>
          <w:sz w:val="28"/>
          <w:sz w:val="28"/>
          <w:szCs w:val="28"/>
          <w:rtl w:val="true"/>
          <w:lang w:bidi="ar-SA"/>
        </w:rPr>
        <w:t xml:space="preserve">وكذلك يجوز بناء غير ومثل على الفتح إذا أضيفا إلى ما أو إلى أن المخفّفة أو المشدّدة </w:t>
      </w:r>
      <w:r>
        <w:rPr>
          <w:rStyle w:val="FootnoteAnchor"/>
          <w:rtl w:val="true"/>
        </w:rPr>
        <w:footnoteReference w:id="1415"/>
      </w:r>
      <w:r>
        <w:rPr>
          <w:rFonts w:ascii="Amiri" w:hAnsi="Amiri" w:eastAsia="Amiri" w:cs="Amiri"/>
          <w:color w:val="111111"/>
          <w:sz w:val="28"/>
          <w:sz w:val="28"/>
          <w:szCs w:val="28"/>
          <w:rtl w:val="true"/>
          <w:lang w:bidi="ar-SA"/>
        </w:rPr>
        <w:t xml:space="preserve">،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لَحَقٌّ مِثْلَ ما أَنَّكُمْ تَنْطِقُونَ</w:t>
      </w:r>
      <w:r>
        <w:rPr>
          <w:rFonts w:eastAsia="Amiri" w:cs="Amiri" w:ascii="Amiri" w:hAnsi="Amiri"/>
          <w:color w:val="111111"/>
          <w:sz w:val="28"/>
          <w:szCs w:val="28"/>
          <w:rtl w:val="true"/>
          <w:lang w:bidi="ar-SA"/>
        </w:rPr>
        <w:t>)</w:t>
      </w:r>
      <w:r>
        <w:rPr>
          <w:rStyle w:val="FootnoteAnchor"/>
          <w:rtl w:val="true"/>
        </w:rPr>
        <w:footnoteReference w:id="1416"/>
      </w:r>
      <w:bookmarkStart w:id="487" w:name="pg14482_156260"/>
    </w:p>
    <w:p>
      <w:pPr>
        <w:pStyle w:val="BookText"/>
        <w:rPr/>
      </w:pPr>
      <w:bookmarkEnd w:id="487"/>
      <w:r>
        <w:rPr>
          <w:rFonts w:ascii="Amiri" w:hAnsi="Amiri" w:eastAsia="Amiri" w:cs="Amiri"/>
          <w:color w:val="111111"/>
          <w:sz w:val="28"/>
          <w:sz w:val="28"/>
          <w:szCs w:val="28"/>
          <w:rtl w:val="true"/>
          <w:lang w:bidi="ar-SA"/>
        </w:rPr>
        <w:t xml:space="preserve">برفع مثل وفتحه في السبعة </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الشاعر </w:t>
      </w:r>
      <w:r>
        <w:rPr>
          <w:rFonts w:eastAsia="IRNazanin" w:cs="IRNazanin"/>
          <w:color w:val="111111"/>
          <w:sz w:val="28"/>
          <w:szCs w:val="28"/>
          <w:rtl w:val="true"/>
          <w:lang w:bidi="fa-IR"/>
        </w:rPr>
        <w:t xml:space="preserve">: </w:t>
      </w:r>
      <w:r>
        <w:rPr>
          <w:rStyle w:val="FootnoteAnchor"/>
          <w:rtl w:val="true"/>
        </w:rPr>
        <w:footnoteReference w:id="1418"/>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الوجناء وهي الناقة في بيت قبله ، الأوقال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الأعالي وهو أيضا ثمار الدوم يريد لم يمنعها أن تشرب إلّا أنّها سمعت صوت حمامة فنفرت ، يعني أنّها حديدة النّفس يخامرها فزع وذعر لحدة نفسها وذلك محمود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يمنع الشّرب منها غير أن نطقت</w:t>
      </w:r>
    </w:p>
    <w:p>
      <w:pPr>
        <w:pStyle w:val="BookText"/>
        <w:rPr/>
      </w:pPr>
      <w:r>
        <w:rPr>
          <w:rFonts w:ascii="Amiri" w:hAnsi="Amiri" w:eastAsia="Amiri" w:cs="Amiri"/>
          <w:color w:val="111111"/>
          <w:sz w:val="28"/>
          <w:sz w:val="28"/>
          <w:szCs w:val="28"/>
          <w:rtl w:val="true"/>
          <w:lang w:bidi="ar-SA"/>
        </w:rPr>
        <w:t>حمامة في غصون ذات أو قال</w:t>
      </w:r>
    </w:p>
    <w:p>
      <w:pPr>
        <w:pStyle w:val="BookText"/>
        <w:rPr/>
      </w:pPr>
      <w:r>
        <w:rPr>
          <w:rFonts w:ascii="Amiri" w:hAnsi="Amiri" w:eastAsia="Amiri" w:cs="Amiri"/>
          <w:color w:val="111111"/>
          <w:sz w:val="28"/>
          <w:sz w:val="28"/>
          <w:szCs w:val="28"/>
          <w:rtl w:val="true"/>
          <w:lang w:bidi="ar-SA"/>
        </w:rPr>
        <w:t>بفتح غير مع أنّها فاعل يمنع</w:t>
      </w:r>
      <w:r>
        <w:rPr>
          <w:rStyle w:val="FootnoteAnchor"/>
          <w:rtl w:val="true"/>
        </w:rPr>
        <w:footnoteReference w:id="1419"/>
      </w:r>
      <w:r>
        <w:rPr>
          <w:rFonts w:ascii="Amiri" w:hAnsi="Amiri" w:eastAsia="Amiri" w:cs="Amiri"/>
          <w:color w:val="111111"/>
          <w:sz w:val="28"/>
          <w:sz w:val="28"/>
          <w:szCs w:val="28"/>
          <w:rtl w:val="true"/>
          <w:lang w:bidi="ar-SA"/>
        </w:rPr>
        <w:t xml:space="preserve">، لإضافتها إلى أن المصدرية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قيامي مثل ما أنّك تقوم ، وهو فاضل غير أنّك أفضل منه ، بفتح مثل وغير مع جواز رفعهما فقد جاز بناء غير ومثل على الفتح تشبيها بالظروف المضافة وجاز إعرابهما لأنّهما يستحقّان الإعراب</w:t>
      </w:r>
      <w:r>
        <w:rPr>
          <w:rFonts w:eastAsia="Amiri" w:cs="Amiri" w:ascii="Amiri" w:hAnsi="Amiri"/>
          <w:color w:val="111111"/>
          <w:sz w:val="28"/>
          <w:szCs w:val="28"/>
          <w:rtl w:val="true"/>
          <w:lang w:bidi="ar-SA"/>
        </w:rPr>
        <w:t>.</w:t>
      </w:r>
    </w:p>
    <w:p>
      <w:pPr>
        <w:pStyle w:val="Heading4"/>
        <w:numPr>
          <w:ilvl w:val="3"/>
          <w:numId w:val="1"/>
        </w:numPr>
        <w:rPr/>
      </w:pPr>
      <w:bookmarkStart w:id="488" w:name="__RefHeading___Toc716874_996550957"/>
      <w:bookmarkStart w:id="489" w:name="_Toc178"/>
      <w:bookmarkEnd w:id="488"/>
      <w:r>
        <w:rPr>
          <w:rtl w:val="true"/>
        </w:rPr>
        <w:t>ذكر اسم الجنس</w:t>
      </w:r>
      <w:bookmarkEnd w:id="489"/>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4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علّق على شيء وعلى كلّ ما أشبهه </w:t>
      </w:r>
      <w:r>
        <w:rPr>
          <w:rStyle w:val="FootnoteAnchor"/>
          <w:rtl w:val="true"/>
        </w:rPr>
        <w:footnoteReference w:id="1421"/>
      </w:r>
      <w:r>
        <w:rPr>
          <w:rFonts w:ascii="Amiri" w:hAnsi="Amiri" w:eastAsia="Amiri" w:cs="Amiri"/>
          <w:color w:val="111111"/>
          <w:sz w:val="28"/>
          <w:sz w:val="28"/>
          <w:szCs w:val="28"/>
          <w:rtl w:val="true"/>
          <w:lang w:bidi="ar-SA"/>
        </w:rPr>
        <w:t xml:space="preserve">فإنّك تجد مثل ثوب ودار وما أشبههما موضوعا لواحد ولما ماثله بخلاف زيد وعمرو ، فإنّه لواحد بعينه ولا يدخل فيه مماثلة ولا مخالفة ، وينقسم اسم الجنس إلى اسم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غير صفة كرجل وفرس وثوب ، وإمّا صفة كراكب وجالس ، وإلى اسم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غير صفة كعلم وجهل ، وإمّا صفة كمفهوم ومضمر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بكلام مفهوم ، وفي النّفس سرّ مضمر </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 xml:space="preserve">. </w:t>
      </w:r>
      <w:bookmarkStart w:id="490" w:name="pg14482_156261"/>
    </w:p>
    <w:p>
      <w:pPr>
        <w:pStyle w:val="Heading4"/>
        <w:numPr>
          <w:ilvl w:val="3"/>
          <w:numId w:val="1"/>
        </w:numPr>
        <w:rPr/>
      </w:pPr>
      <w:bookmarkStart w:id="491" w:name="__RefHeading___Toc716876_996550957"/>
      <w:bookmarkStart w:id="492" w:name="_Toc179"/>
      <w:bookmarkEnd w:id="490"/>
      <w:bookmarkEnd w:id="491"/>
      <w:r>
        <w:rPr>
          <w:rtl w:val="true"/>
        </w:rPr>
        <w:t>ذكر المعرفة</w:t>
      </w:r>
      <w:bookmarkEnd w:id="492"/>
    </w:p>
    <w:p>
      <w:pPr>
        <w:pStyle w:val="BookText"/>
        <w:rPr/>
      </w:pPr>
      <w:r>
        <w:rPr>
          <w:rStyle w:val="FootnoteAnchor"/>
          <w:rtl w:val="true"/>
        </w:rPr>
        <w:footnoteReference w:id="14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ما وضع لشيء بعينه ،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بعينه ، فصل ، خرجت به النّكرة فإنّها موضوعة لشيء لا بعينه ، والمعرفة مصدر ، من عرفت الشيء عرفانا ، ووصف بها الاسم 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والمعارف خمسة أنواع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المضمرات وقد تقدّم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المبهمات وهي شيئان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الإشارة ، والموصولات ، وقد تقدّما أيضا </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 ، وهو شيئان معرّف بالنّداء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رجل ، ومعرّف باللام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 والمعرّف باللّام تكون اللّام فيه لتعريف الماهيّة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حيوان ناطق ، وتكون لتعريف الجنس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خير من المرأة أي جنس الرجل خير من جنس المرأة ، وتكون لتعريف استغراق الجنس وهي أن تدخل على جمع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الرِّجالُ قَوَّامُونَ عَلَى النِّساءِ</w:t>
      </w:r>
      <w:r>
        <w:rPr>
          <w:rFonts w:eastAsia="Amiri" w:cs="Amiri" w:ascii="Amiri" w:hAnsi="Amiri"/>
          <w:color w:val="111111"/>
          <w:sz w:val="28"/>
          <w:szCs w:val="28"/>
          <w:rtl w:val="true"/>
          <w:lang w:bidi="ar-SA"/>
        </w:rPr>
        <w:t>)</w:t>
      </w:r>
      <w:r>
        <w:rPr>
          <w:rStyle w:val="FootnoteAnchor"/>
          <w:rtl w:val="true"/>
        </w:rPr>
        <w:footnoteReference w:id="1425"/>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التي تصحّ أن تقع موقع كل </w:t>
      </w:r>
      <w:r>
        <w:rPr>
          <w:rStyle w:val="FootnoteAnchor"/>
          <w:rtl w:val="true"/>
        </w:rPr>
        <w:footnoteReference w:id="1426"/>
      </w:r>
      <w:r>
        <w:rPr>
          <w:rFonts w:ascii="Amiri" w:hAnsi="Amiri" w:eastAsia="Amiri" w:cs="Amiri"/>
          <w:color w:val="111111"/>
          <w:sz w:val="28"/>
          <w:sz w:val="28"/>
          <w:szCs w:val="28"/>
          <w:rtl w:val="true"/>
          <w:lang w:bidi="ar-SA"/>
        </w:rPr>
        <w:t xml:space="preserve">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قابل لصناعة الكتابة ، وتكون للعهد وهي لمعنيين ،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لمعهود في الخارج ، وهو أن يذكر منكورا ثم يعاد المنكور معرّفا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أَرْسَلْنا إِلى فِرْعَوْنَ رَسُولاً فَعَصى فِرْعَوْنُ الرَّسُولَ</w:t>
      </w:r>
      <w:r>
        <w:rPr>
          <w:rFonts w:eastAsia="Amiri" w:cs="Amiri" w:ascii="Amiri" w:hAnsi="Amiri"/>
          <w:color w:val="111111"/>
          <w:sz w:val="28"/>
          <w:szCs w:val="28"/>
          <w:rtl w:val="true"/>
          <w:lang w:bidi="ar-SA"/>
        </w:rPr>
        <w:t>)</w:t>
      </w:r>
      <w:r>
        <w:rPr>
          <w:rStyle w:val="FootnoteAnchor"/>
          <w:rtl w:val="true"/>
        </w:rPr>
        <w:footnoteReference w:id="14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لمعهود في الذهن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السوق ، وليس بينك وبين المخاطب سوق وجوديّ معهود ، وتكون بمعنى الذي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الضارب والمضروب وقد مرّ </w:t>
      </w:r>
      <w:r>
        <w:rPr>
          <w:rStyle w:val="FootnoteAnchor"/>
          <w:rtl w:val="true"/>
        </w:rPr>
        <w:footnoteReference w:id="1428"/>
      </w:r>
      <w:r>
        <w:rPr>
          <w:rFonts w:ascii="Amiri" w:hAnsi="Amiri" w:eastAsia="Amiri" w:cs="Amiri"/>
          <w:color w:val="111111"/>
          <w:sz w:val="28"/>
          <w:sz w:val="28"/>
          <w:szCs w:val="28"/>
          <w:rtl w:val="true"/>
          <w:lang w:bidi="ar-SA"/>
        </w:rPr>
        <w:t xml:space="preserve">وأمّا ألفاظ التوكيد ، فقد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تعريفها بالإضافة المنويّة إذ تقدير أجمعون ، أجمعهم </w:t>
      </w:r>
      <w:r>
        <w:rPr>
          <w:rStyle w:val="FootnoteAnchor"/>
          <w:rtl w:val="true"/>
        </w:rPr>
        <w:footnoteReference w:id="1429"/>
      </w:r>
      <w:r>
        <w:rPr>
          <w:rFonts w:ascii="Amiri" w:hAnsi="Amiri" w:eastAsia="Amiri" w:cs="Amiri"/>
          <w:color w:val="111111"/>
          <w:sz w:val="28"/>
          <w:sz w:val="28"/>
          <w:szCs w:val="28"/>
          <w:rtl w:val="true"/>
          <w:lang w:bidi="ar-SA"/>
        </w:rPr>
        <w:t xml:space="preserve">وأمّا عند </w:t>
      </w:r>
    </w:p>
    <w:p>
      <w:pPr>
        <w:pStyle w:val="BookText"/>
        <w:rPr/>
      </w:pPr>
      <w:r>
        <w:rPr>
          <w:rFonts w:ascii="Amiri" w:hAnsi="Amiri" w:eastAsia="Amiri" w:cs="Amiri"/>
          <w:color w:val="111111"/>
          <w:sz w:val="28"/>
          <w:sz w:val="28"/>
          <w:szCs w:val="28"/>
          <w:rtl w:val="true"/>
          <w:lang w:bidi="ar-SA"/>
        </w:rPr>
        <w:t xml:space="preserve">المحققين فتعريفها من قبيل تعريف علم الجنس كتعريف فعلان وأفعل ، وأسامة </w:t>
      </w:r>
      <w:r>
        <w:rPr>
          <w:rStyle w:val="FootnoteAnchor"/>
          <w:rtl w:val="true"/>
        </w:rPr>
        <w:footnoteReference w:id="1430"/>
      </w:r>
      <w:r>
        <w:rPr>
          <w:rFonts w:ascii="Amiri" w:hAnsi="Amiri" w:eastAsia="Amiri" w:cs="Amiri"/>
          <w:color w:val="111111"/>
          <w:sz w:val="28"/>
          <w:sz w:val="28"/>
          <w:szCs w:val="28"/>
          <w:rtl w:val="true"/>
          <w:lang w:bidi="ar-SA"/>
        </w:rPr>
        <w:t xml:space="preserve">فإنّ ألفاظ التواكيد موضوعة لماهيّة التواكيد ، وأمّا القول بالإضافة المنويّة فيلزم منه صرفها ولذلك عدل عنه </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w:t>
      </w:r>
      <w:r>
        <w:rPr>
          <w:rStyle w:val="FootnoteAnchor"/>
          <w:rtl w:val="true"/>
        </w:rPr>
        <w:footnoteReference w:id="1432"/>
      </w:r>
      <w:r>
        <w:rPr>
          <w:rFonts w:ascii="Amiri" w:hAnsi="Amiri" w:eastAsia="Amiri" w:cs="Amiri"/>
          <w:color w:val="111111"/>
          <w:sz w:val="28"/>
          <w:sz w:val="28"/>
          <w:szCs w:val="28"/>
          <w:rtl w:val="true"/>
          <w:lang w:bidi="ar-SA"/>
        </w:rPr>
        <w:t>وهو ما وضع لشيء بعينه غير متناول غيره بوضع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اسما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كزيد ، وكنية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كأبي عمر وأم كلثوم ، ولقبا ، كبطة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وينقسم </w:t>
      </w:r>
      <w:r>
        <w:rPr>
          <w:rStyle w:val="FootnoteAnchor"/>
          <w:rtl w:val="true"/>
        </w:rPr>
        <w:footnoteReference w:id="1433"/>
      </w:r>
      <w:r>
        <w:rPr>
          <w:rFonts w:ascii="Amiri" w:hAnsi="Amiri" w:eastAsia="Amiri" w:cs="Amiri"/>
          <w:color w:val="111111"/>
          <w:sz w:val="28"/>
          <w:sz w:val="28"/>
          <w:szCs w:val="28"/>
          <w:rtl w:val="true"/>
          <w:lang w:bidi="ar-SA"/>
        </w:rPr>
        <w:t xml:space="preserve">إلى مفرد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كزيد ، وإلى مركّب ، وهو إمّا جملة كتأبّط شرا ، وإمّا مزجيّ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كبعلبكّ وإمّا مضاف ومضاف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كعبد مناف ، وكالكنى </w:t>
      </w:r>
      <w:r>
        <w:rPr>
          <w:rStyle w:val="FootnoteAnchor"/>
          <w:rtl w:val="true"/>
        </w:rPr>
        <w:footnoteReference w:id="1434"/>
      </w:r>
      <w:r>
        <w:rPr>
          <w:rFonts w:ascii="Amiri" w:hAnsi="Amiri" w:eastAsia="Amiri" w:cs="Amiri"/>
          <w:color w:val="111111"/>
          <w:sz w:val="28"/>
          <w:sz w:val="28"/>
          <w:szCs w:val="28"/>
          <w:rtl w:val="true"/>
          <w:lang w:bidi="ar-SA"/>
        </w:rPr>
        <w:t xml:space="preserve">، وينقسم العلم أيضا ، إلى منقول وإلى مرتجل ، فالمنقول </w:t>
      </w:r>
      <w:r>
        <w:rPr>
          <w:rStyle w:val="FootnoteAnchor"/>
          <w:rtl w:val="true"/>
        </w:rPr>
        <w:footnoteReference w:id="1435"/>
      </w:r>
      <w:r>
        <w:rPr>
          <w:rFonts w:ascii="Amiri" w:hAnsi="Amiri" w:eastAsia="Amiri" w:cs="Amiri"/>
          <w:color w:val="111111"/>
          <w:sz w:val="28"/>
          <w:sz w:val="28"/>
          <w:szCs w:val="28"/>
          <w:rtl w:val="true"/>
          <w:lang w:bidi="ar-SA"/>
        </w:rPr>
        <w:t xml:space="preserve">هو ما نقل عن نكرة ، وصار علما بالنّقل لا بالوضع ، وهو إمّا منقول عن اسم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كثور أو عن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كفضل ، أو عن 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كمالك أو عن فعل </w:t>
      </w:r>
      <w:r>
        <w:rPr>
          <w:rStyle w:val="FootnoteAnchor"/>
          <w:rtl w:val="true"/>
        </w:rPr>
        <w:footnoteReference w:id="1436"/>
      </w:r>
      <w:r>
        <w:rPr>
          <w:rFonts w:ascii="Amiri" w:hAnsi="Amiri" w:eastAsia="Amiri" w:cs="Amiri"/>
          <w:color w:val="111111"/>
          <w:sz w:val="28"/>
          <w:sz w:val="28"/>
          <w:szCs w:val="28"/>
          <w:rtl w:val="true"/>
          <w:lang w:bidi="ar-SA"/>
        </w:rPr>
        <w:t xml:space="preserve">وهو إما ماض كشمّر قال الشاعر </w:t>
      </w:r>
      <w:r>
        <w:rPr>
          <w:rFonts w:eastAsia="Amiri" w:cs="Amiri" w:ascii="Amiri" w:hAnsi="Amiri"/>
          <w:color w:val="111111"/>
          <w:sz w:val="28"/>
          <w:szCs w:val="28"/>
          <w:rtl w:val="true"/>
          <w:lang w:bidi="ar-SA"/>
        </w:rPr>
        <w:t xml:space="preserve">: </w:t>
      </w:r>
      <w:r>
        <w:rPr>
          <w:rStyle w:val="FootnoteAnchor"/>
          <w:rtl w:val="true"/>
        </w:rPr>
        <w:footnoteReference w:id="1437"/>
      </w:r>
    </w:p>
    <w:p>
      <w:pPr>
        <w:pStyle w:val="BookText"/>
        <w:rPr/>
      </w:pPr>
      <w:r>
        <w:rPr>
          <w:rFonts w:ascii="Amiri" w:hAnsi="Amiri" w:eastAsia="Amiri" w:cs="Amiri"/>
          <w:color w:val="111111"/>
          <w:sz w:val="28"/>
          <w:sz w:val="28"/>
          <w:szCs w:val="28"/>
          <w:rtl w:val="true"/>
          <w:lang w:bidi="ar-SA"/>
        </w:rPr>
        <w:t>فهل أنا ماش بين شوط وحيّة</w:t>
      </w:r>
    </w:p>
    <w:p>
      <w:pPr>
        <w:pStyle w:val="BookText"/>
        <w:rPr/>
      </w:pPr>
      <w:r>
        <w:rPr>
          <w:rFonts w:ascii="Amiri" w:hAnsi="Amiri" w:eastAsia="Amiri" w:cs="Amiri"/>
          <w:color w:val="111111"/>
          <w:sz w:val="28"/>
          <w:sz w:val="28"/>
          <w:szCs w:val="28"/>
          <w:rtl w:val="true"/>
          <w:lang w:bidi="ar-SA"/>
        </w:rPr>
        <w:t xml:space="preserve">وورد من غير نسبة في إيضاح المفصل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وهل أنا لاق حيّ قيس بن شمّرا</w:t>
      </w:r>
    </w:p>
    <w:p>
      <w:pPr>
        <w:pStyle w:val="BookText"/>
        <w:rPr/>
      </w:pPr>
      <w:r>
        <w:rPr>
          <w:rFonts w:ascii="Amiri" w:hAnsi="Amiri" w:eastAsia="Amiri" w:cs="Amiri"/>
          <w:color w:val="111111"/>
          <w:sz w:val="28"/>
          <w:sz w:val="28"/>
          <w:szCs w:val="28"/>
          <w:rtl w:val="true"/>
          <w:lang w:bidi="ar-SA"/>
        </w:rPr>
        <w:t xml:space="preserve">أو إمّا مضارع كيزيد ، وإما أمر كأطرقا </w:t>
      </w:r>
      <w:r>
        <w:rPr>
          <w:rStyle w:val="FootnoteAnchor"/>
          <w:rtl w:val="true"/>
        </w:rPr>
        <w:footnoteReference w:id="1438"/>
      </w:r>
      <w:r>
        <w:rPr>
          <w:rFonts w:ascii="Amiri" w:hAnsi="Amiri" w:eastAsia="Amiri" w:cs="Amiri"/>
          <w:color w:val="111111"/>
          <w:sz w:val="28"/>
          <w:sz w:val="28"/>
          <w:szCs w:val="28"/>
          <w:rtl w:val="true"/>
          <w:lang w:bidi="ar-SA"/>
        </w:rPr>
        <w:t xml:space="preserve">قال الشّاعر </w:t>
      </w:r>
      <w:r>
        <w:rPr>
          <w:rFonts w:eastAsia="Amiri" w:cs="Amiri" w:ascii="Amiri" w:hAnsi="Amiri"/>
          <w:color w:val="111111"/>
          <w:sz w:val="28"/>
          <w:szCs w:val="28"/>
          <w:rtl w:val="true"/>
          <w:lang w:bidi="ar-SA"/>
        </w:rPr>
        <w:t xml:space="preserve">: </w:t>
      </w:r>
      <w:r>
        <w:rPr>
          <w:rStyle w:val="FootnoteAnchor"/>
          <w:rtl w:val="true"/>
        </w:rPr>
        <w:footnoteReference w:id="1439"/>
      </w:r>
    </w:p>
    <w:p>
      <w:pPr>
        <w:pStyle w:val="BookText"/>
        <w:rPr/>
      </w:pPr>
      <w:r>
        <w:rPr>
          <w:rFonts w:ascii="Amiri" w:hAnsi="Amiri" w:eastAsia="Amiri" w:cs="Amiri"/>
          <w:color w:val="111111"/>
          <w:sz w:val="28"/>
          <w:sz w:val="28"/>
          <w:szCs w:val="28"/>
          <w:rtl w:val="true"/>
          <w:lang w:bidi="ar-SA"/>
        </w:rPr>
        <w:t>الثّمام نبت يحشى به فرج البيوت وأراد به ما يستر جوانب الخيمة والعصي جمع عصا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أطرقا باليات الخيام</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الثّمام وإلّا العصيّ </w:t>
      </w:r>
    </w:p>
    <w:p>
      <w:pPr>
        <w:pStyle w:val="BookText"/>
        <w:rPr/>
      </w:pPr>
      <w:r>
        <w:rPr>
          <w:rFonts w:ascii="IRNazanin" w:hAnsi="IRNazanin" w:eastAsia="IRNazanin"/>
          <w:color w:val="111111"/>
          <w:sz w:val="28"/>
          <w:sz w:val="28"/>
          <w:szCs w:val="28"/>
          <w:rtl w:val="true"/>
          <w:lang w:bidi="fa-IR"/>
        </w:rPr>
        <w:t xml:space="preserve">والمرتجل </w:t>
      </w:r>
      <w:r>
        <w:rPr>
          <w:rStyle w:val="FootnoteAnchor"/>
          <w:rtl w:val="true"/>
        </w:rPr>
        <w:footnoteReference w:id="1440"/>
      </w:r>
      <w:r>
        <w:rPr>
          <w:rFonts w:ascii="Amiri" w:hAnsi="Amiri" w:eastAsia="Amiri" w:cs="Amiri"/>
          <w:color w:val="111111"/>
          <w:sz w:val="28"/>
          <w:sz w:val="28"/>
          <w:szCs w:val="28"/>
          <w:rtl w:val="true"/>
          <w:lang w:bidi="ar-SA"/>
        </w:rPr>
        <w:t xml:space="preserve">ما وضع للشيء أولا من غير نقل ولا اشتقاق ، بل اخترع عند التسميّة ، وهو إمّا قياسيّ ، وهو ما كان جاريا على قياس كلامهم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غطفان وعمران فإنّ نظيرهما في كلامهم نزوان وسرحان ، وإمّا غير قياسيّ وهو ما كان مخالفا للأصول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محبب وموهب وحيوة </w:t>
      </w:r>
      <w:r>
        <w:rPr>
          <w:rStyle w:val="FootnoteAnchor"/>
          <w:rtl w:val="true"/>
        </w:rPr>
        <w:footnoteReference w:id="1441"/>
      </w:r>
      <w:r>
        <w:rPr>
          <w:rFonts w:ascii="Amiri" w:hAnsi="Amiri" w:eastAsia="Amiri" w:cs="Amiri"/>
          <w:color w:val="111111"/>
          <w:sz w:val="28"/>
          <w:sz w:val="28"/>
          <w:szCs w:val="28"/>
          <w:rtl w:val="true"/>
          <w:lang w:bidi="ar-SA"/>
        </w:rPr>
        <w:t xml:space="preserve">أمّا محبب فقياسه الإدغام لأنّ كلّ مفعل عينه ولامه من جنس واحد يجب إدغامه ، فكان يجب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 ، وأمّا موهب فكان ينبغي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الهاء لأنّه ليس في كلامهم مفعل بفتح العين ، فاؤه واو ، وأمّا حيوة فكان ينبغي أن يقال حيّة ، لأنّ الواو والياء إذا اجتمعا وسبقت إحداهما بالسكون قلبت الواو ياء وأدغمت الياء في الياء </w:t>
      </w:r>
      <w:r>
        <w:rPr>
          <w:rStyle w:val="FootnoteAnchor"/>
          <w:rtl w:val="true"/>
        </w:rPr>
        <w:footnoteReference w:id="1442"/>
      </w:r>
      <w:r>
        <w:rPr>
          <w:rFonts w:ascii="Amiri" w:hAnsi="Amiri" w:eastAsia="Amiri" w:cs="Amiri"/>
          <w:color w:val="111111"/>
          <w:sz w:val="28"/>
          <w:sz w:val="28"/>
          <w:szCs w:val="28"/>
          <w:rtl w:val="true"/>
          <w:lang w:bidi="ar-SA"/>
        </w:rPr>
        <w:t>والمرتجل مشتق من الرّجل كأنّه قال ذلك وهو قائم على رجله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المضاف إضافة معنويّة إلى المضمر ، أو إلى المبهم أو إلى المعرّف باللام أو إلى العلم وقد تقدّم أيضا </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أقسام العلم ، أعلام الأجناس وهي أنواع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جنس الوحوش ، وعلم المعاني ، وعلم الأوقات ، وعلم الأعداد ، وعلم الكنى ، وعلم الأوزان</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علم جنس الوحوش </w:t>
      </w:r>
      <w:r>
        <w:rPr>
          <w:rStyle w:val="FootnoteAnchor"/>
          <w:rtl w:val="true"/>
        </w:rPr>
        <w:footnoteReference w:id="14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فالعلم فيه لحقيقة الجنس ، فإنّ الوحوش التي جنسها واحد ، لمّا كانت صورها غير متميّزة بحيث يستحضرها الرائي ، نزّل الجنس بمنزلة الواحد من الأناسي فكأنّ الواضع أخذ الجنس دفعة وسمّاه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أسامة وأبي الحرث ، فإنّ كلّا منهما علم لجنس الأسد ، وثعالة وأبي الحصين علم لجنس الثّعلب ، وقد يكون كنيته اسمه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براقش ، لطائر يتلوّن وابن دأية للغراب ، وإنّما حكم لها بالعلمية لانتصاب الحال عنها ، وامتناع دخول لام التعريف عليها وامتناع إضافتها </w:t>
      </w:r>
      <w:r>
        <w:rPr>
          <w:rStyle w:val="FootnoteAnchor"/>
          <w:rtl w:val="true"/>
        </w:rPr>
        <w:footnoteReference w:id="1445"/>
      </w:r>
      <w:r>
        <w:rPr>
          <w:rFonts w:ascii="Amiri" w:hAnsi="Amiri" w:eastAsia="Amiri" w:cs="Amiri"/>
          <w:color w:val="111111"/>
          <w:sz w:val="28"/>
          <w:sz w:val="28"/>
          <w:szCs w:val="28"/>
          <w:rtl w:val="true"/>
          <w:lang w:bidi="ar-SA"/>
        </w:rPr>
        <w:t xml:space="preserve">وقد يفرّق بين علم الجنس ، وعلم الشخص بأنّ علم الجنس </w:t>
      </w:r>
    </w:p>
    <w:p>
      <w:pPr>
        <w:pStyle w:val="BookText"/>
        <w:rPr/>
      </w:pPr>
      <w:r>
        <w:rPr>
          <w:rFonts w:ascii="Amiri" w:hAnsi="Amiri" w:eastAsia="Amiri" w:cs="Amiri"/>
          <w:color w:val="111111"/>
          <w:sz w:val="28"/>
          <w:sz w:val="28"/>
          <w:szCs w:val="28"/>
          <w:rtl w:val="true"/>
          <w:lang w:bidi="ar-SA"/>
        </w:rPr>
        <w:t xml:space="preserve">يقال على الواحد والكثير بلفظ واحد ، فتقول عن أسد واحد وعن جماعة أسود ، هذا أسامة مقبلا ، وعلم الشخص ليس كذلك ، فإنّك تقول عن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 وعن الجماعة زيدون ، والفرق بين علم الجنس واسم الجنس ، أنّ اسم الجنس يقبل اللّام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وعسل وماء ، والأسد والعسل والماء ، وعلم الجنس لا يقبل اللّام فلا يقال الأسامة </w:t>
      </w:r>
      <w:r>
        <w:rPr>
          <w:rStyle w:val="FootnoteAnchor"/>
          <w:rtl w:val="true"/>
        </w:rPr>
        <w:footnoteReference w:id="1446"/>
      </w:r>
      <w:r>
        <w:rPr>
          <w:rFonts w:ascii="Amiri" w:hAnsi="Amiri" w:eastAsia="Amiri" w:cs="Amiri"/>
          <w:color w:val="111111"/>
          <w:sz w:val="28"/>
          <w:sz w:val="28"/>
          <w:szCs w:val="28"/>
          <w:rtl w:val="true"/>
          <w:lang w:bidi="ar-SA"/>
        </w:rPr>
        <w:t>وكذلك ما أشبهه من أعلام المعاني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علم المعاني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كما وضعوا للأعيان أعلاما وضعوا للمعاني أيضا أعلاما </w:t>
      </w:r>
      <w:r>
        <w:rPr>
          <w:rStyle w:val="FootnoteAnchor"/>
          <w:rtl w:val="true"/>
        </w:rPr>
        <w:footnoteReference w:id="1447"/>
      </w:r>
      <w:r>
        <w:rPr>
          <w:rFonts w:ascii="Amiri" w:hAnsi="Amiri" w:eastAsia="Amiri" w:cs="Amiri"/>
          <w:color w:val="111111"/>
          <w:sz w:val="28"/>
          <w:sz w:val="28"/>
          <w:szCs w:val="28"/>
          <w:rtl w:val="true"/>
          <w:lang w:bidi="ar-SA"/>
        </w:rPr>
        <w:t xml:space="preserve">وهي في المعنى بمنزلتها في باب أسامة ، فسمّوا التسبيح سبحان </w:t>
      </w:r>
      <w:r>
        <w:rPr>
          <w:rStyle w:val="FootnoteAnchor"/>
          <w:rtl w:val="true"/>
        </w:rPr>
        <w:footnoteReference w:id="1448"/>
      </w:r>
      <w:r>
        <w:rPr>
          <w:rFonts w:ascii="Amiri" w:hAnsi="Amiri" w:eastAsia="Amiri" w:cs="Amiri"/>
          <w:color w:val="111111"/>
          <w:sz w:val="28"/>
          <w:sz w:val="28"/>
          <w:szCs w:val="28"/>
          <w:rtl w:val="true"/>
          <w:lang w:bidi="ar-SA"/>
        </w:rPr>
        <w:t xml:space="preserve">، والذي يدلّ على أنه علم أنّه ورد في كلامهم غير منصرف ، ومنه قول الشّاعر </w:t>
      </w:r>
      <w:r>
        <w:rPr>
          <w:rFonts w:eastAsia="Amiri" w:cs="Amiri" w:ascii="Amiri" w:hAnsi="Amiri"/>
          <w:color w:val="111111"/>
          <w:sz w:val="28"/>
          <w:szCs w:val="28"/>
          <w:rtl w:val="true"/>
          <w:lang w:bidi="ar-SA"/>
        </w:rPr>
        <w:t xml:space="preserve">: </w:t>
      </w:r>
      <w:r>
        <w:rPr>
          <w:rStyle w:val="FootnoteAnchor"/>
          <w:rtl w:val="true"/>
        </w:rPr>
        <w:footnoteReference w:id="1449"/>
      </w:r>
    </w:p>
    <w:p>
      <w:pPr>
        <w:pStyle w:val="BookText"/>
        <w:rPr/>
      </w:pPr>
      <w:r>
        <w:rPr>
          <w:rFonts w:ascii="Amiri" w:hAnsi="Amiri" w:eastAsia="Amiri" w:cs="Amiri"/>
          <w:color w:val="111111"/>
          <w:sz w:val="28"/>
          <w:sz w:val="28"/>
          <w:szCs w:val="28"/>
          <w:rtl w:val="true"/>
          <w:lang w:bidi="ar-SA"/>
        </w:rPr>
        <w:t>أقول لمّا جاءني فخره</w:t>
      </w:r>
    </w:p>
    <w:p>
      <w:pPr>
        <w:pStyle w:val="BookText"/>
        <w:rPr/>
      </w:pPr>
      <w:r>
        <w:rPr>
          <w:rFonts w:ascii="Amiri" w:hAnsi="Amiri" w:eastAsia="Amiri" w:cs="Amiri"/>
          <w:color w:val="111111"/>
          <w:sz w:val="28"/>
          <w:sz w:val="28"/>
          <w:szCs w:val="28"/>
          <w:rtl w:val="true"/>
          <w:lang w:bidi="ar-SA"/>
        </w:rPr>
        <w:t xml:space="preserve">ورد في ديوانه ،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منسوبا له في الكتاب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وأمالي ابن الشجري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 المفصل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وخزانة الأدب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من غير نسبة في المقتضب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ومجالس ثعلب القسم الأول ،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والخصائص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وهمع الهوامع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سبحان من علقمة الفاخر</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فيه غير الألف والنون ، وهما في غير الصفات لا يمنعان الصرف إلّا مع العلميّة ، فوجب القول بها ، ولا يستعمل سبحان علما إلّا قليلا فإن أكثر استعماله مضافا </w:t>
      </w:r>
      <w:r>
        <w:rPr>
          <w:rStyle w:val="FootnoteAnchor"/>
          <w:rtl w:val="true"/>
        </w:rPr>
        <w:footnoteReference w:id="1450"/>
      </w:r>
      <w:r>
        <w:rPr>
          <w:rFonts w:ascii="Amiri" w:hAnsi="Amiri" w:eastAsia="Amiri" w:cs="Amiri"/>
          <w:color w:val="111111"/>
          <w:sz w:val="28"/>
          <w:sz w:val="28"/>
          <w:szCs w:val="28"/>
          <w:rtl w:val="true"/>
          <w:lang w:bidi="ar-SA"/>
        </w:rPr>
        <w:t xml:space="preserve">، وإذا كان مضافا فلا يكون علما ، لأنّ الأعلام لا تضاف وهي أعلام ، لأنّ المعرفة لا تضاف ، وسمّوا الفجور بفجار ، والذي يدلّ على أن فجار علم ، أنّ مدلوله الفجرة ، والفجرة معرفة فوجب أن يكون فجار معرفة ، وتعريفه إنّما هو بالقصد ، والقصد هو الذي نعني </w:t>
      </w:r>
      <w:r>
        <w:rPr>
          <w:rStyle w:val="FootnoteAnchor"/>
          <w:rtl w:val="true"/>
        </w:rPr>
        <w:footnoteReference w:id="1451"/>
      </w:r>
      <w:r>
        <w:rPr>
          <w:rFonts w:ascii="Amiri" w:hAnsi="Amiri" w:eastAsia="Amiri" w:cs="Amiri"/>
          <w:color w:val="111111"/>
          <w:sz w:val="28"/>
          <w:sz w:val="28"/>
          <w:szCs w:val="28"/>
          <w:rtl w:val="true"/>
          <w:lang w:bidi="ar-SA"/>
        </w:rPr>
        <w:t xml:space="preserve">به العلميّة </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وأمّا علم الأوقات </w:t>
      </w:r>
      <w:r>
        <w:rPr>
          <w:rStyle w:val="FootnoteAnchor"/>
          <w:rtl w:val="true"/>
        </w:rPr>
        <w:footnoteReference w:id="14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وضعوا لها أعلاما كما وضعوا للمعاني </w:t>
      </w:r>
      <w:r>
        <w:rPr>
          <w:rStyle w:val="FootnoteAnchor"/>
          <w:rtl w:val="true"/>
        </w:rPr>
        <w:footnoteReference w:id="1454"/>
      </w: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غدوة وهي علم على ما بين صلاة الغداة وطلوع الشمس ، والدليل على علميّتها ، ورودها في كلامهم غير منصرفة ، وليس فيها غير التأنيث بالتاء ، وهو لا يمنع إلّا مع العلميّة وذلك إذا أردت غدوة يومك المعيّن ، وتستعمل معرفة ونكرة ، وإذا نكّرت وعرّفت ، عرّفت باللّام كغيرها ، ويتصرّف فيها بمعنى أنها تستعمل ظرفا وغير ظرف </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أعلام الأوقات سحر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علم لقبيل الصبح إذا أردت به سحر ليلتك والذي يدلّ على أنه علم وروده غير منصرف كقولك ؛ خرجت يوم الجمعة سحر ، غير منصرف وليس فيه ما يمنعه الصّرف ، غير أن تقدّر فيه العلميّة مع العدل عن الألف واللّام </w:t>
      </w:r>
      <w:r>
        <w:rPr>
          <w:rStyle w:val="FootnoteAnchor"/>
          <w:rtl w:val="true"/>
        </w:rPr>
        <w:footnoteReference w:id="1456"/>
      </w:r>
      <w:r>
        <w:rPr>
          <w:rFonts w:ascii="Amiri" w:hAnsi="Amiri" w:eastAsia="Amiri" w:cs="Amiri"/>
          <w:color w:val="111111"/>
          <w:sz w:val="28"/>
          <w:sz w:val="28"/>
          <w:szCs w:val="28"/>
          <w:rtl w:val="true"/>
          <w:lang w:bidi="ar-SA"/>
        </w:rPr>
        <w:t xml:space="preserve">وورد معرفة ونكرة ، وإذا نكّر صرف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آلَ لُوطٍ نَجَّيْناهُمْ بِسَحَرٍ نِعْمَةً مِنْ عِنْدِنا</w:t>
      </w:r>
      <w:r>
        <w:rPr>
          <w:rFonts w:eastAsia="Amiri" w:cs="Amiri" w:ascii="Amiri" w:hAnsi="Amiri"/>
          <w:color w:val="111111"/>
          <w:sz w:val="28"/>
          <w:szCs w:val="28"/>
          <w:rtl w:val="true"/>
          <w:lang w:bidi="ar-SA"/>
        </w:rPr>
        <w:t>)</w:t>
      </w:r>
      <w:r>
        <w:rPr>
          <w:rStyle w:val="FootnoteAnchor"/>
          <w:rtl w:val="true"/>
        </w:rPr>
        <w:footnoteReference w:id="1457"/>
      </w:r>
      <w:r>
        <w:rPr>
          <w:rFonts w:ascii="Amiri" w:hAnsi="Amiri" w:eastAsia="Amiri" w:cs="Amiri"/>
          <w:color w:val="111111"/>
          <w:sz w:val="28"/>
          <w:sz w:val="28"/>
          <w:szCs w:val="28"/>
          <w:rtl w:val="true"/>
          <w:lang w:bidi="ar-SA"/>
        </w:rPr>
        <w:t>وحينئذ لا يكون لسحر ليلتك على التعيين لتنكّره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بكرة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ووردت غير منصرفة للتأنيث والعلميّة ، كما قيل في غدوة إلّا أن بكرة لا تكون إلا ظرفا فلا يتصرّف فيها كما تصرّف في غدوة </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علم الأعداد </w:t>
      </w:r>
      <w:r>
        <w:rPr>
          <w:rFonts w:eastAsia="IRNazanin" w:cs="IRNazanin"/>
          <w:color w:val="111111"/>
          <w:sz w:val="28"/>
          <w:szCs w:val="28"/>
          <w:rtl w:val="true"/>
          <w:lang w:bidi="fa-IR"/>
        </w:rPr>
        <w:t xml:space="preserve">: </w:t>
      </w:r>
      <w:r>
        <w:rPr>
          <w:rStyle w:val="FootnoteAnchor"/>
          <w:rtl w:val="true"/>
        </w:rPr>
        <w:footnoteReference w:id="1459"/>
      </w:r>
      <w:r>
        <w:rPr>
          <w:rFonts w:ascii="Amiri" w:hAnsi="Amiri" w:eastAsia="Amiri" w:cs="Amiri"/>
          <w:color w:val="111111"/>
          <w:sz w:val="28"/>
          <w:sz w:val="28"/>
          <w:szCs w:val="28"/>
          <w:rtl w:val="true"/>
          <w:lang w:bidi="ar-SA"/>
        </w:rPr>
        <w:t xml:space="preserve">فالقول بعلميّتها ضعيف ، لأنهم صاروا إليه لئلّا يبتدئوا بنكرة غير مخصصّة ، وذلك في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ضعف ثلاثة وأربعة نصف ثمانية ، فستة ونحوها في مثل ذلك مبتدأ ، فلو لم تجعل علما للزم منع الصّرف بعلة واحدة ، ولزم الابتداء بالنكرة من غير تخصيص ، وأيضا فالمراد بها كلّ ستة ، فلو لا أنّها علم للزم استعمال مفرد النكرة في الإثبات للعموم ، ووجه ضعفه أنه يؤدي إلى أن تكون أسماء الأجناس كلها أعلاما ، إذ ما من نكرة إلّا ويصلح استعمالها كذلك مثل رجل </w:t>
      </w:r>
    </w:p>
    <w:p>
      <w:pPr>
        <w:pStyle w:val="BookText"/>
        <w:rPr/>
      </w:pPr>
      <w:r>
        <w:rPr>
          <w:rFonts w:ascii="Amiri" w:hAnsi="Amiri" w:eastAsia="Amiri" w:cs="Amiri"/>
          <w:color w:val="111111"/>
          <w:sz w:val="28"/>
          <w:sz w:val="28"/>
          <w:szCs w:val="28"/>
          <w:rtl w:val="true"/>
          <w:lang w:bidi="ar-SA"/>
        </w:rPr>
        <w:t xml:space="preserve">خير من امرأة ، وهو باطل </w:t>
      </w:r>
      <w:r>
        <w:rPr>
          <w:rStyle w:val="FootnoteAnchor"/>
          <w:rtl w:val="true"/>
        </w:rPr>
        <w:footnoteReference w:id="1460"/>
      </w:r>
      <w:r>
        <w:rPr>
          <w:rFonts w:ascii="Amiri" w:hAnsi="Amiri" w:eastAsia="Amiri" w:cs="Amiri"/>
          <w:color w:val="111111"/>
          <w:sz w:val="28"/>
          <w:sz w:val="28"/>
          <w:szCs w:val="28"/>
          <w:rtl w:val="true"/>
          <w:lang w:bidi="ar-SA"/>
        </w:rPr>
        <w:t xml:space="preserve">والأولى أن يقال في أعلام ، الأعداد إنّها نكرات لا أعلام وإنّما جاز الابتداء بها على تقدير حذف المضاف ، ويكون المضاف المقدّر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وشبهه ، بحيث يكون التقدير ، كلّ ستّة ضعف ثلاثة ، كما في كلّ نكرة قامت قرينة على أن حكمها غير مختص في جنسها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تمرة خير من جرادة لكونه بمعنى كلّ تمرة ، بناء على أنّ الخيريّة ليست مخصوصة بتمرة واحدة </w:t>
      </w:r>
      <w:r>
        <w:rPr>
          <w:rStyle w:val="FootnoteAnchor"/>
          <w:rtl w:val="true"/>
        </w:rPr>
        <w:footnoteReference w:id="1461"/>
      </w:r>
      <w:r>
        <w:rPr>
          <w:rFonts w:ascii="Amiri" w:hAnsi="Amiri" w:eastAsia="Amiri" w:cs="Amiri"/>
          <w:color w:val="111111"/>
          <w:sz w:val="28"/>
          <w:sz w:val="28"/>
          <w:szCs w:val="28"/>
          <w:rtl w:val="true"/>
          <w:lang w:bidi="ar-SA"/>
        </w:rPr>
        <w:t xml:space="preserve">والمحققون من المتأخرين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أن يقال إنّ أعلام الأعداد أعلام لماهيّاتها </w:t>
      </w:r>
      <w:r>
        <w:rPr>
          <w:rStyle w:val="FootnoteAnchor"/>
          <w:rtl w:val="true"/>
        </w:rPr>
        <w:footnoteReference w:id="1462"/>
      </w:r>
      <w:r>
        <w:rPr>
          <w:rFonts w:ascii="Amiri" w:hAnsi="Amiri" w:eastAsia="Amiri" w:cs="Amiri"/>
          <w:color w:val="111111"/>
          <w:sz w:val="28"/>
          <w:sz w:val="28"/>
          <w:szCs w:val="28"/>
          <w:rtl w:val="true"/>
          <w:lang w:bidi="ar-SA"/>
        </w:rPr>
        <w:t>لأنّها من أعلام الجنس التي هي أعلام لماهيّاتها المخصوصة الغير المتناولة لغيرها ، والماهيّة لا تقدّر بالكلّ ولا توصف به ، لأنّه شيء واحد ، وحينئذ لا يلزم الابتداء بنكرة ، ولا منع الصّرف بعلّة واحدة ، ولا عموم النكرة في الإثبات ، لكونها أعلاما للماهيّات على ما ذكر آنفا فالقول بعلميتها حينئذ هو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علم الكنى </w:t>
      </w:r>
      <w:r>
        <w:rPr>
          <w:rStyle w:val="FootnoteAnchor"/>
          <w:rtl w:val="true"/>
        </w:rPr>
        <w:footnoteReference w:id="14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 ما يكنى به عن أعلام الأناسي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وفلانة وأبو فلان وأمّ فلان ، والدليل على علميته امتناع إضافته ، وامتناع دخول لام التعريف عليه ، إلّا أنّ وضعه ليس كوضع العلم الشخصي في الدلالة على مسمّى معيّن بل كوضع العلم الجنسي ، لإطلاقه كناية على كلّ علم ، ومدلوله الاسم لا نفس المسمّى ، ومنه ما يكنى به عن البهائم ، لكن يلزمه اللّام لنقصانه عن علم الأناسي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الفلان والفلانة </w:t>
      </w:r>
      <w:r>
        <w:rPr>
          <w:rStyle w:val="FootnoteAnchor"/>
          <w:rtl w:val="true"/>
        </w:rPr>
        <w:footnoteReference w:id="1464"/>
      </w:r>
      <w:r>
        <w:rPr>
          <w:rFonts w:ascii="Amiri" w:hAnsi="Amiri" w:eastAsia="Amiri" w:cs="Amiri"/>
          <w:color w:val="111111"/>
          <w:sz w:val="28"/>
          <w:sz w:val="28"/>
          <w:szCs w:val="28"/>
          <w:rtl w:val="true"/>
          <w:lang w:bidi="ar-SA"/>
        </w:rPr>
        <w:t xml:space="preserve">وأمّا هن وهنة فليسا كنايتين عن الأعلام على الأصحّ وإنّما يكنى بهما عن أسماء الأجناس </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علم الأوزان </w:t>
      </w:r>
      <w:r>
        <w:rPr>
          <w:rStyle w:val="FootnoteAnchor"/>
          <w:rtl w:val="true"/>
        </w:rPr>
        <w:footnoteReference w:id="14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علم الأمثلة التي توزن بها الكلم ، فهي إنّما وقعت </w:t>
      </w:r>
    </w:p>
    <w:p>
      <w:pPr>
        <w:pStyle w:val="BookText"/>
        <w:rPr/>
      </w:pPr>
      <w:r>
        <w:rPr>
          <w:rFonts w:ascii="Amiri" w:hAnsi="Amiri" w:eastAsia="Amiri" w:cs="Amiri"/>
          <w:color w:val="111111"/>
          <w:sz w:val="28"/>
          <w:sz w:val="28"/>
          <w:szCs w:val="28"/>
          <w:rtl w:val="true"/>
          <w:lang w:bidi="ar-SA"/>
        </w:rPr>
        <w:t xml:space="preserve">في اصطلاح النحويين ، فإنّهم وضعوها </w:t>
      </w:r>
      <w:r>
        <w:rPr>
          <w:rStyle w:val="FootnoteAnchor"/>
          <w:rtl w:val="true"/>
        </w:rPr>
        <w:footnoteReference w:id="1467"/>
      </w:r>
      <w:r>
        <w:rPr>
          <w:rFonts w:ascii="Amiri" w:hAnsi="Amiri" w:eastAsia="Amiri" w:cs="Amiri"/>
          <w:color w:val="111111"/>
          <w:sz w:val="28"/>
          <w:sz w:val="28"/>
          <w:szCs w:val="28"/>
          <w:rtl w:val="true"/>
          <w:lang w:bidi="ar-SA"/>
        </w:rPr>
        <w:t xml:space="preserve">أعلاما لماهيّات الأوزان المعهودة ، وهذه الأعلام تنقسم إلى أمثلة تختصّ بوزن الأفعال نحو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 ويفعل مستقبل ، وإلى أمثلة لا تختصّ بالأفعال سواء كانت للأسماء وحدها ، أولها وللأفعال نحو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فعلان الذي مؤنّثة فعلى وأفعل ، صفة لا ينصرف ، أمّا الأمثلة المختصّة بوزن الأفعال ، فحكمها حكم موزونها ، بحيث إن كان الموزون معربا كان المثال معربا ، وإن كان الموزون مبنيا كان المثال مبنيّا </w:t>
      </w:r>
      <w:r>
        <w:rPr>
          <w:rStyle w:val="FootnoteAnchor"/>
          <w:rtl w:val="true"/>
        </w:rPr>
        <w:footnoteReference w:id="1468"/>
      </w:r>
      <w:r>
        <w:rPr>
          <w:rFonts w:ascii="Amiri" w:hAnsi="Amiri" w:eastAsia="Amiri" w:cs="Amiri"/>
          <w:color w:val="111111"/>
          <w:sz w:val="28"/>
          <w:sz w:val="28"/>
          <w:szCs w:val="28"/>
          <w:rtl w:val="true"/>
          <w:lang w:bidi="ar-SA"/>
        </w:rPr>
        <w:t xml:space="preserve">وأمّا الأمثلة الغير المختصّة بالأفعال ففيها مذهبان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اختيار الأكثر أن يجعل حكم المثال حكم نفسه لا حكم موزونه ، بحيث إن كان في المثال ما يمنع من الصّرف منع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يجعل حكمه حكم موزونه </w:t>
      </w:r>
      <w:r>
        <w:rPr>
          <w:rStyle w:val="FootnoteAnchor"/>
          <w:rtl w:val="true"/>
        </w:rPr>
        <w:footnoteReference w:id="1469"/>
      </w:r>
      <w:r>
        <w:rPr>
          <w:rFonts w:ascii="Amiri" w:hAnsi="Amiri" w:eastAsia="Amiri" w:cs="Amiri"/>
          <w:color w:val="111111"/>
          <w:sz w:val="28"/>
          <w:sz w:val="28"/>
          <w:szCs w:val="28"/>
          <w:rtl w:val="true"/>
          <w:lang w:bidi="ar-SA"/>
        </w:rPr>
        <w:t xml:space="preserve">كما قيل في الأمثلة المختصّة بالأفعال ، فعلى الأول وهو أن يجعل حكم المثال حكم نفسه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وزن قائمة فاعلة فلا يصرف المثال الذي هو فاعلة ، للعلميّة والتأنيث ، وعلى الثاني ، وهو أن يجعل حكم المثال حكم موزونه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وزن قائمة فاعلة مصروفا ، لأنّ موزونه أعني قائمة مصروف </w:t>
      </w:r>
      <w:r>
        <w:rPr>
          <w:rStyle w:val="FootnoteAnchor"/>
          <w:rtl w:val="true"/>
        </w:rPr>
        <w:footnoteReference w:id="1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أقسام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الأعلام التي تدخلها لام التعريف </w:t>
      </w:r>
      <w:r>
        <w:rPr>
          <w:rStyle w:val="FootnoteAnchor"/>
          <w:rtl w:val="true"/>
        </w:rPr>
        <w:footnoteReference w:id="1471"/>
      </w:r>
      <w:r>
        <w:rPr>
          <w:rFonts w:ascii="Amiri" w:hAnsi="Amiri" w:eastAsia="Amiri" w:cs="Amiri"/>
          <w:color w:val="111111"/>
          <w:sz w:val="28"/>
          <w:sz w:val="28"/>
          <w:szCs w:val="28"/>
          <w:rtl w:val="true"/>
          <w:lang w:bidi="ar-SA"/>
        </w:rPr>
        <w:t xml:space="preserve">وهي على ضربين </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يلزمه اللّام </w:t>
      </w:r>
      <w:r>
        <w:rPr>
          <w:rStyle w:val="FootnoteAnchor"/>
          <w:rtl w:val="true"/>
        </w:rPr>
        <w:footnoteReference w:id="1472"/>
      </w:r>
      <w:r>
        <w:rPr>
          <w:rFonts w:ascii="Amiri" w:hAnsi="Amiri" w:eastAsia="Amiri" w:cs="Amiri"/>
          <w:color w:val="111111"/>
          <w:sz w:val="28"/>
          <w:sz w:val="28"/>
          <w:szCs w:val="28"/>
          <w:rtl w:val="true"/>
          <w:lang w:bidi="ar-SA"/>
        </w:rPr>
        <w:t xml:space="preserve">وهو كلّ اسم ليس بصفة ولا مصدر سمّي باللام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النجم للثّريّا والدّبران </w:t>
      </w:r>
      <w:r>
        <w:rPr>
          <w:rStyle w:val="FootnoteAnchor"/>
          <w:rtl w:val="true"/>
        </w:rPr>
        <w:footnoteReference w:id="1473"/>
      </w:r>
      <w:r>
        <w:rPr>
          <w:rFonts w:ascii="Amiri" w:hAnsi="Amiri" w:eastAsia="Amiri" w:cs="Amiri"/>
          <w:color w:val="111111"/>
          <w:sz w:val="28"/>
          <w:sz w:val="28"/>
          <w:szCs w:val="28"/>
          <w:rtl w:val="true"/>
          <w:lang w:bidi="ar-SA"/>
        </w:rPr>
        <w:t xml:space="preserve">، أو غلبت عليه اللّام نحو الصّعق لخويلد بن نفيل </w:t>
      </w:r>
      <w:r>
        <w:rPr>
          <w:rStyle w:val="FootnoteAnchor"/>
          <w:rtl w:val="true"/>
        </w:rPr>
        <w:footnoteReference w:id="14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اشترط أن لا يكون صفة ولا مصدرا لأن العلم إذا كان صفة أو مصدرا لم يكن </w:t>
      </w:r>
      <w:bookmarkStart w:id="493" w:name="pg14482_156268"/>
    </w:p>
    <w:p>
      <w:pPr>
        <w:pStyle w:val="BookText"/>
        <w:rPr/>
      </w:pPr>
      <w:bookmarkEnd w:id="493"/>
      <w:r>
        <w:rPr>
          <w:rFonts w:ascii="Amiri" w:hAnsi="Amiri" w:eastAsia="Amiri" w:cs="Amiri"/>
          <w:color w:val="111111"/>
          <w:sz w:val="28"/>
          <w:sz w:val="28"/>
          <w:szCs w:val="28"/>
          <w:rtl w:val="true"/>
          <w:lang w:bidi="ar-SA"/>
        </w:rPr>
        <w:t>من هذا القسم ، لأن اللام تكون فيه جائزة لا لازمة كما سيذكر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تكون فيه اللام لازمة ، وهو كل اسم كان صفة في الأصل أو مصدرا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الحارث والفضل </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أقسام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الأعلام التي يجوز إضافتها ، وإدخال لام التعريف عليها </w:t>
      </w:r>
      <w:r>
        <w:rPr>
          <w:rStyle w:val="FootnoteAnchor"/>
          <w:rtl w:val="true"/>
        </w:rPr>
        <w:footnoteReference w:id="1476"/>
      </w:r>
      <w:r>
        <w:rPr>
          <w:rFonts w:ascii="Amiri" w:hAnsi="Amiri" w:eastAsia="Amiri" w:cs="Amiri"/>
          <w:color w:val="111111"/>
          <w:sz w:val="28"/>
          <w:sz w:val="28"/>
          <w:szCs w:val="28"/>
          <w:rtl w:val="true"/>
          <w:lang w:bidi="ar-SA"/>
        </w:rPr>
        <w:t xml:space="preserve">لا من قبيل أنّها صفة أو مصدر بل من قبيل وقوع العلم مشتركا بين جماعة من الأمة المسمّاة به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مضر الحمراء وربيعه الفرس </w:t>
      </w:r>
      <w:r>
        <w:rPr>
          <w:rStyle w:val="FootnoteAnchor"/>
          <w:rtl w:val="true"/>
        </w:rPr>
        <w:footnoteReference w:id="1477"/>
      </w:r>
      <w:r>
        <w:rPr>
          <w:rFonts w:ascii="IRNazanin" w:hAnsi="IRNazanin" w:eastAsia="IRNazanin"/>
          <w:color w:val="111111"/>
          <w:sz w:val="28"/>
          <w:sz w:val="28"/>
          <w:szCs w:val="28"/>
          <w:rtl w:val="true"/>
          <w:lang w:bidi="fa-IR"/>
        </w:rPr>
        <w:t xml:space="preserve">، وقول الشّاعر </w:t>
      </w:r>
      <w:r>
        <w:rPr>
          <w:rFonts w:eastAsia="IRNazanin" w:cs="IRNazanin"/>
          <w:color w:val="111111"/>
          <w:sz w:val="28"/>
          <w:szCs w:val="28"/>
          <w:rtl w:val="true"/>
          <w:lang w:bidi="fa-IR"/>
        </w:rPr>
        <w:t xml:space="preserve">: </w:t>
      </w:r>
      <w:r>
        <w:rPr>
          <w:rStyle w:val="FootnoteAnchor"/>
          <w:rtl w:val="true"/>
        </w:rPr>
        <w:footnoteReference w:id="1478"/>
      </w:r>
    </w:p>
    <w:p>
      <w:pPr>
        <w:pStyle w:val="BookText"/>
        <w:rPr/>
      </w:pPr>
      <w:r>
        <w:rPr>
          <w:rFonts w:ascii="Amiri" w:hAnsi="Amiri" w:eastAsia="Amiri" w:cs="Amiri"/>
          <w:color w:val="111111"/>
          <w:sz w:val="28"/>
          <w:sz w:val="28"/>
          <w:szCs w:val="28"/>
          <w:rtl w:val="true"/>
          <w:lang w:bidi="ar-SA"/>
        </w:rPr>
        <w:t>باعد أمّ العمرو من أسيرها</w:t>
      </w:r>
    </w:p>
    <w:p>
      <w:pPr>
        <w:pStyle w:val="BookText"/>
        <w:rPr/>
      </w:pPr>
      <w:r>
        <w:rPr>
          <w:rFonts w:ascii="IRNazanin" w:hAnsi="IRNazanin" w:eastAsia="IRNazanin"/>
          <w:color w:val="111111"/>
          <w:sz w:val="28"/>
          <w:sz w:val="28"/>
          <w:szCs w:val="28"/>
          <w:rtl w:val="true"/>
          <w:lang w:bidi="fa-IR"/>
        </w:rPr>
        <w:t>حرّاس أبواب على قصورها</w:t>
      </w:r>
    </w:p>
    <w:p>
      <w:pPr>
        <w:pStyle w:val="BookText"/>
        <w:rPr/>
      </w:pPr>
      <w:r>
        <w:rPr>
          <w:rFonts w:ascii="Amiri" w:hAnsi="Amiri" w:eastAsia="Amiri" w:cs="Amiri"/>
          <w:color w:val="111111"/>
          <w:sz w:val="28"/>
          <w:sz w:val="28"/>
          <w:szCs w:val="28"/>
          <w:rtl w:val="true"/>
          <w:lang w:bidi="ar-SA"/>
        </w:rPr>
        <w:t xml:space="preserve">ومن أقسام العلم ، العلم بالغلبة </w:t>
      </w:r>
      <w:r>
        <w:rPr>
          <w:rStyle w:val="FootnoteAnchor"/>
          <w:rtl w:val="true"/>
        </w:rPr>
        <w:footnoteReference w:id="1479"/>
      </w:r>
      <w:r>
        <w:rPr>
          <w:rFonts w:ascii="Amiri" w:hAnsi="Amiri" w:eastAsia="Amiri" w:cs="Amiri"/>
          <w:color w:val="111111"/>
          <w:sz w:val="28"/>
          <w:sz w:val="28"/>
          <w:szCs w:val="28"/>
          <w:rtl w:val="true"/>
          <w:lang w:bidi="ar-SA"/>
        </w:rPr>
        <w:t xml:space="preserve">وهو ما كان عن غير قصد من واضع ، ويلزمه أحد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الإضافة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وابن عمر ، فإنّ ذلك غلب عليهما واختصّا به دون إخوتهما ، وإمّا اللّام كالصّعق حسبما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والمعارف تترتّب في المعرفة ، فأعرف المعارف المضمر المتكلّم ثمّ المخاطب ثمّ الغائب ثمّ الأعلام ثمّ المبهمات ثمّ الداخل عليه حرف التعريف والمنادى ، والمضاف إلى أحدها إضافة معنوية ، وقيل في ترتيبها غير ذلك وما ذكرنا ، هو الأكثر </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4" w:name="__RefHeading___Toc716878_996550957"/>
      <w:bookmarkStart w:id="495" w:name="_Toc180"/>
      <w:bookmarkEnd w:id="494"/>
      <w:r>
        <w:rPr>
          <w:rtl w:val="true"/>
        </w:rPr>
        <w:t>ذكر النّكرة</w:t>
      </w:r>
      <w:bookmarkEnd w:id="495"/>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4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ما وضع لشيء لا بعينه ، وعلامات النكرة كثيرة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يقبل الاسم لام التعريف أو يصحّ إضافته أو يقبل ربّ أو يدخل عليه كم الخبرية أو يكون حالا ، </w:t>
      </w:r>
      <w:bookmarkStart w:id="496" w:name="pg14482_156269"/>
    </w:p>
    <w:p>
      <w:pPr>
        <w:pStyle w:val="BookText"/>
        <w:rPr/>
      </w:pPr>
      <w:bookmarkEnd w:id="496"/>
      <w:r>
        <w:rPr>
          <w:rFonts w:ascii="Amiri" w:hAnsi="Amiri" w:eastAsia="Amiri" w:cs="Amiri"/>
          <w:color w:val="111111"/>
          <w:sz w:val="28"/>
          <w:sz w:val="28"/>
          <w:szCs w:val="28"/>
          <w:rtl w:val="true"/>
          <w:lang w:bidi="ar-SA"/>
        </w:rPr>
        <w:t xml:space="preserve">أو تمييزا ، وتترتّب النكرات كما ترتّبت المعارف ، فأنكر النكرات أعمّها كموجود ثمّ جسم ثمّ جسم نام ثمّ حيوان ثم إنسان ثمّ رجل ثمّ رجل كريم ابن فلان </w:t>
      </w:r>
      <w:r>
        <w:rPr>
          <w:rStyle w:val="FootnoteAnchor"/>
          <w:rtl w:val="true"/>
        </w:rPr>
        <w:footnoteReference w:id="1482"/>
      </w:r>
      <w:r>
        <w:rPr>
          <w:rFonts w:ascii="Amiri" w:hAnsi="Amiri" w:eastAsia="Amiri" w:cs="Amiri"/>
          <w:color w:val="111111"/>
          <w:sz w:val="28"/>
          <w:sz w:val="28"/>
          <w:szCs w:val="28"/>
          <w:rtl w:val="true"/>
          <w:lang w:bidi="ar-SA"/>
        </w:rPr>
        <w:t>ثم لا يزال الاسم يقترب بكثرة الصفات من المعرفة ، حتّى يتعرّف فيوضع له اسم ينوب عن جميعها وهو العلم</w:t>
      </w:r>
      <w:r>
        <w:rPr>
          <w:rFonts w:eastAsia="Amiri" w:cs="Amiri" w:ascii="Amiri" w:hAnsi="Amiri"/>
          <w:color w:val="111111"/>
          <w:sz w:val="28"/>
          <w:szCs w:val="28"/>
          <w:rtl w:val="true"/>
          <w:lang w:bidi="ar-SA"/>
        </w:rPr>
        <w:t>.</w:t>
      </w:r>
    </w:p>
    <w:p>
      <w:pPr>
        <w:pStyle w:val="Heading4"/>
        <w:numPr>
          <w:ilvl w:val="3"/>
          <w:numId w:val="1"/>
        </w:numPr>
        <w:rPr/>
      </w:pPr>
      <w:bookmarkStart w:id="497" w:name="__RefHeading___Toc716880_996550957"/>
      <w:bookmarkStart w:id="498" w:name="_Toc181"/>
      <w:bookmarkEnd w:id="497"/>
      <w:r>
        <w:rPr>
          <w:rtl w:val="true"/>
        </w:rPr>
        <w:t>ذكر اسم العدد</w:t>
      </w:r>
      <w:bookmarkEnd w:id="498"/>
    </w:p>
    <w:p>
      <w:pPr>
        <w:pStyle w:val="Heading5"/>
        <w:numPr>
          <w:ilvl w:val="4"/>
          <w:numId w:val="1"/>
        </w:numPr>
        <w:rPr/>
      </w:pPr>
      <w:bookmarkStart w:id="499" w:name="__RefHeading___Toc716882_996550957"/>
      <w:bookmarkStart w:id="500" w:name="_Toc182"/>
      <w:bookmarkEnd w:id="499"/>
      <w:r>
        <w:rPr>
          <w:rtl w:val="true"/>
        </w:rPr>
        <w:t>اشارة</w:t>
      </w:r>
      <w:bookmarkEnd w:id="500"/>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4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والعدد عند المحققين هو الكميّة المتألّفة من الوحدات ، فعلى هذا لا يكون الواحد عددا بل مبدأ العدد </w:t>
      </w:r>
      <w:r>
        <w:rPr>
          <w:rStyle w:val="FootnoteAnchor"/>
          <w:rtl w:val="true"/>
        </w:rPr>
        <w:footnoteReference w:id="14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 في الاثنين فعند الأكثر أنّه عدد ، وأمّا عند النحويين فالواحد والاثنان من العدد لدخولهما تحت الكميّة </w:t>
      </w:r>
      <w:r>
        <w:rPr>
          <w:rStyle w:val="FootnoteAnchor"/>
          <w:rtl w:val="true"/>
        </w:rPr>
        <w:footnoteReference w:id="1485"/>
      </w:r>
      <w:r>
        <w:rPr>
          <w:rFonts w:ascii="Amiri" w:hAnsi="Amiri" w:eastAsia="Amiri" w:cs="Amiri"/>
          <w:color w:val="111111"/>
          <w:sz w:val="28"/>
          <w:sz w:val="28"/>
          <w:szCs w:val="28"/>
          <w:rtl w:val="true"/>
          <w:lang w:bidi="ar-SA"/>
        </w:rPr>
        <w:t xml:space="preserve">والمراد بدخولهما تحت الكميّة أنه 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عندك؟ صحّ أن تقول في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واثنان ، واعلم أنّ العدد معلوم الكميّة مجهول الجنس ، ولذلك احتاج إلى المميّز ، وهو بخلاف الجمع فإنّ الجمع معلوم الجنس مجهول الكميّة ، وأصول الأعداد اثنتا عشرة كلمة </w:t>
      </w:r>
      <w:r>
        <w:rPr>
          <w:rStyle w:val="FootnoteAnchor"/>
          <w:rtl w:val="true"/>
        </w:rPr>
        <w:footnoteReference w:id="1486"/>
      </w:r>
      <w:r>
        <w:rPr>
          <w:rFonts w:ascii="Amiri" w:hAnsi="Amiri" w:eastAsia="Amiri" w:cs="Amiri"/>
          <w:color w:val="111111"/>
          <w:sz w:val="28"/>
          <w:sz w:val="28"/>
          <w:szCs w:val="28"/>
          <w:rtl w:val="true"/>
          <w:lang w:bidi="ar-SA"/>
        </w:rPr>
        <w:t xml:space="preserve">واحد إلى عشرة ، ومائة وألف ، ويتولّد منها أعداد غير متناهية ، والتولّد ، إمّا تثنية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مئتين وألفين ، أو جمع في المعنى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عشرين ومئات وألوف ، أو عطف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وعشرين ، أو تركيب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عشر </w:t>
      </w:r>
      <w:r>
        <w:rPr>
          <w:rStyle w:val="FootnoteAnchor"/>
          <w:rtl w:val="true"/>
        </w:rPr>
        <w:footnoteReference w:id="1487"/>
      </w:r>
      <w:r>
        <w:rPr>
          <w:rFonts w:ascii="Amiri" w:hAnsi="Amiri" w:eastAsia="Amiri" w:cs="Amiri"/>
          <w:color w:val="111111"/>
          <w:sz w:val="28"/>
          <w:sz w:val="28"/>
          <w:szCs w:val="28"/>
          <w:rtl w:val="true"/>
          <w:lang w:bidi="ar-SA"/>
        </w:rPr>
        <w:t xml:space="preserve">، وأمّا استعماله بحسب التذكير والتأنيث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فواحد واثنان للمذكر ، وواحدة واثنتان للمؤنّث وهو جار على القياس في كون المذكّر للمذكر ، والمؤنّث للمؤنث ، وثلاثة للمذكّر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رجال ، وثلاث للمؤنّث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نسوة ، وثلاث ليال إلى عشرة رجال ، وعشر نسوة ، وعشر ليال ، وهو غير جار على القياس المشهور </w:t>
      </w:r>
      <w:r>
        <w:rPr>
          <w:rStyle w:val="FootnoteAnchor"/>
          <w:rtl w:val="true"/>
        </w:rPr>
        <w:footnoteReference w:id="1488"/>
      </w:r>
      <w:r>
        <w:rPr>
          <w:rFonts w:ascii="Amiri" w:hAnsi="Amiri" w:eastAsia="Amiri" w:cs="Amiri"/>
          <w:color w:val="111111"/>
          <w:sz w:val="28"/>
          <w:sz w:val="28"/>
          <w:szCs w:val="28"/>
          <w:rtl w:val="true"/>
          <w:lang w:bidi="ar-SA"/>
        </w:rPr>
        <w:t xml:space="preserve">وأمّا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جاءَ بِالْحَسَنَةِ فَلَهُ عَشْرُ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أَمْثالِها</w:t>
      </w:r>
      <w:r>
        <w:rPr>
          <w:rFonts w:eastAsia="Amiri" w:cs="Amiri" w:ascii="Amiri" w:hAnsi="Amiri"/>
          <w:color w:val="111111"/>
          <w:sz w:val="28"/>
          <w:szCs w:val="28"/>
          <w:rtl w:val="true"/>
          <w:lang w:bidi="ar-SA"/>
        </w:rPr>
        <w:t>)</w:t>
      </w:r>
      <w:r>
        <w:rPr>
          <w:rStyle w:val="FootnoteAnchor"/>
          <w:rtl w:val="true"/>
        </w:rPr>
        <w:footnoteReference w:id="1489"/>
      </w:r>
      <w:r>
        <w:rPr>
          <w:rFonts w:ascii="Amiri" w:hAnsi="Amiri" w:eastAsia="Amiri" w:cs="Amiri"/>
          <w:color w:val="111111"/>
          <w:sz w:val="28"/>
          <w:sz w:val="28"/>
          <w:szCs w:val="28"/>
          <w:rtl w:val="true"/>
          <w:lang w:bidi="ar-SA"/>
        </w:rPr>
        <w:t xml:space="preserve">فإنّ الأمثال هي الحسنات في المعنى ، فاكتسبت التأنيث من المضاف إليه </w:t>
      </w:r>
      <w:r>
        <w:rPr>
          <w:rStyle w:val="FootnoteAnchor"/>
          <w:rtl w:val="true"/>
        </w:rPr>
        <w:footnoteReference w:id="1490"/>
      </w:r>
      <w:r>
        <w:rPr>
          <w:rFonts w:ascii="Amiri" w:hAnsi="Amiri" w:eastAsia="Amiri" w:cs="Amiri"/>
          <w:color w:val="111111"/>
          <w:sz w:val="28"/>
          <w:sz w:val="28"/>
          <w:szCs w:val="28"/>
          <w:rtl w:val="true"/>
          <w:lang w:bidi="ar-SA"/>
        </w:rPr>
        <w:t xml:space="preserve">وقد يحذف المميّز استغناء عنه بالصيغة الدّالّة عليه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سرت ثلاثا وعشرا ، المراد ثلاث ليال ، وعشر ليال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يَتَرَبَّصْنَ بِأَنْفُسِهِنَّ أَرْبَعَةَ أَشْهُرٍ وَعَشْراً</w:t>
      </w:r>
      <w:r>
        <w:rPr>
          <w:rFonts w:eastAsia="Amiri" w:cs="Amiri" w:ascii="Amiri" w:hAnsi="Amiri"/>
          <w:color w:val="111111"/>
          <w:sz w:val="28"/>
          <w:szCs w:val="28"/>
          <w:rtl w:val="true"/>
          <w:lang w:bidi="ar-SA"/>
        </w:rPr>
        <w:t>)</w:t>
      </w:r>
      <w:r>
        <w:rPr>
          <w:rStyle w:val="FootnoteAnchor"/>
          <w:rtl w:val="true"/>
        </w:rPr>
        <w:footnoteReference w:id="1491"/>
      </w:r>
      <w:r>
        <w:rPr>
          <w:rFonts w:ascii="Amiri" w:hAnsi="Amiri" w:eastAsia="Amiri" w:cs="Amiri"/>
          <w:color w:val="111111"/>
          <w:sz w:val="28"/>
          <w:sz w:val="28"/>
          <w:szCs w:val="28"/>
          <w:rtl w:val="true"/>
          <w:lang w:bidi="ar-SA"/>
        </w:rPr>
        <w:t xml:space="preserve">أي وعشر ليال ، ويجوز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دوابّ حملا على ظاهر لفظة دابّة ، وثلاثة دوابّ بتقدير ثلاثة أشياء ، وإذا جاوزت عشرة قلت للمذكّر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عشر رجلا ، واثنا عشر رجلا ، وللمؤنّث إحدى عشرة واثنتا عشرة امرأة ، وثلاثة عشر إلى تسعة عشر للمذكّر وثلاث عشرة إلى تسع عشرة للمؤنّث ، والعين في ثلاثة عشر إلى تسعة عشر مفتوحة على الأفصح والسكون جائز </w:t>
      </w:r>
      <w:r>
        <w:rPr>
          <w:rStyle w:val="FootnoteAnchor"/>
          <w:rtl w:val="true"/>
        </w:rPr>
        <w:footnoteReference w:id="1492"/>
      </w:r>
      <w:r>
        <w:rPr>
          <w:rFonts w:ascii="Amiri" w:hAnsi="Amiri" w:eastAsia="Amiri" w:cs="Amiri"/>
          <w:color w:val="111111"/>
          <w:sz w:val="28"/>
          <w:sz w:val="28"/>
          <w:szCs w:val="28"/>
          <w:rtl w:val="true"/>
          <w:lang w:bidi="ar-SA"/>
        </w:rPr>
        <w:t xml:space="preserve">والشين في المؤنّث من ثلاث عشرة إلى تسعة عشر ، ساكنة على الأفصح ، وبنو تميم يكسرونها </w:t>
      </w:r>
      <w:r>
        <w:rPr>
          <w:rStyle w:val="FootnoteAnchor"/>
          <w:rtl w:val="true"/>
        </w:rPr>
        <w:footnoteReference w:id="1493"/>
      </w:r>
      <w:r>
        <w:rPr>
          <w:rFonts w:ascii="Amiri" w:hAnsi="Amiri" w:eastAsia="Amiri" w:cs="Amiri"/>
          <w:color w:val="111111"/>
          <w:sz w:val="28"/>
          <w:sz w:val="28"/>
          <w:szCs w:val="28"/>
          <w:rtl w:val="true"/>
          <w:lang w:bidi="ar-SA"/>
        </w:rPr>
        <w:t xml:space="preserve">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عشر ، ولك في ثماني عشر للمؤنّث </w:t>
      </w:r>
      <w:r>
        <w:rPr>
          <w:rStyle w:val="FootnoteAnchor"/>
          <w:rtl w:val="true"/>
        </w:rPr>
        <w:footnoteReference w:id="1494"/>
      </w:r>
      <w:r>
        <w:rPr>
          <w:rFonts w:ascii="Amiri" w:hAnsi="Amiri" w:eastAsia="Amiri" w:cs="Amiri"/>
          <w:color w:val="111111"/>
          <w:sz w:val="28"/>
          <w:sz w:val="28"/>
          <w:szCs w:val="28"/>
          <w:rtl w:val="true"/>
          <w:lang w:bidi="ar-SA"/>
        </w:rPr>
        <w:t>فتح الياء وجاء إسكانها وحذفها بكسر النون ، وشدّ حذفها بفتح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وعشرون وأخواتها ، أي ثلاثون وأربعون إلى تسعين في المذكّر والمؤنّث بلفظ واحد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عشرون رجلا وامرأة إلى تسعين رجلا وامرأة ، وإذا عطفت عشرين إلى تسعين على واحد إلى تسعة ، فتسعمل ما دون العشرة على ما عرفت ، وتعطف عليها عشرين بتغيير لفظ واحد إلى أحد ، وتغيير لفظ واحدة إلى إحدى ، فتقول للمذكّر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وعشرون رجلا ، وللمؤنث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إحدى وعشرون امرأة ، ثمّ تأخذ ما بعد الواحد على ما شرح ، وتعطف </w:t>
      </w:r>
      <w:r>
        <w:rPr>
          <w:rStyle w:val="FootnoteAnchor"/>
          <w:rtl w:val="true"/>
        </w:rPr>
        <w:footnoteReference w:id="1495"/>
      </w:r>
      <w:r>
        <w:rPr>
          <w:rFonts w:ascii="Amiri" w:hAnsi="Amiri" w:eastAsia="Amiri" w:cs="Amiri"/>
          <w:color w:val="111111"/>
          <w:sz w:val="28"/>
          <w:sz w:val="28"/>
          <w:szCs w:val="28"/>
          <w:rtl w:val="true"/>
          <w:lang w:bidi="ar-SA"/>
        </w:rPr>
        <w:t xml:space="preserve">عليه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اثنان وعشرون رجلا ، واثنتان وعشرون امرأة إلى تسعة وتسعين رجلا ، وتسع وتسعين امرأة ، وإنّما لم تركّب الآحاد مع عشرين وأخواتها كما ركّبت مع العشرة ، لأنّ الواو في عشرون والياء في عشرين وأخواتها علامة للإعراب ، والتركيب موجب للبناء فتعذّر ، وتقول في المذكّر </w:t>
      </w:r>
      <w:bookmarkStart w:id="501" w:name="pg14482_156271"/>
    </w:p>
    <w:p>
      <w:pPr>
        <w:pStyle w:val="BookText"/>
        <w:rPr/>
      </w:pPr>
      <w:bookmarkEnd w:id="501"/>
      <w:r>
        <w:rPr>
          <w:rFonts w:ascii="Amiri" w:hAnsi="Amiri" w:eastAsia="Amiri" w:cs="Amiri"/>
          <w:color w:val="111111"/>
          <w:sz w:val="28"/>
          <w:sz w:val="28"/>
          <w:szCs w:val="28"/>
          <w:rtl w:val="true"/>
          <w:lang w:bidi="ar-SA"/>
        </w:rPr>
        <w:t xml:space="preserve">والمؤنث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ومائتان وألف وألفان بلفظ واحد ، ونحو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رجل ومائة امرأة وألف رجل وألفا امرأة ، وإذا جاوزت المائة تستعمله على ما عرفت من واحد إلى تسعة وتسعين ، وتعطفه على مائة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وخمسة رجال ، ومائة وخمس نسوة ومائة وأحد عشر واثنا عشر رجلا ، وإحدى عشرة ، واثنتا عشرة امرأة ، ومائة وثلاثة وعشرون رجلا ، وثلاث وعشرون امرأة إلى مائة وتسعة وتسعين رجلا ، وتسع وتسعين امرأة ، وكذلك تعطف على المائتين إلى الألف</w:t>
      </w:r>
      <w:r>
        <w:rPr>
          <w:rFonts w:eastAsia="Amiri" w:cs="Amiri" w:ascii="Amiri" w:hAnsi="Amiri"/>
          <w:color w:val="111111"/>
          <w:sz w:val="28"/>
          <w:szCs w:val="28"/>
          <w:rtl w:val="true"/>
          <w:lang w:bidi="ar-SA"/>
        </w:rPr>
        <w:t>.</w:t>
      </w:r>
    </w:p>
    <w:p>
      <w:pPr>
        <w:pStyle w:val="Heading5"/>
        <w:numPr>
          <w:ilvl w:val="4"/>
          <w:numId w:val="1"/>
        </w:numPr>
        <w:rPr/>
      </w:pPr>
      <w:bookmarkStart w:id="502" w:name="__RefHeading___Toc716884_996550957"/>
      <w:bookmarkStart w:id="503" w:name="_Toc183"/>
      <w:bookmarkEnd w:id="502"/>
      <w:r>
        <w:rPr>
          <w:rtl w:val="true"/>
        </w:rPr>
        <w:t>ذكر تمييز الثلاثة إلى العشرة</w:t>
      </w:r>
      <w:bookmarkEnd w:id="503"/>
    </w:p>
    <w:p>
      <w:pPr>
        <w:pStyle w:val="BookText"/>
        <w:rPr/>
      </w:pPr>
      <w:r>
        <w:rPr>
          <w:rStyle w:val="FootnoteAnchor"/>
          <w:rtl w:val="true"/>
        </w:rPr>
        <w:footnoteReference w:id="14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الثلاثة إلى العشرة مخفوض ومجموع إمّا لفظا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رجال أو مجموع معنى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تسعة رهط ، إذ هو اسم جمع وليس بجمع ، لأنّه لا واحد له من لفظه ، أمّا خفضه فلإضافة العدد إلى المميّز المذكور ، وإنّما أضيف إلى المميّز ، لأنّ ما بعده هو المقصود وأمّا كونه جمعا ؛ فليوافق العدد المعدود ، لكونه إيّاه في المعنى ، لكن إذا ميزت من الثلاثة إلى العشرة بالمائة ، فإنّه يكون بمفرد مخفوض ، ولا تجمع المائة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ثلاثمائة إلى تسعمائة ، وكان القياس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مئات ، أو ثلاث مئين </w:t>
      </w:r>
      <w:r>
        <w:rPr>
          <w:rStyle w:val="FootnoteAnchor"/>
          <w:rtl w:val="true"/>
        </w:rPr>
        <w:footnoteReference w:id="1497"/>
      </w:r>
      <w:r>
        <w:rPr>
          <w:rFonts w:ascii="IRNazanin" w:hAnsi="IRNazanin" w:eastAsia="IRNazanin"/>
          <w:color w:val="111111"/>
          <w:sz w:val="28"/>
          <w:sz w:val="28"/>
          <w:szCs w:val="28"/>
          <w:rtl w:val="true"/>
          <w:lang w:bidi="fa-IR"/>
        </w:rPr>
        <w:t xml:space="preserve">وقد أتى به الشّاعر على الأصل فقال </w:t>
      </w:r>
      <w:r>
        <w:rPr>
          <w:rFonts w:eastAsia="IRNazanin" w:cs="IRNazanin"/>
          <w:color w:val="111111"/>
          <w:sz w:val="28"/>
          <w:szCs w:val="28"/>
          <w:rtl w:val="true"/>
          <w:lang w:bidi="fa-IR"/>
        </w:rPr>
        <w:t xml:space="preserve">: </w:t>
      </w:r>
      <w:r>
        <w:rPr>
          <w:rStyle w:val="FootnoteAnchor"/>
          <w:rtl w:val="true"/>
        </w:rPr>
        <w:footnoteReference w:id="1498"/>
      </w:r>
    </w:p>
    <w:p>
      <w:pPr>
        <w:pStyle w:val="BookText"/>
        <w:rPr/>
      </w:pPr>
      <w:r>
        <w:rPr>
          <w:rFonts w:ascii="Amiri" w:hAnsi="Amiri" w:eastAsia="Amiri" w:cs="Amiri"/>
          <w:color w:val="111111"/>
          <w:sz w:val="28"/>
          <w:sz w:val="28"/>
          <w:szCs w:val="28"/>
          <w:rtl w:val="true"/>
          <w:lang w:bidi="ar-SA"/>
        </w:rPr>
        <w:t>ردائي وجلّت عن وجوه الأهاتم</w:t>
      </w:r>
    </w:p>
    <w:p>
      <w:pPr>
        <w:pStyle w:val="BookText"/>
        <w:rPr/>
      </w:pPr>
      <w:r>
        <w:rPr>
          <w:rFonts w:ascii="Amiri" w:hAnsi="Amiri" w:eastAsia="Amiri" w:cs="Amiri"/>
          <w:color w:val="111111"/>
          <w:sz w:val="28"/>
          <w:sz w:val="28"/>
          <w:szCs w:val="28"/>
          <w:rtl w:val="true"/>
          <w:lang w:bidi="ar-SA"/>
        </w:rPr>
        <w:t xml:space="preserve">ورد في ديوانه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منسوبا له في أمالي ابن الشجري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 الشواهد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 التصريح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غير نسبة في المقتضب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 المفصل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 الكافية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 الأشموني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الأهاتم هم بنو الأهتم بن سنان ، وأراد بالرداء 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 مئين للملوك وفى بها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لكنه شاذّ في الاستعمال ، وإنّما أفردوه لأنهم استثقلوا اجتماع الجمع ، أعني مئات والتأنيث ، وليس كذلك ثلاث نساء ، لأنّ مئات يلزمه الإضافة إلى ما بعده ولا يلزم إضافة نساء إلى ما بعده</w:t>
      </w:r>
      <w:r>
        <w:rPr>
          <w:rFonts w:eastAsia="Amiri" w:cs="Amiri" w:ascii="Amiri" w:hAnsi="Amiri"/>
          <w:color w:val="111111"/>
          <w:sz w:val="28"/>
          <w:szCs w:val="28"/>
          <w:rtl w:val="true"/>
          <w:lang w:bidi="ar-SA"/>
        </w:rPr>
        <w:t xml:space="preserve">. </w:t>
      </w:r>
      <w:bookmarkStart w:id="504" w:name="pg14482_156272"/>
    </w:p>
    <w:p>
      <w:pPr>
        <w:pStyle w:val="Heading5"/>
        <w:numPr>
          <w:ilvl w:val="4"/>
          <w:numId w:val="1"/>
        </w:numPr>
        <w:rPr/>
      </w:pPr>
      <w:bookmarkStart w:id="505" w:name="__RefHeading___Toc716886_996550957"/>
      <w:bookmarkStart w:id="506" w:name="_Toc184"/>
      <w:bookmarkEnd w:id="504"/>
      <w:bookmarkEnd w:id="505"/>
      <w:r>
        <w:rPr>
          <w:rtl w:val="true"/>
        </w:rPr>
        <w:t>ذكر تمييز أحد عشر إلى تسعة وتسعين</w:t>
      </w:r>
      <w:bookmarkEnd w:id="506"/>
    </w:p>
    <w:p>
      <w:pPr>
        <w:pStyle w:val="BookText"/>
        <w:rPr/>
      </w:pPr>
      <w:r>
        <w:rPr>
          <w:rStyle w:val="FootnoteAnchor"/>
          <w:rtl w:val="true"/>
        </w:rPr>
        <w:footnoteReference w:id="14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ومميّز أحد عشر إلى تسعة وتسعين منصوب مفرد أمّا نصبه فلتمام الاسم قبله بتقدير التنوين من أحد عشر إلى تسعة عشر ، لأنّ كلّ تنوين حذف لغير اللّام والإضافة فهو في تقدير الثبوت </w:t>
      </w:r>
      <w:r>
        <w:rPr>
          <w:rStyle w:val="FootnoteAnchor"/>
          <w:rtl w:val="true"/>
        </w:rPr>
        <w:footnoteReference w:id="1500"/>
      </w:r>
      <w:r>
        <w:rPr>
          <w:rFonts w:ascii="Amiri" w:hAnsi="Amiri" w:eastAsia="Amiri" w:cs="Amiri"/>
          <w:color w:val="111111"/>
          <w:sz w:val="28"/>
          <w:sz w:val="28"/>
          <w:szCs w:val="28"/>
          <w:rtl w:val="true"/>
          <w:lang w:bidi="ar-SA"/>
        </w:rPr>
        <w:t xml:space="preserve">وأمّا ما فيه نون كالعشرين إلى التسعين فإنّه يتعذّر إضافته مع وجود النون المشبهة لنون الجمع ، ولو حذفت كان حذف حرف من كلمة ليست بجمع محقّق ، فلمّا تعذّرت الإضافة وجب نصبه </w:t>
      </w:r>
      <w:r>
        <w:rPr>
          <w:rStyle w:val="FootnoteAnchor"/>
          <w:rtl w:val="true"/>
        </w:rPr>
        <w:footnoteReference w:id="1501"/>
      </w:r>
      <w:r>
        <w:rPr>
          <w:rFonts w:ascii="Amiri" w:hAnsi="Amiri" w:eastAsia="Amiri" w:cs="Amiri"/>
          <w:color w:val="111111"/>
          <w:sz w:val="28"/>
          <w:sz w:val="28"/>
          <w:szCs w:val="28"/>
          <w:rtl w:val="true"/>
          <w:lang w:bidi="ar-SA"/>
        </w:rPr>
        <w:t xml:space="preserve">، وقد تقدّم في باب التمييز </w:t>
      </w:r>
      <w:r>
        <w:rPr>
          <w:rStyle w:val="FootnoteAnchor"/>
          <w:rtl w:val="true"/>
        </w:rPr>
        <w:footnoteReference w:id="1502"/>
      </w:r>
      <w:r>
        <w:rPr>
          <w:rFonts w:ascii="Amiri" w:hAnsi="Amiri" w:eastAsia="Amiri" w:cs="Amiri"/>
          <w:color w:val="111111"/>
          <w:sz w:val="28"/>
          <w:sz w:val="28"/>
          <w:szCs w:val="28"/>
          <w:rtl w:val="true"/>
          <w:lang w:bidi="ar-SA"/>
        </w:rPr>
        <w:t xml:space="preserve">من تحقيق عدم إضافة عشرين وأخواتها إلى المميّز ، ما أغنى عن الإعادة ، وأمّا إفراده ، فلحصول الغرض به مع كونه أخف من الجمع </w:t>
      </w:r>
      <w:r>
        <w:rPr>
          <w:rStyle w:val="FootnoteAnchor"/>
          <w:rtl w:val="true"/>
        </w:rPr>
        <w:footnoteReference w:id="15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7" w:name="__RefHeading___Toc716888_996550957"/>
      <w:bookmarkStart w:id="508" w:name="_Toc185"/>
      <w:bookmarkEnd w:id="507"/>
      <w:r>
        <w:rPr>
          <w:rtl w:val="true"/>
        </w:rPr>
        <w:t>ذكر تمييز المائة وما فوقها</w:t>
      </w:r>
      <w:bookmarkEnd w:id="508"/>
    </w:p>
    <w:p>
      <w:pPr>
        <w:pStyle w:val="BookText"/>
        <w:rPr/>
      </w:pPr>
      <w:r>
        <w:rPr>
          <w:rStyle w:val="FootnoteAnchor"/>
          <w:rtl w:val="true"/>
        </w:rPr>
        <w:footnoteReference w:id="15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ومميّز المائة والألف ومميّز تثنية المائة والألف ، ومميّز جمع الألف ، مخفوض مفرد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رجل ومائتا رجل ، وثلاثة آلاف رجل ، أما خفضه فللإضافة ، وأمّا إفراده فلحصول الغرض به وهو أخفّ من الجمع </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9" w:name="__RefHeading___Toc716890_996550957"/>
      <w:bookmarkStart w:id="510" w:name="_Toc186"/>
      <w:bookmarkEnd w:id="509"/>
      <w:r>
        <w:rPr>
          <w:rtl w:val="true"/>
        </w:rPr>
        <w:t>ذكر ما لا يميّز وغير ذلك</w:t>
      </w:r>
      <w:bookmarkEnd w:id="510"/>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5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يميّز الواحد والاثنان ، فلا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 رجل للاستغناء بلفظ معدودهما عنهما ، فإنّ رجلا يدل على الواحد ، ورجلين على الاثنين </w:t>
      </w:r>
      <w:r>
        <w:rPr>
          <w:rStyle w:val="FootnoteAnchor"/>
          <w:rtl w:val="true"/>
        </w:rPr>
        <w:footnoteReference w:id="1507"/>
      </w:r>
      <w:r>
        <w:rPr>
          <w:rFonts w:ascii="Amiri" w:hAnsi="Amiri" w:eastAsia="Amiri" w:cs="Amiri"/>
          <w:color w:val="111111"/>
          <w:sz w:val="28"/>
          <w:sz w:val="28"/>
          <w:szCs w:val="28"/>
          <w:rtl w:val="true"/>
          <w:lang w:bidi="ar-SA"/>
        </w:rPr>
        <w:t xml:space="preserve">بخلاف الجمع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 فإنّه لا يدلّ على العدد المعيّن ، فاحتيج فيه إلى ذكر العدد والمعدود ، وأمّا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w:t>
      </w:r>
      <w:bookmarkStart w:id="511" w:name="pg14482_156273"/>
    </w:p>
    <w:p>
      <w:pPr>
        <w:pStyle w:val="BookText"/>
        <w:rPr/>
      </w:pPr>
      <w:bookmarkEnd w:id="511"/>
      <w:r>
        <w:rPr>
          <w:rFonts w:ascii="Amiri" w:hAnsi="Amiri" w:eastAsia="Amiri" w:cs="Amiri"/>
          <w:color w:val="111111"/>
          <w:sz w:val="28"/>
          <w:sz w:val="28"/>
          <w:szCs w:val="28"/>
          <w:rtl w:val="true"/>
          <w:lang w:bidi="ar-SA"/>
        </w:rPr>
        <w:t xml:space="preserve">واحد ورجلان اثنان فللتأكيد ، وإذا كان المعدود مؤنثا ولفظه مذكّرا ، أو بالعكس ، جاز تذكير العدد وتأنيثه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أشخص ، نظرا إلى المعنى ، لأنّ الشّخص يطلق على المرأة أيضا ، وثلاثة أشخص نظرا إلى اللفظ ؛ لأنّ لفظ الشخص مذكّر وكذلك عكسه أعني أن يكون المعدود مذكّرا ولفظه مؤنّثا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أنفس ، نظرا إلى المعنى ، لأنّ النفس تطلق على الرجل أيضا ، وثلاث أنفس نظرا إلى اللفظ ، لأنّ لفظ النفس مؤنث ، واعتبار اللفظ أقيس لأنّه أظهر </w:t>
      </w:r>
      <w:r>
        <w:rPr>
          <w:rStyle w:val="FootnoteAnchor"/>
          <w:rtl w:val="true"/>
        </w:rPr>
        <w:footnoteReference w:id="1508"/>
      </w:r>
      <w:r>
        <w:rPr>
          <w:rFonts w:ascii="Amiri" w:hAnsi="Amiri" w:eastAsia="Amiri" w:cs="Amiri"/>
          <w:color w:val="111111"/>
          <w:sz w:val="28"/>
          <w:sz w:val="28"/>
          <w:szCs w:val="28"/>
          <w:rtl w:val="true"/>
          <w:lang w:bidi="ar-SA"/>
        </w:rPr>
        <w:t xml:space="preserve">ومن ذلك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خَلَقَكُمْ مِنْ نَفْسٍ واحِدَةٍ</w:t>
      </w:r>
      <w:r>
        <w:rPr>
          <w:rFonts w:eastAsia="Amiri" w:cs="Amiri" w:ascii="Amiri" w:hAnsi="Amiri"/>
          <w:color w:val="111111"/>
          <w:sz w:val="28"/>
          <w:szCs w:val="28"/>
          <w:rtl w:val="true"/>
          <w:lang w:bidi="ar-SA"/>
        </w:rPr>
        <w:t>)</w:t>
      </w:r>
      <w:r>
        <w:rPr>
          <w:rStyle w:val="FootnoteAnchor"/>
          <w:rtl w:val="true"/>
        </w:rPr>
        <w:footnoteReference w:id="1509"/>
      </w:r>
      <w:r>
        <w:rPr>
          <w:rFonts w:ascii="IRNazanin" w:hAnsi="IRNazanin" w:eastAsia="IRNazanin"/>
          <w:color w:val="111111"/>
          <w:sz w:val="28"/>
          <w:sz w:val="28"/>
          <w:szCs w:val="28"/>
          <w:rtl w:val="true"/>
          <w:lang w:bidi="fa-IR"/>
        </w:rPr>
        <w:t>والمراد آدم</w:t>
      </w:r>
      <w:r>
        <w:rPr>
          <w:rFonts w:eastAsia="IRNazanin" w:cs="IRNazanin"/>
          <w:color w:val="111111"/>
          <w:sz w:val="28"/>
          <w:szCs w:val="28"/>
          <w:rtl w:val="true"/>
          <w:lang w:bidi="fa-IR"/>
        </w:rPr>
        <w:t>.</w:t>
      </w:r>
    </w:p>
    <w:p>
      <w:pPr>
        <w:pStyle w:val="Heading5"/>
        <w:numPr>
          <w:ilvl w:val="4"/>
          <w:numId w:val="1"/>
        </w:numPr>
        <w:rPr/>
      </w:pPr>
      <w:bookmarkStart w:id="512" w:name="__RefHeading___Toc716892_996550957"/>
      <w:bookmarkStart w:id="513" w:name="_Toc187"/>
      <w:bookmarkEnd w:id="512"/>
      <w:r>
        <w:rPr>
          <w:rtl w:val="true"/>
        </w:rPr>
        <w:t>ذكر التصيير والحال</w:t>
      </w:r>
      <w:bookmarkEnd w:id="513"/>
    </w:p>
    <w:p>
      <w:pPr>
        <w:pStyle w:val="BookText"/>
        <w:rPr/>
      </w:pPr>
      <w:r>
        <w:rPr>
          <w:rStyle w:val="FootnoteAnchor"/>
          <w:rtl w:val="true"/>
        </w:rPr>
        <w:footnoteReference w:id="15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ويشتقّ من اسم العدد ، اسم فاعل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 ورابع وخامس ونحوه ، وله معنيان </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يشتقّ اسم الفاعل باعتبار التصيير ؛ بمعنى أن يكون زائدا على المذكور معه بواحد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 واحد ، وثالث اثنين إلى عاشر تسعة في المذكّر ، وثانية واحدة وثالثة اثنين إلى عاشرة تسع في المؤنّث ، أي هذا الذي صيّر الواحد بانضمام نفسه إليه اثنين ، وصيّر التسعة عشرة بنفسه ، بمعنى أنه ثنّى الواحد ، وعشّر التسعة </w:t>
      </w:r>
      <w:r>
        <w:rPr>
          <w:rStyle w:val="FootnoteAnchor"/>
          <w:rtl w:val="true"/>
        </w:rPr>
        <w:footnoteReference w:id="1511"/>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يَكُونُ مِنْ نَجْوى ثَلاثَةٍ إِلَّا هُوَ رابِعُهُمْ</w:t>
      </w:r>
      <w:r>
        <w:rPr>
          <w:rFonts w:eastAsia="Amiri" w:cs="Amiri" w:ascii="Amiri" w:hAnsi="Amiri"/>
          <w:color w:val="111111"/>
          <w:sz w:val="28"/>
          <w:szCs w:val="28"/>
          <w:rtl w:val="true"/>
          <w:lang w:bidi="ar-SA"/>
        </w:rPr>
        <w:t>)</w:t>
      </w:r>
      <w:r>
        <w:rPr>
          <w:rStyle w:val="FootnoteAnchor"/>
          <w:rtl w:val="true"/>
        </w:rPr>
        <w:footnoteReference w:id="1512"/>
      </w:r>
      <w:r>
        <w:rPr>
          <w:rFonts w:ascii="Amiri" w:hAnsi="Amiri" w:eastAsia="Amiri" w:cs="Amiri"/>
          <w:color w:val="111111"/>
          <w:sz w:val="28"/>
          <w:sz w:val="28"/>
          <w:szCs w:val="28"/>
          <w:rtl w:val="true"/>
          <w:lang w:bidi="ar-SA"/>
        </w:rPr>
        <w:t xml:space="preserve">أي إلّا هو مصيّر الثلاثة أربعة ، ولا يتجاوز فيه عن العاشر والعاشرة ، فلا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خامس عشر أربعة عشر ، وسيبويه والمتقدمون يجيزون خامس أربعة عشر </w:t>
      </w:r>
      <w:r>
        <w:rPr>
          <w:rStyle w:val="FootnoteAnchor"/>
          <w:rtl w:val="true"/>
        </w:rPr>
        <w:footnoteReference w:id="1513"/>
      </w:r>
      <w:r>
        <w:rPr>
          <w:rFonts w:ascii="Amiri" w:hAnsi="Amiri" w:eastAsia="Amiri" w:cs="Amiri"/>
          <w:color w:val="111111"/>
          <w:sz w:val="28"/>
          <w:sz w:val="28"/>
          <w:szCs w:val="28"/>
          <w:rtl w:val="true"/>
          <w:lang w:bidi="ar-SA"/>
        </w:rPr>
        <w:t xml:space="preserve">والصحيح عدم جواز ذلك ، وهو مذهب الأخفش والمبرّد والمتأخرين </w:t>
      </w:r>
      <w:r>
        <w:rPr>
          <w:rStyle w:val="FootnoteAnchor"/>
          <w:rtl w:val="true"/>
        </w:rPr>
        <w:footnoteReference w:id="1514"/>
      </w:r>
      <w:r>
        <w:rPr>
          <w:rFonts w:ascii="Amiri" w:hAnsi="Amiri" w:eastAsia="Amiri" w:cs="Amiri"/>
          <w:color w:val="111111"/>
          <w:sz w:val="28"/>
          <w:sz w:val="28"/>
          <w:szCs w:val="28"/>
          <w:rtl w:val="true"/>
          <w:lang w:bidi="ar-SA"/>
        </w:rPr>
        <w:t xml:space="preserve">لأنّه مأخوذ من الفعل ، والتقدير كان واحدا فثنّيته أو اثنين فثلّثتهما أو تسعة فعشّرتهم ، وليس لما بعد العشرة ما يمكن </w:t>
      </w:r>
      <w:bookmarkStart w:id="514" w:name="pg14482_156274"/>
    </w:p>
    <w:p>
      <w:pPr>
        <w:pStyle w:val="BookText"/>
        <w:rPr/>
      </w:pPr>
      <w:bookmarkEnd w:id="514"/>
      <w:r>
        <w:rPr>
          <w:rFonts w:ascii="Amiri" w:hAnsi="Amiri" w:eastAsia="Amiri" w:cs="Amiri"/>
          <w:color w:val="111111"/>
          <w:sz w:val="28"/>
          <w:sz w:val="28"/>
          <w:szCs w:val="28"/>
          <w:rtl w:val="true"/>
          <w:lang w:bidi="ar-SA"/>
        </w:rPr>
        <w:t>منه ذلك ، وأما خامس أربعة عشر ، فليس هو اسم فاعل من العدد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يشتقّ اسم الفاعل باعتبار حاله من غير أن يتعرّض فيه إلى أنه مصيّر ، كما اعتبر في المعنى الأول ، وهذا الاسم المذكور الذي لا يعتبر فيه التصيير ، يضاف إلى عدد موافق له في اللفظ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 اثنين وثالث ثلاثة ،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كَفَرَ الَّذِينَ قالُوا إِنَّ اللهَ ثالِثُ ثَلاثَةٍ</w:t>
      </w:r>
      <w:r>
        <w:rPr>
          <w:rFonts w:eastAsia="Amiri" w:cs="Amiri" w:ascii="Amiri" w:hAnsi="Amiri"/>
          <w:color w:val="111111"/>
          <w:sz w:val="28"/>
          <w:szCs w:val="28"/>
          <w:rtl w:val="true"/>
          <w:lang w:bidi="ar-SA"/>
        </w:rPr>
        <w:t>)</w:t>
      </w:r>
      <w:r>
        <w:rPr>
          <w:rStyle w:val="FootnoteAnchor"/>
          <w:rtl w:val="true"/>
        </w:rPr>
        <w:footnoteReference w:id="1515"/>
      </w:r>
      <w:r>
        <w:rPr>
          <w:rFonts w:ascii="Amiri" w:hAnsi="Amiri" w:eastAsia="Amiri" w:cs="Amiri"/>
          <w:color w:val="111111"/>
          <w:sz w:val="28"/>
          <w:sz w:val="28"/>
          <w:szCs w:val="28"/>
          <w:rtl w:val="true"/>
          <w:lang w:bidi="ar-SA"/>
        </w:rPr>
        <w:t xml:space="preserve">لأنّ ثالث ثلاثة لو أضفته إلى أقل أو أكثر فسد ، لأنّ الثالث في هذا المعنى ليس واحدا من الاثنين ، ولا من الأربعة ، وإنّما هو أحد ثلاثة ، وهذا القسم الذي هو باعتبار الحال يجوز استعماله فيما زاد على العشرة لارتفاع المانع المذكور في القسم الأول ، لأنّ اسم الفاعل فيه ليس مشتقّا من الفعل بل هو مثل لابن وتامر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حادي عشر ، أحد عشر إلى تاسع عشر ، تسعة عشر </w:t>
      </w:r>
      <w:r>
        <w:rPr>
          <w:rStyle w:val="FootnoteAnchor"/>
          <w:rtl w:val="true"/>
        </w:rPr>
        <w:footnoteReference w:id="1516"/>
      </w:r>
      <w:r>
        <w:rPr>
          <w:rFonts w:ascii="Amiri" w:hAnsi="Amiri" w:eastAsia="Amiri" w:cs="Amiri"/>
          <w:color w:val="111111"/>
          <w:sz w:val="28"/>
          <w:sz w:val="28"/>
          <w:szCs w:val="28"/>
          <w:rtl w:val="true"/>
          <w:lang w:bidi="ar-SA"/>
        </w:rPr>
        <w:t xml:space="preserve">وبفتح الياء من حادي عشر وثاني عشر مع جواز سكونها أيضا ، وكما تجب المطابقة بين الاسم المذكور وبين ما أضيف إليه في العدد ، كذلك تجب المطابقة بينهما في التذكير والتأنيث ، كقولك للمذكّر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حادي عشر أحد عشر إلى تاسع عشر تسعة كما تقدّم ، وللمؤنّث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حادية عشرة إحدى عشرة إلى تاسعة عشرة تسع عشرة ، فيجيء فيه تأنيثان ، أعني تاء حادية وتاء عشرة ، وألف إحدى وتاء عشرة وحادي عشر أحد عشر ، وحادية عشرة إحدى عشرة مركّب مبنيّ على الفتح ، لأنّ الأصل حادي وعشرة ، ويجب فيه تسكين شين عشرة ، لئلا يتوالى أكثر من أربع متحركات ، ويجوز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 ثلاثة عشر ، إذ لا لبس ، لأنّ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 عشر ثلاثة عشر ، إلّا أنك تعربه لفوات التركيب المقتضي للبناء </w:t>
      </w:r>
      <w:r>
        <w:rPr>
          <w:rStyle w:val="FootnoteAnchor"/>
          <w:rtl w:val="true"/>
        </w:rPr>
        <w:footnoteReference w:id="15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5" w:name="__RefHeading___Toc716894_996550957"/>
      <w:bookmarkStart w:id="516" w:name="_Toc188"/>
      <w:bookmarkEnd w:id="515"/>
      <w:r>
        <w:rPr>
          <w:rtl w:val="true"/>
        </w:rPr>
        <w:t>ذكر تعريف الأعداد</w:t>
      </w:r>
      <w:bookmarkEnd w:id="516"/>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تعريف العدد المركّب ؛ هو أن تعرّف الاسم الأول بانفراده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الأحد عشر رجلا ، والاثنتا عشرة امرأة إلى التسعة عشر </w:t>
      </w:r>
      <w:r>
        <w:rPr>
          <w:rStyle w:val="FootnoteAnchor"/>
          <w:rtl w:val="true"/>
        </w:rPr>
        <w:footnoteReference w:id="1518"/>
      </w:r>
      <w:r>
        <w:rPr>
          <w:rFonts w:ascii="Amiri" w:hAnsi="Amiri" w:eastAsia="Amiri" w:cs="Amiri"/>
          <w:color w:val="111111"/>
          <w:sz w:val="28"/>
          <w:sz w:val="28"/>
          <w:szCs w:val="28"/>
          <w:rtl w:val="true"/>
          <w:lang w:bidi="ar-SA"/>
        </w:rPr>
        <w:t xml:space="preserve">لأنّه لمّا تنزّل بالتركيب منزلة الكلمة </w:t>
      </w:r>
      <w:bookmarkStart w:id="517" w:name="pg14482_156275"/>
    </w:p>
    <w:p>
      <w:pPr>
        <w:pStyle w:val="BookText"/>
        <w:rPr/>
      </w:pPr>
      <w:bookmarkEnd w:id="517"/>
      <w:r>
        <w:rPr>
          <w:rFonts w:ascii="Amiri" w:hAnsi="Amiri" w:eastAsia="Amiri" w:cs="Amiri"/>
          <w:color w:val="111111"/>
          <w:sz w:val="28"/>
          <w:sz w:val="28"/>
          <w:szCs w:val="28"/>
          <w:rtl w:val="true"/>
          <w:lang w:bidi="ar-SA"/>
        </w:rPr>
        <w:t xml:space="preserve">الواحدة لم يدخل التعريف إلّا على الجزء الأول ، وأمّا العدد المعطوف فيتعرّف الاسمان معا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الأحد والعشرون رجلا ، والإحدى والعشرون امرأة إلى التسعة والتسعين رجلا والتسع والتسعين امرأة وأمّا المميّز المجرور فإنّما يعرّف الاسم الأخير فقط </w:t>
      </w:r>
      <w:r>
        <w:rPr>
          <w:rStyle w:val="FootnoteAnchor"/>
          <w:rtl w:val="true"/>
        </w:rPr>
        <w:footnoteReference w:id="1519"/>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الرجال وثلاث النسوة ، وثلاثمائة الدرهم ، وثلاثة آلاف الرجل ، وكذلك جميع هذا الباب وقد تقدّمت الإشارة إلى ذلك في باب الإضافة </w:t>
      </w:r>
      <w:r>
        <w:rPr>
          <w:rStyle w:val="FootnoteAnchor"/>
          <w:rtl w:val="true"/>
        </w:rPr>
        <w:footnoteReference w:id="15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8" w:name="__RefHeading___Toc716896_996550957"/>
      <w:bookmarkStart w:id="519" w:name="_Toc189"/>
      <w:bookmarkEnd w:id="518"/>
      <w:r>
        <w:rPr>
          <w:rtl w:val="true"/>
        </w:rPr>
        <w:t>ذكر المذكّر والمؤنّث</w:t>
      </w:r>
      <w:bookmarkEnd w:id="519"/>
    </w:p>
    <w:p>
      <w:pPr>
        <w:pStyle w:val="BookText"/>
        <w:rPr/>
      </w:pPr>
      <w:r>
        <w:rPr>
          <w:rStyle w:val="FootnoteAnchor"/>
          <w:rtl w:val="true"/>
        </w:rPr>
        <w:footnoteReference w:id="15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المؤنّث ما فيه علامة تأنيث لفظا أو تقديرا ، والمذكّر بخلافه ، وعلامة التأنيث التاء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طلحة ، والألف المقصورة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حبلى ، وسلمى ، ودفلى ، والألف الممدودة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نفساء وكبرياء وخنفساء ، وحمراء وعاشوراء </w:t>
      </w:r>
      <w:r>
        <w:rPr>
          <w:rStyle w:val="FootnoteAnchor"/>
          <w:rtl w:val="true"/>
        </w:rPr>
        <w:footnoteReference w:id="1522"/>
      </w:r>
      <w:r>
        <w:rPr>
          <w:rFonts w:ascii="Amiri" w:hAnsi="Amiri" w:eastAsia="Amiri" w:cs="Amiri"/>
          <w:color w:val="111111"/>
          <w:sz w:val="28"/>
          <w:sz w:val="28"/>
          <w:szCs w:val="28"/>
          <w:rtl w:val="true"/>
          <w:lang w:bidi="ar-SA"/>
        </w:rPr>
        <w:t xml:space="preserve">، والمؤنّث ينقسم إلى لفظي كما ذكرنا وإلى معنوي ، ويقال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التقديري أيضا ، وهو ما يكون علامة التأنيث فيه مقدرة ولا يقدّر غير التاء ، بدليل ظهورها في الاسم الثلاثي عند التصغير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عيينة وأذينة وأريضة ، وأمّا الزائد على ثلاثة أحرف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عناق ، وهي الأنثى من ولد المعز </w:t>
      </w:r>
      <w:r>
        <w:rPr>
          <w:rStyle w:val="FootnoteAnchor"/>
          <w:rtl w:val="true"/>
        </w:rPr>
        <w:footnoteReference w:id="1523"/>
      </w:r>
      <w:r>
        <w:rPr>
          <w:rFonts w:ascii="Amiri" w:hAnsi="Amiri" w:eastAsia="Amiri" w:cs="Amiri"/>
          <w:color w:val="111111"/>
          <w:sz w:val="28"/>
          <w:sz w:val="28"/>
          <w:szCs w:val="28"/>
          <w:rtl w:val="true"/>
          <w:lang w:bidi="ar-SA"/>
        </w:rPr>
        <w:t xml:space="preserve">وعقرب ، فإنّ الحرف الرابع فيه قام مقام التاء ، ولذلك لا تأتي التاء في تصغيره </w:t>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من اللفظيّ والمعنويّ وهو التقديريّ ، ينقسم إلى حقيقي ، وهو ما بإزائه ذكر من الحيوان ، وإلى غير حقيقي ، وهو ما كان بخلافه ، أمّا اللفظيّ الحقيقيّ فكامرأة وناقة وسعدى ، وأمّا اللفظي الغير الحقيقي ، فكذكرى وحمزة علما على رجل ، وأمّا المعنويّ وهو التقديري ، فالحقيقيّ منه كهند وزينب وأتان ، والغير الحقيقي منه كقدم </w:t>
      </w:r>
    </w:p>
    <w:p>
      <w:pPr>
        <w:pStyle w:val="BookText"/>
        <w:rPr/>
      </w:pPr>
      <w:r>
        <w:rPr>
          <w:rFonts w:ascii="Amiri" w:hAnsi="Amiri" w:eastAsia="Amiri" w:cs="Amiri"/>
          <w:color w:val="111111"/>
          <w:sz w:val="28"/>
          <w:sz w:val="28"/>
          <w:szCs w:val="28"/>
          <w:rtl w:val="true"/>
          <w:lang w:bidi="ar-SA"/>
        </w:rPr>
        <w:t xml:space="preserve">وأذن ، وكذلك كلّ عضو زوج غير الخدّين وذلك كاليد ، فإنّه مؤنث معنويّ أعني تقديريّا </w:t>
      </w:r>
      <w:r>
        <w:rPr>
          <w:rStyle w:val="FootnoteAnchor"/>
          <w:rtl w:val="true"/>
        </w:rPr>
        <w:footnoteReference w:id="1525"/>
      </w:r>
      <w:r>
        <w:rPr>
          <w:rFonts w:ascii="Amiri" w:hAnsi="Amiri" w:eastAsia="Amiri" w:cs="Amiri"/>
          <w:color w:val="111111"/>
          <w:sz w:val="28"/>
          <w:sz w:val="28"/>
          <w:szCs w:val="28"/>
          <w:rtl w:val="true"/>
          <w:lang w:bidi="ar-SA"/>
        </w:rPr>
        <w:t xml:space="preserve">ويستدلّ على المؤنّث المعنوي بأمور منها الإشارة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قدر ، وعود الضمير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وَالشَّمْسِ وَضُحاها</w:t>
      </w:r>
      <w:r>
        <w:rPr>
          <w:rFonts w:eastAsia="Amiri" w:cs="Amiri" w:ascii="Amiri" w:hAnsi="Amiri"/>
          <w:color w:val="111111"/>
          <w:sz w:val="28"/>
          <w:szCs w:val="28"/>
          <w:rtl w:val="true"/>
          <w:lang w:bidi="ar-SA"/>
        </w:rPr>
        <w:t>)</w:t>
      </w:r>
      <w:r>
        <w:rPr>
          <w:rStyle w:val="FootnoteAnchor"/>
          <w:rtl w:val="true"/>
        </w:rPr>
        <w:footnoteReference w:id="1526"/>
      </w:r>
      <w:r>
        <w:rPr>
          <w:rFonts w:ascii="Amiri" w:hAnsi="Amiri" w:eastAsia="Amiri" w:cs="Amiri"/>
          <w:color w:val="111111"/>
          <w:sz w:val="28"/>
          <w:sz w:val="28"/>
          <w:szCs w:val="28"/>
          <w:rtl w:val="true"/>
          <w:lang w:bidi="ar-SA"/>
        </w:rPr>
        <w:t xml:space="preserve">والنّعت ، كدار واسعة ، والحال ، كأبصرت الشمس مشرقة ، والخبر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كالشمس طالعة ، ولحوق علامة التأنيث في الفعل ،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وَالْتَفَّتِ السَّاقُ بِالسَّاقِ</w:t>
      </w:r>
      <w:r>
        <w:rPr>
          <w:rFonts w:eastAsia="Amiri" w:cs="Amiri" w:ascii="Amiri" w:hAnsi="Amiri"/>
          <w:color w:val="111111"/>
          <w:sz w:val="28"/>
          <w:szCs w:val="28"/>
          <w:rtl w:val="true"/>
          <w:lang w:bidi="ar-SA"/>
        </w:rPr>
        <w:t>)</w:t>
      </w:r>
      <w:r>
        <w:rPr>
          <w:rStyle w:val="FootnoteAnchor"/>
          <w:rtl w:val="true"/>
        </w:rPr>
        <w:footnoteReference w:id="1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ويجب أن يسند الفعل المتصرّف أو شبهه إلى المؤنّث الظاهر الحقيقي بالتاء </w:t>
      </w:r>
      <w:r>
        <w:rPr>
          <w:rStyle w:val="FootnoteAnchor"/>
          <w:rtl w:val="true"/>
        </w:rPr>
        <w:footnoteReference w:id="1528"/>
      </w:r>
      <w:r>
        <w:rPr>
          <w:rFonts w:ascii="Amiri" w:hAnsi="Amiri" w:eastAsia="Amiri" w:cs="Amiri"/>
          <w:color w:val="111111"/>
          <w:sz w:val="28"/>
          <w:sz w:val="28"/>
          <w:szCs w:val="28"/>
          <w:rtl w:val="true"/>
          <w:lang w:bidi="ar-SA"/>
        </w:rPr>
        <w:t xml:space="preserve">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قامت هند ، وزيد قائمة جاريته ، وأنت في ظاهر غير الحقيقي بالخيار إن شئت ألحقت التاء ، وإن شئت لم تلحق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البيّنة وجاء البينّة </w:t>
      </w:r>
      <w:r>
        <w:rPr>
          <w:rStyle w:val="FootnoteAnchor"/>
          <w:rtl w:val="true"/>
        </w:rPr>
        <w:footnoteReference w:id="1529"/>
      </w:r>
      <w:r>
        <w:rPr>
          <w:rFonts w:ascii="Amiri" w:hAnsi="Amiri" w:eastAsia="Amiri" w:cs="Amiri"/>
          <w:color w:val="111111"/>
          <w:sz w:val="28"/>
          <w:sz w:val="28"/>
          <w:szCs w:val="28"/>
          <w:rtl w:val="true"/>
          <w:lang w:bidi="ar-SA"/>
        </w:rPr>
        <w:t xml:space="preserve">، وأمّا تأنيث الأعلام فالمعتبر فيه المعنى دون اللفظ ، لأنّها نقلت من معناها إلى مدلول آخر ، فاعتبر فيها المدلول الثاني دون الأول ، فلا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طلحة وأعجبتني طلحة </w:t>
      </w:r>
      <w:r>
        <w:rPr>
          <w:rStyle w:val="FootnoteAnchor"/>
          <w:rtl w:val="true"/>
        </w:rPr>
        <w:footnoteReference w:id="1530"/>
      </w:r>
      <w:r>
        <w:rPr>
          <w:rFonts w:ascii="Amiri" w:hAnsi="Amiri" w:eastAsia="Amiri" w:cs="Amiri"/>
          <w:color w:val="111111"/>
          <w:sz w:val="28"/>
          <w:sz w:val="28"/>
          <w:szCs w:val="28"/>
          <w:rtl w:val="true"/>
          <w:lang w:bidi="ar-SA"/>
        </w:rPr>
        <w:t xml:space="preserve">خلافا لبعض الكوفيين ، واعلم أنّه يجوز حذف التاء من المسند إلى الحقيقي إذا فصل بين الفعل والمؤنّث فاصل ، ولم يلبس ، 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 القاضي اليوم امرأة وكقول الشاعر </w:t>
      </w:r>
      <w:r>
        <w:rPr>
          <w:rFonts w:eastAsia="Amiri" w:cs="Amiri" w:ascii="Amiri" w:hAnsi="Amiri"/>
          <w:color w:val="111111"/>
          <w:sz w:val="28"/>
          <w:szCs w:val="28"/>
          <w:rtl w:val="true"/>
          <w:lang w:bidi="ar-SA"/>
        </w:rPr>
        <w:t xml:space="preserve">: </w:t>
      </w:r>
      <w:r>
        <w:rPr>
          <w:rStyle w:val="FootnoteAnchor"/>
          <w:rtl w:val="true"/>
        </w:rPr>
        <w:footnoteReference w:id="1531"/>
      </w:r>
    </w:p>
    <w:p>
      <w:pPr>
        <w:pStyle w:val="BookText"/>
        <w:rPr/>
      </w:pPr>
      <w:r>
        <w:rPr>
          <w:rFonts w:ascii="IRNazanin" w:hAnsi="IRNazanin" w:eastAsia="IRNazanin"/>
          <w:color w:val="111111"/>
          <w:sz w:val="28"/>
          <w:sz w:val="28"/>
          <w:szCs w:val="28"/>
          <w:rtl w:val="true"/>
          <w:lang w:bidi="fa-IR"/>
        </w:rPr>
        <w:t>على باب استها صلب وشام</w:t>
      </w:r>
    </w:p>
    <w:p>
      <w:pPr>
        <w:pStyle w:val="BookText"/>
        <w:rPr/>
      </w:pPr>
      <w:r>
        <w:rPr>
          <w:rFonts w:ascii="Amiri" w:hAnsi="Amiri" w:eastAsia="Amiri" w:cs="Amiri"/>
          <w:color w:val="111111"/>
          <w:sz w:val="28"/>
          <w:sz w:val="28"/>
          <w:szCs w:val="28"/>
          <w:rtl w:val="true"/>
          <w:lang w:bidi="ar-SA"/>
        </w:rPr>
        <w:t xml:space="preserve">ورد في ديوانه ،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منسوبا له في شرح المفصل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 الشواهد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من غير نسبة في المقتضب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والخصائص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وأمالي ابن الشجري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والإنصاف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صليب ، والشام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شامة وهي نقطة سوداء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ولد الأخيطل أمّ سوء</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أسند الفعل إلى ضمير المؤنّث ، لزمت التاء ، سواء كان مؤنّثا حقيقيّا أو غير حقيقي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هند قامت ، والشمس طلعت ، لأنّ المضمر لمّا كان أشدّ اتصالا </w:t>
      </w:r>
    </w:p>
    <w:p>
      <w:pPr>
        <w:pStyle w:val="BookText"/>
        <w:rPr/>
      </w:pPr>
      <w:r>
        <w:rPr>
          <w:rFonts w:ascii="Amiri" w:hAnsi="Amiri" w:eastAsia="Amiri" w:cs="Amiri"/>
          <w:color w:val="111111"/>
          <w:sz w:val="28"/>
          <w:sz w:val="28"/>
          <w:szCs w:val="28"/>
          <w:rtl w:val="true"/>
          <w:lang w:bidi="ar-SA"/>
        </w:rPr>
        <w:t xml:space="preserve">بالفعل ، لزمت العلامة للفعل وأمّا قول الشّاعر </w:t>
      </w:r>
      <w:r>
        <w:rPr>
          <w:rFonts w:eastAsia="Amiri" w:cs="Amiri" w:ascii="Amiri" w:hAnsi="Amiri"/>
          <w:color w:val="111111"/>
          <w:sz w:val="28"/>
          <w:szCs w:val="28"/>
          <w:rtl w:val="true"/>
          <w:lang w:bidi="ar-SA"/>
        </w:rPr>
        <w:t xml:space="preserve">: </w:t>
      </w:r>
      <w:r>
        <w:rPr>
          <w:rStyle w:val="FootnoteAnchor"/>
          <w:rtl w:val="true"/>
        </w:rPr>
        <w:footnoteReference w:id="1532"/>
      </w:r>
    </w:p>
    <w:p>
      <w:pPr>
        <w:pStyle w:val="BookText"/>
        <w:rPr/>
      </w:pPr>
      <w:r>
        <w:rPr>
          <w:rFonts w:ascii="Amiri" w:hAnsi="Amiri" w:eastAsia="Amiri" w:cs="Amiri"/>
          <w:color w:val="111111"/>
          <w:sz w:val="28"/>
          <w:sz w:val="28"/>
          <w:szCs w:val="28"/>
          <w:rtl w:val="true"/>
          <w:lang w:bidi="ar-SA"/>
        </w:rPr>
        <w:t>فلا مزنة ودقت ودقها</w:t>
      </w:r>
    </w:p>
    <w:p>
      <w:pPr>
        <w:pStyle w:val="BookText"/>
        <w:rPr/>
      </w:pPr>
      <w:r>
        <w:rPr>
          <w:rFonts w:ascii="IRNazanin" w:hAnsi="IRNazanin" w:eastAsia="IRNazanin"/>
          <w:color w:val="111111"/>
          <w:sz w:val="28"/>
          <w:sz w:val="28"/>
          <w:szCs w:val="28"/>
          <w:rtl w:val="true"/>
          <w:lang w:bidi="fa-IR"/>
        </w:rPr>
        <w:t>ولا أرض أبقل إبقالها</w:t>
      </w:r>
    </w:p>
    <w:p>
      <w:pPr>
        <w:pStyle w:val="BookText"/>
        <w:rPr/>
      </w:pPr>
      <w:r>
        <w:rPr>
          <w:rFonts w:ascii="Amiri" w:hAnsi="Amiri" w:eastAsia="Amiri" w:cs="Amiri"/>
          <w:color w:val="111111"/>
          <w:sz w:val="28"/>
          <w:sz w:val="28"/>
          <w:szCs w:val="28"/>
          <w:rtl w:val="true"/>
          <w:lang w:bidi="ar-SA"/>
        </w:rPr>
        <w:t xml:space="preserve">بحذف العلامة من أبقل وهو مسند إلى ضمير الأرض ، فكان يجب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أبقلت ، فمؤوّل بأنّه أراد بالأرض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المكان والموضع ، لا يقال ما ذكرتموه يلزم منه 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طلحة جاءتني ، وجواز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جاءتني طلحة مع كونه اسم رجل لكونه مؤنّثا لفظيّا ، وهو خلاف المشهور ، 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تقدّم أن المعتبر في تأنيث الأعلام المعنى دون اللفظ ، فحينئذ لا يرد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وحكم الجمع إذا أسند الفعل إلى ظاهر كحكم المؤنّث غير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جمع المؤنّث السالم أو الجمع المكسّر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Style w:val="FootnoteAnchor"/>
          <w:rtl w:val="true"/>
        </w:rPr>
        <w:footnoteReference w:id="1533"/>
      </w:r>
      <w:r>
        <w:rPr>
          <w:rFonts w:ascii="Amiri" w:hAnsi="Amiri" w:eastAsia="Amiri" w:cs="Amiri"/>
          <w:color w:val="111111"/>
          <w:sz w:val="28"/>
          <w:sz w:val="28"/>
          <w:szCs w:val="28"/>
          <w:rtl w:val="true"/>
          <w:lang w:bidi="ar-SA"/>
        </w:rPr>
        <w:t xml:space="preserve">في جواز تذكير الفعل وتأنيثه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الرجال والزينبات ، وقامت الرجال والزينبات </w:t>
      </w:r>
      <w:r>
        <w:rPr>
          <w:rStyle w:val="FootnoteAnchor"/>
          <w:rtl w:val="true"/>
        </w:rPr>
        <w:footnoteReference w:id="1534"/>
      </w:r>
      <w:r>
        <w:rPr>
          <w:rFonts w:ascii="Amiri" w:hAnsi="Amiri" w:eastAsia="Amiri" w:cs="Amiri"/>
          <w:color w:val="111111"/>
          <w:sz w:val="28"/>
          <w:sz w:val="28"/>
          <w:szCs w:val="28"/>
          <w:rtl w:val="true"/>
          <w:lang w:bidi="ar-SA"/>
        </w:rPr>
        <w:t xml:space="preserve">خلا جمع المذكر السالم ، فإنّه لم يجز إلحاق التاء بفعله ، لأن لفظ المذكّر الحقيقي موجود فيه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المسلمون ليس إلّا </w:t>
      </w:r>
      <w:r>
        <w:rPr>
          <w:rStyle w:val="FootnoteAnchor"/>
          <w:rtl w:val="true"/>
        </w:rPr>
        <w:footnoteReference w:id="1535"/>
      </w:r>
      <w:r>
        <w:rPr>
          <w:rFonts w:ascii="Amiri" w:hAnsi="Amiri" w:eastAsia="Amiri" w:cs="Amiri"/>
          <w:color w:val="111111"/>
          <w:sz w:val="28"/>
          <w:sz w:val="28"/>
          <w:szCs w:val="28"/>
          <w:rtl w:val="true"/>
          <w:lang w:bidi="ar-SA"/>
        </w:rPr>
        <w:t>وإلحاق هذه التاء إنّما هو للإيذان بأنّ الفاعل مؤنث وليس بضمير أصلا</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أنّه يجب تأنيث الفعل إذا أسند إلى ظاهر المثنّى الحقيقي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قامت المسلمتان ليس إلّا ، بخلاف ما إذا أسند إلى ظاهر جمع المؤنّث الحقيقي حيث جاز فيه الأمران ، أعني تذكير الفعل وتأنيثه ، كما تقدّم ، وإنّما كان كذلك ، لأنّ تاء التأنيث سقطت من الواحدة في جمع المؤنّث السالم لئلا يجتمع تأنيثان ، وثبتت في المثنّى ، </w:t>
      </w:r>
      <w:bookmarkStart w:id="520" w:name="pg14482_156278"/>
    </w:p>
    <w:p>
      <w:pPr>
        <w:pStyle w:val="BookText"/>
        <w:rPr/>
      </w:pPr>
      <w:bookmarkEnd w:id="520"/>
      <w:r>
        <w:rPr>
          <w:rFonts w:ascii="Amiri" w:hAnsi="Amiri" w:eastAsia="Amiri" w:cs="Amiri"/>
          <w:color w:val="111111"/>
          <w:sz w:val="28"/>
          <w:sz w:val="28"/>
          <w:szCs w:val="28"/>
          <w:rtl w:val="true"/>
          <w:lang w:bidi="ar-SA"/>
        </w:rPr>
        <w:t xml:space="preserve">فوجب تأنيث الفعل حيث ثبتت ، ولم يجز حيث سقطت ، وإذا أسند الفعل إلى ضمير جمع من يعقل غير المذكّر السّالم </w:t>
      </w:r>
      <w:r>
        <w:rPr>
          <w:rStyle w:val="FootnoteAnchor"/>
          <w:rtl w:val="true"/>
        </w:rPr>
        <w:footnoteReference w:id="1536"/>
      </w:r>
      <w:r>
        <w:rPr>
          <w:rFonts w:ascii="Amiri" w:hAnsi="Amiri" w:eastAsia="Amiri" w:cs="Amiri"/>
          <w:color w:val="111111"/>
          <w:sz w:val="28"/>
          <w:sz w:val="28"/>
          <w:szCs w:val="28"/>
          <w:rtl w:val="true"/>
          <w:lang w:bidi="ar-SA"/>
        </w:rPr>
        <w:t xml:space="preserve">جاز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فعلت وفعلوا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الرجال خرجت باعتبار الجماعة ، وخرجوا باعتبار الجمع ، وأمّا جمع المذكّر السّالم فلا يجوز في ضميره إلّا الواو فقط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المسلمون قدموا ، ولا يجوز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الزيدون قدمت ، وكذلك ما أشبهه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أسند الفعل إلى ضمير جمع غير المذكّر العاقل جاز فيه فعلت وفعلن ، وغير المذكّر العاقل ثلاثة أنواع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المؤنّث اللفظي ، وجمع المؤنّث التقديري ، وجمع المذكّر غير العاقل ، فإنّ هذه الجموع إذا أسندت </w:t>
      </w:r>
      <w:r>
        <w:rPr>
          <w:rStyle w:val="FootnoteAnchor"/>
          <w:rtl w:val="true"/>
        </w:rPr>
        <w:footnoteReference w:id="1537"/>
      </w:r>
      <w:r>
        <w:rPr>
          <w:rFonts w:ascii="Amiri" w:hAnsi="Amiri" w:eastAsia="Amiri" w:cs="Amiri"/>
          <w:color w:val="111111"/>
          <w:sz w:val="28"/>
          <w:sz w:val="28"/>
          <w:szCs w:val="28"/>
          <w:rtl w:val="true"/>
          <w:lang w:bidi="ar-SA"/>
        </w:rPr>
        <w:t xml:space="preserve">الفعل إلى ضمائرها ، جاز فيه الأمران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المسلمات والليالي والهندات والعيون والأيام حسنت وحسنّ</w:t>
      </w:r>
      <w:r>
        <w:rPr>
          <w:rFonts w:eastAsia="Amiri" w:cs="Amiri" w:ascii="Amiri" w:hAnsi="Amiri"/>
          <w:color w:val="111111"/>
          <w:sz w:val="28"/>
          <w:szCs w:val="28"/>
          <w:rtl w:val="true"/>
          <w:lang w:bidi="ar-SA"/>
        </w:rPr>
        <w:t>]</w:t>
      </w:r>
      <w:r>
        <w:rPr>
          <w:rStyle w:val="FootnoteAnchor"/>
          <w:rtl w:val="true"/>
        </w:rPr>
        <w:footnoteReference w:id="1538"/>
      </w:r>
      <w:r>
        <w:rPr>
          <w:rFonts w:ascii="Amiri" w:hAnsi="Amiri" w:eastAsia="Amiri" w:cs="Amiri"/>
          <w:color w:val="111111"/>
          <w:sz w:val="28"/>
          <w:sz w:val="28"/>
          <w:szCs w:val="28"/>
          <w:rtl w:val="true"/>
          <w:lang w:bidi="ar-SA"/>
        </w:rPr>
        <w:t xml:space="preserve">وأمّا حكم الضمائر ، فيجوز في ضمير جمع المذكّر العاقل المكسّر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الرجال ، أن تقول ضربتهم وضربتها ، وفي ضمير جمع غير المذكّر العاقل وهو الأنواع الثلاثة المذكورة أعني المؤنث اللفظيّ والمؤنث التقديري ، والمذكّر الغير العاقل ،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المسلمات والليالي والهندات والعيون والأيام أكرمتهنّ وأكرمتها ، وأما في ضمير جمع المذكّر السالم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المسلمين والزيدين فلا يجوز أن تقول غير أكرمتهم فقط ، فحاصل ذلك ، أنّ أكرمتهنّ تختصّ بالأنواع الثلاثة المذكورة ، وأكرمتها مشترك بين الأنواع الثلاثة ، وبين الجمع المكسّر للمذكّر العاقل ، وأكرمتهم مشترك بين جمع المذكّر السّالم والجمع المكسّر للمذكّر العاقل المذكور </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1" w:name="__RefHeading___Toc716898_996550957"/>
      <w:bookmarkStart w:id="522" w:name="_Toc190"/>
      <w:bookmarkEnd w:id="521"/>
      <w:r>
        <w:rPr>
          <w:rtl w:val="true"/>
        </w:rPr>
        <w:t>ذكر التثنية</w:t>
      </w:r>
      <w:bookmarkEnd w:id="522"/>
    </w:p>
    <w:p>
      <w:pPr>
        <w:pStyle w:val="Heading5"/>
        <w:numPr>
          <w:ilvl w:val="4"/>
          <w:numId w:val="1"/>
        </w:numPr>
        <w:rPr/>
      </w:pPr>
      <w:bookmarkStart w:id="523" w:name="__RefHeading___Toc716900_996550957"/>
      <w:bookmarkStart w:id="524" w:name="_Toc191"/>
      <w:bookmarkEnd w:id="523"/>
      <w:r>
        <w:rPr>
          <w:rtl w:val="true"/>
        </w:rPr>
        <w:t>اشارة</w:t>
      </w:r>
      <w:bookmarkEnd w:id="524"/>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5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التثنية أصلها العطف بدليل أنّ الشّاعر إذا اضطر راجع الأصل كقوله </w:t>
      </w:r>
      <w:r>
        <w:rPr>
          <w:rFonts w:eastAsia="Amiri" w:cs="Amiri" w:ascii="Amiri" w:hAnsi="Amiri"/>
          <w:color w:val="111111"/>
          <w:sz w:val="28"/>
          <w:szCs w:val="28"/>
          <w:rtl w:val="true"/>
          <w:lang w:bidi="ar-SA"/>
        </w:rPr>
        <w:t xml:space="preserve">: </w:t>
      </w:r>
      <w:r>
        <w:rPr>
          <w:rStyle w:val="FootnoteAnchor"/>
          <w:rtl w:val="true"/>
        </w:rPr>
        <w:footnoteReference w:id="1541"/>
      </w:r>
      <w:bookmarkStart w:id="525" w:name="pg14482_156279"/>
    </w:p>
    <w:p>
      <w:pPr>
        <w:pStyle w:val="BookText"/>
        <w:rPr/>
      </w:pPr>
      <w:bookmarkEnd w:id="525"/>
      <w:r>
        <w:rPr>
          <w:rFonts w:ascii="Amiri" w:hAnsi="Amiri" w:eastAsia="Amiri" w:cs="Amiri"/>
          <w:color w:val="111111"/>
          <w:sz w:val="28"/>
          <w:sz w:val="28"/>
          <w:szCs w:val="28"/>
          <w:rtl w:val="true"/>
          <w:lang w:bidi="ar-SA"/>
        </w:rPr>
        <w:t>كأنّ بين فكّها والفكّ</w:t>
      </w:r>
    </w:p>
    <w:p>
      <w:pPr>
        <w:pStyle w:val="BookText"/>
        <w:rPr/>
      </w:pPr>
      <w:r>
        <w:rPr>
          <w:rFonts w:ascii="Amiri" w:hAnsi="Amiri" w:eastAsia="Amiri" w:cs="Amiri"/>
          <w:color w:val="111111"/>
          <w:sz w:val="28"/>
          <w:sz w:val="28"/>
          <w:szCs w:val="28"/>
          <w:rtl w:val="true"/>
          <w:lang w:bidi="ar-SA"/>
        </w:rPr>
        <w:t>فأرة مسك ذبحت في سكّ</w:t>
      </w:r>
    </w:p>
    <w:p>
      <w:pPr>
        <w:pStyle w:val="BookText"/>
        <w:rPr/>
      </w:pPr>
      <w:r>
        <w:rPr>
          <w:rFonts w:ascii="Amiri" w:hAnsi="Amiri" w:eastAsia="Amiri" w:cs="Amiri"/>
          <w:color w:val="111111"/>
          <w:sz w:val="28"/>
          <w:sz w:val="28"/>
          <w:szCs w:val="28"/>
          <w:rtl w:val="true"/>
          <w:lang w:bidi="ar-SA"/>
        </w:rPr>
        <w:t xml:space="preserve">وإنّما عدل عنه إيجازا واختصارا ، والمثنّى في الاصطلاح ، هو ما لحق آخره ألف في حال الرفع ، أو ياء مفتوح ما قبلها في حال النصب والجر ونون مكسورة ، ليدلّ على أنّ معه مثله من جنسه ، واعلم أنّه لا بدّ في التثنية من اتحاد اللفظين فإذا ثنّيت مختلفي اللفظ ، فالوجه أن تغلّب أحد اللفظين على الآخر كالقمرين والعمرين </w:t>
      </w:r>
      <w:r>
        <w:rPr>
          <w:rStyle w:val="FootnoteAnchor"/>
          <w:rtl w:val="true"/>
        </w:rPr>
        <w:footnoteReference w:id="1542"/>
      </w:r>
      <w:r>
        <w:rPr>
          <w:rFonts w:ascii="Amiri" w:hAnsi="Amiri" w:eastAsia="Amiri" w:cs="Amiri"/>
          <w:color w:val="111111"/>
          <w:sz w:val="28"/>
          <w:sz w:val="28"/>
          <w:szCs w:val="28"/>
          <w:rtl w:val="true"/>
          <w:lang w:bidi="ar-SA"/>
        </w:rPr>
        <w:t xml:space="preserve">وأمّا تثنية الاسم المشترك باعتبار مدلوليه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عينان وأنت تريد بهما العين الباصرة والعين الفوّارة ، فممنوع عند الأكثر ، وأجازه بعضهم محتجّا بأنّ نسبة الاسم المشترك إلى مسميّاته كنسبة العلم المشترك إلى مسميّاته وتثنية العلم المشترك جائزة بالاتفاق فكذلك المشترك </w:t>
      </w:r>
      <w:r>
        <w:rPr>
          <w:rStyle w:val="FootnoteAnchor"/>
          <w:rtl w:val="true"/>
        </w:rPr>
        <w:footnoteReference w:id="15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6" w:name="__RefHeading___Toc716902_996550957"/>
      <w:bookmarkStart w:id="527" w:name="_Toc192"/>
      <w:bookmarkEnd w:id="526"/>
      <w:r>
        <w:rPr>
          <w:rtl w:val="true"/>
        </w:rPr>
        <w:t>ذكر تثنية الملحق بالصحيح ، والمقصور والممدود</w:t>
      </w:r>
      <w:bookmarkEnd w:id="527"/>
    </w:p>
    <w:p>
      <w:pPr>
        <w:pStyle w:val="BookText"/>
        <w:rPr/>
      </w:pPr>
      <w:r>
        <w:rPr>
          <w:rStyle w:val="FootnoteAnchor"/>
          <w:rtl w:val="true"/>
        </w:rPr>
        <w:footnoteReference w:id="15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الملحق بالصحيح ، وهو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ظبي والقاضي ، فيثنّى كالصحيح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ظبيان وقاضيان ، وظبيين وقاضيين ، وأمّا المقصور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آخره ألف ؛ فهو إن كان ثلاثيّا وألفه بدل عن واو ، فيثنّى بقلب ألفه واوا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عصوين ، وإن لم يكن كذلك فهو على خمسة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الثلاثيّ الذي ألفه بدل عن الياء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فتى</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الثلاثي الذي ألفه ليست بدلا عن الواو ولا عن الياء وسمع فيه الإمالة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 لو سمّي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يكون ثلاثيّا وألفه بدل عن واو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يكون ثلاثيّا وألفه بدل عن ياء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يكون ثلاثيّا وألفه ليست بدلا عن واو ولا عن ياء ، نحو حبارى ، فإنّ ألف هذه الأقسام كلها تقلب ياء في التثنية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فتيان ومتيان ، وملهيان ، وأعشيان ، وحباريان ، لكون الياء أخفّ من الواو </w:t>
      </w:r>
      <w:r>
        <w:rPr>
          <w:rStyle w:val="FootnoteAnchor"/>
          <w:rtl w:val="true"/>
        </w:rPr>
        <w:footnoteReference w:id="1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الممدود وهو ما كان في آخره همزة ، قبلها ألف زائدة فهو أربعة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همزته أصلية كقّراء بضم القاف وهو المتنسّك </w:t>
      </w:r>
      <w:r>
        <w:rPr>
          <w:rStyle w:val="FootnoteAnchor"/>
          <w:rtl w:val="true"/>
        </w:rPr>
        <w:footnoteReference w:id="1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همزته زائدة للإلحاق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حرباء ملحقا بسرداح ، فيثنّى هذان القسمان بثبوت الهمزة فيهما لكونها أصلية أو في حكم الهمزة الأصليّة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قرّاءان ، وحرباءان ، ومنهم من يقلب الهمزة التي للإلحاق ياء فيقول في حرباء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حربايان ، كأنّ الزائد عنده للإلحاق هو الياء ثمّ قلبت همزة لوقوعها بعد ألف زائدة </w:t>
      </w:r>
      <w:r>
        <w:rPr>
          <w:rStyle w:val="FootnoteAnchor"/>
          <w:rtl w:val="true"/>
        </w:rPr>
        <w:footnoteReference w:id="1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همزته زائدة للتأنيث ، فيثنّى بقلب همزته واوا ، إيذانا بزيادتها ، وفرقا بينها وبين الأصليّة فتقول في صحراء وحمراء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صحراوان وحمراوان ، </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همزته لا أصلية ولا للإلحاق ولا للتأنيث بل تكون منقلبة عن أصل ، فيثنّى على الوجهين بردّها إلى أصلها ، وإثباتها على حالها ، لمشابهتها الأصليّة من حيث كونها غير زائدة فتقول في كساء ورداء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كساوان وردايان ، وكساءان ورداءان </w:t>
      </w:r>
      <w:r>
        <w:rPr>
          <w:rStyle w:val="FootnoteAnchor"/>
          <w:rtl w:val="true"/>
        </w:rPr>
        <w:footnoteReference w:id="1548"/>
      </w:r>
      <w:r>
        <w:rPr>
          <w:rFonts w:ascii="IRNazanin" w:hAnsi="IRNazanin" w:eastAsia="IRNazanin"/>
          <w:color w:val="111111"/>
          <w:sz w:val="28"/>
          <w:sz w:val="28"/>
          <w:szCs w:val="28"/>
          <w:rtl w:val="true"/>
          <w:lang w:bidi="fa-IR"/>
        </w:rPr>
        <w:t xml:space="preserve">وتحذف نون المثنّى لإضافته </w:t>
      </w:r>
      <w:r>
        <w:rPr>
          <w:rStyle w:val="FootnoteAnchor"/>
          <w:rtl w:val="true"/>
        </w:rPr>
        <w:footnoteReference w:id="1549"/>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ضاربا زيد ، لكون الإضافة تدلّ على الاتصال وثبوت النون يدلّ على الانفصال ، وقد تحذف في غير الإضافة لضرورة </w:t>
      </w:r>
      <w:bookmarkStart w:id="528" w:name="pg14482_156281"/>
    </w:p>
    <w:p>
      <w:pPr>
        <w:pStyle w:val="BookText"/>
        <w:rPr/>
      </w:pPr>
      <w:bookmarkEnd w:id="528"/>
      <w:r>
        <w:rPr>
          <w:rFonts w:ascii="Amiri" w:hAnsi="Amiri" w:eastAsia="Amiri" w:cs="Amiri"/>
          <w:color w:val="111111"/>
          <w:sz w:val="28"/>
          <w:sz w:val="28"/>
          <w:szCs w:val="28"/>
          <w:rtl w:val="true"/>
          <w:lang w:bidi="ar-SA"/>
        </w:rPr>
        <w:t xml:space="preserve">الشعر كقول الشّاعر </w:t>
      </w:r>
      <w:r>
        <w:rPr>
          <w:rFonts w:eastAsia="Amiri" w:cs="Amiri" w:ascii="Amiri" w:hAnsi="Amiri"/>
          <w:color w:val="111111"/>
          <w:sz w:val="28"/>
          <w:szCs w:val="28"/>
          <w:rtl w:val="true"/>
          <w:lang w:bidi="ar-SA"/>
        </w:rPr>
        <w:t xml:space="preserve">: </w:t>
      </w:r>
      <w:r>
        <w:rPr>
          <w:rStyle w:val="FootnoteAnchor"/>
          <w:rtl w:val="true"/>
        </w:rPr>
        <w:footnoteReference w:id="1550"/>
      </w:r>
    </w:p>
    <w:p>
      <w:pPr>
        <w:pStyle w:val="BookText"/>
        <w:rPr/>
      </w:pPr>
      <w:r>
        <w:rPr>
          <w:rFonts w:ascii="Amiri" w:hAnsi="Amiri" w:eastAsia="Amiri" w:cs="Amiri"/>
          <w:color w:val="111111"/>
          <w:sz w:val="28"/>
          <w:sz w:val="28"/>
          <w:szCs w:val="28"/>
          <w:rtl w:val="true"/>
          <w:lang w:bidi="ar-SA"/>
        </w:rPr>
        <w:t>هما خطّتا إمّا إسار ومنّة</w:t>
      </w:r>
    </w:p>
    <w:p>
      <w:pPr>
        <w:pStyle w:val="BookText"/>
        <w:rPr/>
      </w:pPr>
      <w:r>
        <w:rPr>
          <w:rFonts w:ascii="IRNazanin" w:hAnsi="IRNazanin" w:eastAsia="IRNazanin"/>
          <w:color w:val="111111"/>
          <w:sz w:val="28"/>
          <w:sz w:val="28"/>
          <w:szCs w:val="28"/>
          <w:rtl w:val="true"/>
          <w:lang w:bidi="fa-IR"/>
        </w:rPr>
        <w:t>وإمّا دم والقتل بالحرّ أجدر</w:t>
      </w:r>
    </w:p>
    <w:p>
      <w:pPr>
        <w:pStyle w:val="BookText"/>
        <w:rPr/>
      </w:pPr>
      <w:r>
        <w:rPr>
          <w:rFonts w:ascii="Amiri" w:hAnsi="Amiri" w:eastAsia="Amiri" w:cs="Amiri"/>
          <w:color w:val="111111"/>
          <w:sz w:val="28"/>
          <w:sz w:val="28"/>
          <w:szCs w:val="28"/>
          <w:rtl w:val="true"/>
          <w:lang w:bidi="ar-SA"/>
        </w:rPr>
        <w:t xml:space="preserve">فيمن رفع فيه إسار ، وأمّا من جرّه ، فإنّه فصل بين المضاف والمضاف إليه بإمّا ، وقد تحذف ألف التثنية إذا لقيها ساكن بعدها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غلاما الرجل ، وأمّا ياؤها فإن لاقت متحركا بقيت ساكنة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غلامي زيد </w:t>
      </w:r>
      <w:r>
        <w:rPr>
          <w:rStyle w:val="FootnoteAnchor"/>
          <w:rtl w:val="true"/>
        </w:rPr>
        <w:footnoteReference w:id="1551"/>
      </w:r>
      <w:r>
        <w:rPr>
          <w:rFonts w:ascii="Amiri" w:hAnsi="Amiri" w:eastAsia="Amiri" w:cs="Amiri"/>
          <w:color w:val="111111"/>
          <w:sz w:val="28"/>
          <w:sz w:val="28"/>
          <w:szCs w:val="28"/>
          <w:rtl w:val="true"/>
          <w:lang w:bidi="ar-SA"/>
        </w:rPr>
        <w:t xml:space="preserve">وإن لاقت ساكنا كسرت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صاحِبَيِ السِّجْنِ</w:t>
      </w:r>
      <w:r>
        <w:rPr>
          <w:rFonts w:eastAsia="Amiri" w:cs="Amiri" w:ascii="Amiri" w:hAnsi="Amiri"/>
          <w:color w:val="111111"/>
          <w:sz w:val="28"/>
          <w:szCs w:val="28"/>
          <w:rtl w:val="true"/>
          <w:lang w:bidi="ar-SA"/>
        </w:rPr>
        <w:t>)</w:t>
      </w:r>
      <w:r>
        <w:rPr>
          <w:rStyle w:val="FootnoteAnchor"/>
          <w:rtl w:val="true"/>
        </w:rPr>
        <w:footnoteReference w:id="1552"/>
      </w:r>
      <w:r>
        <w:rPr>
          <w:rFonts w:ascii="Amiri" w:hAnsi="Amiri" w:eastAsia="Amiri" w:cs="Amiri"/>
          <w:color w:val="111111"/>
          <w:sz w:val="28"/>
          <w:sz w:val="28"/>
          <w:szCs w:val="28"/>
          <w:rtl w:val="true"/>
          <w:lang w:bidi="ar-SA"/>
        </w:rPr>
        <w:t xml:space="preserve">وتثبت تاء المؤنّث في التثنية لئلا يلتبس المؤنّث بالمذكّر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مسلمتان ، وحذفت على خلاف القياس في خصية وألية ، عند تثنيتهما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خصيان وأليان ، وخصيين وأليين ، قال </w:t>
      </w:r>
      <w:r>
        <w:rPr>
          <w:rFonts w:eastAsia="Amiri" w:cs="Amiri" w:ascii="Amiri" w:hAnsi="Amiri"/>
          <w:color w:val="111111"/>
          <w:sz w:val="28"/>
          <w:szCs w:val="28"/>
          <w:rtl w:val="true"/>
          <w:lang w:bidi="ar-SA"/>
        </w:rPr>
        <w:t xml:space="preserve">: </w:t>
      </w:r>
      <w:r>
        <w:rPr>
          <w:rStyle w:val="FootnoteAnchor"/>
          <w:rtl w:val="true"/>
        </w:rPr>
        <w:footnoteReference w:id="1553"/>
      </w:r>
    </w:p>
    <w:p>
      <w:pPr>
        <w:pStyle w:val="BookText"/>
        <w:rPr/>
      </w:pPr>
      <w:r>
        <w:rPr>
          <w:rFonts w:ascii="Amiri" w:hAnsi="Amiri" w:eastAsia="Amiri" w:cs="Amiri"/>
          <w:color w:val="111111"/>
          <w:sz w:val="28"/>
          <w:sz w:val="28"/>
          <w:szCs w:val="28"/>
          <w:rtl w:val="true"/>
          <w:lang w:bidi="ar-SA"/>
        </w:rPr>
        <w:t>ترتجّ ألياه ارتجاج الوطب</w:t>
      </w:r>
    </w:p>
    <w:p>
      <w:pPr>
        <w:pStyle w:val="BookText"/>
        <w:rPr/>
      </w:pPr>
      <w:r>
        <w:rPr>
          <w:rFonts w:ascii="Amiri" w:hAnsi="Amiri" w:eastAsia="Amiri" w:cs="Amiri"/>
          <w:color w:val="111111"/>
          <w:sz w:val="28"/>
          <w:sz w:val="28"/>
          <w:szCs w:val="28"/>
          <w:rtl w:val="true"/>
          <w:lang w:bidi="ar-SA"/>
        </w:rPr>
        <w:t xml:space="preserve">لعدم التباس المذكّر بالمؤنّث فيه ، وقد جاء إثباتها فيهما ، وهو القياس والحذف أكثر استعمالا </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9" w:name="__RefHeading___Toc716904_996550957"/>
      <w:bookmarkStart w:id="530" w:name="_Toc193"/>
      <w:bookmarkEnd w:id="529"/>
      <w:r>
        <w:rPr>
          <w:rtl w:val="true"/>
        </w:rPr>
        <w:t>ذكر الجمع</w:t>
      </w:r>
      <w:bookmarkEnd w:id="530"/>
    </w:p>
    <w:p>
      <w:pPr>
        <w:pStyle w:val="Heading5"/>
        <w:numPr>
          <w:ilvl w:val="4"/>
          <w:numId w:val="1"/>
        </w:numPr>
        <w:rPr/>
      </w:pPr>
      <w:bookmarkStart w:id="531" w:name="__RefHeading___Toc716906_996550957"/>
      <w:bookmarkStart w:id="532" w:name="_Toc194"/>
      <w:bookmarkEnd w:id="531"/>
      <w:r>
        <w:rPr>
          <w:rtl w:val="true"/>
        </w:rPr>
        <w:t>اشارة</w:t>
      </w:r>
      <w:bookmarkEnd w:id="532"/>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5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ما دلّ على آحاد مقصودة بحروف مفردة بتغيير ما </w:t>
      </w:r>
      <w:r>
        <w:rPr>
          <w:rStyle w:val="FootnoteAnchor"/>
          <w:rtl w:val="true"/>
        </w:rPr>
        <w:footnoteReference w:id="15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آحاد ، يخرج به المفرد والتثنية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مقصودة بحروف مفردة ، يخرج به أسماء </w:t>
      </w:r>
    </w:p>
    <w:p>
      <w:pPr>
        <w:pStyle w:val="BookText"/>
        <w:rPr/>
      </w:pPr>
      <w:r>
        <w:rPr>
          <w:rFonts w:ascii="Amiri" w:hAnsi="Amiri" w:eastAsia="Amiri" w:cs="Amiri"/>
          <w:color w:val="111111"/>
          <w:sz w:val="28"/>
          <w:sz w:val="28"/>
          <w:szCs w:val="28"/>
          <w:rtl w:val="true"/>
          <w:lang w:bidi="ar-SA"/>
        </w:rPr>
        <w:t xml:space="preserve">الجموع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رهط فإنّه ليس له مفرد </w:t>
      </w:r>
      <w:r>
        <w:rPr>
          <w:rStyle w:val="FootnoteAnchor"/>
          <w:rtl w:val="true"/>
        </w:rPr>
        <w:footnoteReference w:id="1557"/>
      </w:r>
      <w:r>
        <w:rPr>
          <w:rFonts w:ascii="Amiri" w:hAnsi="Amiri" w:eastAsia="Amiri" w:cs="Amiri"/>
          <w:color w:val="111111"/>
          <w:sz w:val="28"/>
          <w:sz w:val="28"/>
          <w:szCs w:val="28"/>
          <w:rtl w:val="true"/>
          <w:lang w:bidi="ar-SA"/>
        </w:rPr>
        <w:t xml:space="preserve">ويدخل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 فإنه دال على آحاد بحروف مفرده ، وقوله بتغيير ما ، يعني أي تغيير فرضيّ ، ولو في التقدير كما سنذكر في فلك وهجان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تمر وركب ليس بجمع على الأصحّ </w:t>
      </w:r>
      <w:r>
        <w:rPr>
          <w:rStyle w:val="FootnoteAnchor"/>
          <w:rtl w:val="true"/>
        </w:rPr>
        <w:footnoteReference w:id="1558"/>
      </w:r>
      <w:r>
        <w:rPr>
          <w:rFonts w:ascii="Amiri" w:hAnsi="Amiri" w:eastAsia="Amiri" w:cs="Amiri"/>
          <w:color w:val="111111"/>
          <w:sz w:val="28"/>
          <w:sz w:val="28"/>
          <w:szCs w:val="28"/>
          <w:rtl w:val="true"/>
          <w:lang w:bidi="ar-SA"/>
        </w:rPr>
        <w:t xml:space="preserve">وأجاز الكوفيون في تمر ونحوه ، والأخفش في ركب ونحوه ، أن يكونا جمعين والصحيح الأوّل ، لأنّ وزن تمر وركب فعل ، وفعل ليس من أبنية الجموع ، ولأنّ تمرا اسم جنس ، كعسل وأسماء الأجناس ليست بجمع </w:t>
      </w:r>
      <w:r>
        <w:rPr>
          <w:rStyle w:val="FootnoteAnchor"/>
          <w:rtl w:val="true"/>
        </w:rPr>
        <w:footnoteReference w:id="1559"/>
      </w:r>
      <w:r>
        <w:rPr>
          <w:rFonts w:ascii="Amiri" w:hAnsi="Amiri" w:eastAsia="Amiri" w:cs="Amiri"/>
          <w:color w:val="111111"/>
          <w:sz w:val="28"/>
          <w:sz w:val="28"/>
          <w:szCs w:val="28"/>
          <w:rtl w:val="true"/>
          <w:lang w:bidi="ar-SA"/>
        </w:rPr>
        <w:t xml:space="preserve">، والفلك والهجان جمع عند جماعة </w:t>
      </w:r>
      <w:r>
        <w:rPr>
          <w:rStyle w:val="FootnoteAnchor"/>
          <w:rtl w:val="true"/>
        </w:rPr>
        <w:footnoteReference w:id="1560"/>
      </w:r>
      <w:r>
        <w:rPr>
          <w:rFonts w:ascii="Amiri" w:hAnsi="Amiri" w:eastAsia="Amiri" w:cs="Amiri"/>
          <w:color w:val="111111"/>
          <w:sz w:val="28"/>
          <w:sz w:val="28"/>
          <w:szCs w:val="28"/>
          <w:rtl w:val="true"/>
          <w:lang w:bidi="ar-SA"/>
        </w:rPr>
        <w:t xml:space="preserve">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ضمّة فلك في المفرد كضمّة قفل ، وضمّة فلك في الجمع كضمّة أسد وسقف ، وإنّ كسرة هجان في المفرد ككسرة كتاب وحمار ، وكسرة هجان في الجمع ككسرة رجال </w:t>
      </w:r>
      <w:r>
        <w:rPr>
          <w:rStyle w:val="FootnoteAnchor"/>
          <w:rtl w:val="true"/>
        </w:rPr>
        <w:footnoteReference w:id="1561"/>
      </w:r>
      <w:r>
        <w:rPr>
          <w:rFonts w:ascii="Amiri" w:hAnsi="Amiri" w:eastAsia="Amiri" w:cs="Amiri"/>
          <w:color w:val="111111"/>
          <w:sz w:val="28"/>
          <w:sz w:val="28"/>
          <w:szCs w:val="28"/>
          <w:rtl w:val="true"/>
          <w:lang w:bidi="ar-SA"/>
        </w:rPr>
        <w:t xml:space="preserve">، وهجان يقع على الواحد والجمع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هجان ونوق هجان ، والهجان الإبل البيض</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أنّه قد اختلف في أقلّ الجمع فذهب الأكثرون إلى أنّه ثلاثة لأنّ لفظ التثنية مغاير للفظ الجمع ، فوجب أن يكون معنى التثنية مغايرا لمعنى الجمع ، فلا تصدق التثنية على أقل الجمع </w:t>
      </w:r>
      <w:r>
        <w:rPr>
          <w:rStyle w:val="FootnoteAnchor"/>
          <w:rtl w:val="true"/>
        </w:rPr>
        <w:footnoteReference w:id="1562"/>
      </w:r>
      <w:r>
        <w:rPr>
          <w:rFonts w:ascii="Amiri" w:hAnsi="Amiri" w:eastAsia="Amiri" w:cs="Amiri"/>
          <w:color w:val="111111"/>
          <w:sz w:val="28"/>
          <w:sz w:val="28"/>
          <w:szCs w:val="28"/>
          <w:rtl w:val="true"/>
          <w:lang w:bidi="ar-SA"/>
        </w:rPr>
        <w:t xml:space="preserve">، وذهب بعضهم إلى أنّ أقلّ الجمع اثنان لعود ضمير الجمع على الاثنين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طائِفَتانِ مِنَ الْمُؤْمِنِينَ اقْتَتَلُوا</w:t>
      </w:r>
      <w:r>
        <w:rPr>
          <w:rFonts w:eastAsia="Amiri" w:cs="Amiri" w:ascii="Amiri" w:hAnsi="Amiri"/>
          <w:color w:val="111111"/>
          <w:sz w:val="28"/>
          <w:szCs w:val="28"/>
          <w:rtl w:val="true"/>
          <w:lang w:bidi="ar-SA"/>
        </w:rPr>
        <w:t>)</w:t>
      </w:r>
      <w:r>
        <w:rPr>
          <w:rStyle w:val="FootnoteAnchor"/>
          <w:rtl w:val="true"/>
        </w:rPr>
        <w:footnoteReference w:id="1563"/>
      </w:r>
      <w:r>
        <w:rPr>
          <w:rFonts w:ascii="Amiri" w:hAnsi="Amiri" w:eastAsia="Amiri" w:cs="Amiri"/>
          <w:color w:val="111111"/>
          <w:sz w:val="28"/>
          <w:sz w:val="28"/>
          <w:szCs w:val="28"/>
          <w:rtl w:val="true"/>
          <w:lang w:bidi="ar-SA"/>
        </w:rPr>
        <w:t xml:space="preserve">وأيضا فلاشتراك تثنية المتكلّم وجمعه في الضمير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قمنا ، والجمع إمّا صحيح ؛ وهو ما </w:t>
      </w:r>
      <w:bookmarkStart w:id="533" w:name="pg14482_156283"/>
    </w:p>
    <w:p>
      <w:pPr>
        <w:pStyle w:val="BookText"/>
        <w:rPr/>
      </w:pPr>
      <w:bookmarkEnd w:id="533"/>
      <w:r>
        <w:rPr>
          <w:rFonts w:ascii="Amiri" w:hAnsi="Amiri" w:eastAsia="Amiri" w:cs="Amiri"/>
          <w:color w:val="111111"/>
          <w:sz w:val="28"/>
          <w:sz w:val="28"/>
          <w:szCs w:val="28"/>
          <w:rtl w:val="true"/>
          <w:lang w:bidi="ar-SA"/>
        </w:rPr>
        <w:t>سلم فيه بناء الواحد ونظمه ، وإمّا مكسّر ؛ وهو ما لم يسلم فيه ، والصحيح إمّا لمؤنّث ويأتي بيانه ، وإمّا لمذكّر</w:t>
      </w:r>
      <w:r>
        <w:rPr>
          <w:rFonts w:eastAsia="Amiri" w:cs="Amiri" w:ascii="Amiri" w:hAnsi="Amiri"/>
          <w:color w:val="111111"/>
          <w:sz w:val="28"/>
          <w:szCs w:val="28"/>
          <w:rtl w:val="true"/>
          <w:lang w:bidi="ar-SA"/>
        </w:rPr>
        <w:t>.</w:t>
      </w:r>
    </w:p>
    <w:p>
      <w:pPr>
        <w:pStyle w:val="Heading5"/>
        <w:numPr>
          <w:ilvl w:val="4"/>
          <w:numId w:val="1"/>
        </w:numPr>
        <w:rPr/>
      </w:pPr>
      <w:bookmarkStart w:id="534" w:name="__RefHeading___Toc716908_996550957"/>
      <w:bookmarkStart w:id="535" w:name="_Toc195"/>
      <w:bookmarkEnd w:id="534"/>
      <w:r>
        <w:rPr>
          <w:rtl w:val="true"/>
        </w:rPr>
        <w:t>ذكر جمع المذكّر السّالم</w:t>
      </w:r>
      <w:bookmarkEnd w:id="535"/>
    </w:p>
    <w:p>
      <w:pPr>
        <w:pStyle w:val="BookText"/>
        <w:rPr/>
      </w:pPr>
      <w:r>
        <w:rPr>
          <w:rStyle w:val="FootnoteAnchor"/>
          <w:rtl w:val="true"/>
        </w:rPr>
        <w:footnoteReference w:id="15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لحقته واو مضموم ما قبلها رفعا ، أو ياء مكسور ما قبلها نصبا وجرّا ونون مفتوحة ، ليدلّ على أنّ معه أكثر من جنسه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الزيدون ، ورأيت الزيدين ومررت بالزيدين ، والنون فيه عوض من حركة الواحد وتنوينه ، وحرّكت لالتقاء الساكنين فتحا طلبا للتخفيف ، وللفرق بينها وبين نون التثنية ، وشرط هذا الجمع في الاسم أن يكون مذكّرا علما عاقلا </w:t>
      </w:r>
      <w:r>
        <w:rPr>
          <w:rStyle w:val="FootnoteAnchor"/>
          <w:rtl w:val="true"/>
        </w:rPr>
        <w:footnoteReference w:id="1565"/>
      </w:r>
      <w:r>
        <w:rPr>
          <w:rFonts w:ascii="Amiri" w:hAnsi="Amiri" w:eastAsia="Amiri" w:cs="Amiri"/>
          <w:color w:val="111111"/>
          <w:sz w:val="28"/>
          <w:sz w:val="28"/>
          <w:szCs w:val="28"/>
          <w:rtl w:val="true"/>
          <w:lang w:bidi="ar-SA"/>
        </w:rPr>
        <w:t xml:space="preserve">فيجمع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وعمرو ولا يجمع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حق </w:t>
      </w:r>
      <w:r>
        <w:rPr>
          <w:rStyle w:val="FootnoteAnchor"/>
          <w:rtl w:val="true"/>
        </w:rPr>
        <w:footnoteReference w:id="1566"/>
      </w:r>
      <w:r>
        <w:rPr>
          <w:rFonts w:ascii="IRNazanin" w:hAnsi="IRNazanin" w:eastAsia="IRNazanin"/>
          <w:color w:val="111111"/>
          <w:sz w:val="28"/>
          <w:sz w:val="28"/>
          <w:szCs w:val="28"/>
          <w:rtl w:val="true"/>
          <w:lang w:bidi="fa-IR"/>
        </w:rPr>
        <w:t xml:space="preserve">وشذقم </w:t>
      </w:r>
      <w:r>
        <w:rPr>
          <w:rStyle w:val="FootnoteAnchor"/>
          <w:rtl w:val="true"/>
        </w:rPr>
        <w:footnoteReference w:id="1567"/>
      </w:r>
      <w:r>
        <w:rPr>
          <w:rFonts w:ascii="Amiri" w:hAnsi="Amiri" w:eastAsia="Amiri" w:cs="Amiri"/>
          <w:color w:val="111111"/>
          <w:sz w:val="28"/>
          <w:sz w:val="28"/>
          <w:szCs w:val="28"/>
          <w:rtl w:val="true"/>
          <w:lang w:bidi="ar-SA"/>
        </w:rPr>
        <w:t xml:space="preserve">، لكونه لغير عاقل ، وعلم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مذكّر ، أنّ ما فيه تاء التأنيث لا يجمع كذلك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طلحة وحمزة فإنّه يجمع بالألف والتاء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طلحة وطلحات </w:t>
      </w:r>
      <w:r>
        <w:rPr>
          <w:rStyle w:val="FootnoteAnchor"/>
          <w:rtl w:val="true"/>
        </w:rPr>
        <w:footnoteReference w:id="1568"/>
      </w:r>
      <w:r>
        <w:rPr>
          <w:rFonts w:ascii="Amiri" w:hAnsi="Amiri" w:eastAsia="Amiri" w:cs="Amiri"/>
          <w:color w:val="111111"/>
          <w:sz w:val="28"/>
          <w:sz w:val="28"/>
          <w:szCs w:val="28"/>
          <w:rtl w:val="true"/>
          <w:lang w:bidi="ar-SA"/>
        </w:rPr>
        <w:t xml:space="preserve">وإن كان صفة ، فشرطه أن يكون مذكّرا عالما ، وإنّما قال </w:t>
      </w:r>
      <w:r>
        <w:rPr>
          <w:rFonts w:eastAsia="Amiri" w:cs="Amiri" w:ascii="Amiri" w:hAnsi="Amiri"/>
          <w:color w:val="111111"/>
          <w:sz w:val="28"/>
          <w:szCs w:val="28"/>
          <w:rtl w:val="true"/>
          <w:lang w:bidi="ar-SA"/>
        </w:rPr>
        <w:t xml:space="preserve">: </w:t>
      </w:r>
      <w:r>
        <w:rPr>
          <w:rStyle w:val="FootnoteAnchor"/>
          <w:rtl w:val="true"/>
        </w:rPr>
        <w:footnoteReference w:id="1569"/>
      </w:r>
    </w:p>
    <w:p>
      <w:pPr>
        <w:pStyle w:val="BookText"/>
        <w:rPr/>
      </w:pPr>
      <w:r>
        <w:rPr>
          <w:rFonts w:ascii="Amiri" w:hAnsi="Amiri" w:eastAsia="Amiri" w:cs="Amiri"/>
          <w:color w:val="111111"/>
          <w:sz w:val="28"/>
          <w:sz w:val="28"/>
          <w:szCs w:val="28"/>
          <w:rtl w:val="true"/>
          <w:lang w:bidi="ar-SA"/>
        </w:rPr>
        <w:t>فالذكر اسما علما ذوفهم</w:t>
      </w:r>
    </w:p>
    <w:p>
      <w:pPr>
        <w:pStyle w:val="BookText"/>
        <w:rPr/>
      </w:pPr>
      <w:r>
        <w:rPr>
          <w:rFonts w:ascii="Amiri" w:hAnsi="Amiri" w:eastAsia="Amiri" w:cs="Amiri"/>
          <w:color w:val="111111"/>
          <w:sz w:val="28"/>
          <w:sz w:val="28"/>
          <w:szCs w:val="28"/>
          <w:rtl w:val="true"/>
          <w:lang w:bidi="ar-SA"/>
        </w:rPr>
        <w:t>وفي الصفات عالم بعلم</w:t>
      </w:r>
    </w:p>
    <w:p>
      <w:pPr>
        <w:pStyle w:val="BookText"/>
        <w:rPr/>
      </w:pPr>
      <w:r>
        <w:rPr>
          <w:rFonts w:ascii="Amiri" w:hAnsi="Amiri" w:eastAsia="Amiri" w:cs="Amiri"/>
          <w:color w:val="111111"/>
          <w:sz w:val="28"/>
          <w:sz w:val="28"/>
          <w:szCs w:val="28"/>
          <w:rtl w:val="true"/>
          <w:lang w:bidi="ar-SA"/>
        </w:rPr>
        <w:t xml:space="preserve">أو ما نص عليه صاحب المفصل من قبل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بالواو والنون لمن يعلم في صفاته وأعلامه كالمسلمين والزيدين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بين ابن يعيش ذلك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قال لمن يعلم ، ولم يقل لمن يعقل ، لأنّ هذا الجمع قد وقع على القديم سبحانه نحو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والأرض فرشناها فنعم الماهدون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الذاريات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نحن الخالقون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الواقعة وقوله أم نحن الزارعون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كثير ، فلذلك عدل عن اشتراط العقل إلى العلم لأنّ البارىء يوصف بالعلم ولا يوصف بالعقل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شرح المفصل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جمهور النحويين إلى اشتراط التذكير والعقل بدون العلم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الجموع سماعية ملحقة بجمع المذكّر السّالم ولا يقاس عليها فلا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الرحيمون ولا الحكيمون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همع الهوامع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 الأشموني ، ومعه حاشية الصبان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عالما ، ولم يقل عاقلا ؛ ليدخل فيه صفات البارىء تعالى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فَنِعْمَ الْماهِدُونَ</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الْوارِثُونَ</w:t>
      </w:r>
      <w:r>
        <w:rPr>
          <w:rFonts w:eastAsia="Amiri" w:cs="Amiri" w:ascii="Amiri" w:hAnsi="Amiri"/>
          <w:color w:val="111111"/>
          <w:sz w:val="28"/>
          <w:szCs w:val="28"/>
          <w:rtl w:val="true"/>
          <w:lang w:bidi="ar-SA"/>
        </w:rPr>
        <w:t>)</w:t>
      </w:r>
      <w:r>
        <w:rPr>
          <w:rStyle w:val="FootnoteAnchor"/>
          <w:rtl w:val="true"/>
        </w:rPr>
        <w:footnoteReference w:id="1570"/>
      </w:r>
      <w:r>
        <w:rPr>
          <w:rFonts w:ascii="Amiri" w:hAnsi="Amiri" w:eastAsia="Amiri" w:cs="Amiri"/>
          <w:color w:val="111111"/>
          <w:sz w:val="28"/>
          <w:sz w:val="28"/>
          <w:szCs w:val="28"/>
          <w:rtl w:val="true"/>
          <w:lang w:bidi="ar-SA"/>
        </w:rPr>
        <w:t xml:space="preserve">لأنّه لا يوصف بالعقل في العرف ، ويوصف بالعلم ، وشرط الجمع الصحيح في الصفة أن لا يكون فعلان فعلى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سكران ، ولا أفعل فعلاء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أحمر وأبيض ، ولا مستويا فيه المذكّر والمؤنّث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جريح وصبور ، أمّا فعلان فعلى ، فلأنّ فعلان فعلانة جمع هذا الجمع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ندمان وندمانون ، فلو جمع سكران كذلك لالتبس به </w:t>
      </w:r>
      <w:r>
        <w:rPr>
          <w:rStyle w:val="FootnoteAnchor"/>
          <w:rtl w:val="true"/>
        </w:rPr>
        <w:footnoteReference w:id="15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باب أحمر فللفرق بينه وبين أفعل التفضيل ، فإنّ أفعل التفضيل جمع به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وأفضلون ، وأمّا جريح وهو فعيل بمعنى مفعول ، فللفرق بينه وبين فعيل بمعنى فاعل ، فإنّه جمع مصحّحا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سميع وسميعون ، وأمّا صبور فإنّه لمّا وافقوا بين المذكّر والمؤنّث في المفرد ، لم يخالفوا بينهما في الجمع ، فلم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صبورون ولا صبورات بل صبر فيهما ، ومن شرط جمع الصفة أيضا ، أن لا تكون بتاء تأنيث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علّامة ونسّابة </w:t>
      </w:r>
      <w:r>
        <w:rPr>
          <w:rStyle w:val="FootnoteAnchor"/>
          <w:rtl w:val="true"/>
        </w:rPr>
        <w:footnoteReference w:id="1572"/>
      </w:r>
      <w:r>
        <w:rPr>
          <w:rFonts w:ascii="Amiri" w:hAnsi="Amiri" w:eastAsia="Amiri" w:cs="Amiri"/>
          <w:color w:val="111111"/>
          <w:sz w:val="28"/>
          <w:sz w:val="28"/>
          <w:szCs w:val="28"/>
          <w:rtl w:val="true"/>
          <w:lang w:bidi="ar-SA"/>
        </w:rPr>
        <w:t>خلافا للكوفيين فإنّهم يجيزون في علّامة ونسّابة ، علّامون ونسّابون ، وفي طلحة وحمزة ، طلحون وحمزون ، وكذلك ما أشبه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الاسم إن كان ملحقا بالصحيح فيجمع جمع الصحيح ، فتقول في دلو وظبي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دلوون وظبيون علمين وإن كان معتلّا ؛ فإن كان آخره ياء قبلها كسرة حذفت الياء وضمّ ما قبل الواو ، نحو قاض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قاضون في الرفع ، وقاضين في النصب والجر ، لأنّ أصل ذلك قاضيون فحذفت الضمّة استثقالا لها على الياء بعد الكسرة ، فالتقى ساكنان الياء وواو الجمع ، فحذفت الياء ثم قلبوا الكسرة التي على الضّاد ضمة ، ليمكن النطق بالواو ، وأصل قاضين قاضيين كرهوا الكسرة على الياء بعد الكسرة فحذفوها فالتقى ساكنان ، ياء القاضي وياء الإعراب ، فحذفت الأولى وبقي ما قبل ياء الإعراب مكسورا على ما كان عليه</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آخره ألفا حذفت لالتقاء الساكنين وترك ما قبل الياء مفتوحا لتدلّ الفتحة على الألف المحذوفة ، فيقال في 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مصطفون بفتح الفاء ، وفي النصب </w:t>
      </w:r>
      <w:bookmarkStart w:id="536" w:name="pg14482_156285"/>
    </w:p>
    <w:p>
      <w:pPr>
        <w:pStyle w:val="BookText"/>
        <w:rPr/>
      </w:pPr>
      <w:bookmarkEnd w:id="536"/>
      <w:r>
        <w:rPr>
          <w:rFonts w:ascii="Amiri" w:hAnsi="Amiri" w:eastAsia="Amiri" w:cs="Amiri"/>
          <w:color w:val="111111"/>
          <w:sz w:val="28"/>
          <w:sz w:val="28"/>
          <w:szCs w:val="28"/>
          <w:rtl w:val="true"/>
          <w:lang w:bidi="ar-SA"/>
        </w:rPr>
        <w:t xml:space="preserve">والجر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مصطفين بفتحها أيضا ، وأجاز الكوفيون ضمّ ما قبل الواو وكسر ما قبل الياء قياسا على المنقوص وهو ضعيف </w:t>
      </w:r>
      <w:r>
        <w:rPr>
          <w:rStyle w:val="FootnoteAnchor"/>
          <w:rtl w:val="true"/>
        </w:rPr>
        <w:footnoteReference w:id="1573"/>
      </w:r>
      <w:r>
        <w:rPr>
          <w:rFonts w:ascii="Amiri" w:hAnsi="Amiri" w:eastAsia="Amiri" w:cs="Amiri"/>
          <w:color w:val="111111"/>
          <w:sz w:val="28"/>
          <w:sz w:val="28"/>
          <w:szCs w:val="28"/>
          <w:rtl w:val="true"/>
          <w:lang w:bidi="ar-SA"/>
        </w:rPr>
        <w:t xml:space="preserve">لأنّ النصّ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وَأَنْتُمُ الْأَعْلَوْنَ</w:t>
      </w:r>
      <w:r>
        <w:rPr>
          <w:rFonts w:eastAsia="Amiri" w:cs="Amiri" w:ascii="Amiri" w:hAnsi="Amiri"/>
          <w:color w:val="111111"/>
          <w:sz w:val="28"/>
          <w:szCs w:val="28"/>
          <w:rtl w:val="true"/>
          <w:lang w:bidi="ar-SA"/>
        </w:rPr>
        <w:t>)</w:t>
      </w:r>
      <w:r>
        <w:rPr>
          <w:rStyle w:val="FootnoteAnchor"/>
          <w:rtl w:val="true"/>
        </w:rPr>
        <w:footnoteReference w:id="15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وَإِنَّهُمْ عِنْدَنا لَمِنَ الْمُصْطَفَيْنَ</w:t>
      </w:r>
      <w:r>
        <w:rPr>
          <w:rFonts w:eastAsia="Amiri" w:cs="Amiri" w:ascii="Amiri" w:hAnsi="Amiri"/>
          <w:color w:val="111111"/>
          <w:sz w:val="28"/>
          <w:szCs w:val="28"/>
          <w:rtl w:val="true"/>
          <w:lang w:bidi="ar-SA"/>
        </w:rPr>
        <w:t>)</w:t>
      </w:r>
      <w:r>
        <w:rPr>
          <w:rStyle w:val="FootnoteAnchor"/>
          <w:rtl w:val="true"/>
        </w:rPr>
        <w:footnoteReference w:id="1575"/>
      </w:r>
      <w:r>
        <w:rPr>
          <w:rFonts w:ascii="Amiri" w:hAnsi="Amiri" w:eastAsia="Amiri" w:cs="Amiri"/>
          <w:color w:val="111111"/>
          <w:sz w:val="28"/>
          <w:sz w:val="28"/>
          <w:szCs w:val="28"/>
          <w:rtl w:val="true"/>
          <w:lang w:bidi="ar-SA"/>
        </w:rPr>
        <w:t xml:space="preserve">على خلافه ، وأيضا فإنّ فتحة ما قبل الألف في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لم يتعذّر بقاؤها ، فلم يجب التغيير ، فبقيت الفتحة على حالها </w:t>
      </w:r>
      <w:r>
        <w:rPr>
          <w:rStyle w:val="FootnoteAnchor"/>
          <w:rtl w:val="true"/>
        </w:rPr>
        <w:footnoteReference w:id="1576"/>
      </w:r>
      <w:r>
        <w:rPr>
          <w:rFonts w:ascii="Amiri" w:hAnsi="Amiri" w:eastAsia="Amiri" w:cs="Amiri"/>
          <w:color w:val="111111"/>
          <w:sz w:val="28"/>
          <w:sz w:val="28"/>
          <w:szCs w:val="28"/>
          <w:rtl w:val="true"/>
          <w:lang w:bidi="ar-SA"/>
        </w:rPr>
        <w:t xml:space="preserve">، وكذلك القول في جميع ما هو من هذا الباب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وما أشبهه ، وتحذف نون جمع المذكّر السّالم بالإضافة </w:t>
      </w:r>
      <w:r>
        <w:rPr>
          <w:rStyle w:val="FootnoteAnchor"/>
          <w:rtl w:val="true"/>
        </w:rPr>
        <w:footnoteReference w:id="1577"/>
      </w:r>
      <w:r>
        <w:rPr>
          <w:rFonts w:ascii="Amiri" w:hAnsi="Amiri" w:eastAsia="Amiri" w:cs="Amiri"/>
          <w:color w:val="111111"/>
          <w:sz w:val="28"/>
          <w:sz w:val="28"/>
          <w:szCs w:val="28"/>
          <w:rtl w:val="true"/>
          <w:lang w:bidi="ar-SA"/>
        </w:rPr>
        <w:t xml:space="preserve">، لأنّها عوض عن حركة الواحد وتنوينه ،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لِمَنْ لَمْ يَكُنْ أَهْلُهُ حاضِرِي الْمَسْجِدِ الْحَرامِ</w:t>
      </w:r>
      <w:r>
        <w:rPr>
          <w:rFonts w:eastAsia="Amiri" w:cs="Amiri" w:ascii="Amiri" w:hAnsi="Amiri"/>
          <w:color w:val="111111"/>
          <w:sz w:val="28"/>
          <w:szCs w:val="28"/>
          <w:rtl w:val="true"/>
          <w:lang w:bidi="ar-SA"/>
        </w:rPr>
        <w:t>)</w:t>
      </w:r>
      <w:r>
        <w:rPr>
          <w:rStyle w:val="FootnoteAnchor"/>
          <w:rtl w:val="true"/>
        </w:rPr>
        <w:footnoteReference w:id="1578"/>
      </w:r>
      <w:r>
        <w:rPr>
          <w:rFonts w:ascii="Amiri" w:hAnsi="Amiri" w:eastAsia="Amiri" w:cs="Amiri"/>
          <w:color w:val="111111"/>
          <w:sz w:val="28"/>
          <w:sz w:val="28"/>
          <w:szCs w:val="28"/>
          <w:rtl w:val="true"/>
          <w:lang w:bidi="ar-SA"/>
        </w:rPr>
        <w:t xml:space="preserve">وأمّا ما ورد من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أرضين وسنين من كونه جمع جمع سلامة وهو غير مذكّر عاقل فشاذ فلا يرد نقضا ، وقد ثبتت نونه في الإضافة تنبيها على أنّ ذلك ونحوه ليس من جموع السّلامة القياسيّة </w:t>
      </w:r>
      <w:r>
        <w:rPr>
          <w:rStyle w:val="FootnoteAnchor"/>
          <w:rtl w:val="true"/>
        </w:rPr>
        <w:footnoteReference w:id="1579"/>
      </w:r>
      <w:r>
        <w:rPr>
          <w:rFonts w:ascii="Amiri" w:hAnsi="Amiri" w:eastAsia="Amiri" w:cs="Amiri"/>
          <w:color w:val="111111"/>
          <w:sz w:val="28"/>
          <w:sz w:val="28"/>
          <w:szCs w:val="28"/>
          <w:rtl w:val="true"/>
          <w:lang w:bidi="ar-SA"/>
        </w:rPr>
        <w:t xml:space="preserve">، كقول الشّاعر </w:t>
      </w:r>
      <w:r>
        <w:rPr>
          <w:rFonts w:eastAsia="Amiri" w:cs="Amiri" w:ascii="Amiri" w:hAnsi="Amiri"/>
          <w:color w:val="111111"/>
          <w:sz w:val="28"/>
          <w:szCs w:val="28"/>
          <w:rtl w:val="true"/>
          <w:lang w:bidi="ar-SA"/>
        </w:rPr>
        <w:t xml:space="preserve">: </w:t>
      </w:r>
      <w:r>
        <w:rPr>
          <w:rStyle w:val="FootnoteAnchor"/>
          <w:rtl w:val="true"/>
        </w:rPr>
        <w:footnoteReference w:id="1580"/>
      </w:r>
    </w:p>
    <w:p>
      <w:pPr>
        <w:pStyle w:val="BookText"/>
        <w:rPr/>
      </w:pPr>
      <w:r>
        <w:rPr>
          <w:rFonts w:ascii="Amiri" w:hAnsi="Amiri" w:eastAsia="Amiri" w:cs="Amiri"/>
          <w:color w:val="111111"/>
          <w:sz w:val="28"/>
          <w:sz w:val="28"/>
          <w:szCs w:val="28"/>
          <w:rtl w:val="true"/>
          <w:lang w:bidi="ar-SA"/>
        </w:rPr>
        <w:t>دعاني من نجد فإنّ سنينه</w:t>
      </w:r>
    </w:p>
    <w:p>
      <w:pPr>
        <w:pStyle w:val="BookText"/>
        <w:rPr/>
      </w:pPr>
      <w:r>
        <w:rPr>
          <w:rFonts w:ascii="Amiri" w:hAnsi="Amiri" w:eastAsia="Amiri" w:cs="Amiri"/>
          <w:color w:val="111111"/>
          <w:sz w:val="28"/>
          <w:sz w:val="28"/>
          <w:szCs w:val="28"/>
          <w:rtl w:val="true"/>
          <w:lang w:bidi="ar-SA"/>
        </w:rPr>
        <w:t>لعبن بنا شيبا وشيّبننا مردا</w:t>
      </w:r>
    </w:p>
    <w:p>
      <w:pPr>
        <w:pStyle w:val="Heading5"/>
        <w:numPr>
          <w:ilvl w:val="4"/>
          <w:numId w:val="1"/>
        </w:numPr>
        <w:rPr/>
      </w:pPr>
      <w:bookmarkStart w:id="537" w:name="__RefHeading___Toc716910_996550957"/>
      <w:bookmarkStart w:id="538" w:name="_Toc196"/>
      <w:bookmarkEnd w:id="537"/>
      <w:r>
        <w:rPr>
          <w:rtl w:val="true"/>
        </w:rPr>
        <w:t>ذكر جمع المؤنّث الصحيح</w:t>
      </w:r>
      <w:bookmarkEnd w:id="538"/>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5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في آخره تاء زائدة بعد ألف زائدة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قائمات ومسلمات وقال زائدة </w:t>
      </w:r>
      <w:r>
        <w:rPr>
          <w:rStyle w:val="FootnoteAnchor"/>
          <w:rtl w:val="true"/>
        </w:rPr>
        <w:footnoteReference w:id="1582"/>
      </w:r>
      <w:r>
        <w:rPr>
          <w:rFonts w:ascii="Amiri" w:hAnsi="Amiri" w:eastAsia="Amiri" w:cs="Amiri"/>
          <w:color w:val="111111"/>
          <w:sz w:val="28"/>
          <w:sz w:val="28"/>
          <w:szCs w:val="28"/>
          <w:rtl w:val="true"/>
          <w:lang w:bidi="ar-SA"/>
        </w:rPr>
        <w:t xml:space="preserve">لئلا يتوهّم أنّ أبياتا وأصواتا ونحو ذلك منه ، فإنّ التاء في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الأبيات </w:t>
      </w:r>
      <w:bookmarkStart w:id="539" w:name="pg14482_156286"/>
    </w:p>
    <w:p>
      <w:pPr>
        <w:pStyle w:val="BookText"/>
        <w:rPr/>
      </w:pPr>
      <w:bookmarkEnd w:id="539"/>
      <w:r>
        <w:rPr>
          <w:rFonts w:ascii="Amiri" w:hAnsi="Amiri" w:eastAsia="Amiri" w:cs="Amiri"/>
          <w:color w:val="111111"/>
          <w:sz w:val="28"/>
          <w:sz w:val="28"/>
          <w:szCs w:val="28"/>
          <w:rtl w:val="true"/>
          <w:lang w:bidi="ar-SA"/>
        </w:rPr>
        <w:t xml:space="preserve">والأصوات ، أصليّة لا زائدة ، والمؤنّث إن كان صفة وله مذكر ، فشرط جمعه بالألف والتاء أن يكون مذكّره جمع بالواو والنون لئلا يلزم مزية للفرع على الأصل في جمع السّلامة فلا يجمع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سكرى وحمراء وجريح ، هذا الجمع لامتناع جمع مذكره بالواو والنون ، فلا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حمراوات وسكريات لامتناع أحمرون وسكرانون </w:t>
      </w:r>
      <w:r>
        <w:rPr>
          <w:rStyle w:val="FootnoteAnchor"/>
          <w:rtl w:val="true"/>
        </w:rPr>
        <w:footnoteReference w:id="1583"/>
      </w: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جمع خضراء أخضر بالألف والتاء في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الخضراوات صدقة</w:t>
      </w:r>
      <w:r>
        <w:rPr>
          <w:rFonts w:eastAsia="Amiri" w:cs="Amiri" w:ascii="Amiri" w:hAnsi="Amiri"/>
          <w:color w:val="111111"/>
          <w:sz w:val="28"/>
          <w:szCs w:val="28"/>
          <w:rtl w:val="true"/>
          <w:lang w:bidi="ar-SA"/>
        </w:rPr>
        <w:t xml:space="preserve">» </w:t>
      </w:r>
      <w:r>
        <w:rPr>
          <w:rStyle w:val="FootnoteAnchor"/>
          <w:rtl w:val="true"/>
        </w:rPr>
        <w:footnoteReference w:id="1584"/>
      </w:r>
      <w:r>
        <w:rPr>
          <w:rFonts w:ascii="Amiri" w:hAnsi="Amiri" w:eastAsia="Amiri" w:cs="Amiri"/>
          <w:color w:val="111111"/>
          <w:sz w:val="28"/>
          <w:sz w:val="28"/>
          <w:szCs w:val="28"/>
          <w:rtl w:val="true"/>
          <w:lang w:bidi="ar-SA"/>
        </w:rPr>
        <w:t xml:space="preserve">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مؤوّل بأنه جمع لمسمّى الخضراوات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البقل وغيره ، لا للصفة التي هي خضراء ، فإنّ مسمّى الخضراوات مذكّر غير عاقل ، وهو مما يجمع جمع السّلامة أعني بالألف والتاء كما سنذكره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صفة وليس له مذكّر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حائض وحامل مما حذف منه تاء التأنيث ، فيجمع مكسرا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حوائض وحوامل ، وأما إذا لم يحذف منه التاء فيجمع بالألف والتاء ، كقولك في حائضة وحاملة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حائضات وحاملات لأنّه لو كان لهما مذكّر لجمع مصحّحا </w:t>
      </w:r>
      <w:r>
        <w:rPr>
          <w:rStyle w:val="FootnoteAnchor"/>
          <w:rtl w:val="true"/>
        </w:rPr>
        <w:footnoteReference w:id="15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إن كان اسم المؤنّث غير صفة فيجمع بالألف والتاء من غير شريطة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بيضات وطلحات وزينبات ، وقد جمع بالألف والتاء مذكّر غير عاقل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بوقات وحمامات وسرادقات </w:t>
      </w:r>
      <w:r>
        <w:rPr>
          <w:rStyle w:val="FootnoteAnchor"/>
          <w:rtl w:val="true"/>
        </w:rPr>
        <w:footnoteReference w:id="15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0" w:name="__RefHeading___Toc716912_996550957"/>
      <w:bookmarkStart w:id="541" w:name="_Toc197"/>
      <w:bookmarkEnd w:id="540"/>
      <w:r>
        <w:rPr>
          <w:rtl w:val="true"/>
        </w:rPr>
        <w:t>ذكر جمع التكسير</w:t>
      </w:r>
      <w:bookmarkEnd w:id="541"/>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5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تغيّر فيه بناء واحده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وأفراس ، وقد يكون بزيادة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ورجال وبنقصان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ككتاب وكتب ، وقد يكون تغير البناء تقديريا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فلك </w:t>
      </w:r>
      <w:bookmarkStart w:id="542" w:name="pg14482_156287"/>
    </w:p>
    <w:p>
      <w:pPr>
        <w:pStyle w:val="BookText"/>
        <w:rPr/>
      </w:pPr>
      <w:bookmarkEnd w:id="542"/>
      <w:r>
        <w:rPr>
          <w:rFonts w:ascii="Amiri" w:hAnsi="Amiri" w:eastAsia="Amiri" w:cs="Amiri"/>
          <w:color w:val="111111"/>
          <w:sz w:val="28"/>
          <w:sz w:val="28"/>
          <w:szCs w:val="28"/>
          <w:rtl w:val="true"/>
          <w:lang w:bidi="ar-SA"/>
        </w:rPr>
        <w:t xml:space="preserve">وهجان كما مرّ </w:t>
      </w:r>
      <w:r>
        <w:rPr>
          <w:rStyle w:val="FootnoteAnchor"/>
          <w:rtl w:val="true"/>
        </w:rPr>
        <w:footnoteReference w:id="1588"/>
      </w:r>
      <w:r>
        <w:rPr>
          <w:rFonts w:ascii="Amiri" w:hAnsi="Amiri" w:eastAsia="Amiri" w:cs="Amiri"/>
          <w:color w:val="111111"/>
          <w:sz w:val="28"/>
          <w:sz w:val="28"/>
          <w:szCs w:val="28"/>
          <w:rtl w:val="true"/>
          <w:lang w:bidi="ar-SA"/>
        </w:rPr>
        <w:t xml:space="preserve">، وجمع التكسير يعمّ من يعقل وغيرهم في أسمائهم وصفاتهم كرجال وأفراس وكرام وحمر وشقر ، والجمع ينقسم إلى جمع قلّة ، وجمع كثرة ، فجمع القلّة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يطلق </w:t>
      </w:r>
      <w:r>
        <w:rPr>
          <w:rStyle w:val="FootnoteAnchor"/>
          <w:rtl w:val="true"/>
        </w:rPr>
        <w:footnoteReference w:id="1589"/>
      </w:r>
      <w:r>
        <w:rPr>
          <w:rFonts w:ascii="Amiri" w:hAnsi="Amiri" w:eastAsia="Amiri" w:cs="Amiri"/>
          <w:color w:val="111111"/>
          <w:sz w:val="28"/>
          <w:sz w:val="28"/>
          <w:szCs w:val="28"/>
          <w:rtl w:val="true"/>
          <w:lang w:bidi="ar-SA"/>
        </w:rPr>
        <w:t xml:space="preserve">على العشرة فما دونها إلى الثلاثة وأقسامه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 كأكلب ، وأفعال كأجمال ، وأفعلة كأرغفة ، وفعلة كغلمة </w:t>
      </w:r>
      <w:r>
        <w:rPr>
          <w:rStyle w:val="FootnoteAnchor"/>
          <w:rtl w:val="true"/>
        </w:rPr>
        <w:footnoteReference w:id="1590"/>
      </w:r>
      <w:r>
        <w:rPr>
          <w:rFonts w:ascii="Amiri" w:hAnsi="Amiri" w:eastAsia="Amiri" w:cs="Amiri"/>
          <w:color w:val="111111"/>
          <w:sz w:val="28"/>
          <w:sz w:val="28"/>
          <w:szCs w:val="28"/>
          <w:rtl w:val="true"/>
          <w:lang w:bidi="ar-SA"/>
        </w:rPr>
        <w:t xml:space="preserve">، والجمع الصحيح ، وهو نوعان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المذكّر السّالم كزيدين ، والمؤنّث السالم كمسلمات ، وجمع الكثرة ما عدا ذلك ، ويستعار كلّ واحد منهما للآخر ،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قُرُوءٍ</w:t>
      </w:r>
      <w:r>
        <w:rPr>
          <w:rFonts w:eastAsia="Amiri" w:cs="Amiri" w:ascii="Amiri" w:hAnsi="Amiri"/>
          <w:color w:val="111111"/>
          <w:sz w:val="28"/>
          <w:szCs w:val="28"/>
          <w:rtl w:val="true"/>
          <w:lang w:bidi="ar-SA"/>
        </w:rPr>
        <w:t>)</w:t>
      </w:r>
      <w:r>
        <w:rPr>
          <w:rStyle w:val="FootnoteAnchor"/>
          <w:rtl w:val="true"/>
        </w:rPr>
        <w:footnoteReference w:id="1591"/>
      </w:r>
      <w:r>
        <w:rPr>
          <w:rFonts w:ascii="IRNazanin" w:hAnsi="IRNazanin" w:eastAsia="IRNazanin"/>
          <w:color w:val="111111"/>
          <w:sz w:val="28"/>
          <w:sz w:val="28"/>
          <w:szCs w:val="28"/>
          <w:rtl w:val="true"/>
          <w:lang w:bidi="fa-IR"/>
        </w:rPr>
        <w:t xml:space="preserve">موضع أقراء </w:t>
      </w:r>
      <w:r>
        <w:rPr>
          <w:rStyle w:val="FootnoteAnchor"/>
          <w:rtl w:val="true"/>
        </w:rPr>
        <w:footnoteReference w:id="15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3" w:name="__RefHeading___Toc716914_996550957"/>
      <w:bookmarkStart w:id="544" w:name="_Toc198"/>
      <w:bookmarkEnd w:id="543"/>
      <w:r>
        <w:rPr>
          <w:rtl w:val="true"/>
        </w:rPr>
        <w:t>ذكر الأسماء المتصلة بالأفعال</w:t>
      </w:r>
      <w:bookmarkEnd w:id="544"/>
    </w:p>
    <w:p>
      <w:pPr>
        <w:pStyle w:val="Heading5"/>
        <w:numPr>
          <w:ilvl w:val="4"/>
          <w:numId w:val="1"/>
        </w:numPr>
        <w:rPr/>
      </w:pPr>
      <w:bookmarkStart w:id="545" w:name="__RefHeading___Toc716916_996550957"/>
      <w:bookmarkStart w:id="546" w:name="_Toc199"/>
      <w:bookmarkEnd w:id="545"/>
      <w:r>
        <w:rPr>
          <w:rtl w:val="true"/>
        </w:rPr>
        <w:t>اشارة</w:t>
      </w:r>
      <w:bookmarkEnd w:id="546"/>
    </w:p>
    <w:p>
      <w:pPr>
        <w:pStyle w:val="BookText"/>
        <w:rPr/>
      </w:pPr>
      <w:r>
        <w:rPr>
          <w:rFonts w:ascii="Amiri" w:hAnsi="Amiri" w:eastAsia="Amiri" w:cs="Amiri"/>
          <w:color w:val="111111"/>
          <w:sz w:val="28"/>
          <w:sz w:val="28"/>
          <w:szCs w:val="28"/>
          <w:rtl w:val="true"/>
          <w:lang w:bidi="ar-SA"/>
        </w:rPr>
        <w:t xml:space="preserve">وهي 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 واسم الفاعل ، واسم المفعول ، والصفة المشبّهة ، وأفعل التفضيل ، وهذه الخمسة هي المذكورة في كتب النحو لكونها تعمل ، وأمّا الثلاثة الباقية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الزمان واسم المكان واسم الآلة ، وهذه الثلاثة من قسم التصريف ، لكونها لا تعمل ، وقد أثبتناها وغيرها من أبواب التصريف في كتابنا هذا لكونه من كتب الكنّاش ، فأجري مجرى الكنّاش ، ومعنى كون هذه الأسماء متصلة بالأفعال ، أنّها لا تنفكّ عن معنى الفعل ، لأنّ المصدر اسم الفعل </w:t>
      </w:r>
      <w:r>
        <w:rPr>
          <w:rStyle w:val="FootnoteAnchor"/>
          <w:rtl w:val="true"/>
        </w:rPr>
        <w:footnoteReference w:id="1593"/>
      </w:r>
      <w:r>
        <w:rPr>
          <w:rFonts w:ascii="Amiri" w:hAnsi="Amiri" w:eastAsia="Amiri" w:cs="Amiri"/>
          <w:color w:val="111111"/>
          <w:sz w:val="28"/>
          <w:sz w:val="28"/>
          <w:szCs w:val="28"/>
          <w:rtl w:val="true"/>
          <w:lang w:bidi="ar-SA"/>
        </w:rPr>
        <w:t>واسم الفاعل ، اسم لما قام به الفعل ، وكذلك البواقي على ما سيأتي</w:t>
      </w:r>
      <w:r>
        <w:rPr>
          <w:rFonts w:eastAsia="Amiri" w:cs="Amiri" w:ascii="Amiri" w:hAnsi="Amiri"/>
          <w:color w:val="111111"/>
          <w:sz w:val="28"/>
          <w:szCs w:val="28"/>
          <w:rtl w:val="true"/>
          <w:lang w:bidi="ar-SA"/>
        </w:rPr>
        <w:t>.</w:t>
      </w:r>
    </w:p>
    <w:p>
      <w:pPr>
        <w:pStyle w:val="Heading5"/>
        <w:numPr>
          <w:ilvl w:val="4"/>
          <w:numId w:val="1"/>
        </w:numPr>
        <w:rPr/>
      </w:pPr>
      <w:bookmarkStart w:id="547" w:name="__RefHeading___Toc716918_996550957"/>
      <w:bookmarkStart w:id="548" w:name="_Toc200"/>
      <w:bookmarkEnd w:id="547"/>
      <w:r>
        <w:rPr/>
        <w:t>1</w:t>
      </w:r>
      <w:r>
        <w:rPr>
          <w:rtl w:val="true"/>
        </w:rPr>
        <w:t xml:space="preserve">- </w:t>
      </w:r>
      <w:r>
        <w:rPr>
          <w:rtl w:val="true"/>
        </w:rPr>
        <w:t>ذكر المصدر</w:t>
      </w:r>
      <w:bookmarkEnd w:id="548"/>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5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اسم الحدث الجاري على الفعل ، والمراد بهذا الحدث الجاري ، المعنى </w:t>
      </w:r>
    </w:p>
    <w:p>
      <w:pPr>
        <w:pStyle w:val="BookText"/>
        <w:rPr/>
      </w:pPr>
      <w:r>
        <w:rPr>
          <w:rFonts w:ascii="Amiri" w:hAnsi="Amiri" w:eastAsia="Amiri" w:cs="Amiri"/>
          <w:color w:val="111111"/>
          <w:sz w:val="28"/>
          <w:sz w:val="28"/>
          <w:szCs w:val="28"/>
          <w:rtl w:val="true"/>
          <w:lang w:bidi="ar-SA"/>
        </w:rPr>
        <w:t xml:space="preserve">الصادر من الفاعل المجرّد عن الزمان ، ومعنى الجاري على الفعل ، أنّ كلّ مصدر لا بدّ له من فعل لفظا أو تقديرا ، يذكر المصدر بيانا لمعنى ذلك الفعل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ضربا في قولك ضربت ضربا </w:t>
      </w:r>
      <w:r>
        <w:rPr>
          <w:rStyle w:val="FootnoteAnchor"/>
          <w:rtl w:val="true"/>
        </w:rPr>
        <w:footnoteReference w:id="1595"/>
      </w:r>
      <w:r>
        <w:rPr>
          <w:rFonts w:ascii="Amiri" w:hAnsi="Amiri" w:eastAsia="Amiri" w:cs="Amiri"/>
          <w:color w:val="111111"/>
          <w:sz w:val="28"/>
          <w:sz w:val="28"/>
          <w:szCs w:val="28"/>
          <w:rtl w:val="true"/>
          <w:lang w:bidi="ar-SA"/>
        </w:rPr>
        <w:t xml:space="preserve">واعلم أنّ المفعول المطلق أعمّ من المصدر ، لأنّ كلّ مصدر لا بدّ له من فعل من لفظه ، وليس كلّ مفعول مطلق كذلك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ويحه وويله ، واعلم أنّ مصدر الفعل الثلاثي المجرد من الزيادة سماعي </w:t>
      </w:r>
      <w:r>
        <w:rPr>
          <w:rStyle w:val="FootnoteAnchor"/>
          <w:rtl w:val="true"/>
        </w:rPr>
        <w:footnoteReference w:id="1596"/>
      </w:r>
      <w:r>
        <w:rPr>
          <w:rFonts w:ascii="IRNazanin" w:hAnsi="IRNazanin" w:eastAsia="IRNazanin"/>
          <w:color w:val="111111"/>
          <w:sz w:val="28"/>
          <w:sz w:val="28"/>
          <w:szCs w:val="28"/>
          <w:rtl w:val="true"/>
          <w:lang w:bidi="fa-IR"/>
        </w:rPr>
        <w:t xml:space="preserve">والمشهور أنه اثنان وثلاثون </w:t>
      </w:r>
      <w:r>
        <w:rPr>
          <w:rStyle w:val="FootnoteAnchor"/>
          <w:rtl w:val="true"/>
        </w:rPr>
        <w:footnoteReference w:id="15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كحمد وضرب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كعلم وفسق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كشكر وشرب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كرحمة وكثرة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كحمية ونشدة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كعجمة وكدرة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الفاء كدعوى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فعلى بكسرها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كذكرى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فعلى بضمها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كبشرى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فعلان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مختلف فيه كليّان </w:t>
      </w:r>
      <w:r>
        <w:rPr>
          <w:rStyle w:val="FootnoteAnchor"/>
          <w:rtl w:val="true"/>
        </w:rPr>
        <w:footnoteReference w:id="1598"/>
      </w:r>
      <w:r>
        <w:rPr>
          <w:rFonts w:ascii="Amiri" w:hAnsi="Amiri" w:eastAsia="Amiri" w:cs="Amiri"/>
          <w:color w:val="111111"/>
          <w:sz w:val="28"/>
          <w:sz w:val="28"/>
          <w:szCs w:val="28"/>
          <w:rtl w:val="true"/>
          <w:lang w:bidi="ar-SA"/>
        </w:rPr>
        <w:t>وأنكره المبرّد ، وقال أصله ضم أوّله ، وإنّما فتح للتخفيف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فعلان 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كحرمان ورضوان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فعلان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كغفران</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فعلان بفتحهما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كغليان وهيجان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كعمل وغضب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كلعب وكذب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كشبع وكبر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كهدى وسرى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كغلبة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كسماع ونبات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ككذاب وإياب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فعال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كنعاس وهو كثير في الأصوات كصراخ </w:t>
      </w:r>
      <w:r>
        <w:rPr>
          <w:rStyle w:val="FootnoteAnchor"/>
          <w:rtl w:val="true"/>
        </w:rPr>
        <w:footnoteReference w:id="15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كنصاحة وجهالة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فعالة بالكسر كحماية وسراية </w:t>
      </w:r>
      <w:r>
        <w:rPr>
          <w:rStyle w:val="FootnoteAnchor"/>
          <w:rtl w:val="true"/>
        </w:rPr>
        <w:footnoteReference w:id="16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كقعود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فعول وهو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قبول وولوع ووقود </w:t>
      </w:r>
      <w:r>
        <w:rPr>
          <w:rStyle w:val="FootnoteAnchor"/>
          <w:rtl w:val="true"/>
        </w:rPr>
        <w:footnoteReference w:id="16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كصهيل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كسهولة وصعوبة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مفعل بفتح الميم والعين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كمدخل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مفعل بفتح الميم وكسر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كمرجع ومنبت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مفعلة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كمرحمة</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كمحمرة ومعصية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فهذه مصادر الثلاثي السماعية ، وقد زادوا على ذلك ثلاثة 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كطواعية وكراهية </w:t>
      </w:r>
      <w:r>
        <w:rPr>
          <w:rStyle w:val="FootnoteAnchor"/>
          <w:rtl w:val="true"/>
        </w:rPr>
        <w:footnoteReference w:id="1602"/>
      </w:r>
      <w:r>
        <w:rPr>
          <w:rFonts w:ascii="Amiri" w:hAnsi="Amiri" w:eastAsia="Amiri" w:cs="Amiri"/>
          <w:color w:val="111111"/>
          <w:sz w:val="28"/>
          <w:sz w:val="28"/>
          <w:szCs w:val="28"/>
          <w:rtl w:val="true"/>
          <w:lang w:bidi="ar-SA"/>
        </w:rPr>
        <w:t xml:space="preserve">، وفعالة بضم 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كبغاية </w:t>
      </w:r>
      <w:r>
        <w:rPr>
          <w:rStyle w:val="FootnoteAnchor"/>
          <w:rtl w:val="true"/>
        </w:rPr>
        <w:footnoteReference w:id="1603"/>
      </w:r>
      <w:r>
        <w:rPr>
          <w:rFonts w:ascii="Amiri" w:hAnsi="Amiri" w:eastAsia="Amiri" w:cs="Amiri"/>
          <w:color w:val="111111"/>
          <w:sz w:val="28"/>
          <w:sz w:val="28"/>
          <w:szCs w:val="28"/>
          <w:rtl w:val="true"/>
          <w:lang w:bidi="ar-SA"/>
        </w:rPr>
        <w:t xml:space="preserve">، وتفعال بكسر التاء كتبيان وتلقاء </w:t>
      </w:r>
      <w:r>
        <w:rPr>
          <w:rStyle w:val="FootnoteAnchor"/>
          <w:rtl w:val="true"/>
        </w:rPr>
        <w:footnoteReference w:id="1604"/>
      </w:r>
      <w:r>
        <w:rPr>
          <w:rFonts w:ascii="Amiri" w:hAnsi="Amiri" w:eastAsia="Amiri" w:cs="Amiri"/>
          <w:color w:val="111111"/>
          <w:sz w:val="28"/>
          <w:sz w:val="28"/>
          <w:szCs w:val="28"/>
          <w:rtl w:val="true"/>
          <w:lang w:bidi="ar-SA"/>
        </w:rPr>
        <w:t xml:space="preserve">، وأمّا غير ذلك من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التّفعال بفتح </w:t>
      </w:r>
      <w:r>
        <w:rPr>
          <w:rStyle w:val="FootnoteAnchor"/>
          <w:rtl w:val="true"/>
        </w:rPr>
        <w:footnoteReference w:id="1605"/>
      </w:r>
      <w:r>
        <w:rPr>
          <w:rFonts w:ascii="IRNazanin" w:hAnsi="IRNazanin" w:eastAsia="IRNazanin"/>
          <w:color w:val="111111"/>
          <w:sz w:val="28"/>
          <w:sz w:val="28"/>
          <w:szCs w:val="28"/>
          <w:rtl w:val="true"/>
          <w:lang w:bidi="fa-IR"/>
        </w:rPr>
        <w:t xml:space="preserve">التاء </w:t>
      </w:r>
      <w:r>
        <w:rPr>
          <w:rStyle w:val="FootnoteAnchor"/>
          <w:rtl w:val="true"/>
        </w:rPr>
        <w:footnoteReference w:id="1606"/>
      </w:r>
      <w:r>
        <w:rPr>
          <w:rFonts w:ascii="Amiri" w:hAnsi="Amiri" w:eastAsia="Amiri" w:cs="Amiri"/>
          <w:color w:val="111111"/>
          <w:sz w:val="28"/>
          <w:sz w:val="28"/>
          <w:szCs w:val="28"/>
          <w:rtl w:val="true"/>
          <w:lang w:bidi="ar-SA"/>
        </w:rPr>
        <w:t xml:space="preserve">، والفعّيلى بتشديد العين فللمبالغة </w:t>
      </w:r>
      <w:r>
        <w:rPr>
          <w:rStyle w:val="FootnoteAnchor"/>
          <w:rtl w:val="true"/>
        </w:rPr>
        <w:footnoteReference w:id="1607"/>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الفعل الغير الثلاثي وهو الرباعي فصاعدا ، فمصدره قياسيّ ، وهو رباعيّ وخماسيّ وسداسيّ ، والرباعيّ منه ما حروفه كلها أصول ، ومنه </w:t>
      </w:r>
      <w:r>
        <w:rPr>
          <w:rStyle w:val="FootnoteAnchor"/>
          <w:rtl w:val="true"/>
        </w:rPr>
        <w:footnoteReference w:id="1608"/>
      </w:r>
      <w:r>
        <w:rPr>
          <w:rFonts w:ascii="Amiri" w:hAnsi="Amiri" w:eastAsia="Amiri" w:cs="Amiri"/>
          <w:color w:val="111111"/>
          <w:sz w:val="28"/>
          <w:sz w:val="28"/>
          <w:szCs w:val="28"/>
          <w:rtl w:val="true"/>
          <w:lang w:bidi="ar-SA"/>
        </w:rPr>
        <w:t xml:space="preserve">ما أحد حروفه زائد ، ويكون من فعلل فعللة وفعلا لا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دحرج دحرجة ودحراجا ، ومن فعول فعولة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عنون عنونة ، ومن فعيل فعيلة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عذيط </w:t>
      </w:r>
      <w:r>
        <w:rPr>
          <w:rStyle w:val="FootnoteAnchor"/>
          <w:rtl w:val="true"/>
        </w:rPr>
        <w:footnoteReference w:id="1609"/>
      </w:r>
      <w:r>
        <w:rPr>
          <w:rFonts w:ascii="Amiri" w:hAnsi="Amiri" w:eastAsia="Amiri" w:cs="Amiri"/>
          <w:color w:val="111111"/>
          <w:sz w:val="28"/>
          <w:sz w:val="28"/>
          <w:szCs w:val="28"/>
          <w:rtl w:val="true"/>
          <w:lang w:bidi="ar-SA"/>
        </w:rPr>
        <w:t xml:space="preserve">عذيطة ، ومن فيعل فيعلة ، نحو بيطر بيطرة ، ومن فوعل فوعلة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حوقل حوقلة ، ومن فعّل تفعيلا وتفعلة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تكريما وتكرمة وكلّم تكليما ، فزادوا التاء في أول هذه المصادر عوضا من تضعيف عين الفعل </w:t>
      </w:r>
      <w:r>
        <w:rPr>
          <w:rStyle w:val="FootnoteAnchor"/>
          <w:rtl w:val="true"/>
        </w:rPr>
        <w:footnoteReference w:id="1610"/>
      </w:r>
      <w:r>
        <w:rPr>
          <w:rFonts w:ascii="Amiri" w:hAnsi="Amiri" w:eastAsia="Amiri" w:cs="Amiri"/>
          <w:color w:val="111111"/>
          <w:sz w:val="28"/>
          <w:sz w:val="28"/>
          <w:szCs w:val="28"/>
          <w:rtl w:val="true"/>
          <w:lang w:bidi="ar-SA"/>
        </w:rPr>
        <w:t xml:space="preserve">فإن كان آخره معتلا رجع التفعيل إلى تفعلة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ولّى تولية ، وسمّى تسمية ، وإن كان آخره مهموزا جاز التفعيل والتّفعلة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 تنبيئا وتنبئة </w:t>
      </w:r>
      <w:r>
        <w:rPr>
          <w:rStyle w:val="FootnoteAnchor"/>
          <w:rtl w:val="true"/>
        </w:rPr>
        <w:footnoteReference w:id="1611"/>
      </w:r>
      <w:r>
        <w:rPr>
          <w:rFonts w:ascii="Amiri" w:hAnsi="Amiri" w:eastAsia="Amiri" w:cs="Amiri"/>
          <w:color w:val="111111"/>
          <w:sz w:val="28"/>
          <w:sz w:val="28"/>
          <w:szCs w:val="28"/>
          <w:rtl w:val="true"/>
          <w:lang w:bidi="ar-SA"/>
        </w:rPr>
        <w:t xml:space="preserve">، ومن أفعل إفعالا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إكراما ، فإن كان أفعل معتلّ العين رجع إفعال إلى إفالة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إشارة وأقال إقالة </w:t>
      </w:r>
      <w:r>
        <w:rPr>
          <w:rStyle w:val="FootnoteAnchor"/>
          <w:rtl w:val="true"/>
        </w:rPr>
        <w:footnoteReference w:id="1612"/>
      </w:r>
      <w:r>
        <w:rPr>
          <w:rFonts w:ascii="Amiri" w:hAnsi="Amiri" w:eastAsia="Amiri" w:cs="Amiri"/>
          <w:color w:val="111111"/>
          <w:sz w:val="28"/>
          <w:sz w:val="28"/>
          <w:szCs w:val="28"/>
          <w:rtl w:val="true"/>
          <w:lang w:bidi="ar-SA"/>
        </w:rPr>
        <w:t xml:space="preserve">والتزمت التاء في الأكثر ، لأنّها </w:t>
      </w:r>
    </w:p>
    <w:p>
      <w:pPr>
        <w:pStyle w:val="BookText"/>
        <w:rPr/>
      </w:pPr>
      <w:r>
        <w:rPr>
          <w:rFonts w:ascii="Amiri" w:hAnsi="Amiri" w:eastAsia="Amiri" w:cs="Amiri"/>
          <w:color w:val="111111"/>
          <w:sz w:val="28"/>
          <w:sz w:val="28"/>
          <w:szCs w:val="28"/>
          <w:rtl w:val="true"/>
          <w:lang w:bidi="ar-SA"/>
        </w:rPr>
        <w:t xml:space="preserve">جعلت عوضا من العين المحذوفة إذ كان الأصل إفعالة كما سنذكر له زيادة شرح ، ومن فاعل مفاعلة وفعالا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ضارب مضاربة وضرابا </w:t>
      </w:r>
      <w:r>
        <w:rPr>
          <w:rStyle w:val="FootnoteAnchor"/>
          <w:rtl w:val="true"/>
        </w:rPr>
        <w:footnoteReference w:id="1613"/>
      </w:r>
      <w:r>
        <w:rPr>
          <w:rFonts w:ascii="Amiri" w:hAnsi="Amiri" w:eastAsia="Amiri" w:cs="Amiri"/>
          <w:color w:val="111111"/>
          <w:sz w:val="28"/>
          <w:sz w:val="28"/>
          <w:szCs w:val="28"/>
          <w:rtl w:val="true"/>
          <w:lang w:bidi="ar-SA"/>
        </w:rPr>
        <w:t xml:space="preserve">، وجاء في معتلّه فعاليا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ترامى تراميا ، ومن انفعل انفعالا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انطلاقا ، ومن افتعل افتعالا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اختصم اختصاما ، واقتتل اقتتالا ، وجاء قتالا وقيتالا على البدل </w:t>
      </w:r>
      <w:r>
        <w:rPr>
          <w:rStyle w:val="FootnoteAnchor"/>
          <w:rtl w:val="true"/>
        </w:rPr>
        <w:footnoteReference w:id="1614"/>
      </w:r>
      <w:r>
        <w:rPr>
          <w:rFonts w:ascii="IRNazanin" w:hAnsi="IRNazanin" w:eastAsia="IRNazanin"/>
          <w:color w:val="111111"/>
          <w:sz w:val="28"/>
          <w:sz w:val="28"/>
          <w:szCs w:val="28"/>
          <w:rtl w:val="true"/>
          <w:lang w:bidi="fa-IR"/>
        </w:rPr>
        <w:t xml:space="preserve">ومن استفعل استفعالا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استخرج استخراجا </w:t>
      </w:r>
      <w:r>
        <w:rPr>
          <w:rStyle w:val="FootnoteAnchor"/>
          <w:rtl w:val="true"/>
        </w:rPr>
        <w:footnoteReference w:id="1615"/>
      </w:r>
      <w:r>
        <w:rPr>
          <w:rFonts w:ascii="Amiri" w:hAnsi="Amiri" w:eastAsia="Amiri" w:cs="Amiri"/>
          <w:color w:val="111111"/>
          <w:sz w:val="28"/>
          <w:sz w:val="28"/>
          <w:szCs w:val="28"/>
          <w:rtl w:val="true"/>
          <w:lang w:bidi="ar-SA"/>
        </w:rPr>
        <w:t xml:space="preserve">فإن كان استفعل معتلّ العين ، رجع الاستفعال إلى استفالة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استعان استعانة واستكان استكانة ، ومن افعلّ افعلالا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احمر احمرارا ، ومن تفعّل تفعّلا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تلبّث تلبّثا ومن تفاعل تفاعلا </w:t>
      </w:r>
      <w:r>
        <w:rPr>
          <w:rStyle w:val="FootnoteAnchor"/>
          <w:rtl w:val="true"/>
        </w:rPr>
        <w:footnoteReference w:id="1616"/>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تطاول تطاولا ، ومن تفعلل تفعللا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تدحرج تدحرجا ومن تفوعل تفوعلا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تجوهر تجوهرا ، ومن تفعّل تفعّالا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تحمّل تحمّالا </w:t>
      </w:r>
      <w:r>
        <w:rPr>
          <w:rStyle w:val="FootnoteAnchor"/>
          <w:rtl w:val="true"/>
        </w:rPr>
        <w:footnoteReference w:id="1617"/>
      </w:r>
      <w:r>
        <w:rPr>
          <w:rFonts w:ascii="Amiri" w:hAnsi="Amiri" w:eastAsia="Amiri" w:cs="Amiri"/>
          <w:color w:val="111111"/>
          <w:sz w:val="28"/>
          <w:sz w:val="28"/>
          <w:szCs w:val="28"/>
          <w:rtl w:val="true"/>
          <w:lang w:bidi="ar-SA"/>
        </w:rPr>
        <w:t xml:space="preserve">، ومن افعنلل افعنلالا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احرنجم احرنجاما ، ومن افعوعل افعيلالا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اغدودن اغديدانا ، ومن افعوّل افعوّالا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اعلوّط اعلوّاطا </w:t>
      </w:r>
      <w:r>
        <w:rPr>
          <w:rStyle w:val="FootnoteAnchor"/>
          <w:rtl w:val="true"/>
        </w:rPr>
        <w:footnoteReference w:id="1618"/>
      </w:r>
      <w:r>
        <w:rPr>
          <w:rFonts w:ascii="IRNazanin" w:hAnsi="IRNazanin" w:eastAsia="IRNazanin"/>
          <w:color w:val="111111"/>
          <w:sz w:val="28"/>
          <w:sz w:val="28"/>
          <w:szCs w:val="28"/>
          <w:rtl w:val="true"/>
          <w:lang w:bidi="fa-IR"/>
        </w:rPr>
        <w:t xml:space="preserve">ومن افعللّ افعلالا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اقشعرّ اقشعرارا </w:t>
      </w:r>
      <w:r>
        <w:rPr>
          <w:rStyle w:val="FootnoteAnchor"/>
          <w:rtl w:val="true"/>
        </w:rPr>
        <w:footnoteReference w:id="1619"/>
      </w:r>
      <w:r>
        <w:rPr>
          <w:rFonts w:ascii="Amiri" w:hAnsi="Amiri" w:eastAsia="Amiri" w:cs="Amiri"/>
          <w:color w:val="111111"/>
          <w:sz w:val="28"/>
          <w:sz w:val="28"/>
          <w:szCs w:val="28"/>
          <w:rtl w:val="true"/>
          <w:lang w:bidi="ar-SA"/>
        </w:rPr>
        <w:t xml:space="preserve">وإذا تقارب معنى فعلين جاز أن يستعمل مصدر أحدهما للآخر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انطويت تطويا وتطويت انطواء</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أفعل معتل العين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 وأجاز وأطاق ، مصدره بحسب الأصل إفعالا ، لأنّ مصدر أفعل من الصحيح إفعالا كما تقدّم من أكرم إكراما ، فمصادر هذه الأمثلة المذكورة بحسب الأصل إقواما ، وإجوازا وإطواقا ، إلّا أنهم أعلّوا المصدر كما أعلوا فعله فنقلوا الحركة عن حرف العلّة إلى الساكن قبله ، وبعد الساكن ألف ولا يكون ما قبل الألف إلا مفتوحا ، فينقلب حرف العلة ألفا ، فاجتمعت ألفان فحذفت إحداهما لالتقاء الساكنين وعوض عنها الهاء في الآخر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إقامة وإجازة وإطاقة </w:t>
      </w:r>
      <w:r>
        <w:rPr>
          <w:rStyle w:val="FootnoteAnchor"/>
          <w:rtl w:val="true"/>
        </w:rPr>
        <w:footnoteReference w:id="16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واعلم أنّ المصدر قد يرد على وزن اسمي الفاعل والمفعول سماعا لا قياسا </w:t>
      </w:r>
      <w:r>
        <w:rPr>
          <w:rStyle w:val="FootnoteAnchor"/>
          <w:rtl w:val="true"/>
        </w:rPr>
        <w:footnoteReference w:id="1621"/>
      </w:r>
      <w:r>
        <w:rPr>
          <w:rFonts w:ascii="Amiri" w:hAnsi="Amiri" w:eastAsia="Amiri" w:cs="Amiri"/>
          <w:color w:val="111111"/>
          <w:sz w:val="28"/>
          <w:sz w:val="28"/>
          <w:szCs w:val="28"/>
          <w:rtl w:val="true"/>
          <w:lang w:bidi="ar-SA"/>
        </w:rPr>
        <w:t xml:space="preserve">فوروده على وزن اسم الفاعل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قائما بمعنى قياما ومنه قول الشّاعر </w:t>
      </w:r>
      <w:r>
        <w:rPr>
          <w:rFonts w:eastAsia="Amiri" w:cs="Amiri" w:ascii="Amiri" w:hAnsi="Amiri"/>
          <w:color w:val="111111"/>
          <w:sz w:val="28"/>
          <w:szCs w:val="28"/>
          <w:rtl w:val="true"/>
          <w:lang w:bidi="ar-SA"/>
        </w:rPr>
        <w:t xml:space="preserve">: </w:t>
      </w:r>
      <w:r>
        <w:rPr>
          <w:rStyle w:val="FootnoteAnchor"/>
          <w:rtl w:val="true"/>
        </w:rPr>
        <w:footnoteReference w:id="1622"/>
      </w:r>
    </w:p>
    <w:p>
      <w:pPr>
        <w:pStyle w:val="BookText"/>
        <w:rPr/>
      </w:pPr>
      <w:r>
        <w:rPr>
          <w:rFonts w:ascii="Amiri" w:hAnsi="Amiri" w:eastAsia="Amiri" w:cs="Amiri"/>
          <w:color w:val="111111"/>
          <w:sz w:val="28"/>
          <w:sz w:val="28"/>
          <w:szCs w:val="28"/>
          <w:rtl w:val="true"/>
          <w:lang w:bidi="ar-SA"/>
        </w:rPr>
        <w:t>وأنجو إذا غمّ الجبان من الكرب</w:t>
      </w:r>
    </w:p>
    <w:p>
      <w:pPr>
        <w:pStyle w:val="BookText"/>
        <w:rPr/>
      </w:pPr>
      <w:r>
        <w:rPr>
          <w:rFonts w:ascii="Amiri" w:hAnsi="Amiri" w:eastAsia="Amiri" w:cs="Amiri"/>
          <w:color w:val="111111"/>
          <w:sz w:val="28"/>
          <w:sz w:val="28"/>
          <w:szCs w:val="28"/>
          <w:rtl w:val="true"/>
          <w:lang w:bidi="ar-SA"/>
        </w:rPr>
        <w:t xml:space="preserve">ورد البيت منسوبا إلى مالك بن أبي كعب في الكتاب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 المفصل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البيت منسوبا لكعب بن مالك في لسان العرب ، قتل ، وشرح لامية الأفعال ، لابن الناظم ،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المخصص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كعب بن مالك وروي البيت من غير نسبة في المقتضب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والخصائص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والمحتسب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 الأشموني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الجائز أن يكون مراد الشارح بيتا آخر لزيد الخيل يتشابه صدره مع ما رواه الشارح وعجزه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وأنجو إذا لم ينج إلّا المكيّس</w:t>
      </w:r>
    </w:p>
    <w:p>
      <w:pPr>
        <w:pStyle w:val="BookText"/>
        <w:rPr/>
      </w:pPr>
      <w:r>
        <w:rPr>
          <w:rFonts w:ascii="Amiri" w:hAnsi="Amiri" w:eastAsia="Amiri" w:cs="Amiri"/>
          <w:color w:val="111111"/>
          <w:sz w:val="28"/>
          <w:sz w:val="28"/>
          <w:szCs w:val="28"/>
          <w:rtl w:val="true"/>
          <w:lang w:bidi="ar-SA"/>
        </w:rPr>
        <w:t xml:space="preserve">انظر ديوان زيد الخيل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والمخصص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البيت في الكتاب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والنوادر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والخصائص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والمحتسب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وسمط اللآلي للبكري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 المفصل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ولسان العرب ، قتل ، وشرح الأشموني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ورواية أبي الفداء بكسر التاء ، فهو اسم فاعل أريد به المصدر ، أي قتالا ، وروي بفتحها ، فهو اسم مفعول أريد به المصدر أيضا أو اسم 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أقاتل حتّى لا أرى لي مقاتلا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لا أرى قتالا ، ومنه العافية في عافاه الله عافية ، ووروده على وزن المفعول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الميسور والمعسور والمرفوع والموضوع بمعنى اليسر والعسر والرّفع والوضع </w:t>
      </w:r>
      <w:r>
        <w:rPr>
          <w:rStyle w:val="FootnoteAnchor"/>
          <w:rtl w:val="true"/>
        </w:rPr>
        <w:footnoteReference w:id="1623"/>
      </w:r>
      <w:r>
        <w:rPr>
          <w:rFonts w:ascii="Amiri" w:hAnsi="Amiri" w:eastAsia="Amiri" w:cs="Amiri"/>
          <w:color w:val="111111"/>
          <w:sz w:val="28"/>
          <w:sz w:val="28"/>
          <w:szCs w:val="28"/>
          <w:rtl w:val="true"/>
          <w:lang w:bidi="ar-SA"/>
        </w:rPr>
        <w:t>وكما جاء اسم الفاعل في موضع المصدر جاء أيضا المصدر في موضع اسم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جاء ركضا ومشيا أي راكضا وماشيا </w:t>
      </w:r>
      <w:r>
        <w:rPr>
          <w:rStyle w:val="FootnoteAnchor"/>
          <w:rtl w:val="true"/>
        </w:rPr>
        <w:footnoteReference w:id="1624"/>
      </w:r>
      <w:r>
        <w:rPr>
          <w:rFonts w:ascii="Amiri" w:hAnsi="Amiri" w:eastAsia="Amiri" w:cs="Amiri"/>
          <w:color w:val="111111"/>
          <w:sz w:val="28"/>
          <w:sz w:val="28"/>
          <w:szCs w:val="28"/>
          <w:rtl w:val="true"/>
          <w:lang w:bidi="ar-SA"/>
        </w:rPr>
        <w:t xml:space="preserve">، ومنه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ادْعُهُنَّ يَأْتِينَكَ سَعْياً</w:t>
      </w:r>
      <w:r>
        <w:rPr>
          <w:rFonts w:eastAsia="Amiri" w:cs="Amiri" w:ascii="Amiri" w:hAnsi="Amiri"/>
          <w:color w:val="111111"/>
          <w:sz w:val="28"/>
          <w:szCs w:val="28"/>
          <w:rtl w:val="true"/>
          <w:lang w:bidi="ar-SA"/>
        </w:rPr>
        <w:t>)</w:t>
      </w:r>
      <w:r>
        <w:rPr>
          <w:rStyle w:val="FootnoteAnchor"/>
          <w:rtl w:val="true"/>
        </w:rPr>
        <w:footnoteReference w:id="1625"/>
      </w:r>
      <w:r>
        <w:rPr>
          <w:rFonts w:ascii="Amiri" w:hAnsi="Amiri" w:eastAsia="Amiri" w:cs="Amiri"/>
          <w:color w:val="111111"/>
          <w:sz w:val="28"/>
          <w:sz w:val="28"/>
          <w:szCs w:val="28"/>
          <w:rtl w:val="true"/>
          <w:lang w:bidi="ar-SA"/>
        </w:rPr>
        <w:t xml:space="preserve">أي ساعيات ، وهذا السّماعي إنّما هو في الفعل الثلاثي المجرّد ، وأمّا المزيد فيه والرباعي ، فيجيء منه اسم المفعول في موضع المصدر قياسا ، كأخرجته مخرجا ، وانطلق منطلقا ، ومن المصادر ما جاءت لتكثير الفعل والمبالغة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على تفعال سماعا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التّهدار ، والتّرحال والتّرداد </w:t>
      </w:r>
      <w:r>
        <w:rPr>
          <w:rStyle w:val="FootnoteAnchor"/>
          <w:rtl w:val="true"/>
        </w:rPr>
        <w:footnoteReference w:id="1626"/>
      </w:r>
      <w:r>
        <w:rPr>
          <w:rFonts w:ascii="Amiri" w:hAnsi="Amiri" w:eastAsia="Amiri" w:cs="Amiri"/>
          <w:color w:val="111111"/>
          <w:sz w:val="28"/>
          <w:sz w:val="28"/>
          <w:szCs w:val="28"/>
          <w:rtl w:val="true"/>
          <w:lang w:bidi="ar-SA"/>
        </w:rPr>
        <w:t xml:space="preserve">بمعنى الهدر والرحيل والتردّد ، ونحو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على تفعيل وهو قياسي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التقطيع ونحو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فعّيلى كقول عمر رضي‌الله‌عنه </w:t>
      </w:r>
      <w:r>
        <w:rPr>
          <w:rFonts w:eastAsia="Amiri" w:cs="Amiri" w:ascii="Amiri" w:hAnsi="Amiri"/>
          <w:color w:val="111111"/>
          <w:sz w:val="28"/>
          <w:szCs w:val="28"/>
          <w:rtl w:val="true"/>
          <w:lang w:bidi="ar-SA"/>
        </w:rPr>
        <w:t xml:space="preserve">: </w:t>
      </w:r>
      <w:r>
        <w:rPr>
          <w:rStyle w:val="FootnoteAnchor"/>
          <w:rtl w:val="true"/>
        </w:rPr>
        <w:footnoteReference w:id="16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أطيق الأذان مع الخلّيفى لأذّنت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عمر بن عبد العزيز </w:t>
      </w:r>
      <w:r>
        <w:rPr>
          <w:rFonts w:eastAsia="Amiri" w:cs="Amiri" w:ascii="Amiri" w:hAnsi="Amiri"/>
          <w:color w:val="111111"/>
          <w:sz w:val="28"/>
          <w:szCs w:val="28"/>
          <w:rtl w:val="true"/>
          <w:lang w:bidi="ar-SA"/>
        </w:rPr>
        <w:t xml:space="preserve">: </w:t>
      </w:r>
      <w:r>
        <w:rPr>
          <w:rStyle w:val="FootnoteAnchor"/>
          <w:rtl w:val="true"/>
        </w:rPr>
        <w:footnoteReference w:id="1628"/>
      </w:r>
      <w:r>
        <w:rPr>
          <w:rStyle w:val="FootnoteAnchor"/>
          <w:rtl w:val="true"/>
        </w:rPr>
        <w:footnoteReference w:id="16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ردّيدى في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تردّ</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يعمل عمل فعله </w:t>
      </w:r>
      <w:r>
        <w:rPr>
          <w:rStyle w:val="FootnoteAnchor"/>
          <w:rtl w:val="true"/>
        </w:rPr>
        <w:footnoteReference w:id="1630"/>
      </w:r>
      <w:r>
        <w:rPr>
          <w:rFonts w:ascii="Amiri" w:hAnsi="Amiri" w:eastAsia="Amiri" w:cs="Amiri"/>
          <w:color w:val="111111"/>
          <w:sz w:val="28"/>
          <w:sz w:val="28"/>
          <w:szCs w:val="28"/>
          <w:rtl w:val="true"/>
          <w:lang w:bidi="ar-SA"/>
        </w:rPr>
        <w:t xml:space="preserve">سواء كان المصدر بمعنى الماضي أو الحال أو الاستقبال ، لأنّ عمله لكونه في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الفعل سواء كان ماضيا أو غيره ، وإنّما يعمل المصدر إذا لم يكن مفعولا مطلقا ، أي إذا لم يكن منصوبا بفعله المذكور معه لفظا أو تقديرا ، ولا يضمر الفاعل في المصدر كما سيأتي </w:t>
      </w:r>
      <w:r>
        <w:rPr>
          <w:rStyle w:val="FootnoteAnchor"/>
          <w:rtl w:val="true"/>
        </w:rPr>
        <w:footnoteReference w:id="1631"/>
      </w:r>
      <w:r>
        <w:rPr>
          <w:rFonts w:ascii="Amiri" w:hAnsi="Amiri" w:eastAsia="Amiri" w:cs="Amiri"/>
          <w:color w:val="111111"/>
          <w:sz w:val="28"/>
          <w:sz w:val="28"/>
          <w:szCs w:val="28"/>
          <w:rtl w:val="true"/>
          <w:lang w:bidi="ar-SA"/>
        </w:rPr>
        <w:t xml:space="preserve">وإنّما سمّي المصدر مصدرا لأنّ الأفعال صدرت عنه ، أي أخذت منه تشبيها بمصدر الإبل ، وهو المكان الذي ترده الإبل ثم تصدر عنه </w:t>
      </w:r>
      <w:r>
        <w:rPr>
          <w:rStyle w:val="FootnoteAnchor"/>
          <w:rtl w:val="true"/>
        </w:rPr>
        <w:footnoteReference w:id="1632"/>
      </w:r>
      <w:r>
        <w:rPr>
          <w:rFonts w:ascii="Amiri" w:hAnsi="Amiri" w:eastAsia="Amiri" w:cs="Amiri"/>
          <w:color w:val="111111"/>
          <w:sz w:val="28"/>
          <w:sz w:val="28"/>
          <w:szCs w:val="28"/>
          <w:rtl w:val="true"/>
          <w:lang w:bidi="ar-SA"/>
        </w:rPr>
        <w:t xml:space="preserve">ولا يتقدّم معمول المصدر عليه فلا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أعجبني زيدا ضرب عمرو ، لكون المصدر في تقدير أن مع الفعل ، فكما لا يتقدّم ما في حيّز صلة أن عليها ، فكذلك لا يتقدّم ما في حيّز صلة المصدر عليه </w:t>
      </w:r>
      <w:r>
        <w:rPr>
          <w:rStyle w:val="FootnoteAnchor"/>
          <w:rtl w:val="true"/>
        </w:rPr>
        <w:footnoteReference w:id="1633"/>
      </w:r>
      <w:r>
        <w:rPr>
          <w:rFonts w:ascii="Amiri" w:hAnsi="Amiri" w:eastAsia="Amiri" w:cs="Amiri"/>
          <w:color w:val="111111"/>
          <w:sz w:val="28"/>
          <w:sz w:val="28"/>
          <w:szCs w:val="28"/>
          <w:rtl w:val="true"/>
          <w:lang w:bidi="ar-SA"/>
        </w:rPr>
        <w:t xml:space="preserve">، ولا يلزم ذكر فاعل المصدر بل يجوز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أعجبني ضرب زيدا ، ولم يذكر الفاعل ، وإنّما لم يلزم ذكر الفاعل لأن التزامه كان يؤدي إلى الإضمار فيه عند ما يكون لغائب متقدم ذكره ، ولا يضمر فيه الفاعل وإنّما لم يضمر فاعل المصدر فيه ، فرقا بينه وبين الفعل والصفة ، حيث يضمر فاعلهما فيهما ، لأنّ الفعل خبر أو وصف جار مجرى الخبر في اقتضائه مسندا إليه ، وكذلك الصفات فلو قدّر خلوّهما من الضمير لم ترتبط الصفة بالموصوف ولا الخبر بالمبتدأ ، والمصدر اسم على كل حال ، وليس بصفة ، والاسم لا يلزم أن يكون مسندا إلى شيء ، فلذلك لم يضمر فيه فرقا بينه وبين ما وجب فيه الإضمار ، ويجوز إضافة المصدر إلى الفاعل ، </w:t>
      </w:r>
      <w:bookmarkStart w:id="549" w:name="pg14482_156294"/>
    </w:p>
    <w:p>
      <w:pPr>
        <w:pStyle w:val="BookText"/>
        <w:rPr/>
      </w:pPr>
      <w:bookmarkEnd w:id="549"/>
      <w:r>
        <w:rPr>
          <w:rFonts w:ascii="Amiri" w:hAnsi="Amiri" w:eastAsia="Amiri" w:cs="Amiri"/>
          <w:color w:val="111111"/>
          <w:sz w:val="28"/>
          <w:sz w:val="28"/>
          <w:szCs w:val="28"/>
          <w:rtl w:val="true"/>
          <w:lang w:bidi="ar-SA"/>
        </w:rPr>
        <w:t xml:space="preserve">فيبقى المفعول منصوبا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أعجبني دقّ القصّار الثوب </w:t>
      </w:r>
      <w:r>
        <w:rPr>
          <w:rStyle w:val="FootnoteAnchor"/>
          <w:rtl w:val="true"/>
        </w:rPr>
        <w:footnoteReference w:id="1634"/>
      </w:r>
      <w:r>
        <w:rPr>
          <w:rFonts w:ascii="Amiri" w:hAnsi="Amiri" w:eastAsia="Amiri" w:cs="Amiri"/>
          <w:color w:val="111111"/>
          <w:sz w:val="28"/>
          <w:sz w:val="28"/>
          <w:szCs w:val="28"/>
          <w:rtl w:val="true"/>
          <w:lang w:bidi="ar-SA"/>
        </w:rPr>
        <w:t>، وقد يضاف إلى المفعول فيبقى الفاعل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عمله منونا أولى ، لأنّه حينئذ أكثر مشابهة للفعل لكونه نكرة حينئذ ، كالفعل ثم عمله مضافا أولى ، وإعماله باللّام قليل </w:t>
      </w:r>
      <w:r>
        <w:rPr>
          <w:rStyle w:val="FootnoteAnchor"/>
          <w:rtl w:val="true"/>
        </w:rPr>
        <w:footnoteReference w:id="1635"/>
      </w:r>
      <w:r>
        <w:rPr>
          <w:rStyle w:val="FootnoteAnchor"/>
          <w:rtl w:val="true"/>
        </w:rPr>
        <w:footnoteReference w:id="1636"/>
      </w:r>
      <w:r>
        <w:rPr>
          <w:rFonts w:ascii="Amiri" w:hAnsi="Amiri" w:eastAsia="Amiri" w:cs="Amiri"/>
          <w:color w:val="111111"/>
          <w:sz w:val="28"/>
          <w:sz w:val="28"/>
          <w:szCs w:val="28"/>
          <w:rtl w:val="true"/>
          <w:lang w:bidi="ar-SA"/>
        </w:rPr>
        <w:t xml:space="preserve">وإن كان المصدر مفعولا مطلقا ، فإمّا أن يكون مما التزم فيه حذف الفعل وصار المصدر بدلا عنه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سقيا ، أو لم يكن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سقيا ، ففيه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الفعل عاملا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المصدر عاملا من حيث إنّه نائب عن الفعل 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سقيا زيدا ، فزيدا منصوب بسقيا من حيث قام مقام سقى الله ، لا من حيث كونه مصدرا ، وإن لم يكن المصدر بدلا من الفعل ، بل كان الفعل مذكورا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ضربا زيدا أو محذوفا غير لازم نحو قولك لمن رفع السّوط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ضربا زيدا ، فالعمل للفعل ، لأنّه مراد لفظا أو تقديرا ، وليس المصدر بدلا عنه </w:t>
      </w:r>
      <w:r>
        <w:rPr>
          <w:rStyle w:val="FootnoteAnchor"/>
          <w:rtl w:val="true"/>
        </w:rPr>
        <w:footnoteReference w:id="16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0" w:name="__RefHeading___Toc716920_996550957"/>
      <w:bookmarkStart w:id="551" w:name="_Toc201"/>
      <w:bookmarkEnd w:id="550"/>
      <w:r>
        <w:rPr/>
        <w:t>2</w:t>
      </w:r>
      <w:r>
        <w:rPr>
          <w:rtl w:val="true"/>
        </w:rPr>
        <w:t xml:space="preserve">- </w:t>
      </w:r>
      <w:r>
        <w:rPr>
          <w:rtl w:val="true"/>
        </w:rPr>
        <w:t>ذكر اسم الفاعل</w:t>
      </w:r>
      <w:bookmarkEnd w:id="551"/>
    </w:p>
    <w:p>
      <w:pPr>
        <w:pStyle w:val="Heading6"/>
        <w:numPr>
          <w:ilvl w:val="5"/>
          <w:numId w:val="1"/>
        </w:numPr>
        <w:rPr/>
      </w:pPr>
      <w:bookmarkStart w:id="552" w:name="__RefHeading___Toc716922_996550957"/>
      <w:bookmarkStart w:id="553" w:name="_Toc202"/>
      <w:bookmarkEnd w:id="552"/>
      <w:r>
        <w:rPr>
          <w:rtl w:val="true"/>
        </w:rPr>
        <w:t>اشارة</w:t>
      </w:r>
      <w:bookmarkEnd w:id="553"/>
    </w:p>
    <w:p>
      <w:pPr>
        <w:pStyle w:val="BookText"/>
        <w:rPr/>
      </w:pPr>
      <w:r>
        <w:rPr>
          <w:rStyle w:val="FootnoteAnchor"/>
          <w:rtl w:val="true"/>
        </w:rPr>
        <w:footnoteReference w:id="16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الفاعل ما اشتقّ من فعل لمن قام به بمعنى الحدوث ،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اشتقّ من فعل كالجنس يدخل فيه المحدود وغيره من اسم المفعول والصفة المشبّهة وغير ذلك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قام به ، يخرج به نحو اسم المفعول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الحدوث يخرج الصّفة المشبّهة ، لأنّ وضعها أن تدلّ على معنى ثابت ، ولو قصد بها الحدوث ردّت إلى صيغة اسم الفاعل </w:t>
      </w:r>
      <w:r>
        <w:rPr>
          <w:rStyle w:val="FootnoteAnchor"/>
          <w:rtl w:val="true"/>
        </w:rPr>
        <w:footnoteReference w:id="1639"/>
      </w:r>
      <w:r>
        <w:rPr>
          <w:rFonts w:ascii="Amiri" w:hAnsi="Amiri" w:eastAsia="Amiri" w:cs="Amiri"/>
          <w:color w:val="111111"/>
          <w:sz w:val="28"/>
          <w:sz w:val="28"/>
          <w:szCs w:val="28"/>
          <w:rtl w:val="true"/>
          <w:lang w:bidi="ar-SA"/>
        </w:rPr>
        <w:t>كما سيأتي في الصفة المشبّهة</w:t>
      </w:r>
      <w:r>
        <w:rPr>
          <w:rFonts w:eastAsia="Amiri" w:cs="Amiri" w:ascii="Amiri" w:hAnsi="Amiri"/>
          <w:color w:val="111111"/>
          <w:sz w:val="28"/>
          <w:szCs w:val="28"/>
          <w:rtl w:val="true"/>
          <w:lang w:bidi="ar-SA"/>
        </w:rPr>
        <w:t>.</w:t>
      </w:r>
    </w:p>
    <w:p>
      <w:pPr>
        <w:pStyle w:val="Heading6"/>
        <w:numPr>
          <w:ilvl w:val="5"/>
          <w:numId w:val="1"/>
        </w:numPr>
        <w:rPr/>
      </w:pPr>
      <w:bookmarkStart w:id="554" w:name="__RefHeading___Toc716924_996550957"/>
      <w:bookmarkStart w:id="555" w:name="_Toc203"/>
      <w:bookmarkEnd w:id="554"/>
      <w:r>
        <w:rPr>
          <w:rtl w:val="true"/>
        </w:rPr>
        <w:t>ذكر اسم الفاعل من الفعل الثلاثي المجرّد</w:t>
      </w:r>
      <w:bookmarkEnd w:id="555"/>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6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إن كان على فعل بفتح العين فيطرد منه اسم الفاعل على صيغة فاعل ، </w:t>
      </w:r>
      <w:bookmarkStart w:id="556" w:name="pg14482_156295"/>
    </w:p>
    <w:p>
      <w:pPr>
        <w:pStyle w:val="BookText"/>
        <w:rPr/>
      </w:pPr>
      <w:bookmarkEnd w:id="556"/>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فهو ضارب وقعد فهو قاعد </w:t>
      </w:r>
      <w:r>
        <w:rPr>
          <w:rStyle w:val="FootnoteAnchor"/>
          <w:rtl w:val="true"/>
        </w:rPr>
        <w:footnoteReference w:id="1641"/>
      </w:r>
      <w:r>
        <w:rPr>
          <w:rFonts w:ascii="Amiri" w:hAnsi="Amiri" w:eastAsia="Amiri" w:cs="Amiri"/>
          <w:color w:val="111111"/>
          <w:sz w:val="28"/>
          <w:sz w:val="28"/>
          <w:szCs w:val="28"/>
          <w:rtl w:val="true"/>
          <w:lang w:bidi="ar-SA"/>
        </w:rPr>
        <w:t xml:space="preserve">وأمّا ما جاء من الفعل الثلاثي المذكور على خلاف ذلك فمسموع ولا يقاس </w:t>
      </w:r>
      <w:r>
        <w:rPr>
          <w:rStyle w:val="FootnoteAnchor"/>
          <w:rtl w:val="true"/>
        </w:rPr>
        <w:footnoteReference w:id="1642"/>
      </w:r>
      <w:r>
        <w:rPr>
          <w:rFonts w:ascii="Amiri" w:hAnsi="Amiri" w:eastAsia="Amiri" w:cs="Amiri"/>
          <w:color w:val="111111"/>
          <w:sz w:val="28"/>
          <w:sz w:val="28"/>
          <w:szCs w:val="28"/>
          <w:rtl w:val="true"/>
          <w:lang w:bidi="ar-SA"/>
        </w:rPr>
        <w:t>عليه ، وذلك نحو عتق العبد فهو عتيق</w:t>
      </w:r>
      <w:r>
        <w:rPr>
          <w:rFonts w:eastAsia="Amiri" w:cs="Amiri" w:ascii="Amiri" w:hAnsi="Amiri"/>
          <w:color w:val="111111"/>
          <w:sz w:val="28"/>
          <w:szCs w:val="28"/>
          <w:rtl w:val="true"/>
          <w:lang w:bidi="ar-SA"/>
        </w:rPr>
        <w:t>.</w:t>
      </w:r>
    </w:p>
    <w:p>
      <w:pPr>
        <w:pStyle w:val="Heading6"/>
        <w:numPr>
          <w:ilvl w:val="5"/>
          <w:numId w:val="1"/>
        </w:numPr>
        <w:rPr/>
      </w:pPr>
      <w:bookmarkStart w:id="557" w:name="__RefHeading___Toc716926_996550957"/>
      <w:bookmarkStart w:id="558" w:name="_Toc204"/>
      <w:bookmarkEnd w:id="557"/>
      <w:r>
        <w:rPr>
          <w:rtl w:val="true"/>
        </w:rPr>
        <w:t>ذكر اسم الفاعل من غير الثلاثي</w:t>
      </w:r>
      <w:bookmarkEnd w:id="558"/>
    </w:p>
    <w:p>
      <w:pPr>
        <w:pStyle w:val="BookText"/>
        <w:rPr/>
      </w:pPr>
      <w:r>
        <w:rPr>
          <w:rStyle w:val="FootnoteAnchor"/>
          <w:rtl w:val="true"/>
        </w:rPr>
        <w:footnoteReference w:id="16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منه على صيغة المضارع وهو أن يحذف حرف المضارعة ويجعل موضعه ميم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مكرم من يكرم ، ومنطلق من ينطلق ، ومدحرج من يدحرج ، ومستخرج من يستخرج ، وهذه الميم في اسم الفاعل لا تكون </w:t>
      </w:r>
      <w:r>
        <w:rPr>
          <w:rStyle w:val="FootnoteAnchor"/>
          <w:rtl w:val="true"/>
        </w:rPr>
        <w:footnoteReference w:id="1644"/>
      </w:r>
      <w:r>
        <w:rPr>
          <w:rFonts w:ascii="Amiri" w:hAnsi="Amiri" w:eastAsia="Amiri" w:cs="Amiri"/>
          <w:color w:val="111111"/>
          <w:sz w:val="28"/>
          <w:sz w:val="28"/>
          <w:szCs w:val="28"/>
          <w:rtl w:val="true"/>
          <w:lang w:bidi="ar-SA"/>
        </w:rPr>
        <w:t xml:space="preserve">إلا مضمومة سواء كان حرف المضارعة مضموما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 أو مفتوحا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يستخرج فإنك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مخرج ومستخرج بضم الميم فيهما ، وما قبل آخر اسم الفاعل المذكور لا يكون إلّا مكسورا نحو كسرة اللام في منطلق ، والراء في مدحرج ومستخرج </w:t>
      </w:r>
      <w:r>
        <w:rPr>
          <w:rStyle w:val="FootnoteAnchor"/>
          <w:rtl w:val="true"/>
        </w:rPr>
        <w:footnoteReference w:id="1645"/>
      </w:r>
      <w:r>
        <w:rPr>
          <w:rFonts w:ascii="Amiri" w:hAnsi="Amiri" w:eastAsia="Amiri" w:cs="Amiri"/>
          <w:color w:val="111111"/>
          <w:sz w:val="28"/>
          <w:sz w:val="28"/>
          <w:szCs w:val="28"/>
          <w:rtl w:val="true"/>
          <w:lang w:bidi="ar-SA"/>
        </w:rPr>
        <w:t xml:space="preserve">فرقا بينه وبين المفعول ، وأمّا ما جاء من أسماء الفاعلين من هذا الباب على صيغة اسم الفاعل من الفعل الثلاثي فشاذ يؤخذ بالسّماع ، وذلك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وارق من أورق العود ، وما حل من محل البلد ، وعاشب من أعشب المكان ، ويافع من أيفع الغلام ، فإنّ قياس ذلك ، أن يكون اسم الفاعل منه على مفعل لا على فاعل</w:t>
      </w:r>
      <w:r>
        <w:rPr>
          <w:rFonts w:eastAsia="Amiri" w:cs="Amiri" w:ascii="Amiri" w:hAnsi="Amiri"/>
          <w:color w:val="111111"/>
          <w:sz w:val="28"/>
          <w:szCs w:val="28"/>
          <w:rtl w:val="true"/>
          <w:lang w:bidi="ar-SA"/>
        </w:rPr>
        <w:t>.</w:t>
      </w:r>
    </w:p>
    <w:p>
      <w:pPr>
        <w:pStyle w:val="Heading6"/>
        <w:numPr>
          <w:ilvl w:val="5"/>
          <w:numId w:val="1"/>
        </w:numPr>
        <w:rPr/>
      </w:pPr>
      <w:bookmarkStart w:id="559" w:name="__RefHeading___Toc716928_996550957"/>
      <w:bookmarkStart w:id="560" w:name="_Toc205"/>
      <w:bookmarkEnd w:id="559"/>
      <w:r>
        <w:rPr>
          <w:rtl w:val="true"/>
        </w:rPr>
        <w:t>ذكر عمل اسم الفاعل</w:t>
      </w:r>
      <w:bookmarkEnd w:id="560"/>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6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يعمل عمل فعله المضارع المبنيّ للفاعل ، لكن يشترط لعمله أن يكون بمعنى الحال أو الاستقبال مع اعتماده على صاحبه ، أو على همزة استفهام ، أو ما النافية ، أما اشتراط كون اسم الفاعل المذكور بمعنى الحال أو الاستقبال ، فلأنّه إنّما عمل لمشابهة الفعل المضارع في الموازنة والدلالة على المصدر </w:t>
      </w:r>
      <w:r>
        <w:rPr>
          <w:rStyle w:val="FootnoteAnchor"/>
          <w:rtl w:val="true"/>
        </w:rPr>
        <w:footnoteReference w:id="1647"/>
      </w:r>
      <w:r>
        <w:rPr>
          <w:rFonts w:ascii="IRNazanin" w:hAnsi="IRNazanin" w:eastAsia="IRNazanin"/>
          <w:color w:val="111111"/>
          <w:sz w:val="28"/>
          <w:sz w:val="28"/>
          <w:szCs w:val="28"/>
          <w:rtl w:val="true"/>
          <w:lang w:bidi="fa-IR"/>
        </w:rPr>
        <w:t xml:space="preserve">فضارب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موازن يضرب ، ومكرم موازن يكرم ، فلمّا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انعقد هذا الشبه بينهما عمل عمله ، ولهذه المشابهة أيضا أعطيت الأفعال المضارعة الإعراب ، وليس بين اسم الفاعل والفعل الماضي هذه الموافقة ، فإنّ ضاربا مثل يضرب لا مثل ضرب ، فإذا شرط فيه معنى الحال أو الاستقبال قوي شبهه به لفظا ومعنى ، سواء كان الحال أو الاستقبال تحقيقا أو حكاية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وَكَلْبُهُمْ باسِطٌ ذِراعَيْهِ بِالْوَصِيدِ</w:t>
      </w:r>
      <w:r>
        <w:rPr>
          <w:rFonts w:eastAsia="Amiri" w:cs="Amiri" w:ascii="Amiri" w:hAnsi="Amiri"/>
          <w:color w:val="111111"/>
          <w:sz w:val="28"/>
          <w:szCs w:val="28"/>
          <w:rtl w:val="true"/>
          <w:lang w:bidi="ar-SA"/>
        </w:rPr>
        <w:t>)</w:t>
      </w:r>
      <w:r>
        <w:rPr>
          <w:rStyle w:val="FootnoteAnchor"/>
          <w:rtl w:val="true"/>
        </w:rPr>
        <w:footnoteReference w:id="1648"/>
      </w:r>
      <w:r>
        <w:rPr>
          <w:rFonts w:ascii="Amiri" w:hAnsi="Amiri" w:eastAsia="Amiri" w:cs="Amiri"/>
          <w:color w:val="111111"/>
          <w:sz w:val="28"/>
          <w:sz w:val="28"/>
          <w:szCs w:val="28"/>
          <w:rtl w:val="true"/>
          <w:lang w:bidi="ar-SA"/>
        </w:rPr>
        <w:t xml:space="preserve">فإنّ باسطا ها هنا ، وإن كان ماضيا لكنّ المراد به حكاية الحال </w:t>
      </w:r>
      <w:r>
        <w:rPr>
          <w:rStyle w:val="FootnoteAnchor"/>
          <w:rtl w:val="true"/>
        </w:rPr>
        <w:footnoteReference w:id="1649"/>
      </w:r>
      <w:r>
        <w:rPr>
          <w:rFonts w:ascii="Amiri" w:hAnsi="Amiri" w:eastAsia="Amiri" w:cs="Amiri"/>
          <w:color w:val="111111"/>
          <w:sz w:val="28"/>
          <w:sz w:val="28"/>
          <w:szCs w:val="28"/>
          <w:rtl w:val="true"/>
          <w:lang w:bidi="ar-SA"/>
        </w:rPr>
        <w:t xml:space="preserve">والمراد بقولنا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يعمل عمل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يعمل عمله في التقديم والتأخير ، والإظهار والإضمار ، وفي اللزوم والتّعدي إلى مفعول أو إلى اثنين أو ثلاثة ، وإنّ الفعل كما يتعدّى إلى الحال والمصدر والمفعول له والمفعول معه وسائر الفضلات ، فكذلك اسم الفاعل منه ، فمثال عمله في التقديم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ضارب غلامه عمرا ، وفي التأخير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عمرا مكرم ، فتنصب عمرا بمكرم ، وفي الإظهار المثال المتقدّم ، وفي الإضمار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ضارب بكر وعمرا ، بخفض بكر ونصب عمرا ، أي ضارب عمرا لأنّ بكرا مخفوض فلما نصب عمرا ، عطفا عليه لم يكن نصبه إلّا على تقدير وضارب عمرا </w:t>
      </w:r>
      <w:r>
        <w:rPr>
          <w:rStyle w:val="FootnoteAnchor"/>
          <w:rtl w:val="true"/>
        </w:rPr>
        <w:footnoteReference w:id="1650"/>
      </w:r>
      <w:r>
        <w:rPr>
          <w:rFonts w:ascii="Amiri" w:hAnsi="Amiri" w:eastAsia="Amiri" w:cs="Amiri"/>
          <w:color w:val="111111"/>
          <w:sz w:val="28"/>
          <w:sz w:val="28"/>
          <w:szCs w:val="28"/>
          <w:rtl w:val="true"/>
          <w:lang w:bidi="ar-SA"/>
        </w:rPr>
        <w:t xml:space="preserve">ومثاله في اللزوم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قائم أبوه ، وفي التعدي </w:t>
      </w:r>
      <w:r>
        <w:rPr>
          <w:rStyle w:val="FootnoteAnchor"/>
          <w:rtl w:val="true"/>
        </w:rPr>
        <w:footnoteReference w:id="1651"/>
      </w:r>
      <w:r>
        <w:rPr>
          <w:rFonts w:ascii="Amiri" w:hAnsi="Amiri" w:eastAsia="Amiri" w:cs="Amiri"/>
          <w:color w:val="111111"/>
          <w:sz w:val="28"/>
          <w:sz w:val="28"/>
          <w:szCs w:val="28"/>
          <w:rtl w:val="true"/>
          <w:lang w:bidi="ar-SA"/>
        </w:rPr>
        <w:t xml:space="preserve">إلى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ضارب عمرا وإلى مفعولين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معط عمرا درهما ، وظانّ خالدا منطلقا ، وإلى ثلاثة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معلّم أباه عمرا منطلقا </w:t>
      </w:r>
      <w:r>
        <w:rPr>
          <w:rStyle w:val="FootnoteAnchor"/>
          <w:rtl w:val="true"/>
        </w:rPr>
        <w:footnoteReference w:id="1652"/>
      </w:r>
      <w:r>
        <w:rPr>
          <w:rFonts w:ascii="Amiri" w:hAnsi="Amiri" w:eastAsia="Amiri" w:cs="Amiri"/>
          <w:color w:val="111111"/>
          <w:sz w:val="28"/>
          <w:sz w:val="28"/>
          <w:szCs w:val="28"/>
          <w:rtl w:val="true"/>
          <w:lang w:bidi="ar-SA"/>
        </w:rPr>
        <w:t xml:space="preserve">وأمّا اشتراط اعتماد اسم الفاعل على صاحبه أو على الهمزة أو على ما النافية ، فالمراد بصاحب اسم الفاعل ، اسم قبله محكوم عليه فلو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ضارب زيد عمرا من غير اعتماد لم يجز ، لأنّ اسم الفاعل صفة في المعنى ، فلا بدّ من موصوف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برجل ضارب أبوه عمرا ، وقد يكون ذا حال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الرجل </w:t>
      </w:r>
      <w:r>
        <w:rPr>
          <w:rStyle w:val="FootnoteAnchor"/>
          <w:rtl w:val="true"/>
        </w:rPr>
        <w:footnoteReference w:id="1653"/>
      </w:r>
      <w:r>
        <w:rPr>
          <w:rFonts w:ascii="IRNazanin" w:hAnsi="IRNazanin" w:eastAsia="IRNazanin"/>
          <w:color w:val="111111"/>
          <w:sz w:val="28"/>
          <w:sz w:val="28"/>
          <w:szCs w:val="28"/>
          <w:rtl w:val="true"/>
          <w:lang w:bidi="fa-IR"/>
        </w:rPr>
        <w:t>ضاربا عمرا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وأما الهمزة وما النافية فنحو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أقائم زيد ، وما قائم زيد ، فلوقوعهما </w:t>
      </w:r>
      <w:r>
        <w:rPr>
          <w:rStyle w:val="FootnoteAnchor"/>
          <w:rtl w:val="true"/>
        </w:rPr>
        <w:footnoteReference w:id="1654"/>
      </w:r>
      <w:r>
        <w:rPr>
          <w:rFonts w:ascii="Amiri" w:hAnsi="Amiri" w:eastAsia="Amiri" w:cs="Amiri"/>
          <w:color w:val="111111"/>
          <w:sz w:val="28"/>
          <w:sz w:val="28"/>
          <w:szCs w:val="28"/>
          <w:rtl w:val="true"/>
          <w:lang w:bidi="ar-SA"/>
        </w:rPr>
        <w:t xml:space="preserve">موقعا هو بالفعل أولى ، واعلم أنه لا يختصّ ذلك بالهمزة وما ، بل جميع أدوات الاستفهام أسماء كانت أو حروفا وجميع حروف النفي في ذلك سواء ، وأجاز الأخفش ، إعماله من غير اعتماد على شيء </w:t>
      </w:r>
      <w:r>
        <w:rPr>
          <w:rStyle w:val="FootnoteAnchor"/>
          <w:rtl w:val="true"/>
        </w:rPr>
        <w:footnoteReference w:id="1655"/>
      </w:r>
      <w:r>
        <w:rPr>
          <w:rFonts w:ascii="Amiri" w:hAnsi="Amiri" w:eastAsia="Amiri" w:cs="Amiri"/>
          <w:color w:val="111111"/>
          <w:sz w:val="28"/>
          <w:sz w:val="28"/>
          <w:szCs w:val="28"/>
          <w:rtl w:val="true"/>
          <w:lang w:bidi="ar-SA"/>
        </w:rPr>
        <w:t xml:space="preserve">نصّ عليه السّخاوي ، وابن يعيش </w:t>
      </w:r>
      <w:r>
        <w:rPr>
          <w:rStyle w:val="FootnoteAnchor"/>
          <w:rtl w:val="true"/>
        </w:rPr>
        <w:footnoteReference w:id="1656"/>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اسم الفاعل بمعنى الماضي وجبت إضافته إلى معموله إضافة معنوية </w:t>
      </w:r>
      <w:r>
        <w:rPr>
          <w:rStyle w:val="FootnoteAnchor"/>
          <w:rtl w:val="true"/>
        </w:rPr>
        <w:footnoteReference w:id="1657"/>
      </w:r>
      <w:r>
        <w:rPr>
          <w:rFonts w:ascii="Amiri" w:hAnsi="Amiri" w:eastAsia="Amiri" w:cs="Amiri"/>
          <w:color w:val="111111"/>
          <w:sz w:val="28"/>
          <w:sz w:val="28"/>
          <w:szCs w:val="28"/>
          <w:rtl w:val="true"/>
          <w:lang w:bidi="ar-SA"/>
        </w:rPr>
        <w:t xml:space="preserve">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ضارب عمر أمس ، خلافا للكسائي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إضافته لأنه يعمل عنده سواء كان بمعنى الماضي أو الحال أو الاستقبال ، واستدلّ الكسائيّ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 الإصباح وجاعل الليل سكنا </w:t>
      </w:r>
      <w:r>
        <w:rPr>
          <w:rStyle w:val="FootnoteAnchor"/>
          <w:rtl w:val="true"/>
        </w:rPr>
        <w:footnoteReference w:id="1658"/>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ناصب لسكنا سوى جاعل ، وهو بمعنى الماضي ، وإذا نصب المفعول الثاني فلأن ينصب الأول أقرب </w:t>
      </w:r>
      <w:r>
        <w:rPr>
          <w:rStyle w:val="FootnoteAnchor"/>
          <w:rtl w:val="true"/>
        </w:rPr>
        <w:footnoteReference w:id="1659"/>
      </w:r>
      <w:r>
        <w:rPr>
          <w:rFonts w:ascii="Amiri" w:hAnsi="Amiri" w:eastAsia="Amiri" w:cs="Amiri"/>
          <w:color w:val="111111"/>
          <w:sz w:val="28"/>
          <w:sz w:val="28"/>
          <w:szCs w:val="28"/>
          <w:rtl w:val="true"/>
          <w:lang w:bidi="ar-SA"/>
        </w:rPr>
        <w:t xml:space="preserve">، وردّ بأنّ نصبه يكون بفعل مقدّر ، وتقديره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وجاعل الليل جعله سكنا </w:t>
      </w:r>
      <w:r>
        <w:rPr>
          <w:rStyle w:val="FootnoteAnchor"/>
          <w:rtl w:val="true"/>
        </w:rPr>
        <w:footnoteReference w:id="1660"/>
      </w:r>
      <w:r>
        <w:rPr>
          <w:rFonts w:ascii="Amiri" w:hAnsi="Amiri" w:eastAsia="Amiri" w:cs="Amiri"/>
          <w:color w:val="111111"/>
          <w:sz w:val="28"/>
          <w:sz w:val="28"/>
          <w:szCs w:val="28"/>
          <w:rtl w:val="true"/>
          <w:lang w:bidi="ar-SA"/>
        </w:rPr>
        <w:t xml:space="preserve">واعلم أنه يجوز أن يقوّى اسم الفاعل المتعدي بدخول حرف الجرّ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ضارب </w:t>
      </w:r>
      <w:bookmarkStart w:id="561" w:name="pg14482_156298"/>
    </w:p>
    <w:p>
      <w:pPr>
        <w:pStyle w:val="BookText"/>
        <w:rPr/>
      </w:pPr>
      <w:bookmarkEnd w:id="561"/>
      <w:r>
        <w:rPr>
          <w:rFonts w:ascii="Amiri" w:hAnsi="Amiri" w:eastAsia="Amiri" w:cs="Amiri"/>
          <w:color w:val="111111"/>
          <w:sz w:val="28"/>
          <w:sz w:val="28"/>
          <w:szCs w:val="28"/>
          <w:rtl w:val="true"/>
          <w:lang w:bidi="ar-SA"/>
        </w:rPr>
        <w:t xml:space="preserve">عمرا وضارب لعمرو وإنّما كان كذلك لأنّ أصل العمل إنّما هو للأفعال كما أنّ أصل الإعراب إنما هو للأسماء ، فكلّ منهما فرع على الآخر فيما هو أصل فيه ، والفروع أبدا منحطة عن الأصول ، فلذلك جاز تقوية اسم الفاعل بحرف الجرّ ، ولم يجز في الفعل لكون اسم الفاعل أضعف منه ، هذا إذا تأخّر المفعول عن الفعل ، فإن تقدّم عليه جاز إدخال اللّام تقوية لهما </w:t>
      </w:r>
      <w:r>
        <w:rPr>
          <w:rStyle w:val="FootnoteAnchor"/>
          <w:rtl w:val="true"/>
        </w:rPr>
        <w:footnoteReference w:id="1661"/>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لزيد عمرو ضارب ، ولزيد ضربت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كُنْتُمْ لِلرُّءْيا تَعْبُرُونَ</w:t>
      </w:r>
      <w:r>
        <w:rPr>
          <w:rFonts w:eastAsia="Amiri" w:cs="Amiri" w:ascii="Amiri" w:hAnsi="Amiri"/>
          <w:color w:val="111111"/>
          <w:sz w:val="28"/>
          <w:szCs w:val="28"/>
          <w:rtl w:val="true"/>
          <w:lang w:bidi="ar-SA"/>
        </w:rPr>
        <w:t>)</w:t>
      </w:r>
      <w:r>
        <w:rPr>
          <w:rStyle w:val="FootnoteAnchor"/>
          <w:rtl w:val="true"/>
        </w:rPr>
        <w:footnoteReference w:id="1662"/>
      </w:r>
      <w:r>
        <w:rPr>
          <w:rFonts w:ascii="Amiri" w:hAnsi="Amiri" w:eastAsia="Amiri" w:cs="Amiri"/>
          <w:color w:val="111111"/>
          <w:sz w:val="28"/>
          <w:sz w:val="28"/>
          <w:szCs w:val="28"/>
          <w:rtl w:val="true"/>
          <w:lang w:bidi="ar-SA"/>
        </w:rPr>
        <w:t xml:space="preserve">وإذا جاءت اللّام في اسم الفاعل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الضارب والقاتل ، عمل ، وإن كان بمعنى المضي ، لأنّها موصولة ، وأصل صلتها صريح الفعل وإنّما سبك </w:t>
      </w:r>
      <w:r>
        <w:rPr>
          <w:rStyle w:val="FootnoteAnchor"/>
          <w:rtl w:val="true"/>
        </w:rPr>
        <w:footnoteReference w:id="1663"/>
      </w:r>
      <w:r>
        <w:rPr>
          <w:rFonts w:ascii="Amiri" w:hAnsi="Amiri" w:eastAsia="Amiri" w:cs="Amiri"/>
          <w:color w:val="111111"/>
          <w:sz w:val="28"/>
          <w:sz w:val="28"/>
          <w:szCs w:val="28"/>
          <w:rtl w:val="true"/>
          <w:lang w:bidi="ar-SA"/>
        </w:rPr>
        <w:t xml:space="preserve">اسم فاعل ليناسب اللّام التي معناها معنى لام التعريف ، فمن ثمّ قوي إعمال اسم الفاعل معها وإن كان بمعنى المضيّ </w:t>
      </w:r>
      <w:r>
        <w:rPr>
          <w:rStyle w:val="FootnoteAnchor"/>
          <w:rtl w:val="true"/>
        </w:rPr>
        <w:footnoteReference w:id="16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2" w:name="__RefHeading___Toc716930_996550957"/>
      <w:bookmarkStart w:id="563" w:name="_Toc206"/>
      <w:bookmarkEnd w:id="562"/>
      <w:r>
        <w:rPr/>
        <w:t>3</w:t>
      </w:r>
      <w:r>
        <w:rPr>
          <w:rtl w:val="true"/>
        </w:rPr>
        <w:t xml:space="preserve">- </w:t>
      </w:r>
      <w:r>
        <w:rPr>
          <w:rtl w:val="true"/>
        </w:rPr>
        <w:t>ذكر أبنية المبالغة</w:t>
      </w:r>
      <w:bookmarkEnd w:id="563"/>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6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فعول كضروب ، وفعّال كضرّاب ، وفعيل كسميع ، وفعل كحذر ، ومفعال كمضراب ، وهي مثل اسم الفاعل في العمل </w:t>
      </w:r>
      <w:r>
        <w:rPr>
          <w:rStyle w:val="FootnoteAnchor"/>
          <w:rtl w:val="true"/>
        </w:rPr>
        <w:footnoteReference w:id="1666"/>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ضرّاب أبوه عمرا ، وإنّما عملت هذه ، وإن فات ما ذكرناه من الزنة ، لأنّ فيها من معنى المبالغة ما يقوم مقام ذلك الشّبه ، مع أنها لم تعمل بدون اللّام إلّا إذا كانت بمعنى الحال أو الاستقبال </w:t>
      </w:r>
      <w:r>
        <w:rPr>
          <w:rStyle w:val="FootnoteAnchor"/>
          <w:rtl w:val="true"/>
        </w:rPr>
        <w:footnoteReference w:id="16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ومثنّى اسم الفاعل ومجموعه مثل مفرده في العمل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الزيدان ضاربان عمرا ، والزيدون ضاربون عمرا الآن أو غدا ، ويجوز حذف نوني تثنية اسم الفاعل وجمعه السّالم المعرّفين مع العمل أي مع نصب ما بعدهما نحو قول الشّاعر </w:t>
      </w:r>
      <w:r>
        <w:rPr>
          <w:rFonts w:eastAsia="Amiri" w:cs="Amiri" w:ascii="Amiri" w:hAnsi="Amiri"/>
          <w:color w:val="111111"/>
          <w:sz w:val="28"/>
          <w:szCs w:val="28"/>
          <w:rtl w:val="true"/>
          <w:lang w:bidi="ar-SA"/>
        </w:rPr>
        <w:t xml:space="preserve">: </w:t>
      </w:r>
      <w:r>
        <w:rPr>
          <w:rStyle w:val="FootnoteAnchor"/>
          <w:rtl w:val="true"/>
        </w:rPr>
        <w:footnoteReference w:id="1668"/>
      </w:r>
      <w:bookmarkStart w:id="564" w:name="pg14482_156299"/>
    </w:p>
    <w:p>
      <w:pPr>
        <w:pStyle w:val="BookText"/>
        <w:rPr/>
      </w:pPr>
      <w:bookmarkEnd w:id="564"/>
      <w:r>
        <w:rPr>
          <w:rFonts w:ascii="Amiri" w:hAnsi="Amiri" w:eastAsia="Amiri" w:cs="Amiri"/>
          <w:color w:val="111111"/>
          <w:sz w:val="28"/>
          <w:sz w:val="28"/>
          <w:szCs w:val="28"/>
          <w:rtl w:val="true"/>
          <w:lang w:bidi="ar-SA"/>
        </w:rPr>
        <w:t>الحافظو عورة العشيرة لا</w:t>
      </w:r>
    </w:p>
    <w:p>
      <w:pPr>
        <w:pStyle w:val="BookText"/>
        <w:rPr/>
      </w:pPr>
      <w:r>
        <w:rPr>
          <w:rFonts w:ascii="Amiri" w:hAnsi="Amiri" w:eastAsia="Amiri" w:cs="Amiri"/>
          <w:color w:val="111111"/>
          <w:sz w:val="28"/>
          <w:sz w:val="28"/>
          <w:szCs w:val="28"/>
          <w:rtl w:val="true"/>
          <w:lang w:bidi="ar-SA"/>
        </w:rPr>
        <w:t>يأتيهم من ورائهم نطف</w:t>
      </w:r>
    </w:p>
    <w:p>
      <w:pPr>
        <w:pStyle w:val="BookText"/>
        <w:rPr/>
      </w:pPr>
      <w:r>
        <w:rPr>
          <w:rFonts w:ascii="Amiri" w:hAnsi="Amiri" w:eastAsia="Amiri" w:cs="Amiri"/>
          <w:color w:val="111111"/>
          <w:sz w:val="28"/>
          <w:sz w:val="28"/>
          <w:szCs w:val="28"/>
          <w:rtl w:val="true"/>
          <w:lang w:bidi="ar-SA"/>
        </w:rPr>
        <w:t xml:space="preserve">فحذف النون من الحافظون تخفيفا واستطالة لصلة اللام التي هي بمعنى الذي ، مع نصب عورة ، وليعلم أنّه لا يجوز حذف النون مع العمل من غير تعريف ، لأنّه لا يكون صلة حينئذ فلا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ضاربو عمرا بنصب عمرو بل بالجر </w:t>
      </w:r>
      <w:r>
        <w:rPr>
          <w:rStyle w:val="FootnoteAnchor"/>
          <w:rtl w:val="true"/>
        </w:rPr>
        <w:footnoteReference w:id="16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5" w:name="__RefHeading___Toc716932_996550957"/>
      <w:bookmarkStart w:id="566" w:name="_Toc207"/>
      <w:bookmarkEnd w:id="565"/>
      <w:r>
        <w:rPr/>
        <w:t>4</w:t>
      </w:r>
      <w:r>
        <w:rPr>
          <w:rtl w:val="true"/>
        </w:rPr>
        <w:t xml:space="preserve">- </w:t>
      </w:r>
      <w:r>
        <w:rPr>
          <w:rtl w:val="true"/>
        </w:rPr>
        <w:t>ذكر اسم المفعول</w:t>
      </w:r>
      <w:bookmarkEnd w:id="566"/>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6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اشتقّ من فعل لمن وقع عليه ، 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اشتقّ من فعل كالجنس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وقع عليه فصله ، واسم المفعول يعمل عمل الفعل الذي لم يسمّ فاعله ، إذ معنى زيد مضروب غلامه ، زيد يضرب غلامه ، وكذلك مستخرج ومكرم بمعنى يستخرج ويكرم ، وتقول فيما يتعدّى بحرف الجر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منطلق به ، كما تقول ينطلق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 المفعول لا يبنى إلّا من فعل متعدّ ثلاثي لكون اسم المفعول جاريا على فعل ما لم يسمّ فاعله فإن عدّي اللازم بحرف الجرّ جاز بناء اسم المفعول منه </w:t>
      </w:r>
      <w:r>
        <w:rPr>
          <w:rStyle w:val="FootnoteAnchor"/>
          <w:rtl w:val="true"/>
        </w:rPr>
        <w:footnoteReference w:id="1671"/>
      </w:r>
      <w:r>
        <w:rPr>
          <w:rFonts w:ascii="Amiri" w:hAnsi="Amiri" w:eastAsia="Amiri" w:cs="Amiri"/>
          <w:color w:val="111111"/>
          <w:sz w:val="28"/>
          <w:sz w:val="28"/>
          <w:szCs w:val="28"/>
          <w:rtl w:val="true"/>
          <w:lang w:bidi="ar-SA"/>
        </w:rPr>
        <w:t xml:space="preserve">، وفي التنزيل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الْمَغْضُوبِ عَلَيْهِمْ</w:t>
      </w:r>
      <w:r>
        <w:rPr>
          <w:rFonts w:eastAsia="Amiri" w:cs="Amiri" w:ascii="Amiri" w:hAnsi="Amiri"/>
          <w:color w:val="111111"/>
          <w:sz w:val="28"/>
          <w:szCs w:val="28"/>
          <w:rtl w:val="true"/>
          <w:lang w:bidi="ar-SA"/>
        </w:rPr>
        <w:t>)</w:t>
      </w:r>
      <w:r>
        <w:rPr>
          <w:rStyle w:val="FootnoteAnchor"/>
          <w:rtl w:val="true"/>
        </w:rPr>
        <w:footnoteReference w:id="1672"/>
      </w:r>
      <w:r>
        <w:rPr>
          <w:rFonts w:ascii="Amiri" w:hAnsi="Amiri" w:eastAsia="Amiri" w:cs="Amiri"/>
          <w:color w:val="111111"/>
          <w:sz w:val="28"/>
          <w:sz w:val="28"/>
          <w:szCs w:val="28"/>
          <w:rtl w:val="true"/>
          <w:lang w:bidi="ar-SA"/>
        </w:rPr>
        <w:t xml:space="preserve">فعدّاه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إن كان من الثلاثي فصيغته على مفعول كمضروب </w:t>
      </w:r>
      <w:r>
        <w:rPr>
          <w:rStyle w:val="FootnoteAnchor"/>
          <w:rtl w:val="true"/>
        </w:rPr>
        <w:footnoteReference w:id="1673"/>
      </w:r>
      <w:r>
        <w:rPr>
          <w:rFonts w:ascii="Amiri" w:hAnsi="Amiri" w:eastAsia="Amiri" w:cs="Amiri"/>
          <w:color w:val="111111"/>
          <w:sz w:val="28"/>
          <w:sz w:val="28"/>
          <w:szCs w:val="28"/>
          <w:rtl w:val="true"/>
          <w:lang w:bidi="ar-SA"/>
        </w:rPr>
        <w:t>وكان قياسه أن يأتي على مفعل كمضرب إذ قياسه أن يكون على زنة مضارعه المبني للمفعول ، كما أنّ أصل اسم الفاعل أن يكون على زنة مضارعه المبني للفاعل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عدل لئلّا يلتبس باسم المفعول والفاعل من أفعل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مكرم من أكرم ، وأمّا مسعود فهو اسم مفعول من الفعل الثلاثي أي من سعده ، </w:t>
      </w:r>
    </w:p>
    <w:p>
      <w:pPr>
        <w:pStyle w:val="BookText"/>
        <w:rPr/>
      </w:pPr>
      <w:r>
        <w:rPr>
          <w:rFonts w:ascii="Amiri" w:hAnsi="Amiri" w:eastAsia="Amiri" w:cs="Amiri"/>
          <w:color w:val="111111"/>
          <w:sz w:val="28"/>
          <w:sz w:val="28"/>
          <w:szCs w:val="28"/>
          <w:rtl w:val="true"/>
          <w:lang w:bidi="ar-SA"/>
        </w:rPr>
        <w:t xml:space="preserve">لأنّه يجوز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سعده الله بمعنى أسعده الله </w:t>
      </w:r>
      <w:r>
        <w:rPr>
          <w:rStyle w:val="FootnoteAnchor"/>
          <w:rtl w:val="true"/>
        </w:rPr>
        <w:footnoteReference w:id="1674"/>
      </w:r>
      <w:r>
        <w:rPr>
          <w:rFonts w:ascii="Amiri" w:hAnsi="Amiri" w:eastAsia="Amiri" w:cs="Amiri"/>
          <w:color w:val="111111"/>
          <w:sz w:val="28"/>
          <w:sz w:val="28"/>
          <w:szCs w:val="28"/>
          <w:rtl w:val="true"/>
          <w:lang w:bidi="ar-SA"/>
        </w:rPr>
        <w:t xml:space="preserve">وكذلك محبوب </w:t>
      </w:r>
      <w:r>
        <w:rPr>
          <w:rStyle w:val="FootnoteAnchor"/>
          <w:rtl w:val="true"/>
        </w:rPr>
        <w:footnoteReference w:id="1675"/>
      </w:r>
      <w:r>
        <w:rPr>
          <w:rFonts w:ascii="IRNazanin" w:hAnsi="IRNazanin" w:eastAsia="IRNazanin"/>
          <w:color w:val="111111"/>
          <w:sz w:val="28"/>
          <w:sz w:val="28"/>
          <w:szCs w:val="28"/>
          <w:rtl w:val="true"/>
          <w:lang w:bidi="fa-IR"/>
        </w:rPr>
        <w:t xml:space="preserve">ومحزون فإنه جاء أحبّه وحبّه ، وأحزنه وحزنه بمعنى </w:t>
      </w:r>
      <w:r>
        <w:rPr>
          <w:rStyle w:val="FootnoteAnchor"/>
          <w:rtl w:val="true"/>
        </w:rPr>
        <w:footnoteReference w:id="1676"/>
      </w:r>
      <w:r>
        <w:rPr>
          <w:rFonts w:ascii="Amiri" w:hAnsi="Amiri" w:eastAsia="Amiri" w:cs="Amiri"/>
          <w:color w:val="111111"/>
          <w:sz w:val="28"/>
          <w:sz w:val="28"/>
          <w:szCs w:val="28"/>
          <w:rtl w:val="true"/>
          <w:lang w:bidi="ar-SA"/>
        </w:rPr>
        <w:t xml:space="preserve">، وأمّا اسم المفعول من الزائد على الثلاثي مطلقا فصيغته مثل صيغة اسم الفاعل ، إلّا أنّ اسم المفعول يفتح ما قبل آخره فرقا بينه وبين اسم الفاعل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مستخرج ومدحرج بفتح الرّاء فيهما ، وشذّ في هذا الباب ما ورد بخلاف ذلك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أزكمه البرد فهو مزكوم وأحمّه الله فهو محموم ، وأجنّه فهو مجنون ، فإنّ قياس هذه المفاعيل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مزكم ومحمم ومجنّ على مفعل مثل مكرم ، لا على مفعول ، لأنها ليست من الثلاثي </w:t>
      </w:r>
      <w:r>
        <w:rPr>
          <w:rStyle w:val="FootnoteAnchor"/>
          <w:rtl w:val="true"/>
        </w:rPr>
        <w:footnoteReference w:id="1677"/>
      </w:r>
      <w:r>
        <w:rPr>
          <w:rFonts w:ascii="Amiri" w:hAnsi="Amiri" w:eastAsia="Amiri" w:cs="Amiri"/>
          <w:color w:val="111111"/>
          <w:sz w:val="28"/>
          <w:sz w:val="28"/>
          <w:szCs w:val="28"/>
          <w:rtl w:val="true"/>
          <w:lang w:bidi="ar-SA"/>
        </w:rPr>
        <w:t xml:space="preserve">وكما شذت هذه المفاعيل كذلك شذّ في أفعالها بناؤها لما لم يسم فاعله من هذه الأفعال كما شذّت أسماء المفاعيل منها ، وأمّا اسم المفعول من الفعل الثلاثي المعتل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وباع فسيأتي في المشترك في فصل الإعلال </w:t>
      </w:r>
      <w:r>
        <w:rPr>
          <w:rStyle w:val="FootnoteAnchor"/>
          <w:rtl w:val="true"/>
        </w:rPr>
        <w:footnoteReference w:id="1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واعلم أنه قد يجيء المفعول من الثلاثي على صيغة المصدر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الدرهم ضرب الأمير ، وهذا الثوب نسج اليمن أي مضروب الأمير ومنسوج اليمن ، وقد جاء للمبالغة قليلا على وزن فعلة بضم الفاء وسكون العين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ضحكة غلامه</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محمرّ اسم مفعول ، ومختار اسم مفعول ، موافق في اللفظ لاسم الفاعل ، وهما في التقدير مختلفان ، فاسم الفاعل في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محمرر بكسر ما قبل آخره ، واسم المفعول في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محمرر بفتح ما قبل الآخر ، وكذلك تقدير مختار فيهما ، أعني مختير ومختير ، فلمّا جاء الإدغام في محمرّ والإعلال في مختار استوى لفظهما في البابين ، وأمر اسم المفعول في عمله عمل فعله وفي اشتراط </w:t>
      </w:r>
      <w:bookmarkStart w:id="567" w:name="pg14482_156301"/>
    </w:p>
    <w:p>
      <w:pPr>
        <w:pStyle w:val="BookText"/>
        <w:rPr/>
      </w:pPr>
      <w:bookmarkEnd w:id="567"/>
      <w:r>
        <w:rPr>
          <w:rFonts w:ascii="Amiri" w:hAnsi="Amiri" w:eastAsia="Amiri" w:cs="Amiri"/>
          <w:color w:val="111111"/>
          <w:sz w:val="28"/>
          <w:sz w:val="28"/>
          <w:szCs w:val="28"/>
          <w:rtl w:val="true"/>
          <w:lang w:bidi="ar-SA"/>
        </w:rPr>
        <w:t xml:space="preserve">الزمانين ، والاعتماد كأمر اسم الفاعل </w:t>
      </w:r>
      <w:r>
        <w:rPr>
          <w:rStyle w:val="FootnoteAnchor"/>
          <w:rtl w:val="true"/>
        </w:rPr>
        <w:footnoteReference w:id="1679"/>
      </w:r>
      <w:r>
        <w:rPr>
          <w:rFonts w:ascii="Amiri" w:hAnsi="Amiri" w:eastAsia="Amiri" w:cs="Amiri"/>
          <w:color w:val="111111"/>
          <w:sz w:val="28"/>
          <w:sz w:val="28"/>
          <w:szCs w:val="28"/>
          <w:rtl w:val="true"/>
          <w:lang w:bidi="ar-SA"/>
        </w:rPr>
        <w:t xml:space="preserve">ثم إن كان فعله يتعدّى إلى مفعول ارتفع وبطل نصبه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مضروب غلامه ، وإن تعدّى إلى اثنين ارتفع الأول وبقي الثاني منصوبا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معلوم قائما ، ومعطى درهما ، وكذلك يرفع الأول فقط إذا تعدّى إلى ثلاثة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معلّم </w:t>
      </w:r>
      <w:r>
        <w:rPr>
          <w:rStyle w:val="FootnoteAnchor"/>
          <w:rtl w:val="true"/>
        </w:rPr>
        <w:footnoteReference w:id="1680"/>
      </w:r>
      <w:r>
        <w:rPr>
          <w:rFonts w:ascii="Amiri" w:hAnsi="Amiri" w:eastAsia="Amiri" w:cs="Amiri"/>
          <w:color w:val="111111"/>
          <w:sz w:val="28"/>
          <w:sz w:val="28"/>
          <w:szCs w:val="28"/>
          <w:rtl w:val="true"/>
          <w:lang w:bidi="ar-SA"/>
        </w:rPr>
        <w:t xml:space="preserve">عمرا منطلقا ، ولا يثنّى ولا يجمع إذا رفع به الظاهر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أمضروب الزيدان </w:t>
      </w:r>
      <w:r>
        <w:rPr>
          <w:rStyle w:val="FootnoteAnchor"/>
          <w:rtl w:val="true"/>
        </w:rPr>
        <w:footnoteReference w:id="1681"/>
      </w:r>
      <w:r>
        <w:rPr>
          <w:rFonts w:ascii="Amiri" w:hAnsi="Amiri" w:eastAsia="Amiri" w:cs="Amiri"/>
          <w:color w:val="111111"/>
          <w:sz w:val="28"/>
          <w:sz w:val="28"/>
          <w:szCs w:val="28"/>
          <w:rtl w:val="true"/>
          <w:lang w:bidi="ar-SA"/>
        </w:rPr>
        <w:t xml:space="preserve">وقد يستوي اسم المفعول من الزائد عن الثلاثي وظرف الزمان والمكان والمصدر في الصيغة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مقامك أي موضع إقامتك أو زمن إقامتك ، وهذا مقامك أي إقامتك ، قال الشّاعر </w:t>
      </w:r>
      <w:r>
        <w:rPr>
          <w:rFonts w:eastAsia="Amiri" w:cs="Amiri" w:ascii="Amiri" w:hAnsi="Amiri"/>
          <w:color w:val="111111"/>
          <w:sz w:val="28"/>
          <w:szCs w:val="28"/>
          <w:rtl w:val="true"/>
          <w:lang w:bidi="ar-SA"/>
        </w:rPr>
        <w:t xml:space="preserve">: </w:t>
      </w:r>
      <w:r>
        <w:rPr>
          <w:rStyle w:val="FootnoteAnchor"/>
          <w:rtl w:val="true"/>
        </w:rPr>
        <w:footnoteReference w:id="1682"/>
      </w:r>
    </w:p>
    <w:p>
      <w:pPr>
        <w:pStyle w:val="BookText"/>
        <w:rPr/>
      </w:pPr>
      <w:r>
        <w:rPr>
          <w:rFonts w:ascii="Amiri" w:hAnsi="Amiri" w:eastAsia="Amiri" w:cs="Amiri"/>
          <w:color w:val="111111"/>
          <w:sz w:val="28"/>
          <w:sz w:val="28"/>
          <w:szCs w:val="28"/>
          <w:rtl w:val="true"/>
          <w:lang w:bidi="ar-SA"/>
        </w:rPr>
        <w:t>أظليم إنّ مصابكم رجلا</w:t>
      </w:r>
    </w:p>
    <w:p>
      <w:pPr>
        <w:pStyle w:val="BookText"/>
        <w:rPr/>
      </w:pPr>
      <w:r>
        <w:rPr>
          <w:rFonts w:ascii="Amiri" w:hAnsi="Amiri" w:eastAsia="Amiri" w:cs="Amiri"/>
          <w:color w:val="111111"/>
          <w:sz w:val="28"/>
          <w:sz w:val="28"/>
          <w:szCs w:val="28"/>
          <w:rtl w:val="true"/>
          <w:lang w:bidi="ar-SA"/>
        </w:rPr>
        <w:t>يهدي السّلام تحيّة ظلم</w:t>
      </w:r>
    </w:p>
    <w:p>
      <w:pPr>
        <w:pStyle w:val="BookText"/>
        <w:rPr/>
      </w:pPr>
      <w:r>
        <w:rPr>
          <w:rFonts w:ascii="Amiri" w:hAnsi="Amiri" w:eastAsia="Amiri" w:cs="Amiri"/>
          <w:color w:val="111111"/>
          <w:sz w:val="28"/>
          <w:sz w:val="28"/>
          <w:szCs w:val="28"/>
          <w:rtl w:val="true"/>
          <w:lang w:bidi="ar-SA"/>
        </w:rPr>
        <w:t xml:space="preserve">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إصابتكم رجلا ، فرجل منصوب بالمصدر الذي هو مصاب وهو على زنة المفعول من الرباعي</w:t>
      </w:r>
      <w:r>
        <w:rPr>
          <w:rFonts w:eastAsia="Amiri" w:cs="Amiri" w:ascii="Amiri" w:hAnsi="Amiri"/>
          <w:color w:val="111111"/>
          <w:sz w:val="28"/>
          <w:szCs w:val="28"/>
          <w:rtl w:val="true"/>
          <w:lang w:bidi="ar-SA"/>
        </w:rPr>
        <w:t>.</w:t>
      </w:r>
    </w:p>
    <w:p>
      <w:pPr>
        <w:pStyle w:val="Heading5"/>
        <w:numPr>
          <w:ilvl w:val="4"/>
          <w:numId w:val="1"/>
        </w:numPr>
        <w:rPr/>
      </w:pPr>
      <w:bookmarkStart w:id="568" w:name="__RefHeading___Toc716934_996550957"/>
      <w:bookmarkStart w:id="569" w:name="_Toc208"/>
      <w:bookmarkEnd w:id="568"/>
      <w:r>
        <w:rPr/>
        <w:t>5</w:t>
      </w:r>
      <w:r>
        <w:rPr>
          <w:rtl w:val="true"/>
        </w:rPr>
        <w:t xml:space="preserve">- </w:t>
      </w:r>
      <w:r>
        <w:rPr>
          <w:rtl w:val="true"/>
        </w:rPr>
        <w:t>ذكر الصّفة المشبّهة</w:t>
      </w:r>
      <w:bookmarkEnd w:id="569"/>
    </w:p>
    <w:p>
      <w:pPr>
        <w:pStyle w:val="Heading6"/>
        <w:numPr>
          <w:ilvl w:val="5"/>
          <w:numId w:val="1"/>
        </w:numPr>
        <w:rPr/>
      </w:pPr>
      <w:bookmarkStart w:id="570" w:name="__RefHeading___Toc716936_996550957"/>
      <w:bookmarkStart w:id="571" w:name="_Toc209"/>
      <w:bookmarkEnd w:id="570"/>
      <w:r>
        <w:rPr>
          <w:rtl w:val="true"/>
        </w:rPr>
        <w:t>اشارة</w:t>
      </w:r>
      <w:bookmarkEnd w:id="571"/>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6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ما اشتقّ من فعل لازم لمن قام به على معنى الثبوت </w:t>
      </w:r>
      <w:r>
        <w:rPr>
          <w:rStyle w:val="FootnoteAnchor"/>
          <w:rtl w:val="true"/>
        </w:rPr>
        <w:footnoteReference w:id="1684"/>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الصفة المشبّهة أي المشبهة باسم الفاعل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اشتقّ من فعل لازم ، يخرج به اسم المفعول واسم الفاعل من الفعل المتعدي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قام به ، يخرج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والمقام من أسماء المكان ، والمطلع والمغرب من أسماء الزمان ، لأنّ هذه وإن كانت مشتقة من الأفعال اللازمة لكن ليست لمن قام به ، أي ليست صفات لموصوفات ، </w:t>
      </w:r>
      <w:bookmarkStart w:id="572" w:name="pg14482_156302"/>
    </w:p>
    <w:p>
      <w:pPr>
        <w:pStyle w:val="BookText"/>
        <w:rPr/>
      </w:pPr>
      <w:bookmarkEnd w:id="572"/>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الثبوت ، أي بمعنى بقائها زمانا ثابتا ، ليخرج به اسم الفاعل من الفعل اللّازم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 وقاعد إن قصدت الحدوث بهذه الصفة جئت بها على لفظ اسم الفاعل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فَلَعَلَّكَ تارِكٌ بَعْضَ ما يُوحى إِلَيْكَ وَضائِقٌ بِهِ صَدْرُكَ</w:t>
      </w:r>
      <w:r>
        <w:rPr>
          <w:rFonts w:eastAsia="Amiri" w:cs="Amiri" w:ascii="Amiri" w:hAnsi="Amiri"/>
          <w:color w:val="111111"/>
          <w:sz w:val="28"/>
          <w:szCs w:val="28"/>
          <w:rtl w:val="true"/>
          <w:lang w:bidi="ar-SA"/>
        </w:rPr>
        <w:t>)</w:t>
      </w:r>
      <w:r>
        <w:rPr>
          <w:rStyle w:val="FootnoteAnchor"/>
          <w:rtl w:val="true"/>
        </w:rPr>
        <w:footnoteReference w:id="1685"/>
      </w:r>
      <w:r>
        <w:rPr>
          <w:rFonts w:ascii="Amiri" w:hAnsi="Amiri" w:eastAsia="Amiri" w:cs="Amiri"/>
          <w:color w:val="111111"/>
          <w:sz w:val="28"/>
          <w:sz w:val="28"/>
          <w:szCs w:val="28"/>
          <w:rtl w:val="true"/>
          <w:lang w:bidi="ar-SA"/>
        </w:rPr>
        <w:t xml:space="preserve">ولم يقل ضيّق ليدل على أنّ الضيق عارض في بعض الأحوال غير ثابت </w:t>
      </w:r>
      <w:r>
        <w:rPr>
          <w:rStyle w:val="FootnoteAnchor"/>
          <w:rtl w:val="true"/>
        </w:rPr>
        <w:footnoteReference w:id="1686"/>
      </w:r>
      <w:r>
        <w:rPr>
          <w:rFonts w:ascii="Amiri" w:hAnsi="Amiri" w:eastAsia="Amiri" w:cs="Amiri"/>
          <w:color w:val="111111"/>
          <w:sz w:val="28"/>
          <w:sz w:val="28"/>
          <w:szCs w:val="28"/>
          <w:rtl w:val="true"/>
          <w:lang w:bidi="ar-SA"/>
        </w:rPr>
        <w:t xml:space="preserve">وإنّما عدلوا بهذه الصفات عن صيغة اسم الفاعل </w:t>
      </w:r>
      <w:r>
        <w:rPr>
          <w:rStyle w:val="FootnoteAnchor"/>
          <w:rtl w:val="true"/>
        </w:rPr>
        <w:footnoteReference w:id="1687"/>
      </w:r>
      <w:r>
        <w:rPr>
          <w:rFonts w:ascii="Amiri" w:hAnsi="Amiri" w:eastAsia="Amiri" w:cs="Amiri"/>
          <w:color w:val="111111"/>
          <w:sz w:val="28"/>
          <w:sz w:val="28"/>
          <w:szCs w:val="28"/>
          <w:rtl w:val="true"/>
          <w:lang w:bidi="ar-SA"/>
        </w:rPr>
        <w:t xml:space="preserve">لأنّهم أرادوا أن يصفوا موصوفاتها بالمعنى الثابت ، الذي ليس هو لاسم الفاعل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وشديد وصعب وظريف وضيّق وكريم ، أي إنّ هذه المعاني ثابتة للموصوف ومستقرة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زمانا ثابتا فإذا أرادوا الحدوث أتوا بالصفة على صيغة الفاعل </w:t>
      </w:r>
      <w:r>
        <w:rPr>
          <w:rStyle w:val="FootnoteAnchor"/>
          <w:rtl w:val="true"/>
        </w:rPr>
        <w:footnoteReference w:id="1688"/>
      </w:r>
      <w:r>
        <w:rPr>
          <w:rFonts w:ascii="Amiri" w:hAnsi="Amiri" w:eastAsia="Amiri" w:cs="Amiri"/>
          <w:color w:val="111111"/>
          <w:sz w:val="28"/>
          <w:sz w:val="28"/>
          <w:szCs w:val="28"/>
          <w:rtl w:val="true"/>
          <w:lang w:bidi="ar-SA"/>
        </w:rPr>
        <w:t>كما قلنا في ضيّق وضائق ، ومثل ذلك غضبان وغاضب وطويل وطائل وما أشبه ذلك</w:t>
      </w:r>
      <w:r>
        <w:rPr>
          <w:rFonts w:eastAsia="Amiri" w:cs="Amiri" w:ascii="Amiri" w:hAnsi="Amiri"/>
          <w:color w:val="111111"/>
          <w:sz w:val="28"/>
          <w:szCs w:val="28"/>
          <w:rtl w:val="true"/>
          <w:lang w:bidi="ar-SA"/>
        </w:rPr>
        <w:t>.</w:t>
      </w:r>
    </w:p>
    <w:p>
      <w:pPr>
        <w:pStyle w:val="Heading6"/>
        <w:numPr>
          <w:ilvl w:val="5"/>
          <w:numId w:val="1"/>
        </w:numPr>
        <w:rPr/>
      </w:pPr>
      <w:bookmarkStart w:id="573" w:name="__RefHeading___Toc716938_996550957"/>
      <w:bookmarkStart w:id="574" w:name="_Toc210"/>
      <w:bookmarkEnd w:id="573"/>
      <w:r>
        <w:rPr>
          <w:rtl w:val="true"/>
        </w:rPr>
        <w:t>ذكر التشابه والاختلاف بين الصّفة المشبّهة وبين اسم الفاعل</w:t>
      </w:r>
      <w:bookmarkEnd w:id="574"/>
    </w:p>
    <w:p>
      <w:pPr>
        <w:pStyle w:val="Heading6"/>
        <w:numPr>
          <w:ilvl w:val="5"/>
          <w:numId w:val="1"/>
        </w:numPr>
        <w:rPr/>
      </w:pPr>
      <w:bookmarkStart w:id="575" w:name="__RefHeading___Toc716940_996550957"/>
      <w:bookmarkStart w:id="576" w:name="_Toc211"/>
      <w:bookmarkEnd w:id="575"/>
      <w:r>
        <w:rPr>
          <w:rtl w:val="true"/>
        </w:rPr>
        <w:t>اشارة</w:t>
      </w:r>
      <w:bookmarkEnd w:id="576"/>
    </w:p>
    <w:p>
      <w:pPr>
        <w:pStyle w:val="BookText"/>
        <w:rPr/>
      </w:pPr>
      <w:r>
        <w:rPr>
          <w:rFonts w:ascii="Amiri" w:hAnsi="Amiri" w:eastAsia="Amiri" w:cs="Amiri"/>
          <w:color w:val="111111"/>
          <w:sz w:val="28"/>
          <w:sz w:val="28"/>
          <w:szCs w:val="28"/>
          <w:rtl w:val="true"/>
          <w:lang w:bidi="ar-SA"/>
        </w:rPr>
        <w:t xml:space="preserve">وهي تشابهه في التذكير والتأنيث والتثنية والجمع ، فحسن كضارب وحسنة كضاربة وحسنان </w:t>
      </w:r>
      <w:r>
        <w:rPr>
          <w:rStyle w:val="FootnoteAnchor"/>
          <w:rtl w:val="true"/>
        </w:rPr>
        <w:footnoteReference w:id="1689"/>
      </w:r>
      <w:r>
        <w:rPr>
          <w:rFonts w:ascii="Amiri" w:hAnsi="Amiri" w:eastAsia="Amiri" w:cs="Amiri"/>
          <w:color w:val="111111"/>
          <w:sz w:val="28"/>
          <w:sz w:val="28"/>
          <w:szCs w:val="28"/>
          <w:rtl w:val="true"/>
          <w:lang w:bidi="ar-SA"/>
        </w:rPr>
        <w:t xml:space="preserve">كضاربان ، وحسنون كضاربون </w:t>
      </w:r>
      <w:r>
        <w:rPr>
          <w:rStyle w:val="FootnoteAnchor"/>
          <w:rtl w:val="true"/>
        </w:rPr>
        <w:footnoteReference w:id="1690"/>
      </w:r>
      <w:r>
        <w:rPr>
          <w:rFonts w:ascii="IRNazanin" w:hAnsi="IRNazanin" w:eastAsia="IRNazanin"/>
          <w:color w:val="111111"/>
          <w:sz w:val="28"/>
          <w:sz w:val="28"/>
          <w:szCs w:val="28"/>
          <w:rtl w:val="true"/>
          <w:lang w:bidi="fa-IR"/>
        </w:rPr>
        <w:t xml:space="preserve">وأمّا مخالفتها لاسم الفاعل فمن وجوه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الصيغة وصيغها سماعيّة وتجيء على فيعل كسيّد ، وعلى فعل كعم وعلى فعلان كعطشان ، وتأتي صيغها في الألوان على أفعل قياسا ، كأحمر وأبيض وأسود وأحور وحوراء وأهيف وأغيد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لا يتقدّم معمولها عليها فلا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وجها حسن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عمرا ضارب</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لا تكون إلّا ثابتة أي باقية زمانا ثابتا واسم الفاعل لا يكون ثابتا أي ليس باقيا زمانا ثابتا</w:t>
      </w:r>
      <w:r>
        <w:rPr>
          <w:rFonts w:eastAsia="Amiri" w:cs="Amiri" w:ascii="Amiri" w:hAnsi="Amiri"/>
          <w:color w:val="111111"/>
          <w:sz w:val="28"/>
          <w:szCs w:val="28"/>
          <w:rtl w:val="true"/>
          <w:lang w:bidi="ar-SA"/>
        </w:rPr>
        <w:t xml:space="preserve">. </w:t>
      </w:r>
      <w:bookmarkStart w:id="577" w:name="pg14482_156303"/>
    </w:p>
    <w:p>
      <w:pPr>
        <w:pStyle w:val="BookText"/>
        <w:rPr/>
      </w:pPr>
      <w:bookmarkEnd w:id="577"/>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لا تكون إلّا من فعل 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لا يجوز أن يعطف على المجرور بها بالنّصب كما في اسم الفاعل فلا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كثير المال والعبيد ، بنصب العبيد وجرّ المال ،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ضارب عمرو وبكرا ، بجرّ عمرو بالإضافة ونصب بكر ، لأنّ بكرا عطف على موضع عمرو وهو النصب ، وليس معمول الصفة المشبّهة كذلك بل هو مرفوع في المعنى ، لأنّ أصل كثير المال ، كثير ماله ، وتعمل عمل فعلها المشتقة هي منه مطلقا </w:t>
      </w:r>
      <w:r>
        <w:rPr>
          <w:rStyle w:val="FootnoteAnchor"/>
          <w:rtl w:val="true"/>
        </w:rPr>
        <w:footnoteReference w:id="1691"/>
      </w:r>
      <w:r>
        <w:rPr>
          <w:rFonts w:ascii="Amiri" w:hAnsi="Amiri" w:eastAsia="Amiri" w:cs="Amiri"/>
          <w:color w:val="111111"/>
          <w:sz w:val="28"/>
          <w:sz w:val="28"/>
          <w:szCs w:val="28"/>
          <w:rtl w:val="true"/>
          <w:lang w:bidi="ar-SA"/>
        </w:rPr>
        <w:t xml:space="preserve">من غير اشتراط الحال أو الاستقبال لكونها بمعنى الثبوت </w:t>
      </w:r>
      <w:r>
        <w:rPr>
          <w:rStyle w:val="FootnoteAnchor"/>
          <w:rtl w:val="true"/>
        </w:rPr>
        <w:footnoteReference w:id="1692"/>
      </w:r>
      <w:r>
        <w:rPr>
          <w:rFonts w:ascii="Amiri" w:hAnsi="Amiri" w:eastAsia="Amiri" w:cs="Amiri"/>
          <w:color w:val="111111"/>
          <w:sz w:val="28"/>
          <w:sz w:val="28"/>
          <w:szCs w:val="28"/>
          <w:rtl w:val="true"/>
          <w:lang w:bidi="ar-SA"/>
        </w:rPr>
        <w:t>فحسن مثل حسن ، لكنّ عمل هذه الصفات أوسع من عمل أفعالها ، فإنّها تنصب معمولها على التشبيه باسم الفاعل المتعدّي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هذه الصفة المشبّهة وإن لم يشترط فيها معنى الحال أو الاستقبال كما اشترط في اسم الفاعل ، فلا بدّ من اعتمادها على صاحبها أو الهمزة أو النفي كما قيل في اسم الفاعل ، لما تبيّن من أنّ مطلق الصفة محتاجة إلى الاعتماد ، وهذه الصفة </w:t>
      </w:r>
      <w:r>
        <w:rPr>
          <w:rStyle w:val="FootnoteAnchor"/>
          <w:rtl w:val="true"/>
        </w:rPr>
        <w:footnoteReference w:id="1693"/>
      </w:r>
      <w:r>
        <w:rPr>
          <w:rFonts w:ascii="Amiri" w:hAnsi="Amiri" w:eastAsia="Amiri" w:cs="Amiri"/>
          <w:color w:val="111111"/>
          <w:sz w:val="28"/>
          <w:sz w:val="28"/>
          <w:szCs w:val="28"/>
          <w:rtl w:val="true"/>
          <w:lang w:bidi="ar-SA"/>
        </w:rPr>
        <w:t xml:space="preserve">إمّا أن تكون باللام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وإمّا أن تكون مجردة عن اللام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ومعمولها إمّا مضاف ، وإمّا بلام التعريف ، وإمّا مجرّد عنهما ، وإذا ضربنا اثنين في ثلاثة ، كان الحاصل ستة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الصفة باللام ومعمولها مثلها ، ومضاف ومجرّد ، والصفة مجردة ومعمولها مثلها ، وباللّام ومضاف ، وإعراب معمولها المذكور ، رفع ونصب وجرّ ، وإذا ضربت الستة في أقسام الإعراب وهو ثلاثة كان الحاصل ثماني عشرة مسألة</w:t>
      </w:r>
      <w:r>
        <w:rPr>
          <w:rFonts w:eastAsia="Amiri" w:cs="Amiri" w:ascii="Amiri" w:hAnsi="Amiri"/>
          <w:color w:val="111111"/>
          <w:sz w:val="28"/>
          <w:szCs w:val="28"/>
          <w:rtl w:val="true"/>
          <w:lang w:bidi="ar-SA"/>
        </w:rPr>
        <w:t>.</w:t>
      </w:r>
    </w:p>
    <w:p>
      <w:pPr>
        <w:pStyle w:val="Heading6"/>
        <w:numPr>
          <w:ilvl w:val="5"/>
          <w:numId w:val="1"/>
        </w:numPr>
        <w:rPr/>
      </w:pPr>
      <w:bookmarkStart w:id="578" w:name="__RefHeading___Toc716942_996550957"/>
      <w:bookmarkStart w:id="579" w:name="_Toc212"/>
      <w:bookmarkEnd w:id="578"/>
      <w:r>
        <w:rPr>
          <w:rtl w:val="true"/>
        </w:rPr>
        <w:t>ذكر مسائلها الثماني عشرة</w:t>
      </w:r>
      <w:bookmarkEnd w:id="579"/>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6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الصفة مجرّدة ومعمولها مضاف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حسن وجهه ، برفع وجهه ونصبه وجرّه ، والصفة مجردة ومعمولها معرّف باللام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حسن الوجه برفع </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ونصبه وجره ، والصفة مجردة ومعمولها مجرّد عنهما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حسن وجه برفع وجه ونصبه وجرّه ، فالمجموع تسعة ، وكذلك تجيء الصفة باللّام على تسعة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فمثالها باللام ومعمولها مضاف ، الرجل الحسن وجهه بالرفع والنصب والجرّ ، ومثالها باللّام ومعمولها مجرّد ، الرجل الحسن وجه بالرفع والنصب والجرّ ، ومثالها ومعمولها باللّام ، الرجل الحسن الوجه ، بالرفع والنّصب والجر </w:t>
      </w:r>
      <w:r>
        <w:rPr>
          <w:rStyle w:val="FootnoteAnchor"/>
          <w:rtl w:val="true"/>
        </w:rPr>
        <w:footnoteReference w:id="1695"/>
      </w:r>
      <w:r>
        <w:rPr>
          <w:rFonts w:ascii="Amiri" w:hAnsi="Amiri" w:eastAsia="Amiri" w:cs="Amiri"/>
          <w:color w:val="111111"/>
          <w:sz w:val="28"/>
          <w:sz w:val="28"/>
          <w:szCs w:val="28"/>
          <w:rtl w:val="true"/>
          <w:lang w:bidi="ar-SA"/>
        </w:rPr>
        <w:t xml:space="preserve">فذلك ستة ، وهي مع التسعة الأولى ثماني عشرة ، اثنتان من هذه الثماني عشرة ممتنعتان ، 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وجهه ، 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وجه بخفضهما على الإضافة لعدم إفادة الإضافة فيهما خفة </w:t>
      </w:r>
      <w:r>
        <w:rPr>
          <w:rStyle w:val="FootnoteAnchor"/>
          <w:rtl w:val="true"/>
        </w:rPr>
        <w:footnoteReference w:id="16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 في صحّة مسألة واحدة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وجهه بالإضافة ، فقال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لا تصحّ لاستلزامها إضافة الشيء إلى نفسه لأن الوجه هو الحسن ، وقال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تصحّ ، ومنعوا استلزامها إضافة الشيء إلى نفسه لكون الحسن أعمّ من الوجه </w:t>
      </w:r>
      <w:r>
        <w:rPr>
          <w:rStyle w:val="FootnoteAnchor"/>
          <w:rtl w:val="true"/>
        </w:rPr>
        <w:footnoteReference w:id="1697"/>
      </w:r>
      <w:r>
        <w:rPr>
          <w:rFonts w:ascii="Amiri" w:hAnsi="Amiri" w:eastAsia="Amiri" w:cs="Amiri"/>
          <w:color w:val="111111"/>
          <w:sz w:val="28"/>
          <w:sz w:val="28"/>
          <w:szCs w:val="28"/>
          <w:rtl w:val="true"/>
          <w:lang w:bidi="ar-SA"/>
        </w:rPr>
        <w:t xml:space="preserve">والبواقي من الثماني عشرة على ثلاثة أقسام </w:t>
      </w:r>
      <w:r>
        <w:rPr>
          <w:rStyle w:val="FootnoteAnchor"/>
          <w:rtl w:val="true"/>
        </w:rPr>
        <w:footnoteReference w:id="1698"/>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 وهو ما كان فيه ضمير واحد لتحقّق ما يحتاج إليه من غير 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 وليس بأحسن ، وهو ما كان فيه ضميران ، أما حسنه فلوجود المحتاج إليه ، وأمّا عدم أحسنيته فلوجود الزائد على المحتاج ، 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قبيح وهو ما لا ضمير فيه وقد بيّنا في هذه الدائرة التي اقترحناها المسائل الثماني عشرة ، وبيّنا الأحسن والحسن والقبيح والممتنع والمختلف فيه وهذه صورتها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842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364"/>
                        <a:stretch/>
                      </pic:blipFill>
                      <pic:spPr>
                        <a:xfrm>
                          <a:off x="0" y="0"/>
                          <a:ext cx="5334120" cy="5842080"/>
                        </a:xfrm>
                        <a:prstGeom prst="rect">
                          <a:avLst/>
                        </a:prstGeom>
                        <a:ln w="0">
                          <a:noFill/>
                        </a:ln>
                      </pic:spPr>
                    </pic:pic>
                  </a:graphicData>
                </a:graphic>
              </wp:inline>
            </w:drawing>
          </mc:Choice>
          <mc:Fallback>
            <w:pict>
              <v:shape id="shape_0" stroked="f" o:allowincell="f" style="position:absolute;margin-left:0pt;margin-top:-460.05pt;width:419.95pt;height:459.95pt;mso-wrap-style:none;v-text-anchor:middle;mso-position-horizontal:left;mso-position-vertical:top" type="_x0000_t75">
                <v:imagedata r:id="rId365" o:detectmouseclick="t"/>
                <v:stroke color="#3465a4" joinstyle="round" endcap="flat"/>
                <w10:wrap type="none"/>
              </v:shape>
            </w:pict>
          </mc:Fallback>
        </mc:AlternateContent>
      </w:r>
      <w:bookmarkStart w:id="580" w:name="pg14482_156306"/>
    </w:p>
    <w:p>
      <w:pPr>
        <w:pStyle w:val="Heading6"/>
        <w:numPr>
          <w:ilvl w:val="5"/>
          <w:numId w:val="1"/>
        </w:numPr>
        <w:rPr/>
      </w:pPr>
      <w:bookmarkStart w:id="581" w:name="__RefHeading___Toc716944_996550957"/>
      <w:bookmarkStart w:id="582" w:name="_Toc213"/>
      <w:bookmarkEnd w:id="580"/>
      <w:bookmarkEnd w:id="581"/>
      <w:r>
        <w:rPr>
          <w:rtl w:val="true"/>
        </w:rPr>
        <w:t>ذكر الرّافع والنّاصب والجارّ لمعمول الصّفة المشبّهة</w:t>
      </w:r>
      <w:bookmarkEnd w:id="582"/>
    </w:p>
    <w:p>
      <w:pPr>
        <w:pStyle w:val="BookText"/>
        <w:rPr/>
      </w:pPr>
      <w:r>
        <w:rPr>
          <w:rStyle w:val="FootnoteAnchor"/>
          <w:rtl w:val="true"/>
        </w:rPr>
        <w:footnoteReference w:id="16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يرفع معمولها على الفاعليّة وهو الأصل في عمل هذه الصفة ، إذ لا تقتضي إلّا مرفوعا كفعلها اللازم ، والمختار في النّصب التفصيل ؛ وهو إن كان المعمول معرفة فنصبه على التشبيه بالمفعول ، وهو الحسن الوجه ، لئلا يقع التمييز معرفة ، وإن كان نكرة فنصبه على التمييز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وجها </w:t>
      </w:r>
      <w:r>
        <w:rPr>
          <w:rStyle w:val="FootnoteAnchor"/>
          <w:rtl w:val="true"/>
        </w:rPr>
        <w:footnoteReference w:id="1700"/>
      </w:r>
      <w:r>
        <w:rPr>
          <w:rFonts w:ascii="Amiri" w:hAnsi="Amiri" w:eastAsia="Amiri" w:cs="Amiri"/>
          <w:color w:val="111111"/>
          <w:sz w:val="28"/>
          <w:sz w:val="28"/>
          <w:szCs w:val="28"/>
          <w:rtl w:val="true"/>
          <w:lang w:bidi="ar-SA"/>
        </w:rPr>
        <w:t xml:space="preserve">ومنهم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نصب معمول الصفة سواء كان معرفة أو نكرة إنّما هو على التشبيه بالمفعول لا على التمييز </w:t>
      </w:r>
      <w:r>
        <w:rPr>
          <w:rStyle w:val="FootnoteAnchor"/>
          <w:rtl w:val="true"/>
        </w:rPr>
        <w:footnoteReference w:id="1701"/>
      </w:r>
      <w:r>
        <w:rPr>
          <w:rFonts w:ascii="Amiri" w:hAnsi="Amiri" w:eastAsia="Amiri" w:cs="Amiri"/>
          <w:color w:val="111111"/>
          <w:sz w:val="28"/>
          <w:sz w:val="28"/>
          <w:szCs w:val="28"/>
          <w:rtl w:val="true"/>
          <w:lang w:bidi="ar-SA"/>
        </w:rPr>
        <w:t xml:space="preserve">عكس مذهب الكوفيين ، فإنّ نصب معمولها عندهم على التمييز ، سواء كان معرفة أو نكرة لجواز أن يكون التمييز معرفة عندهم ، وأما جرّ معمولها فبإضافتها هي إليه ليس إلّا </w:t>
      </w:r>
      <w:r>
        <w:rPr>
          <w:rStyle w:val="FootnoteAnchor"/>
          <w:rtl w:val="true"/>
        </w:rPr>
        <w:footnoteReference w:id="170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83" w:name="__RefHeading___Toc716946_996550957"/>
      <w:bookmarkStart w:id="584" w:name="_Toc214"/>
      <w:bookmarkEnd w:id="583"/>
      <w:r>
        <w:rPr>
          <w:rtl w:val="true"/>
        </w:rPr>
        <w:t>ذكر الصفة التي فيها ضمير أو ضميران ، أو لا ضمير فيها أصلا</w:t>
      </w:r>
      <w:bookmarkEnd w:id="584"/>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7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الصفة إذا نصبت ما بعدها ، أو جرّته كان فيها ضمير ، لاحتياج الصفة إلى الفاعل فتونّث وتذكّر وتثنّى وتجمع بحسب الضمائر المستكنّة فيها وتطابق من هي له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بهند الحسنة الوجه ، ومررت برجلين حسني الوجهين ، وبرجال حسني الوجوه ، وإذا رفعت ما بعدها لم يكن فيها ضمير ، لأنّ الضمير إنّما يكون حيث لم يكن الظاهر فاعلا ، فإذا لم يكن فيها ضمير ، وجب أن تكون مفردة لأنّها كالفعل رافعا ما بعده فلا تثنّى ولا تجمع فيقال في التثنية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برجلين حسن وجهاهما ، ومررت برجلين حسنة جاريتهما ،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حسنت جاريتهما ومررت برجال حسن غلمانهم ولا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حسنين غلمانهم إلّا على ضعف ، لكن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حسان غلمانهم ، على أنه جمع تكسير ليطابق مرفوعه </w:t>
      </w:r>
      <w:r>
        <w:rPr>
          <w:rStyle w:val="FootnoteAnchor"/>
          <w:rtl w:val="true"/>
        </w:rPr>
        <w:footnoteReference w:id="1704"/>
      </w:r>
      <w:r>
        <w:rPr>
          <w:rFonts w:ascii="Amiri" w:hAnsi="Amiri" w:eastAsia="Amiri" w:cs="Amiri"/>
          <w:color w:val="111111"/>
          <w:sz w:val="28"/>
          <w:sz w:val="28"/>
          <w:szCs w:val="28"/>
          <w:rtl w:val="true"/>
          <w:lang w:bidi="ar-SA"/>
        </w:rPr>
        <w:t xml:space="preserve">وإذا عرفت أن الصفة ليس فيها ضمير إذا كان </w:t>
      </w:r>
      <w:bookmarkStart w:id="585" w:name="pg14482_156307"/>
    </w:p>
    <w:p>
      <w:pPr>
        <w:pStyle w:val="BookText"/>
        <w:rPr/>
      </w:pPr>
      <w:bookmarkEnd w:id="585"/>
      <w:r>
        <w:rPr>
          <w:rFonts w:ascii="Amiri" w:hAnsi="Amiri" w:eastAsia="Amiri" w:cs="Amiri"/>
          <w:color w:val="111111"/>
          <w:sz w:val="28"/>
          <w:sz w:val="28"/>
          <w:szCs w:val="28"/>
          <w:rtl w:val="true"/>
          <w:lang w:bidi="ar-SA"/>
        </w:rPr>
        <w:t xml:space="preserve">ما بعدها مرفوعا ، وأنّه يجب أن يكون فيها ضمير إذا كان ما بعدها منصوبا أو مجرورا ، فاعلم أنّه إذا لم يكن في معمولها المرفوع ضمير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الوجه برفع الوجه ، فهو قبيح لعدم الضمير فيها ، وإن كان فيه ضمير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وجهه برفعه أيضا فهو الأحسن ، لوجود ضمير واحد ، وأمّا المنصوب أو المجرور ، فإن كان فيه ضمير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وجهه أو وجهه فهو حسن ، لوجود ضميرين ،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الفاعل المستكنّ في الصفة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المضاف إليه الوجه ، وإن لم يكن في المعمول المنصوب أو المجرور ضمير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وجها وحسن وجه فهو الأحسن لوجود ضمير واحد ، أعني في الصفة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واسم الفاعل اللّازم والمفعول غير المتعدي إلى مفعولين مثل الصفة المشبّهة </w:t>
      </w:r>
      <w:r>
        <w:rPr>
          <w:rStyle w:val="FootnoteAnchor"/>
          <w:rtl w:val="true"/>
        </w:rPr>
        <w:footnoteReference w:id="1705"/>
      </w:r>
      <w:r>
        <w:rPr>
          <w:rFonts w:ascii="Amiri" w:hAnsi="Amiri" w:eastAsia="Amiri" w:cs="Amiri"/>
          <w:color w:val="111111"/>
          <w:sz w:val="28"/>
          <w:sz w:val="28"/>
          <w:szCs w:val="28"/>
          <w:rtl w:val="true"/>
          <w:lang w:bidi="ar-SA"/>
        </w:rPr>
        <w:t xml:space="preserve">فيما ذكر من المسائل الست عشرة ، لأنّ الصفة إذا شبّهت في ذلك باسم الفاعل ، فاسم الفاعل والمفعول أولى بالشبه به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قائم الأب ومضروب الأب برفع الأب ونصبه وجرّه ، إذا نونت قائم ومضروب في الرفع والنصب ، وأضفته في الجرّ ، وكذلك ضامر البطن ، وجائلة الوشاح ، ومعمور الدار ، ومؤدّب الخدّام ، يعرب كلّ واحد من هذه الأمثلة بالحركات الثلاث على الوجه المذكور </w:t>
      </w:r>
      <w:r>
        <w:rPr>
          <w:rStyle w:val="FootnoteAnchor"/>
          <w:rtl w:val="true"/>
        </w:rPr>
        <w:footnoteReference w:id="1706"/>
      </w:r>
      <w:r>
        <w:rPr>
          <w:rStyle w:val="FootnoteAnchor"/>
          <w:rtl w:val="true"/>
        </w:rPr>
        <w:footnoteReference w:id="1707"/>
      </w:r>
    </w:p>
    <w:p>
      <w:pPr>
        <w:pStyle w:val="BookText"/>
        <w:rPr/>
      </w:pPr>
      <w:r>
        <w:rPr>
          <w:rFonts w:ascii="Amiri" w:hAnsi="Amiri" w:eastAsia="Amiri" w:cs="Amiri"/>
          <w:color w:val="111111"/>
          <w:sz w:val="28"/>
          <w:sz w:val="28"/>
          <w:szCs w:val="28"/>
          <w:rtl w:val="true"/>
          <w:lang w:bidi="ar-SA"/>
        </w:rPr>
        <w:t xml:space="preserve">زيد ضارب أباه لم يعلم هل أباه مفعول لضارب أو فاعل له وقد نصب تشبيها على المفعول ، ولو قلت في المفعول المتعدي إلى 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معطى أباه ، لم يعلم هل أباه مفعول ثاني لمعطى أو مفعول أول أقيم مقام الفاعل ونصب تشبيها على المفعول ، ومفعول الثاني محذوف ، وكذا إذا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ضارب أبيه ومعطى أبيه لم يعلم أن أبيه في المثال الأول مفعول ضارب أو فاعل له أضيف إليه وأن أبيه في المثال الثاني مفعول أول لمعطى أقيم مقام الفاعل أو مفعول ثاني أضيف إليه وليست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وبعدها بياض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6" w:name="__RefHeading___Toc716948_996550957"/>
      <w:bookmarkStart w:id="587" w:name="_Toc215"/>
      <w:bookmarkEnd w:id="586"/>
      <w:r>
        <w:rPr/>
        <w:t>6</w:t>
      </w:r>
      <w:r>
        <w:rPr>
          <w:rtl w:val="true"/>
        </w:rPr>
        <w:t xml:space="preserve">- </w:t>
      </w:r>
      <w:r>
        <w:rPr>
          <w:rtl w:val="true"/>
        </w:rPr>
        <w:t>ذكر اسم التفضيل</w:t>
      </w:r>
      <w:bookmarkEnd w:id="587"/>
    </w:p>
    <w:p>
      <w:pPr>
        <w:pStyle w:val="Heading6"/>
        <w:numPr>
          <w:ilvl w:val="5"/>
          <w:numId w:val="1"/>
        </w:numPr>
        <w:rPr/>
      </w:pPr>
      <w:bookmarkStart w:id="588" w:name="__RefHeading___Toc716950_996550957"/>
      <w:bookmarkStart w:id="589" w:name="_Toc216"/>
      <w:bookmarkEnd w:id="588"/>
      <w:r>
        <w:rPr>
          <w:rtl w:val="true"/>
        </w:rPr>
        <w:t>اشارة</w:t>
      </w:r>
      <w:bookmarkEnd w:id="589"/>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7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اشتقّ من فعل لموصوف بزيادة على غيره ، وإنّما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التفضيل ولم يقل </w:t>
      </w:r>
      <w:r>
        <w:rPr>
          <w:rStyle w:val="FootnoteAnchor"/>
          <w:rtl w:val="true"/>
        </w:rPr>
        <w:footnoteReference w:id="1709"/>
      </w:r>
      <w:r>
        <w:rPr>
          <w:rFonts w:ascii="Amiri" w:hAnsi="Amiri" w:eastAsia="Amiri" w:cs="Amiri"/>
          <w:color w:val="111111"/>
          <w:sz w:val="28"/>
          <w:sz w:val="28"/>
          <w:szCs w:val="28"/>
          <w:rtl w:val="true"/>
          <w:lang w:bidi="ar-SA"/>
        </w:rPr>
        <w:t xml:space="preserve">أفعل التفضيل ليتناول صيغ التفضيل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وشرّ ، وفضلى وفضليان </w:t>
      </w:r>
      <w:bookmarkStart w:id="590" w:name="pg14482_156308"/>
    </w:p>
    <w:p>
      <w:pPr>
        <w:pStyle w:val="BookText"/>
        <w:rPr/>
      </w:pPr>
      <w:bookmarkEnd w:id="590"/>
      <w:r>
        <w:rPr>
          <w:rFonts w:ascii="Amiri" w:hAnsi="Amiri" w:eastAsia="Amiri" w:cs="Amiri"/>
          <w:color w:val="111111"/>
          <w:sz w:val="28"/>
          <w:sz w:val="28"/>
          <w:szCs w:val="28"/>
          <w:rtl w:val="true"/>
          <w:lang w:bidi="ar-SA"/>
        </w:rPr>
        <w:t xml:space="preserve">وغيرها من الصّيغ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اشتقّ من فعل ، كالجنس يدخل فيه سائر المشتقّات قوله لموصوف ، يخرج به أسماء الزمان والمكان فإنّها مشتقات ولكن ليست بصفات ، فلم يكن لموصوف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على غيره ، يخرج اسم الفاعل والمفعول والصفة المشبّهة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والأصل في صيغته أن تكون </w:t>
      </w:r>
      <w:r>
        <w:rPr>
          <w:rStyle w:val="FootnoteAnchor"/>
          <w:rtl w:val="true"/>
        </w:rPr>
        <w:footnoteReference w:id="1710"/>
      </w:r>
      <w:r>
        <w:rPr>
          <w:rFonts w:ascii="Amiri" w:hAnsi="Amiri" w:eastAsia="Amiri" w:cs="Amiri"/>
          <w:color w:val="111111"/>
          <w:sz w:val="28"/>
          <w:sz w:val="28"/>
          <w:szCs w:val="28"/>
          <w:rtl w:val="true"/>
          <w:lang w:bidi="ar-SA"/>
        </w:rPr>
        <w:t xml:space="preserve">على أفعل ، إلّا أن يكون قد حذف منه شيء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وشرّ ، فإنّ أصل خير أخير ، وأصل شرّ أشرّ ، على وزن أفعل فنقلت حركة العين إلى الفاء وحذفت الهمزة وأدغم في شرّ الراء الأولى في الثانية </w:t>
      </w:r>
      <w:r>
        <w:rPr>
          <w:rStyle w:val="FootnoteAnchor"/>
          <w:rtl w:val="true"/>
        </w:rPr>
        <w:footnoteReference w:id="1711"/>
      </w:r>
    </w:p>
    <w:p>
      <w:pPr>
        <w:pStyle w:val="Heading6"/>
        <w:numPr>
          <w:ilvl w:val="5"/>
          <w:numId w:val="1"/>
        </w:numPr>
        <w:rPr/>
      </w:pPr>
      <w:bookmarkStart w:id="591" w:name="__RefHeading___Toc716952_996550957"/>
      <w:bookmarkStart w:id="592" w:name="_Toc217"/>
      <w:bookmarkEnd w:id="591"/>
      <w:r>
        <w:rPr>
          <w:rtl w:val="true"/>
        </w:rPr>
        <w:t>ذكر بناء أفعل التفضيل</w:t>
      </w:r>
      <w:bookmarkEnd w:id="592"/>
    </w:p>
    <w:p>
      <w:pPr>
        <w:pStyle w:val="BookText"/>
        <w:rPr/>
      </w:pPr>
      <w:r>
        <w:rPr>
          <w:rStyle w:val="FootnoteAnchor"/>
          <w:rtl w:val="true"/>
        </w:rPr>
        <w:footnoteReference w:id="17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لا يبنى إلّا من فعل ثلاثيّ مجرّد ليس بلون ولا عيب أمّا امتناع بنائه من الثلاثي المزيد فيه أو الرباعي ، فلما فيه من الحذف المخلّ ، ألا ترى أنك لو أردت بناءه من استخرج لم يكن إلّا بحذف يخرجه عن معناه </w:t>
      </w:r>
      <w:r>
        <w:rPr>
          <w:rStyle w:val="FootnoteAnchor"/>
          <w:rtl w:val="true"/>
        </w:rPr>
        <w:footnoteReference w:id="1713"/>
      </w:r>
      <w:r>
        <w:rPr>
          <w:rFonts w:ascii="Amiri" w:hAnsi="Amiri" w:eastAsia="Amiri" w:cs="Amiri"/>
          <w:color w:val="111111"/>
          <w:sz w:val="28"/>
          <w:sz w:val="28"/>
          <w:szCs w:val="28"/>
          <w:rtl w:val="true"/>
          <w:lang w:bidi="ar-SA"/>
        </w:rPr>
        <w:t xml:space="preserve">وأمّا امتناعه من اللون والعيب فلأنّ منهما أفعل لا للتفضيل ، فلو بني منهما أفعل التفضيل حصل اللّبس </w:t>
      </w:r>
      <w:r>
        <w:rPr>
          <w:rStyle w:val="FootnoteAnchor"/>
          <w:rtl w:val="true"/>
        </w:rPr>
        <w:footnoteReference w:id="1714"/>
      </w:r>
      <w:r>
        <w:rPr>
          <w:rFonts w:ascii="Amiri" w:hAnsi="Amiri" w:eastAsia="Amiri" w:cs="Amiri"/>
          <w:color w:val="111111"/>
          <w:sz w:val="28"/>
          <w:sz w:val="28"/>
          <w:szCs w:val="28"/>
          <w:rtl w:val="true"/>
          <w:lang w:bidi="ar-SA"/>
        </w:rPr>
        <w:t xml:space="preserve">فإنّك 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الأسود وأنت تريد به التفضيل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الأكرم لم يعلم أنك أردت بذلك أنه ذو سواد ، أو أنك فضّلته في السّواد على غيره </w:t>
      </w:r>
      <w:r>
        <w:rPr>
          <w:rStyle w:val="FootnoteAnchor"/>
          <w:rtl w:val="true"/>
        </w:rPr>
        <w:footnoteReference w:id="1715"/>
      </w:r>
      <w:r>
        <w:rPr>
          <w:rFonts w:ascii="Amiri" w:hAnsi="Amiri" w:eastAsia="Amiri" w:cs="Amiri"/>
          <w:color w:val="111111"/>
          <w:sz w:val="28"/>
          <w:sz w:val="28"/>
          <w:szCs w:val="28"/>
          <w:rtl w:val="true"/>
          <w:lang w:bidi="ar-SA"/>
        </w:rPr>
        <w:t xml:space="preserve">وأجاز الكوفيون بناء أفعل من السّواد والبياض خاصّة </w:t>
      </w:r>
      <w:r>
        <w:rPr>
          <w:rStyle w:val="FootnoteAnchor"/>
          <w:rtl w:val="true"/>
        </w:rPr>
        <w:footnoteReference w:id="1716"/>
      </w:r>
      <w:r>
        <w:rPr>
          <w:rFonts w:ascii="Amiri" w:hAnsi="Amiri" w:eastAsia="Amiri" w:cs="Amiri"/>
          <w:color w:val="111111"/>
          <w:sz w:val="28"/>
          <w:sz w:val="28"/>
          <w:szCs w:val="28"/>
          <w:rtl w:val="true"/>
          <w:lang w:bidi="ar-SA"/>
        </w:rPr>
        <w:t xml:space="preserve">وأنشدوا على ذلك </w:t>
      </w:r>
      <w:r>
        <w:rPr>
          <w:rStyle w:val="FootnoteAnchor"/>
          <w:rtl w:val="true"/>
        </w:rPr>
        <w:footnoteReference w:id="1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جارية في درعها الفضفاض</w:t>
      </w:r>
    </w:p>
    <w:p>
      <w:pPr>
        <w:pStyle w:val="BookText"/>
        <w:rPr/>
      </w:pPr>
      <w:r>
        <w:rPr>
          <w:rFonts w:ascii="Amiri" w:hAnsi="Amiri" w:eastAsia="Amiri" w:cs="Amiri"/>
          <w:color w:val="111111"/>
          <w:sz w:val="28"/>
          <w:sz w:val="28"/>
          <w:szCs w:val="28"/>
          <w:rtl w:val="true"/>
          <w:lang w:bidi="ar-SA"/>
        </w:rPr>
        <w:t>أبيض من أخت بني إباض</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بأنّه شاذ ، وأمّا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كانَ فِي هذِهِ أَعْمى فَهُوَ فِي الْآخِرَةِ أَعْمى </w:t>
      </w:r>
    </w:p>
    <w:p>
      <w:pPr>
        <w:pStyle w:val="BookText"/>
        <w:rPr/>
      </w:pPr>
      <w:r>
        <w:rPr>
          <w:rFonts w:ascii="Amiri" w:hAnsi="Amiri" w:eastAsia="Amiri" w:cs="Amiri"/>
          <w:color w:val="111111"/>
          <w:sz w:val="28"/>
          <w:sz w:val="28"/>
          <w:szCs w:val="28"/>
          <w:rtl w:val="true"/>
          <w:lang w:bidi="ar-SA"/>
        </w:rPr>
        <w:t>وَأَضَلُّ سَبِيلاً</w:t>
      </w:r>
      <w:r>
        <w:rPr>
          <w:rFonts w:eastAsia="Amiri" w:cs="Amiri" w:ascii="Amiri" w:hAnsi="Amiri"/>
          <w:color w:val="111111"/>
          <w:sz w:val="28"/>
          <w:szCs w:val="28"/>
          <w:rtl w:val="true"/>
          <w:lang w:bidi="ar-SA"/>
        </w:rPr>
        <w:t>)</w:t>
      </w:r>
      <w:r>
        <w:rPr>
          <w:rStyle w:val="FootnoteAnchor"/>
          <w:rtl w:val="true"/>
        </w:rPr>
        <w:footnoteReference w:id="1718"/>
      </w:r>
      <w:r>
        <w:rPr>
          <w:rFonts w:ascii="Amiri" w:hAnsi="Amiri" w:eastAsia="Amiri" w:cs="Amiri"/>
          <w:color w:val="111111"/>
          <w:sz w:val="28"/>
          <w:sz w:val="28"/>
          <w:szCs w:val="28"/>
          <w:rtl w:val="true"/>
          <w:lang w:bidi="ar-SA"/>
        </w:rPr>
        <w:t xml:space="preserve">فاعلم أنّ العيوب التي يمتنع أن يبنى منها أفعل التفضيل إنّما هي العيوب الظاهرة خاصّة ، لا الباطنة ، 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أعمى ، هو من عمى القلب والبصيرة لا البصر ، ألا ترى أنّهم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أجهل من عمرو ، لكونه من العيوب الباطنة ، وإنّما جاز بناؤه من العيوب الباطنة لكونها تقبل الزيادة والنّقص </w:t>
      </w:r>
      <w:r>
        <w:rPr>
          <w:rStyle w:val="FootnoteAnchor"/>
          <w:rtl w:val="true"/>
        </w:rPr>
        <w:footnoteReference w:id="1719"/>
      </w:r>
      <w:r>
        <w:rPr>
          <w:rFonts w:ascii="Amiri" w:hAnsi="Amiri" w:eastAsia="Amiri" w:cs="Amiri"/>
          <w:color w:val="111111"/>
          <w:sz w:val="28"/>
          <w:sz w:val="28"/>
          <w:szCs w:val="28"/>
          <w:rtl w:val="true"/>
          <w:lang w:bidi="ar-SA"/>
        </w:rPr>
        <w:t xml:space="preserve">فأمكن بناؤه منها بخلاف العيوب الظّاهرة ، فإنّها لا تقبل ذلك ، قال الخليل </w:t>
      </w:r>
      <w:r>
        <w:rPr>
          <w:rStyle w:val="FootnoteAnchor"/>
          <w:rtl w:val="true"/>
        </w:rPr>
        <w:footnoteReference w:id="1720"/>
      </w:r>
      <w:r>
        <w:rPr>
          <w:rFonts w:ascii="Amiri" w:hAnsi="Amiri" w:eastAsia="Amiri" w:cs="Amiri"/>
          <w:color w:val="111111"/>
          <w:sz w:val="28"/>
          <w:sz w:val="28"/>
          <w:szCs w:val="28"/>
          <w:rtl w:val="true"/>
          <w:lang w:bidi="ar-SA"/>
        </w:rPr>
        <w:t xml:space="preserve">الألوان والعيوب الظاهرة تجري مجرى الخلق الثابتة كاليد والرجل ، وكذلك الحلي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أقنى الأنف </w:t>
      </w:r>
      <w:r>
        <w:rPr>
          <w:rStyle w:val="FootnoteAnchor"/>
          <w:rtl w:val="true"/>
        </w:rPr>
        <w:footnoteReference w:id="1721"/>
      </w:r>
      <w:r>
        <w:rPr>
          <w:rFonts w:ascii="IRNazanin" w:hAnsi="IRNazanin" w:eastAsia="IRNazanin"/>
          <w:color w:val="111111"/>
          <w:sz w:val="28"/>
          <w:sz w:val="28"/>
          <w:szCs w:val="28"/>
          <w:rtl w:val="true"/>
          <w:lang w:bidi="fa-IR"/>
        </w:rPr>
        <w:t xml:space="preserve">وأبلج </w:t>
      </w:r>
      <w:r>
        <w:rPr>
          <w:rStyle w:val="FootnoteAnchor"/>
          <w:rtl w:val="true"/>
        </w:rPr>
        <w:footnoteReference w:id="1722"/>
      </w:r>
      <w:r>
        <w:rPr>
          <w:rFonts w:ascii="Amiri" w:hAnsi="Amiri" w:eastAsia="Amiri" w:cs="Amiri"/>
          <w:color w:val="111111"/>
          <w:sz w:val="28"/>
          <w:sz w:val="28"/>
          <w:szCs w:val="28"/>
          <w:rtl w:val="true"/>
          <w:lang w:bidi="ar-SA"/>
        </w:rPr>
        <w:t xml:space="preserve">فلم تقبل الزيادة والنقصان ، وأفعل التفضيل لا يبنى إلّا ممّا يقبلهما ، قال ابن الحاجب </w:t>
      </w:r>
      <w:r>
        <w:rPr>
          <w:rFonts w:eastAsia="Amiri" w:cs="Amiri" w:ascii="Amiri" w:hAnsi="Amiri"/>
          <w:color w:val="111111"/>
          <w:sz w:val="28"/>
          <w:szCs w:val="28"/>
          <w:rtl w:val="true"/>
          <w:lang w:bidi="ar-SA"/>
        </w:rPr>
        <w:t xml:space="preserve">: </w:t>
      </w:r>
      <w:r>
        <w:rPr>
          <w:rStyle w:val="FootnoteAnchor"/>
          <w:rtl w:val="true"/>
        </w:rPr>
        <w:footnoteReference w:id="1723"/>
      </w:r>
      <w:r>
        <w:rPr>
          <w:rFonts w:ascii="Amiri" w:hAnsi="Amiri" w:eastAsia="Amiri" w:cs="Amiri"/>
          <w:color w:val="111111"/>
          <w:sz w:val="28"/>
          <w:sz w:val="28"/>
          <w:szCs w:val="28"/>
          <w:rtl w:val="true"/>
          <w:lang w:bidi="ar-SA"/>
        </w:rPr>
        <w:t xml:space="preserve">إنّ اللون والعيب إن لم يكن لهما أفعل لغير التفضيل ، جاز أن يبنى منهما أفعل التفضيل ، وأمّا استعمال أحمق للتفضيل في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أحمق من رجلة </w:t>
      </w:r>
      <w:r>
        <w:rPr>
          <w:rStyle w:val="FootnoteAnchor"/>
          <w:rtl w:val="true"/>
        </w:rPr>
        <w:footnoteReference w:id="1724"/>
      </w:r>
      <w:r>
        <w:rPr>
          <w:rFonts w:ascii="Amiri" w:hAnsi="Amiri" w:eastAsia="Amiri" w:cs="Amiri"/>
          <w:color w:val="111111"/>
          <w:sz w:val="28"/>
          <w:sz w:val="28"/>
          <w:szCs w:val="28"/>
          <w:rtl w:val="true"/>
          <w:lang w:bidi="ar-SA"/>
        </w:rPr>
        <w:t xml:space="preserve">مع وجود أحمق لغيره في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أحمق ، فإنّه ليس من العيوب الظاهرة ، قال سيبويه </w:t>
      </w:r>
      <w:r>
        <w:rPr>
          <w:rFonts w:eastAsia="Amiri" w:cs="Amiri" w:ascii="Amiri" w:hAnsi="Amiri"/>
          <w:color w:val="111111"/>
          <w:sz w:val="28"/>
          <w:szCs w:val="28"/>
          <w:rtl w:val="true"/>
          <w:lang w:bidi="ar-SA"/>
        </w:rPr>
        <w:t xml:space="preserve">: </w:t>
      </w:r>
      <w:r>
        <w:rPr>
          <w:rStyle w:val="FootnoteAnchor"/>
          <w:rtl w:val="true"/>
        </w:rPr>
        <w:footnoteReference w:id="1725"/>
      </w:r>
      <w:r>
        <w:rPr>
          <w:rFonts w:ascii="IRNazanin" w:hAnsi="IRNazanin" w:eastAsia="IRNazanin"/>
          <w:color w:val="111111"/>
          <w:sz w:val="28"/>
          <w:sz w:val="28"/>
          <w:szCs w:val="28"/>
          <w:rtl w:val="true"/>
          <w:lang w:bidi="fa-IR"/>
        </w:rPr>
        <w:t xml:space="preserve">ما أحمقه بمعنى ما أجهله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ذكر كيفية استعماله من الزائد على الثلاثيّ ومن الألوان والعيوب </w:t>
      </w:r>
      <w:r>
        <w:rPr>
          <w:rStyle w:val="FootnoteAnchor"/>
          <w:rtl w:val="true"/>
        </w:rPr>
        <w:footnoteReference w:id="1726"/>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قصد بناء أفعل التفضيل من الزائد على الثلاثي أو من الألوان والعيوب الظاهرة ، توصّل إلى بنائه من فعل ثلاثيّ يصحّ بناؤه منه كأشدّ وأسرع ونحوهما ، ثم يؤتى بمصادر تلك الأفعال فتنصب على التمييز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أشدّ من عمرو استخراجا </w:t>
      </w:r>
      <w:bookmarkStart w:id="593" w:name="pg14482_156310"/>
    </w:p>
    <w:p>
      <w:pPr>
        <w:pStyle w:val="BookText"/>
        <w:rPr/>
      </w:pPr>
      <w:bookmarkEnd w:id="593"/>
      <w:r>
        <w:rPr>
          <w:rFonts w:ascii="Amiri" w:hAnsi="Amiri" w:eastAsia="Amiri" w:cs="Amiri"/>
          <w:color w:val="111111"/>
          <w:sz w:val="28"/>
          <w:sz w:val="28"/>
          <w:szCs w:val="28"/>
          <w:rtl w:val="true"/>
          <w:lang w:bidi="ar-SA"/>
        </w:rPr>
        <w:t xml:space="preserve">وبياضا وعمى وانطلاقا ، وأجود منه إدراكا </w:t>
      </w:r>
      <w:r>
        <w:rPr>
          <w:rStyle w:val="FootnoteAnchor"/>
          <w:rtl w:val="true"/>
        </w:rPr>
        <w:footnoteReference w:id="1727"/>
      </w:r>
      <w:r>
        <w:rPr>
          <w:rFonts w:ascii="Amiri" w:hAnsi="Amiri" w:eastAsia="Amiri" w:cs="Amiri"/>
          <w:color w:val="111111"/>
          <w:sz w:val="28"/>
          <w:sz w:val="28"/>
          <w:szCs w:val="28"/>
          <w:rtl w:val="true"/>
          <w:lang w:bidi="ar-SA"/>
        </w:rPr>
        <w:t xml:space="preserve">، وقد شذّ أفعل من الرباعي </w:t>
      </w:r>
      <w:r>
        <w:rPr>
          <w:rStyle w:val="FootnoteAnchor"/>
          <w:rtl w:val="true"/>
        </w:rPr>
        <w:footnoteReference w:id="1728"/>
      </w:r>
      <w:r>
        <w:rPr>
          <w:rFonts w:ascii="Amiri" w:hAnsi="Amiri" w:eastAsia="Amiri" w:cs="Amiri"/>
          <w:color w:val="111111"/>
          <w:sz w:val="28"/>
          <w:sz w:val="28"/>
          <w:szCs w:val="28"/>
          <w:rtl w:val="true"/>
          <w:lang w:bidi="ar-SA"/>
        </w:rPr>
        <w:t xml:space="preserve">في نحو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أعطاهم للدرهم وأولاهم للمعروف ، وأنت أكرم لي من زيد ، وهذا المكان أقفر من غيره ، وفي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جوف اللّيل أجوب 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أشدّ إجابة </w:t>
      </w:r>
      <w:r>
        <w:rPr>
          <w:rStyle w:val="FootnoteAnchor"/>
          <w:rtl w:val="true"/>
        </w:rPr>
        <w:footnoteReference w:id="172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94" w:name="__RefHeading___Toc716954_996550957"/>
      <w:bookmarkStart w:id="595" w:name="_Toc218"/>
      <w:bookmarkEnd w:id="594"/>
      <w:r>
        <w:rPr>
          <w:rtl w:val="true"/>
        </w:rPr>
        <w:t>ذكر استعماله للفاعل والمفعول</w:t>
      </w:r>
      <w:bookmarkEnd w:id="595"/>
    </w:p>
    <w:p>
      <w:pPr>
        <w:pStyle w:val="BookText"/>
        <w:rPr/>
      </w:pPr>
      <w:r>
        <w:rPr>
          <w:rStyle w:val="FootnoteAnchor"/>
          <w:rtl w:val="true"/>
        </w:rPr>
        <w:footnoteReference w:id="17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قياس أفعل التفضيل أن يبنى للفاعل ، كما أنّ فعل التعجّب لا يكون إلّا للفاعل ، لأنّ الفاعل هو المقصود بالنسبة إليه في المعنى ، والمفعول فضلة ، فوجب أن يبنى لما هو المقصود ، وقد يجيء أفعل التفضيل للمفعول 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أعذر وأشغل وأشهر ، أي يعذر كثيرا أو معذور كثيرا وكذلك مشغول ومشهور </w:t>
      </w:r>
      <w:r>
        <w:rPr>
          <w:rStyle w:val="FootnoteAnchor"/>
          <w:rtl w:val="true"/>
        </w:rPr>
        <w:footnoteReference w:id="173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96" w:name="__RefHeading___Toc716956_996550957"/>
      <w:bookmarkStart w:id="597" w:name="_Toc219"/>
      <w:bookmarkEnd w:id="596"/>
      <w:r>
        <w:rPr>
          <w:rtl w:val="true"/>
        </w:rPr>
        <w:t>ذكر الأمور الثلاثة التي لا يستعمل أفعل إلّا بأحدها</w:t>
      </w:r>
      <w:bookmarkEnd w:id="597"/>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7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يستعمل أفعل التفضيل إلّا مضافا ، أو بمن ، أو باللّام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أفضل القوم ، وزيد أفضل من عمرو ، وقد يحذف من </w:t>
      </w:r>
      <w:r>
        <w:rPr>
          <w:rStyle w:val="FootnoteAnchor"/>
          <w:rtl w:val="true"/>
        </w:rPr>
        <w:footnoteReference w:id="1733"/>
      </w:r>
      <w:r>
        <w:rPr>
          <w:rFonts w:ascii="Amiri" w:hAnsi="Amiri" w:eastAsia="Amiri" w:cs="Amiri"/>
          <w:color w:val="111111"/>
          <w:sz w:val="28"/>
          <w:sz w:val="28"/>
          <w:szCs w:val="28"/>
          <w:rtl w:val="true"/>
          <w:lang w:bidi="ar-SA"/>
        </w:rPr>
        <w:t xml:space="preserve">إذا كان معلوما 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 أي من كلّ كبير </w:t>
      </w:r>
      <w:r>
        <w:rPr>
          <w:rStyle w:val="FootnoteAnchor"/>
          <w:rtl w:val="true"/>
        </w:rPr>
        <w:footnoteReference w:id="1734"/>
      </w:r>
      <w:r>
        <w:rPr>
          <w:rFonts w:ascii="Amiri" w:hAnsi="Amiri" w:eastAsia="Amiri" w:cs="Amiri"/>
          <w:color w:val="111111"/>
          <w:sz w:val="28"/>
          <w:sz w:val="28"/>
          <w:szCs w:val="28"/>
          <w:rtl w:val="true"/>
          <w:lang w:bidi="ar-SA"/>
        </w:rPr>
        <w:t xml:space="preserve">وأمّا استعماله باللام فنحو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الأفضل </w:t>
      </w:r>
      <w:r>
        <w:rPr>
          <w:rStyle w:val="FootnoteAnchor"/>
          <w:rtl w:val="true"/>
        </w:rPr>
        <w:footnoteReference w:id="1735"/>
      </w:r>
      <w:r>
        <w:rPr>
          <w:rFonts w:ascii="Amiri" w:hAnsi="Amiri" w:eastAsia="Amiri" w:cs="Amiri"/>
          <w:color w:val="111111"/>
          <w:sz w:val="28"/>
          <w:sz w:val="28"/>
          <w:szCs w:val="28"/>
          <w:rtl w:val="true"/>
          <w:lang w:bidi="ar-SA"/>
        </w:rPr>
        <w:t xml:space="preserve">وإنّما وجب ذلك لأنّ الغرض بوضعه الزيادة على المفضّل عليه وذلك ، لا يتأتّى إلّا بأحد هذه الثلاثة ، أمّا </w:t>
      </w:r>
    </w:p>
    <w:p>
      <w:pPr>
        <w:pStyle w:val="BookText"/>
        <w:rPr/>
      </w:pPr>
      <w:r>
        <w:rPr>
          <w:rFonts w:ascii="Amiri" w:hAnsi="Amiri" w:eastAsia="Amiri" w:cs="Amiri"/>
          <w:color w:val="111111"/>
          <w:sz w:val="28"/>
          <w:sz w:val="28"/>
          <w:szCs w:val="28"/>
          <w:rtl w:val="true"/>
          <w:lang w:bidi="ar-SA"/>
        </w:rPr>
        <w:t xml:space="preserve">من والإضافة ، فظاهر ، لأنّ المفضّل عليه مذكور معهما ، وأمّا اللام فلأنّها تفيد تعريف المعهود على الصّفة التي هو عليها ، وهي تلك الزيادة ، فتدخل الزيادة في المعهود </w:t>
      </w:r>
      <w:r>
        <w:rPr>
          <w:rStyle w:val="FootnoteAnchor"/>
          <w:rtl w:val="true"/>
        </w:rPr>
        <w:footnoteReference w:id="1736"/>
      </w:r>
      <w:r>
        <w:rPr>
          <w:rFonts w:ascii="Amiri" w:hAnsi="Amiri" w:eastAsia="Amiri" w:cs="Amiri"/>
          <w:color w:val="111111"/>
          <w:sz w:val="28"/>
          <w:sz w:val="28"/>
          <w:szCs w:val="28"/>
          <w:rtl w:val="true"/>
          <w:lang w:bidi="ar-SA"/>
        </w:rPr>
        <w:t xml:space="preserve">واعلم أنّه لا يجوز اجتماع اثنين من هذه الثلاثة فلا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الأفضل من عمرو وأمّا قول الأعشى </w:t>
      </w:r>
      <w:r>
        <w:rPr>
          <w:rFonts w:eastAsia="Amiri" w:cs="Amiri" w:ascii="Amiri" w:hAnsi="Amiri"/>
          <w:color w:val="111111"/>
          <w:sz w:val="28"/>
          <w:szCs w:val="28"/>
          <w:rtl w:val="true"/>
          <w:lang w:bidi="ar-SA"/>
        </w:rPr>
        <w:t xml:space="preserve">: </w:t>
      </w:r>
      <w:r>
        <w:rPr>
          <w:rStyle w:val="FootnoteAnchor"/>
          <w:rtl w:val="true"/>
        </w:rPr>
        <w:footnoteReference w:id="1737"/>
      </w:r>
    </w:p>
    <w:p>
      <w:pPr>
        <w:pStyle w:val="BookText"/>
        <w:rPr/>
      </w:pPr>
      <w:r>
        <w:rPr>
          <w:rFonts w:ascii="Amiri" w:hAnsi="Amiri" w:eastAsia="Amiri" w:cs="Amiri"/>
          <w:color w:val="111111"/>
          <w:sz w:val="28"/>
          <w:sz w:val="28"/>
          <w:szCs w:val="28"/>
          <w:rtl w:val="true"/>
          <w:lang w:bidi="ar-SA"/>
        </w:rPr>
        <w:t>ولست بالأكثر منهم حصى</w:t>
      </w:r>
    </w:p>
    <w:p>
      <w:pPr>
        <w:pStyle w:val="BookText"/>
        <w:rPr/>
      </w:pPr>
      <w:r>
        <w:rPr>
          <w:rFonts w:ascii="Amiri" w:hAnsi="Amiri" w:eastAsia="Amiri" w:cs="Amiri"/>
          <w:color w:val="111111"/>
          <w:sz w:val="28"/>
          <w:sz w:val="28"/>
          <w:szCs w:val="28"/>
          <w:rtl w:val="true"/>
          <w:lang w:bidi="ar-SA"/>
        </w:rPr>
        <w:t>وإنّما العزّة للكاثر</w:t>
      </w:r>
    </w:p>
    <w:p>
      <w:pPr>
        <w:pStyle w:val="BookText"/>
        <w:rPr/>
      </w:pPr>
      <w:r>
        <w:rPr>
          <w:rFonts w:ascii="Amiri" w:hAnsi="Amiri" w:eastAsia="Amiri" w:cs="Amiri"/>
          <w:color w:val="111111"/>
          <w:sz w:val="28"/>
          <w:sz w:val="28"/>
          <w:szCs w:val="28"/>
          <w:rtl w:val="true"/>
          <w:lang w:bidi="ar-SA"/>
        </w:rPr>
        <w:t xml:space="preserve">فمؤول بأنّ المراد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 من بينهم ، وإذا أضيف أفعل التفضيل فله معنيان </w:t>
      </w:r>
      <w:r>
        <w:rPr>
          <w:rFonts w:eastAsia="Amiri" w:cs="Amiri" w:ascii="Amiri" w:hAnsi="Amiri"/>
          <w:color w:val="111111"/>
          <w:sz w:val="28"/>
          <w:szCs w:val="28"/>
          <w:rtl w:val="true"/>
          <w:lang w:bidi="ar-SA"/>
        </w:rPr>
        <w:t xml:space="preserve">: </w:t>
      </w:r>
      <w:r>
        <w:rPr>
          <w:rStyle w:val="FootnoteAnchor"/>
          <w:rtl w:val="true"/>
        </w:rPr>
        <w:footnoteReference w:id="1738"/>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حدّ باعتباره أن يقصد به الزيادة على من أضيف إليه </w:t>
      </w:r>
      <w:r>
        <w:rPr>
          <w:rStyle w:val="FootnoteAnchor"/>
          <w:rtl w:val="true"/>
        </w:rPr>
        <w:footnoteReference w:id="1739"/>
      </w:r>
      <w:r>
        <w:rPr>
          <w:rFonts w:ascii="Amiri" w:hAnsi="Amiri" w:eastAsia="Amiri" w:cs="Amiri"/>
          <w:color w:val="111111"/>
          <w:sz w:val="28"/>
          <w:sz w:val="28"/>
          <w:szCs w:val="28"/>
          <w:rtl w:val="true"/>
          <w:lang w:bidi="ar-SA"/>
        </w:rPr>
        <w:t xml:space="preserve">، فيشترط أن يكون المفضّل داخلا في جملة من أضيف إليه ، أعني أن يشترك المفضّل والمفضّل عليه فيما اشتقّ منه أفعل ليتميز بالتفضيل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أفضل الناس ، وقد توهّم بعضهم </w:t>
      </w:r>
      <w:r>
        <w:rPr>
          <w:rStyle w:val="FootnoteAnchor"/>
          <w:rtl w:val="true"/>
        </w:rPr>
        <w:footnoteReference w:id="1740"/>
      </w:r>
      <w:r>
        <w:rPr>
          <w:rFonts w:ascii="Amiri" w:hAnsi="Amiri" w:eastAsia="Amiri" w:cs="Amiri"/>
          <w:color w:val="111111"/>
          <w:sz w:val="28"/>
          <w:sz w:val="28"/>
          <w:szCs w:val="28"/>
          <w:rtl w:val="true"/>
          <w:lang w:bidi="ar-SA"/>
        </w:rPr>
        <w:t xml:space="preserve">امتناع ذلك ، لأنّ زيدا مفضّل على من أضيف إليه أفضل ، ومن جملة الناس زيد ، فيلزم تفضيل زيد على نفسه ، وليس بجيّد ، لأنّ لأفعل جهتين ،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أصل المعنى للمفضّل والمفضّل عليه ، والجهة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الزيادة في ذلك المعنى للمفضّل ، فزيد إنّما ذكر في الناس للتشريك معهم في أصل الفضل المشترك فيه ، لأنّه مشارك للمفضّل عليه في أصل الصفة ، ولم يشاركه المفضّل عليه في أصل </w:t>
      </w:r>
    </w:p>
    <w:p>
      <w:pPr>
        <w:pStyle w:val="BookText"/>
        <w:rPr/>
      </w:pPr>
      <w:r>
        <w:rPr>
          <w:rFonts w:ascii="Amiri" w:hAnsi="Amiri" w:eastAsia="Amiri" w:cs="Amiri"/>
          <w:color w:val="111111"/>
          <w:sz w:val="28"/>
          <w:sz w:val="28"/>
          <w:szCs w:val="28"/>
          <w:rtl w:val="true"/>
          <w:lang w:bidi="ar-SA"/>
        </w:rPr>
        <w:t xml:space="preserve">الزيادة ، فهو مفضّل عليهم باعتبار الزيادة على أصل الفضل </w:t>
      </w:r>
      <w:r>
        <w:rPr>
          <w:rStyle w:val="FootnoteAnchor"/>
          <w:rtl w:val="true"/>
        </w:rPr>
        <w:footnoteReference w:id="1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والمعنى الثاني </w:t>
      </w:r>
      <w:r>
        <w:rPr>
          <w:rFonts w:eastAsia="Amiri" w:cs="Amiri" w:ascii="Amiri" w:hAnsi="Amiri"/>
          <w:color w:val="111111"/>
          <w:sz w:val="28"/>
          <w:szCs w:val="28"/>
          <w:rtl w:val="true"/>
          <w:lang w:bidi="ar-SA"/>
        </w:rPr>
        <w:t xml:space="preserve">: </w:t>
      </w:r>
      <w:r>
        <w:rPr>
          <w:rStyle w:val="FootnoteAnchor"/>
          <w:rtl w:val="true"/>
        </w:rPr>
        <w:footnoteReference w:id="1742"/>
      </w:r>
      <w:r>
        <w:rPr>
          <w:rFonts w:ascii="Amiri" w:hAnsi="Amiri" w:eastAsia="Amiri" w:cs="Amiri"/>
          <w:color w:val="111111"/>
          <w:sz w:val="28"/>
          <w:sz w:val="28"/>
          <w:szCs w:val="28"/>
          <w:rtl w:val="true"/>
          <w:lang w:bidi="ar-SA"/>
        </w:rPr>
        <w:t xml:space="preserve">أن يقصد به زيادة مطلقة أي غير مقيّدة </w:t>
      </w:r>
      <w:r>
        <w:rPr>
          <w:rStyle w:val="FootnoteAnchor"/>
          <w:rtl w:val="true"/>
        </w:rPr>
        <w:footnoteReference w:id="1743"/>
      </w:r>
      <w:r>
        <w:rPr>
          <w:rFonts w:ascii="Amiri" w:hAnsi="Amiri" w:eastAsia="Amiri" w:cs="Amiri"/>
          <w:color w:val="111111"/>
          <w:sz w:val="28"/>
          <w:sz w:val="28"/>
          <w:szCs w:val="28"/>
          <w:rtl w:val="true"/>
          <w:lang w:bidi="ar-SA"/>
        </w:rPr>
        <w:t xml:space="preserve">بأصل مشترك فيه ، بل هو زائد على من أضيف إليه مجموع تلك الصّفة ، أي هو منفرد بها ، ويضاف للتوضيح لا للتفضيل ، أي ليتضح أنّ الصفة مخصوصة به دون المضاف إليهم ، كما يضاف ما لا تفضيل فيه نحو حسن قريش </w:t>
      </w:r>
      <w:r>
        <w:rPr>
          <w:rStyle w:val="FootnoteAnchor"/>
          <w:rtl w:val="true"/>
        </w:rPr>
        <w:footnoteReference w:id="1744"/>
      </w:r>
      <w:r>
        <w:rPr>
          <w:rFonts w:ascii="Amiri" w:hAnsi="Amiri" w:eastAsia="Amiri" w:cs="Amiri"/>
          <w:color w:val="111111"/>
          <w:sz w:val="28"/>
          <w:sz w:val="28"/>
          <w:szCs w:val="28"/>
          <w:rtl w:val="true"/>
          <w:lang w:bidi="ar-SA"/>
        </w:rPr>
        <w:t xml:space="preserve">وإذا أضيف أفعل التفضيل بالمعنى الأوّل وهو أن يقصد به الزيادة على من أضيف إليه ، يمتنع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أحسن إخوته ، لأنّ شرط هذه الإضافة أن يكون المفضّل بعضا من المفضّل عليه ويوسف ليس هو بعض إخوته ، فيمتنع كما امتنع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أفضل الحجارة ، لأنّه ليس منها بخلاف الياقوت أفضل الحجارة ، والتحقيق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يوسف خرج حينئذ عن الحسن بإضافة إخوته إلى ضميره ، إذ القاعدة أنّ المعنى إذا قصد ثبوته للمضاف عند الإضافة خرج المضاف إليه عن ذلك المعنى ، بدليل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إخوة يوسف ، فإنّ يوسف خرج عن المجيء الذي قصد ثبوته للإخوة ، لكن يجوز يوسف أحسن إخوته إذا أضيف أفعل التفضيل بالمعنى الثاني وهو أن يقصد بإضافته الزيادة من غير نظر إلى أصل مشترك كما ذكرنا </w:t>
      </w:r>
      <w:r>
        <w:rPr>
          <w:rStyle w:val="FootnoteAnchor"/>
          <w:rtl w:val="true"/>
        </w:rPr>
        <w:footnoteReference w:id="17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أن يضاف للتوضيح لا للتفضيل فقولك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أحسن إخوته ، معناه حسن إخوته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قريش ، ومنه قولهم لنصيب </w:t>
      </w:r>
      <w:r>
        <w:rPr>
          <w:rStyle w:val="FootnoteAnchor"/>
          <w:rtl w:val="true"/>
        </w:rPr>
        <w:footnoteReference w:id="1746"/>
      </w:r>
    </w:p>
    <w:p>
      <w:pPr>
        <w:pStyle w:val="BookText"/>
        <w:rPr/>
      </w:pPr>
      <w:r>
        <w:rPr>
          <w:rFonts w:ascii="Amiri" w:hAnsi="Amiri" w:eastAsia="Amiri" w:cs="Amiri"/>
          <w:color w:val="111111"/>
          <w:sz w:val="28"/>
          <w:sz w:val="28"/>
          <w:szCs w:val="28"/>
          <w:rtl w:val="true"/>
          <w:lang w:bidi="ar-SA"/>
        </w:rPr>
        <w:t>وجلدتك يا أبا حزره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أخباره وترجمته في الأغاني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أشعر أهل بلدتك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شاعرهم ، لأنّ نصيبا كان حبشيّا ولم يعلم في الحبش شاعر سواه ، ومنه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النّاقص والأشجّ أعدلا بني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عادلا بني مروان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واعلم</w:t>
      </w:r>
    </w:p>
    <w:p>
      <w:pPr>
        <w:pStyle w:val="BookText"/>
        <w:rPr/>
      </w:pPr>
      <w:r>
        <w:rPr>
          <w:rFonts w:ascii="Amiri" w:hAnsi="Amiri" w:eastAsia="Amiri" w:cs="Amiri"/>
          <w:color w:val="111111"/>
          <w:sz w:val="28"/>
          <w:sz w:val="28"/>
          <w:szCs w:val="28"/>
          <w:rtl w:val="true"/>
          <w:lang w:bidi="ar-SA"/>
        </w:rPr>
        <w:t xml:space="preserve">أنه يجوز في أفعل إذا أضيف بالمعنى الأول الإفراد والمطابقة </w:t>
      </w:r>
      <w:r>
        <w:rPr>
          <w:rStyle w:val="FootnoteAnchor"/>
          <w:rtl w:val="true"/>
        </w:rPr>
        <w:footnoteReference w:id="1747"/>
      </w:r>
      <w:r>
        <w:rPr>
          <w:rFonts w:ascii="Amiri" w:hAnsi="Amiri" w:eastAsia="Amiri" w:cs="Amiri"/>
          <w:color w:val="111111"/>
          <w:sz w:val="28"/>
          <w:sz w:val="28"/>
          <w:szCs w:val="28"/>
          <w:rtl w:val="true"/>
          <w:lang w:bidi="ar-SA"/>
        </w:rPr>
        <w:t xml:space="preserve">مثال الإفراد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الزيدان والزيدون أفضل القوم بإفراد أفضل </w:t>
      </w:r>
      <w:r>
        <w:rPr>
          <w:rStyle w:val="FootnoteAnchor"/>
          <w:rtl w:val="true"/>
        </w:rPr>
        <w:footnoteReference w:id="1748"/>
      </w:r>
      <w:r>
        <w:rPr>
          <w:rFonts w:ascii="Amiri" w:hAnsi="Amiri" w:eastAsia="Amiri" w:cs="Amiri"/>
          <w:color w:val="111111"/>
          <w:sz w:val="28"/>
          <w:sz w:val="28"/>
          <w:szCs w:val="28"/>
          <w:rtl w:val="true"/>
          <w:lang w:bidi="ar-SA"/>
        </w:rPr>
        <w:t xml:space="preserve">ومنه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وَلَتَجِدَنَّهُمْ أَحْرَصَ النَّاسِ عَلى حَياةٍ</w:t>
      </w:r>
      <w:r>
        <w:rPr>
          <w:rFonts w:eastAsia="Amiri" w:cs="Amiri" w:ascii="Amiri" w:hAnsi="Amiri"/>
          <w:color w:val="111111"/>
          <w:sz w:val="28"/>
          <w:szCs w:val="28"/>
          <w:rtl w:val="true"/>
          <w:lang w:bidi="ar-SA"/>
        </w:rPr>
        <w:t>)</w:t>
      </w:r>
      <w:r>
        <w:rPr>
          <w:rStyle w:val="FootnoteAnchor"/>
          <w:rtl w:val="true"/>
        </w:rPr>
        <w:footnoteReference w:id="1749"/>
      </w:r>
      <w:r>
        <w:rPr>
          <w:rFonts w:ascii="Amiri" w:hAnsi="Amiri" w:eastAsia="Amiri" w:cs="Amiri"/>
          <w:color w:val="111111"/>
          <w:sz w:val="28"/>
          <w:sz w:val="28"/>
          <w:szCs w:val="28"/>
          <w:rtl w:val="true"/>
          <w:lang w:bidi="ar-SA"/>
        </w:rPr>
        <w:t xml:space="preserve">فأفرد أحرص مع أنّ المفعول الأول لتجدنّهم جمع ، ووجهه ؛ أنّ أفعل هنا لمّا كان بعضا من المضاف إليه أشبه لفظة بعض ، وبعض لا يثنّى ولا يجمع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الزيدون بعض القوم </w:t>
      </w:r>
      <w:r>
        <w:rPr>
          <w:rStyle w:val="FootnoteAnchor"/>
          <w:rtl w:val="true"/>
        </w:rPr>
        <w:footnoteReference w:id="1750"/>
      </w:r>
      <w:r>
        <w:rPr>
          <w:rFonts w:ascii="Amiri" w:hAnsi="Amiri" w:eastAsia="Amiri" w:cs="Amiri"/>
          <w:color w:val="111111"/>
          <w:sz w:val="28"/>
          <w:sz w:val="28"/>
          <w:szCs w:val="28"/>
          <w:rtl w:val="true"/>
          <w:lang w:bidi="ar-SA"/>
        </w:rPr>
        <w:t xml:space="preserve">وأمّا المطابقة فنحو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أفضل القوم ، والزيدان أفضلا القوم ، والزيدون أفاضل القوم ، ومنه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أَكابِرَ مُجْرِمِيها</w:t>
      </w:r>
      <w:r>
        <w:rPr>
          <w:rFonts w:eastAsia="Amiri" w:cs="Amiri" w:ascii="Amiri" w:hAnsi="Amiri"/>
          <w:color w:val="111111"/>
          <w:sz w:val="28"/>
          <w:szCs w:val="28"/>
          <w:rtl w:val="true"/>
          <w:lang w:bidi="ar-SA"/>
        </w:rPr>
        <w:t>)</w:t>
      </w:r>
      <w:r>
        <w:rPr>
          <w:rStyle w:val="FootnoteAnchor"/>
          <w:rtl w:val="true"/>
        </w:rPr>
        <w:footnoteReference w:id="1751"/>
      </w:r>
      <w:r>
        <w:rPr>
          <w:rFonts w:ascii="Amiri" w:hAnsi="Amiri" w:eastAsia="Amiri" w:cs="Amiri"/>
          <w:color w:val="111111"/>
          <w:sz w:val="28"/>
          <w:sz w:val="28"/>
          <w:szCs w:val="28"/>
          <w:rtl w:val="true"/>
          <w:lang w:bidi="ar-SA"/>
        </w:rPr>
        <w:t xml:space="preserve">وكذلك هند ، وإنّما جازت المطابقة فيه لأنّ الإضافة تشبه </w:t>
      </w:r>
      <w:r>
        <w:rPr>
          <w:rStyle w:val="FootnoteAnchor"/>
          <w:rtl w:val="true"/>
        </w:rPr>
        <w:footnoteReference w:id="1752"/>
      </w:r>
      <w:r>
        <w:rPr>
          <w:rFonts w:ascii="Amiri" w:hAnsi="Amiri" w:eastAsia="Amiri" w:cs="Amiri"/>
          <w:color w:val="111111"/>
          <w:sz w:val="28"/>
          <w:sz w:val="28"/>
          <w:szCs w:val="28"/>
          <w:rtl w:val="true"/>
          <w:lang w:bidi="ar-SA"/>
        </w:rPr>
        <w:t xml:space="preserve">المعرّف باللام من جهة اختصاص كلّ منهما </w:t>
      </w:r>
      <w:r>
        <w:rPr>
          <w:rStyle w:val="FootnoteAnchor"/>
          <w:rtl w:val="true"/>
        </w:rPr>
        <w:footnoteReference w:id="1753"/>
      </w:r>
      <w:r>
        <w:rPr>
          <w:rFonts w:ascii="Amiri" w:hAnsi="Amiri" w:eastAsia="Amiri" w:cs="Amiri"/>
          <w:color w:val="111111"/>
          <w:sz w:val="28"/>
          <w:sz w:val="28"/>
          <w:szCs w:val="28"/>
          <w:rtl w:val="true"/>
          <w:lang w:bidi="ar-SA"/>
        </w:rPr>
        <w:t>بالأسماء ، فحمل المضاف في المطابقة على المعرّف بالّلام ، والمعرّف بالّلام يلزم فيه المطابقة ، فجازت المطابقة والإفراد في المضاف لما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المضاف بالمعنى الثاني والمعرّف باللام فلا بدّ فيهما من المطابقة </w:t>
      </w:r>
      <w:r>
        <w:rPr>
          <w:rStyle w:val="FootnoteAnchor"/>
          <w:rtl w:val="true"/>
        </w:rPr>
        <w:footnoteReference w:id="1754"/>
      </w:r>
      <w:r>
        <w:rPr>
          <w:rFonts w:ascii="Amiri" w:hAnsi="Amiri" w:eastAsia="Amiri" w:cs="Amiri"/>
          <w:color w:val="111111"/>
          <w:sz w:val="28"/>
          <w:sz w:val="28"/>
          <w:szCs w:val="28"/>
          <w:rtl w:val="true"/>
          <w:lang w:bidi="ar-SA"/>
        </w:rPr>
        <w:t xml:space="preserve">وإنّما وجبت المطابقة فيهما لتجرّد أفعل عن شبه الفعل بتجرّده عن من المعديّة له إلى المذكور بعده فلمّا خرج أفعل عن شبه الفعل باستغنائه عن تعدية من ، وجب فيه ما يجب في سائر الصفات من المطابقة لموصوفه </w:t>
      </w:r>
      <w:r>
        <w:rPr>
          <w:rStyle w:val="FootnoteAnchor"/>
          <w:rtl w:val="true"/>
        </w:rPr>
        <w:footnoteReference w:id="1755"/>
      </w:r>
      <w:r>
        <w:rPr>
          <w:rFonts w:ascii="Amiri" w:hAnsi="Amiri" w:eastAsia="Amiri" w:cs="Amiri"/>
          <w:color w:val="111111"/>
          <w:sz w:val="28"/>
          <w:sz w:val="28"/>
          <w:szCs w:val="28"/>
          <w:rtl w:val="true"/>
          <w:lang w:bidi="ar-SA"/>
        </w:rPr>
        <w:t xml:space="preserve">ومثال المطابقة في المعرّف باللام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الأفضل والزيدان الأفضلان ، والزيدون الأفضلون ، وهند الفضلى ، والهندان الفضليان والهندات الفضل</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إن أتى ما يضاف إليه أفعل التفضيل نكرة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أفضل رجل ، فيطابق </w:t>
      </w:r>
    </w:p>
    <w:p>
      <w:pPr>
        <w:pStyle w:val="BookText"/>
        <w:rPr/>
      </w:pPr>
      <w:r>
        <w:rPr>
          <w:rFonts w:ascii="Amiri" w:hAnsi="Amiri" w:eastAsia="Amiri" w:cs="Amiri"/>
          <w:color w:val="111111"/>
          <w:sz w:val="28"/>
          <w:sz w:val="28"/>
          <w:szCs w:val="28"/>
          <w:rtl w:val="true"/>
          <w:lang w:bidi="ar-SA"/>
        </w:rPr>
        <w:t xml:space="preserve">بين النكرة والمفضّل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أفضل رجل ، والزيدان أفضل رجلين ، والزيدون أفضل رجال وهند كزيد ، كأنّ جنس العدد المفضّل عليه وهو الرجل في مثالنا هذا ، قد قسّم رجلا رجلا ورجلين رجلين ورجالا رجالا ، ثم فضّل ذلك على مطابقه </w:t>
      </w:r>
      <w:r>
        <w:rPr>
          <w:rStyle w:val="FootnoteAnchor"/>
          <w:rtl w:val="true"/>
        </w:rPr>
        <w:footnoteReference w:id="1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واختيار ابن الحاجب أن المفضّل عليه في هذه الصور محذوف وهو الجنس العامّ </w:t>
      </w:r>
      <w:r>
        <w:rPr>
          <w:rStyle w:val="FootnoteAnchor"/>
          <w:rtl w:val="true"/>
        </w:rPr>
        <w:footnoteReference w:id="1757"/>
      </w:r>
      <w:r>
        <w:rPr>
          <w:rFonts w:ascii="Amiri" w:hAnsi="Amiri" w:eastAsia="Amiri" w:cs="Amiri"/>
          <w:color w:val="111111"/>
          <w:sz w:val="28"/>
          <w:sz w:val="28"/>
          <w:szCs w:val="28"/>
          <w:rtl w:val="true"/>
          <w:lang w:bidi="ar-SA"/>
        </w:rPr>
        <w:t xml:space="preserve">ويكون التقدير في زيد أفضل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أفضل رجل من جميع الرّجال ، وفي الزيدون أفضل رجال ، الزيدون أفضل رجال من جميع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واختيار ابن مالك </w:t>
      </w:r>
      <w:r>
        <w:rPr>
          <w:rStyle w:val="FootnoteAnchor"/>
          <w:rtl w:val="true"/>
        </w:rPr>
        <w:footnoteReference w:id="1758"/>
      </w:r>
      <w:r>
        <w:rPr>
          <w:rFonts w:ascii="Amiri" w:hAnsi="Amiri" w:eastAsia="Amiri" w:cs="Amiri"/>
          <w:color w:val="111111"/>
          <w:sz w:val="28"/>
          <w:sz w:val="28"/>
          <w:szCs w:val="28"/>
          <w:rtl w:val="true"/>
          <w:lang w:bidi="ar-SA"/>
        </w:rPr>
        <w:t xml:space="preserve">أنّ المفضّل عليه مذكور ، وهو النكرة المضاف أفعل إليها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أفضل من كلّ رجل قيس فضله بفضله ، فحذفت من وكلّ وأضيف أفعل إلى ما كان مضافا إليه كل </w:t>
      </w:r>
      <w:r>
        <w:rPr>
          <w:rStyle w:val="FootnoteAnchor"/>
          <w:rtl w:val="true"/>
        </w:rPr>
        <w:footnoteReference w:id="1759"/>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إضافة أفعل التفضيل عند الأكثرين لا تفيد تعريفا في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القوم ، وهو اختيار أبي على الفارسي بل هي إضافة لفظيّة في تقدير الانفصال ،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تفيد التعريف كسائر المضافات إلى المعارف ، وهو اختيار البصريين فتكون إضافة معنويّة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أضيف والتقدير فيه معنى اللّام فهو معرفة ، وما أضيف والتقدير فيه معنى من فهو نكرة وهو مذهب الكوفيين </w:t>
      </w:r>
      <w:r>
        <w:rPr>
          <w:rStyle w:val="FootnoteAnchor"/>
          <w:rtl w:val="true"/>
        </w:rPr>
        <w:footnoteReference w:id="1760"/>
      </w:r>
      <w:r>
        <w:rPr>
          <w:rFonts w:ascii="Amiri" w:hAnsi="Amiri" w:eastAsia="Amiri" w:cs="Amiri"/>
          <w:color w:val="111111"/>
          <w:sz w:val="28"/>
          <w:sz w:val="28"/>
          <w:szCs w:val="28"/>
          <w:rtl w:val="true"/>
          <w:lang w:bidi="ar-SA"/>
        </w:rPr>
        <w:t xml:space="preserve">والحقّ أنه إن أضيف إلى معموله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رجلا أحسن الكحل في عينه من عين زيد ، فهي إضافة لفظيّة لا تفيد التعريف ، وإن لم يضف إلى معموله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أفضل القوم ، فهي إضافة معنويّة تفيد التعريف لأنّه من باب إضافة الصفة إلى غير معمولها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مصارع مصر</w:t>
      </w:r>
      <w:r>
        <w:rPr>
          <w:rFonts w:eastAsia="Amiri" w:cs="Amiri" w:ascii="Amiri" w:hAnsi="Amiri"/>
          <w:color w:val="111111"/>
          <w:sz w:val="28"/>
          <w:szCs w:val="28"/>
          <w:rtl w:val="true"/>
          <w:lang w:bidi="ar-SA"/>
        </w:rPr>
        <w:t xml:space="preserve">. </w:t>
      </w:r>
      <w:bookmarkStart w:id="598" w:name="pg14482_156315"/>
    </w:p>
    <w:p>
      <w:pPr>
        <w:pStyle w:val="Heading6"/>
        <w:numPr>
          <w:ilvl w:val="5"/>
          <w:numId w:val="1"/>
        </w:numPr>
        <w:rPr/>
      </w:pPr>
      <w:bookmarkStart w:id="599" w:name="__RefHeading___Toc716958_996550957"/>
      <w:bookmarkStart w:id="600" w:name="_Toc220"/>
      <w:bookmarkEnd w:id="598"/>
      <w:bookmarkEnd w:id="599"/>
      <w:r>
        <w:rPr>
          <w:rtl w:val="true"/>
        </w:rPr>
        <w:t>ذكر أفعل المستعمل بمن</w:t>
      </w:r>
      <w:bookmarkEnd w:id="600"/>
    </w:p>
    <w:p>
      <w:pPr>
        <w:pStyle w:val="BookText"/>
        <w:rPr/>
      </w:pPr>
      <w:r>
        <w:rPr>
          <w:rStyle w:val="FootnoteAnchor"/>
          <w:rtl w:val="true"/>
        </w:rPr>
        <w:footnoteReference w:id="17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المستعمل بمن مفرد مذكّر لا غير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الزيدان والزيدون والهندات أفضل من عمرو ، لأنه أشبه فعل التعجب لفظا ومعنى ، ولذلك لا يصاغ إلّا مما يصاغ منه فعل التعجب ، والفعل لا يثنّى ولا يجمع فكذلك ما أشبهه ، ويلزمه التنكير أيضا ، فلا يقبل التعريف كما لا يقبله الفعل ، وأمّا كونه مذكّرا فلشبه الفعل أيضا </w:t>
      </w:r>
      <w:r>
        <w:rPr>
          <w:rStyle w:val="FootnoteAnchor"/>
          <w:rtl w:val="true"/>
        </w:rPr>
        <w:footnoteReference w:id="176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01" w:name="__RefHeading___Toc716960_996550957"/>
      <w:bookmarkStart w:id="602" w:name="_Toc221"/>
      <w:bookmarkEnd w:id="601"/>
      <w:r>
        <w:rPr>
          <w:rtl w:val="true"/>
        </w:rPr>
        <w:t>ذكر عمل أفعل التفضيل</w:t>
      </w:r>
      <w:bookmarkEnd w:id="602"/>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7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اسم التفضيل لمّا كان أضعف شبها باسم الفاعل من الصفة المشبّهة من قبيل أنّ الصفة المشبّهة جرت مجراه في التذكير والتأنيث والتثنية والجمع ، ولم يجر اسم التفضيل إذا صحبته من وهو أقوى أحواله هذا المجرى ، انحطّت رتبة اسم التفضيل عن رتبة الصفة المشبّهة كانحطاطها عن رتبة اسم الفاعل ، لأنّه يجوز في اسم الفاعل أن يتقدّم معموله عليه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عمرا ضارب بنصب عمرو ، ولم يجز في الصفة المشبّهة أن يتقدّم معمولها عليها ، فلو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الوجه حسن ، لم يجز ، فلما انحطت رتبة اسم التفضيل عن الصفة المشبّهة لم يستوف عملها فلم يرفع الظاهر إلّا بشروط </w:t>
      </w:r>
      <w:r>
        <w:rPr>
          <w:rStyle w:val="FootnoteAnchor"/>
          <w:rtl w:val="true"/>
        </w:rPr>
        <w:footnoteReference w:id="1764"/>
      </w:r>
      <w:r>
        <w:rPr>
          <w:rFonts w:ascii="Amiri" w:hAnsi="Amiri" w:eastAsia="Amiri" w:cs="Amiri"/>
          <w:color w:val="111111"/>
          <w:sz w:val="28"/>
          <w:sz w:val="28"/>
          <w:szCs w:val="28"/>
          <w:rtl w:val="true"/>
          <w:lang w:bidi="ar-SA"/>
        </w:rPr>
        <w:t xml:space="preserve">ستذكر ، ولكن نصب النكرة على التمييز وارتفع به المضمر ، فمثال انتصاب النكرة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أفضل منك أبا </w:t>
      </w:r>
      <w:r>
        <w:rPr>
          <w:rStyle w:val="FootnoteAnchor"/>
          <w:rtl w:val="true"/>
        </w:rPr>
        <w:footnoteReference w:id="1765"/>
      </w:r>
      <w:r>
        <w:rPr>
          <w:rFonts w:ascii="Amiri" w:hAnsi="Amiri" w:eastAsia="Amiri" w:cs="Amiri"/>
          <w:color w:val="111111"/>
          <w:sz w:val="28"/>
          <w:sz w:val="28"/>
          <w:szCs w:val="28"/>
          <w:rtl w:val="true"/>
          <w:lang w:bidi="ar-SA"/>
        </w:rPr>
        <w:t xml:space="preserve">ومثال ارتفاع المضمر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أفضل منك ، فزيد مبتدأ ، وأفضل منك خبره ، وفي أفضل ضمير فاعل عائد على زيد ، وأمّا الظاهر بغير الشروط التي ستذكر فلا يرتفع به ، فلا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أفضل منك أبوه ، كما جاز في الصفة المشبّهة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حسن وجهه ، لأنّ أفضل منك أبوه ليس بمعنى الفعل ، كالصفة المشبّهة ، والقاعدة في عمل </w:t>
      </w:r>
      <w:r>
        <w:rPr>
          <w:rStyle w:val="FootnoteAnchor"/>
          <w:rtl w:val="true"/>
        </w:rPr>
        <w:footnoteReference w:id="1766"/>
      </w:r>
      <w:r>
        <w:rPr>
          <w:rFonts w:ascii="IRNazanin" w:hAnsi="IRNazanin" w:eastAsia="IRNazanin"/>
          <w:color w:val="111111"/>
          <w:sz w:val="28"/>
          <w:sz w:val="28"/>
          <w:szCs w:val="28"/>
          <w:rtl w:val="true"/>
          <w:lang w:bidi="fa-IR"/>
        </w:rPr>
        <w:t xml:space="preserve">الصفات ، أنّها لا تعمل إلّا إذا </w:t>
      </w:r>
      <w:r>
        <w:rPr>
          <w:rStyle w:val="FootnoteAnchor"/>
          <w:rtl w:val="true"/>
        </w:rPr>
        <w:footnoteReference w:id="1767"/>
      </w:r>
      <w:r>
        <w:rPr>
          <w:rFonts w:ascii="Amiri" w:hAnsi="Amiri" w:eastAsia="Amiri" w:cs="Amiri"/>
          <w:color w:val="111111"/>
          <w:sz w:val="28"/>
          <w:sz w:val="28"/>
          <w:szCs w:val="28"/>
          <w:rtl w:val="true"/>
          <w:lang w:bidi="ar-SA"/>
        </w:rPr>
        <w:t xml:space="preserve">كانت </w:t>
      </w:r>
    </w:p>
    <w:p>
      <w:pPr>
        <w:pStyle w:val="BookText"/>
        <w:rPr/>
      </w:pPr>
      <w:r>
        <w:rPr>
          <w:rFonts w:ascii="Amiri" w:hAnsi="Amiri" w:eastAsia="Amiri" w:cs="Amiri"/>
          <w:color w:val="111111"/>
          <w:sz w:val="28"/>
          <w:sz w:val="28"/>
          <w:szCs w:val="28"/>
          <w:rtl w:val="true"/>
          <w:lang w:bidi="ar-SA"/>
        </w:rPr>
        <w:t xml:space="preserve">بمعنى الفعل ، فأبوه حينئذ في المثال المذكور لا يجوز رفعه على الفاعليّة بدون الشروط التي ستذكر ، فقد ظهر أنّ اسم التفضيل إنّما يرفع المضمر وينصب النكرة من غير شرط ولكن يرفع الظاهر بشروط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يكون أفعل التفضيل صفة لشيء لفظا وهو في المعنى لمتعلّق ذلك الشيء ، بشرط أن يكون ذلك المتعلّق مفضّلا على نفسه باعتبار ذلك الشيء ، الذي هو الموصوف مفضّلا باعتبار غيره في حال يكون الأفعل منفيّا </w:t>
      </w:r>
      <w:r>
        <w:rPr>
          <w:rStyle w:val="FootnoteAnchor"/>
          <w:rtl w:val="true"/>
        </w:rPr>
        <w:footnoteReference w:id="17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رجلا أحسن في عينه الكحل منه في عين زيد ، فإنّ أفعل التفضيل في المثال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وقع منفيّا وهو صفة لشيء لفظا الذي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المعنى لمتعلّق الرجل الذي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والمتعلّق المذكور مفضّل على نفسه باعتبار الأول الذي هو الموصوف ؛ أعني الرجل ، ومفضّل أيضا باعتبار غيره الذي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وإنّما رفع الظاهر بالشروط المذكورة لإمكان تقدير أفعل بمعنى الفعل الذي هو حسن ، فيصير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رجلا حسن في عينه الكحل حسنه في عين زيد ، بخلاف ما إذا فقد أحد الشروط المذكورة ، فإنّ تقدير فعل بمعناه حينئذ يمتنع ، وإنّما تعيّن رفع الكحل بأفعل لا بالابتداء ، لأنّه لو رفع الكحل على الابتداء ، لوجب أن يكون أحسن خبرا مقدّما عليه وهو غير جائز للفصل بين أحسن وبين معموله الذي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بأجنبي وهو الكحل الذي هو المبتدأ ، وإذا تعذّر رفع الكحل على الابتداء ، تعيّن رفعه على أنه فاعل أحسن ، ولك في هذه المسألة أن تنكّر فاعل أفعل ، فتنكر الكحل ، ولك فيها عبارة أخرى أخصر من الأولى فتحذف الضمير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رجلا أحسن في عينه الكحل من عين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 فيها عبارة أخرى ؛ وهي أن تقدّم ذكر العين على اسم التفضيل من غير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معها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كعين زيد أحسن فيها الكحل </w:t>
      </w:r>
      <w:r>
        <w:rPr>
          <w:rStyle w:val="FootnoteAnchor"/>
          <w:rtl w:val="true"/>
        </w:rPr>
        <w:footnoteReference w:id="1769"/>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أنّه لا تستعمل فعلى تأنيث أفعل التفضيل إلّا مضافة أو معرّفة باللّام ، </w:t>
      </w:r>
      <w:bookmarkStart w:id="603" w:name="pg14482_156317"/>
    </w:p>
    <w:p>
      <w:pPr>
        <w:pStyle w:val="BookText"/>
        <w:rPr/>
      </w:pPr>
      <w:bookmarkEnd w:id="603"/>
      <w:r>
        <w:rPr>
          <w:rFonts w:ascii="Amiri" w:hAnsi="Amiri" w:eastAsia="Amiri" w:cs="Amiri"/>
          <w:color w:val="111111"/>
          <w:sz w:val="28"/>
          <w:sz w:val="28"/>
          <w:szCs w:val="28"/>
          <w:rtl w:val="true"/>
          <w:lang w:bidi="ar-SA"/>
        </w:rPr>
        <w:t xml:space="preserve">ومن ثمّ خظّىء أبو نواس في قوله </w:t>
      </w:r>
      <w:r>
        <w:rPr>
          <w:rFonts w:eastAsia="Amiri" w:cs="Amiri" w:ascii="Amiri" w:hAnsi="Amiri"/>
          <w:color w:val="111111"/>
          <w:sz w:val="28"/>
          <w:szCs w:val="28"/>
          <w:rtl w:val="true"/>
          <w:lang w:bidi="ar-SA"/>
        </w:rPr>
        <w:t xml:space="preserve">: </w:t>
      </w:r>
      <w:r>
        <w:rPr>
          <w:rStyle w:val="FootnoteAnchor"/>
          <w:rtl w:val="true"/>
        </w:rPr>
        <w:footnoteReference w:id="1770"/>
      </w:r>
    </w:p>
    <w:p>
      <w:pPr>
        <w:pStyle w:val="BookText"/>
        <w:rPr/>
      </w:pPr>
      <w:r>
        <w:rPr>
          <w:rFonts w:ascii="Amiri" w:hAnsi="Amiri" w:eastAsia="Amiri" w:cs="Amiri"/>
          <w:color w:val="111111"/>
          <w:sz w:val="28"/>
          <w:sz w:val="28"/>
          <w:szCs w:val="28"/>
          <w:rtl w:val="true"/>
          <w:lang w:bidi="ar-SA"/>
        </w:rPr>
        <w:t>كأنّ صغرى وكبرى من فواقعها</w:t>
      </w:r>
    </w:p>
    <w:p>
      <w:pPr>
        <w:pStyle w:val="BookText"/>
        <w:rPr/>
      </w:pPr>
      <w:r>
        <w:rPr>
          <w:rFonts w:ascii="IRNazanin" w:hAnsi="IRNazanin" w:eastAsia="IRNazanin"/>
          <w:color w:val="111111"/>
          <w:sz w:val="28"/>
          <w:sz w:val="28"/>
          <w:szCs w:val="28"/>
          <w:rtl w:val="true"/>
          <w:lang w:bidi="fa-IR"/>
        </w:rPr>
        <w:t>حصباء درّ على أرض من الذّهب</w:t>
      </w:r>
    </w:p>
    <w:p>
      <w:pPr>
        <w:pStyle w:val="BookText"/>
        <w:rPr/>
      </w:pPr>
      <w:r>
        <w:rPr>
          <w:rFonts w:ascii="Amiri" w:hAnsi="Amiri" w:eastAsia="Amiri" w:cs="Amiri"/>
          <w:color w:val="111111"/>
          <w:sz w:val="28"/>
          <w:sz w:val="28"/>
          <w:szCs w:val="28"/>
          <w:rtl w:val="true"/>
          <w:lang w:bidi="ar-SA"/>
        </w:rPr>
        <w:t>وأما استعمالهم دنيا وجلّى ونحوهما بدون ذلك فمؤوّل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دنيا وهي تأنيث الأدنى ، فإنّها غلبت عليها الاسميّة بعد أن كانت صفة وصارت اسما لهذه الحياة الأولى ، وأمّا جلّى فكانت صفة تأنيث الأجل ، ثم غلبت عليها الإسميّة فجرّدت عن الألف واللام وصارت اسما للحرب </w:t>
      </w:r>
      <w:r>
        <w:rPr>
          <w:rStyle w:val="FootnoteAnchor"/>
          <w:rtl w:val="true"/>
        </w:rPr>
        <w:footnoteReference w:id="17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 xml:space="preserve">: </w:t>
      </w:r>
      <w:r>
        <w:rPr>
          <w:rStyle w:val="FootnoteAnchor"/>
          <w:rtl w:val="true"/>
        </w:rPr>
        <w:footnoteReference w:id="1772"/>
      </w:r>
    </w:p>
    <w:p>
      <w:pPr>
        <w:pStyle w:val="BookText"/>
        <w:rPr/>
      </w:pPr>
      <w:r>
        <w:rPr>
          <w:rFonts w:ascii="Amiri" w:hAnsi="Amiri" w:eastAsia="Amiri" w:cs="Amiri"/>
          <w:color w:val="111111"/>
          <w:sz w:val="28"/>
          <w:sz w:val="28"/>
          <w:szCs w:val="28"/>
          <w:rtl w:val="true"/>
          <w:lang w:bidi="ar-SA"/>
        </w:rPr>
        <w:t>وإن دعوت إلى جلّى ومكرمة</w:t>
      </w:r>
    </w:p>
    <w:p>
      <w:pPr>
        <w:pStyle w:val="BookText"/>
        <w:rPr/>
      </w:pPr>
      <w:r>
        <w:rPr>
          <w:rFonts w:ascii="Amiri" w:hAnsi="Amiri" w:eastAsia="Amiri" w:cs="Amiri"/>
          <w:color w:val="111111"/>
          <w:sz w:val="28"/>
          <w:sz w:val="28"/>
          <w:szCs w:val="28"/>
          <w:rtl w:val="true"/>
          <w:lang w:bidi="ar-SA"/>
        </w:rPr>
        <w:t>يوما سراة كرام النّاس فاد عينا</w:t>
      </w:r>
    </w:p>
    <w:p>
      <w:pPr>
        <w:pStyle w:val="Heading5"/>
        <w:numPr>
          <w:ilvl w:val="4"/>
          <w:numId w:val="1"/>
        </w:numPr>
        <w:rPr/>
      </w:pPr>
      <w:bookmarkStart w:id="604" w:name="__RefHeading___Toc716962_996550957"/>
      <w:bookmarkStart w:id="605" w:name="_Toc222"/>
      <w:bookmarkEnd w:id="604"/>
      <w:r>
        <w:rPr/>
        <w:t>7</w:t>
      </w:r>
      <w:r>
        <w:rPr>
          <w:rtl w:val="true"/>
        </w:rPr>
        <w:t xml:space="preserve">- </w:t>
      </w:r>
      <w:r>
        <w:rPr>
          <w:rtl w:val="true"/>
        </w:rPr>
        <w:t>ذكر اسم الزمان والمكان</w:t>
      </w:r>
      <w:bookmarkEnd w:id="605"/>
    </w:p>
    <w:p>
      <w:pPr>
        <w:pStyle w:val="Heading6"/>
        <w:numPr>
          <w:ilvl w:val="5"/>
          <w:numId w:val="1"/>
        </w:numPr>
        <w:rPr/>
      </w:pPr>
      <w:bookmarkStart w:id="606" w:name="__RefHeading___Toc716964_996550957"/>
      <w:bookmarkStart w:id="607" w:name="_Toc223"/>
      <w:bookmarkEnd w:id="606"/>
      <w:r>
        <w:rPr>
          <w:rtl w:val="true"/>
        </w:rPr>
        <w:t>اشارة</w:t>
      </w:r>
      <w:bookmarkEnd w:id="607"/>
    </w:p>
    <w:p>
      <w:pPr>
        <w:pStyle w:val="BookText"/>
        <w:rPr/>
      </w:pPr>
      <w:r>
        <w:rPr>
          <w:rStyle w:val="FootnoteAnchor"/>
          <w:rtl w:val="true"/>
        </w:rPr>
        <w:footnoteReference w:id="17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باسم الزمان والمكان الاسم المشتقّ لزمان الفعل أو مكانه والغرض من الإتيان بذلك ضرب من الإيجاز والاختصار ، فإنه لولاهما للزم الإتيان بلفظ الفعل ولفظ الزمان والمكان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الزمان أو هذا المكان الذي قتل فيه زيد </w:t>
      </w:r>
      <w:r>
        <w:rPr>
          <w:rStyle w:val="FootnoteAnchor"/>
          <w:rtl w:val="true"/>
        </w:rPr>
        <w:footnoteReference w:id="1774"/>
      </w:r>
      <w:r>
        <w:rPr>
          <w:rFonts w:ascii="Amiri" w:hAnsi="Amiri" w:eastAsia="Amiri" w:cs="Amiri"/>
          <w:color w:val="111111"/>
          <w:sz w:val="28"/>
          <w:sz w:val="28"/>
          <w:szCs w:val="28"/>
          <w:rtl w:val="true"/>
          <w:lang w:bidi="ar-SA"/>
        </w:rPr>
        <w:t xml:space="preserve">فاشتقّ اسم الزمان أو المكان على مثال الفعل المضارع ، وأوقعوا ميما موقع حرف المضارعة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مقتل زيد</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وكيفية بنائه على مثال المضارع أن ينظر إلى حركة عين الفعل المضارع فإن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مضمومة أو مفتوحة ، فتحت عين مفعل ، وإن كانت مكسورة كسرت </w:t>
      </w:r>
      <w:r>
        <w:rPr>
          <w:rStyle w:val="FootnoteAnchor"/>
          <w:rtl w:val="true"/>
        </w:rPr>
        <w:footnoteReference w:id="1775"/>
      </w:r>
      <w:r>
        <w:rPr>
          <w:rFonts w:ascii="Amiri" w:hAnsi="Amiri" w:eastAsia="Amiri" w:cs="Amiri"/>
          <w:color w:val="111111"/>
          <w:sz w:val="28"/>
          <w:sz w:val="28"/>
          <w:szCs w:val="28"/>
          <w:rtl w:val="true"/>
          <w:lang w:bidi="ar-SA"/>
        </w:rPr>
        <w:t xml:space="preserve">مثاله مما عين مضارعه مضمومة ، مصدر ومقتل ومدخل ومقعد ومقام ونحو ذلك ، ومقام أصله مقوم على وزن مفعل ، فقلبت واوه ألفا ، لأنه لمّا وقع حرف العلّة منه في الموضع الذي أعلّ من الفعل ، أعلّ كما أعلّ في فعله ، ومثاله مما عين مضارعه مفتوحة ، مشرب وملبس ومذهب ، واستثني أحد عشر اسما مما عين فعله المضارع مضمومة ، جاء مفعل منها مكسور العين وكان قياسه الفتح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المنسك </w:t>
      </w:r>
      <w:r>
        <w:rPr>
          <w:rStyle w:val="FootnoteAnchor"/>
          <w:rtl w:val="true"/>
        </w:rPr>
        <w:footnoteReference w:id="1776"/>
      </w:r>
      <w:r>
        <w:rPr>
          <w:rFonts w:ascii="Amiri" w:hAnsi="Amiri" w:eastAsia="Amiri" w:cs="Amiri"/>
          <w:color w:val="111111"/>
          <w:sz w:val="28"/>
          <w:sz w:val="28"/>
          <w:szCs w:val="28"/>
          <w:rtl w:val="true"/>
          <w:lang w:bidi="ar-SA"/>
        </w:rPr>
        <w:t xml:space="preserve">، والمجزر وهو الموضع الذي ينحر فيه الجزور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جزر الجزور يجزرها بالضم </w:t>
      </w:r>
      <w:r>
        <w:rPr>
          <w:rStyle w:val="FootnoteAnchor"/>
          <w:rtl w:val="true"/>
        </w:rPr>
        <w:footnoteReference w:id="1777"/>
      </w:r>
      <w:r>
        <w:rPr>
          <w:rFonts w:ascii="Amiri" w:hAnsi="Amiri" w:eastAsia="Amiri" w:cs="Amiri"/>
          <w:color w:val="111111"/>
          <w:sz w:val="28"/>
          <w:sz w:val="28"/>
          <w:szCs w:val="28"/>
          <w:rtl w:val="true"/>
          <w:lang w:bidi="ar-SA"/>
        </w:rPr>
        <w:t xml:space="preserve">والمنبت وهو موضع النّبات وهو من ينبت بالضم </w:t>
      </w:r>
      <w:r>
        <w:rPr>
          <w:rStyle w:val="FootnoteAnchor"/>
          <w:rtl w:val="true"/>
        </w:rPr>
        <w:footnoteReference w:id="1778"/>
      </w:r>
      <w:r>
        <w:rPr>
          <w:rFonts w:ascii="IRNazanin" w:hAnsi="IRNazanin" w:eastAsia="IRNazanin"/>
          <w:color w:val="111111"/>
          <w:sz w:val="28"/>
          <w:sz w:val="28"/>
          <w:szCs w:val="28"/>
          <w:rtl w:val="true"/>
          <w:lang w:bidi="fa-IR"/>
        </w:rPr>
        <w:t xml:space="preserve">، والمطلع موضع الطلوع </w:t>
      </w:r>
      <w:r>
        <w:rPr>
          <w:rStyle w:val="FootnoteAnchor"/>
          <w:rtl w:val="true"/>
        </w:rPr>
        <w:footnoteReference w:id="1779"/>
      </w:r>
      <w:r>
        <w:rPr>
          <w:rFonts w:ascii="Amiri" w:hAnsi="Amiri" w:eastAsia="Amiri" w:cs="Amiri"/>
          <w:color w:val="111111"/>
          <w:sz w:val="28"/>
          <w:sz w:val="28"/>
          <w:szCs w:val="28"/>
          <w:rtl w:val="true"/>
          <w:lang w:bidi="ar-SA"/>
        </w:rPr>
        <w:t xml:space="preserve">، والمشرق والمغرب لموضع الشروق والغروب ، وهما من فعل يفعل بالضم </w:t>
      </w:r>
      <w:r>
        <w:rPr>
          <w:rStyle w:val="FootnoteAnchor"/>
          <w:rtl w:val="true"/>
        </w:rPr>
        <w:footnoteReference w:id="1780"/>
      </w:r>
      <w:r>
        <w:rPr>
          <w:rFonts w:ascii="Amiri" w:hAnsi="Amiri" w:eastAsia="Amiri" w:cs="Amiri"/>
          <w:color w:val="111111"/>
          <w:sz w:val="28"/>
          <w:sz w:val="28"/>
          <w:szCs w:val="28"/>
          <w:rtl w:val="true"/>
          <w:lang w:bidi="ar-SA"/>
        </w:rPr>
        <w:t xml:space="preserve">، والمفرق اسم للموضع الذي يفرق فيه الشعر من وسط الرأس ، وهو من يفرق بالضم </w:t>
      </w:r>
      <w:r>
        <w:rPr>
          <w:rStyle w:val="FootnoteAnchor"/>
          <w:rtl w:val="true"/>
        </w:rPr>
        <w:footnoteReference w:id="1781"/>
      </w:r>
      <w:r>
        <w:rPr>
          <w:rFonts w:ascii="IRNazanin" w:hAnsi="IRNazanin" w:eastAsia="IRNazanin"/>
          <w:color w:val="111111"/>
          <w:sz w:val="28"/>
          <w:sz w:val="28"/>
          <w:szCs w:val="28"/>
          <w:rtl w:val="true"/>
          <w:lang w:bidi="fa-IR"/>
        </w:rPr>
        <w:t xml:space="preserve">، والمسقط ، موضع السقوط </w:t>
      </w:r>
      <w:r>
        <w:rPr>
          <w:rStyle w:val="FootnoteAnchor"/>
          <w:rtl w:val="true"/>
        </w:rPr>
        <w:footnoteReference w:id="1782"/>
      </w:r>
      <w:r>
        <w:rPr>
          <w:rFonts w:ascii="Amiri" w:hAnsi="Amiri" w:eastAsia="Amiri" w:cs="Amiri"/>
          <w:color w:val="111111"/>
          <w:sz w:val="28"/>
          <w:sz w:val="28"/>
          <w:szCs w:val="28"/>
          <w:rtl w:val="true"/>
          <w:lang w:bidi="ar-SA"/>
        </w:rPr>
        <w:t xml:space="preserve">، ومنه مسقط الرأس ، موضع الولادة ، والمسكن </w:t>
      </w:r>
      <w:r>
        <w:rPr>
          <w:rStyle w:val="FootnoteAnchor"/>
          <w:rtl w:val="true"/>
        </w:rPr>
        <w:footnoteReference w:id="1783"/>
      </w:r>
      <w:r>
        <w:rPr>
          <w:rFonts w:ascii="Amiri" w:hAnsi="Amiri" w:eastAsia="Amiri" w:cs="Amiri"/>
          <w:color w:val="111111"/>
          <w:sz w:val="28"/>
          <w:sz w:val="28"/>
          <w:szCs w:val="28"/>
          <w:rtl w:val="true"/>
          <w:lang w:bidi="ar-SA"/>
        </w:rPr>
        <w:t xml:space="preserve">، موضع السكنى ، والمرفق موضع الرفق ، ومنه مرفق اليد وهو موضع الاتصال بالعضد </w:t>
      </w:r>
      <w:r>
        <w:rPr>
          <w:rStyle w:val="FootnoteAnchor"/>
          <w:rtl w:val="true"/>
        </w:rPr>
        <w:footnoteReference w:id="1784"/>
      </w:r>
      <w:r>
        <w:rPr>
          <w:rFonts w:ascii="Amiri" w:hAnsi="Amiri" w:eastAsia="Amiri" w:cs="Amiri"/>
          <w:color w:val="111111"/>
          <w:sz w:val="28"/>
          <w:sz w:val="28"/>
          <w:szCs w:val="28"/>
          <w:rtl w:val="true"/>
          <w:lang w:bidi="ar-SA"/>
        </w:rPr>
        <w:t xml:space="preserve">والمسجد وهو البيت ، فأمّا المصدر ومكان السجود فهو مسجد </w:t>
      </w:r>
      <w:bookmarkStart w:id="608" w:name="pg14482_156319"/>
    </w:p>
    <w:p>
      <w:pPr>
        <w:pStyle w:val="BookText"/>
        <w:rPr/>
      </w:pPr>
      <w:bookmarkEnd w:id="608"/>
      <w:r>
        <w:rPr>
          <w:rFonts w:ascii="Amiri" w:hAnsi="Amiri" w:eastAsia="Amiri" w:cs="Amiri"/>
          <w:color w:val="111111"/>
          <w:sz w:val="28"/>
          <w:sz w:val="28"/>
          <w:szCs w:val="28"/>
          <w:rtl w:val="true"/>
          <w:lang w:bidi="ar-SA"/>
        </w:rPr>
        <w:t xml:space="preserve">بالفتح ، وروي عن بعض العرب مسكن ومطلع بالفتح ، وينبغي أن يزاد المنخر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موضع النخير من نخر ينخر </w:t>
      </w:r>
      <w:r>
        <w:rPr>
          <w:rStyle w:val="FootnoteAnchor"/>
          <w:rtl w:val="true"/>
        </w:rPr>
        <w:footnoteReference w:id="1785"/>
      </w:r>
    </w:p>
    <w:p>
      <w:pPr>
        <w:pStyle w:val="BookText"/>
        <w:rPr/>
      </w:pPr>
      <w:r>
        <w:rPr>
          <w:rFonts w:ascii="Amiri" w:hAnsi="Amiri" w:eastAsia="Amiri" w:cs="Amiri"/>
          <w:color w:val="111111"/>
          <w:sz w:val="28"/>
          <w:sz w:val="28"/>
          <w:szCs w:val="28"/>
          <w:rtl w:val="true"/>
          <w:lang w:bidi="ar-SA"/>
        </w:rPr>
        <w:t>المصباح المنير نخر ، وانظر الصحاح ، واللسان ، نخر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فتكون الأسماء الشاذة اثني عشر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قال في الصحاح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والفتح في كله جائز وإن لم يسمع 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وكان القياس يقتضي أن يجىء المفعل من مضموم العين بضمّ العين ليكون على مثال مضارعه ، ولكن عدلوا عنه إلى مفتوح العين لأنّه ليس في كلامهم مفعل بالضم إلّا أن تلحقه هاء التأنيث كالمقبرة كما سيأتي ، وأمّا مفعل بكسر العين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من الذي عين مضارعه مكسورة فنحو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لأنّ مضارعه يجلس ، وكذلك المحبس والمصيف ومضرب الناقة ومنتجها ، فالفعل منه مكسور العين ، إن كان للموضع أو للزمان ، وأمّا إن كان مصدرا فمفتوح العين للفرق بين المصدر والاسم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منزلا بفتح الزاي أي نزل نزولا ، وهذا منزله بكسر الزاي إذا أردت الدار ، ولم يفرّق بينهما في غير المكسور العين ، لأنّ المفتوح العين ومضمومها يأتي المفعل منهما بفتح العين سواء كان اسما أو مصدرا</w:t>
      </w:r>
      <w:r>
        <w:rPr>
          <w:rFonts w:eastAsia="Amiri" w:cs="Amiri" w:ascii="Amiri" w:hAnsi="Amiri"/>
          <w:color w:val="111111"/>
          <w:sz w:val="28"/>
          <w:szCs w:val="28"/>
          <w:rtl w:val="true"/>
          <w:lang w:bidi="ar-SA"/>
        </w:rPr>
        <w:t>.</w:t>
      </w:r>
    </w:p>
    <w:p>
      <w:pPr>
        <w:pStyle w:val="Heading6"/>
        <w:numPr>
          <w:ilvl w:val="5"/>
          <w:numId w:val="1"/>
        </w:numPr>
        <w:rPr/>
      </w:pPr>
      <w:bookmarkStart w:id="609" w:name="__RefHeading___Toc716966_996550957"/>
      <w:bookmarkStart w:id="610" w:name="_Toc224"/>
      <w:bookmarkEnd w:id="609"/>
      <w:r>
        <w:rPr>
          <w:rtl w:val="true"/>
        </w:rPr>
        <w:t>ذكر مفعل من معتلّ الفاء</w:t>
      </w:r>
      <w:bookmarkEnd w:id="610"/>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7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يأتي مكسور العين أبدا سواء كان عين فعله المضارع مكسورة أو مفتوحة ، أما الذي عين مضارعه مكسورة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موعد من يعد ، ومورد من يرد ، وكان الأصل يوعد ويورد ، فسقطت الواو لوقوعها بين ياء وكسرة ، وقد جرى اسم الزمان والمكان أعني المفعل في ذلك على القياس </w:t>
      </w:r>
      <w:r>
        <w:rPr>
          <w:rStyle w:val="FootnoteAnchor"/>
          <w:rtl w:val="true"/>
        </w:rPr>
        <w:footnoteReference w:id="1787"/>
      </w:r>
      <w:r>
        <w:rPr>
          <w:rFonts w:ascii="Amiri" w:hAnsi="Amiri" w:eastAsia="Amiri" w:cs="Amiri"/>
          <w:color w:val="111111"/>
          <w:sz w:val="28"/>
          <w:sz w:val="28"/>
          <w:szCs w:val="28"/>
          <w:rtl w:val="true"/>
          <w:lang w:bidi="ar-SA"/>
        </w:rPr>
        <w:t xml:space="preserve">وأمّا الذي عين مضارعه مفتوحة </w:t>
      </w:r>
      <w:bookmarkStart w:id="611" w:name="pg14482_156320"/>
    </w:p>
    <w:p>
      <w:pPr>
        <w:pStyle w:val="BookText"/>
        <w:rPr/>
      </w:pPr>
      <w:bookmarkEnd w:id="611"/>
      <w:r>
        <w:rPr>
          <w:rFonts w:ascii="IRNazanin" w:hAnsi="IRNazanin" w:eastAsia="IRNazanin"/>
          <w:color w:val="111111"/>
          <w:sz w:val="28"/>
          <w:sz w:val="28"/>
          <w:szCs w:val="28"/>
          <w:rtl w:val="true"/>
          <w:lang w:bidi="fa-IR"/>
        </w:rPr>
        <w:t xml:space="preserve">فنحو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الموحل والموجل والموضع </w:t>
      </w:r>
      <w:r>
        <w:rPr>
          <w:rStyle w:val="FootnoteAnchor"/>
          <w:rtl w:val="true"/>
        </w:rPr>
        <w:footnoteReference w:id="1788"/>
      </w:r>
      <w:r>
        <w:rPr>
          <w:rFonts w:ascii="Amiri" w:hAnsi="Amiri" w:eastAsia="Amiri" w:cs="Amiri"/>
          <w:color w:val="111111"/>
          <w:sz w:val="28"/>
          <w:sz w:val="28"/>
          <w:szCs w:val="28"/>
          <w:rtl w:val="true"/>
          <w:lang w:bidi="ar-SA"/>
        </w:rPr>
        <w:t xml:space="preserve">فتقول من وحل يوحل بالفتح هذا موحله بالكسر </w:t>
      </w:r>
      <w:r>
        <w:rPr>
          <w:rStyle w:val="FootnoteAnchor"/>
          <w:rtl w:val="true"/>
        </w:rPr>
        <w:footnoteReference w:id="1789"/>
      </w:r>
      <w:r>
        <w:rPr>
          <w:rFonts w:ascii="Amiri" w:hAnsi="Amiri" w:eastAsia="Amiri" w:cs="Amiri"/>
          <w:color w:val="111111"/>
          <w:sz w:val="28"/>
          <w:sz w:val="28"/>
          <w:szCs w:val="28"/>
          <w:rtl w:val="true"/>
          <w:lang w:bidi="ar-SA"/>
        </w:rPr>
        <w:t xml:space="preserve">وكذلك وجل يوجل هذا موجله ، أمّا وضع يضع فكان أصله يوضع بالكسر فحذفت الواو لوقوعها بين ياء وكسرة ، ثم فتح يضع بعد حذف الواو ، فقيل هذا موضعه بالكسر ، ومن العرب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موحل وموجل بالفتح </w:t>
      </w:r>
      <w:r>
        <w:rPr>
          <w:rStyle w:val="FootnoteAnchor"/>
          <w:rtl w:val="true"/>
        </w:rPr>
        <w:footnoteReference w:id="1790"/>
      </w:r>
      <w:r>
        <w:rPr>
          <w:rFonts w:ascii="Amiri" w:hAnsi="Amiri" w:eastAsia="Amiri" w:cs="Amiri"/>
          <w:color w:val="111111"/>
          <w:sz w:val="28"/>
          <w:sz w:val="28"/>
          <w:szCs w:val="28"/>
          <w:rtl w:val="true"/>
          <w:lang w:bidi="ar-SA"/>
        </w:rPr>
        <w:t xml:space="preserve">فيجيء به على القياس ، وسمع الفرّاء موضع بالفتح </w:t>
      </w:r>
      <w:r>
        <w:rPr>
          <w:rStyle w:val="FootnoteAnchor"/>
          <w:rtl w:val="true"/>
        </w:rPr>
        <w:footnoteReference w:id="179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12" w:name="__RefHeading___Toc716968_996550957"/>
      <w:bookmarkStart w:id="613" w:name="_Toc225"/>
      <w:bookmarkEnd w:id="612"/>
      <w:r>
        <w:rPr>
          <w:rtl w:val="true"/>
        </w:rPr>
        <w:t>ذكر مفعل من معتلّ اللّام</w:t>
      </w:r>
      <w:bookmarkEnd w:id="613"/>
    </w:p>
    <w:p>
      <w:pPr>
        <w:pStyle w:val="Heading6"/>
        <w:numPr>
          <w:ilvl w:val="5"/>
          <w:numId w:val="1"/>
        </w:numPr>
        <w:rPr/>
      </w:pPr>
      <w:bookmarkStart w:id="614" w:name="__RefHeading___Toc716970_996550957"/>
      <w:bookmarkStart w:id="615" w:name="_Toc226"/>
      <w:bookmarkEnd w:id="614"/>
      <w:r>
        <w:rPr>
          <w:rtl w:val="true"/>
        </w:rPr>
        <w:t>اشارة</w:t>
      </w:r>
      <w:bookmarkEnd w:id="615"/>
    </w:p>
    <w:p>
      <w:pPr>
        <w:pStyle w:val="BookText"/>
        <w:rPr/>
      </w:pPr>
      <w:r>
        <w:rPr>
          <w:rStyle w:val="FootnoteAnchor"/>
          <w:rtl w:val="true"/>
        </w:rPr>
        <w:footnoteReference w:id="17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يأتي مفتوح العين أبدا ، وتقلب الواو والياء فيه ألفا سواء انكسرت عين فعله المضارع أو انضمّت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المرمى والمأتى والمثوى والمأوى </w:t>
      </w:r>
      <w:r>
        <w:rPr>
          <w:rStyle w:val="FootnoteAnchor"/>
          <w:rtl w:val="true"/>
        </w:rPr>
        <w:footnoteReference w:id="1793"/>
      </w:r>
      <w:r>
        <w:rPr>
          <w:rFonts w:ascii="IRNazanin" w:hAnsi="IRNazanin" w:eastAsia="IRNazanin"/>
          <w:color w:val="111111"/>
          <w:sz w:val="28"/>
          <w:sz w:val="28"/>
          <w:szCs w:val="28"/>
          <w:rtl w:val="true"/>
          <w:lang w:bidi="fa-IR"/>
        </w:rPr>
        <w:t xml:space="preserve">والمدعى والمغزى </w:t>
      </w:r>
      <w:r>
        <w:rPr>
          <w:rStyle w:val="FootnoteAnchor"/>
          <w:rtl w:val="true"/>
        </w:rPr>
        <w:footnoteReference w:id="1794"/>
      </w:r>
      <w:r>
        <w:rPr>
          <w:rFonts w:ascii="Amiri" w:hAnsi="Amiri" w:eastAsia="Amiri" w:cs="Amiri"/>
          <w:color w:val="111111"/>
          <w:sz w:val="28"/>
          <w:sz w:val="28"/>
          <w:szCs w:val="28"/>
          <w:rtl w:val="true"/>
          <w:lang w:bidi="ar-SA"/>
        </w:rPr>
        <w:t xml:space="preserve">، من يرمي ويأتي ويثوي ويأوي ويدعو ويغزو </w:t>
      </w:r>
      <w:r>
        <w:rPr>
          <w:rStyle w:val="FootnoteAnchor"/>
          <w:rtl w:val="true"/>
        </w:rPr>
        <w:footnoteReference w:id="179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16" w:name="__RefHeading___Toc716972_996550957"/>
      <w:bookmarkStart w:id="617" w:name="_Toc227"/>
      <w:bookmarkEnd w:id="616"/>
      <w:r>
        <w:rPr>
          <w:rtl w:val="true"/>
        </w:rPr>
        <w:t>فصل</w:t>
      </w:r>
      <w:bookmarkEnd w:id="617"/>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7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تدخل على بعض أسماء المكان تاء التأنيث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المزلّة وهو موضع الزّلل ، والمظنّة وهو الموضع الذي يظنّ كون الشيء فيه ، والمقبرة والمشرقة بفتح عين مفعلة في ذلك كله </w:t>
      </w:r>
      <w:r>
        <w:rPr>
          <w:rStyle w:val="FootnoteAnchor"/>
          <w:rtl w:val="true"/>
        </w:rPr>
        <w:footnoteReference w:id="1797"/>
      </w:r>
      <w:r>
        <w:rPr>
          <w:rFonts w:ascii="Amiri" w:hAnsi="Amiri" w:eastAsia="Amiri" w:cs="Amiri"/>
          <w:color w:val="111111"/>
          <w:sz w:val="28"/>
          <w:sz w:val="28"/>
          <w:szCs w:val="28"/>
          <w:rtl w:val="true"/>
          <w:lang w:bidi="ar-SA"/>
        </w:rPr>
        <w:t xml:space="preserve">، ودخول الهاء في ذلك للمبالغة ، وأمّا ما جاء على مفعلة بضمّ العين كالمقبرة والمشرقة ، فليست أسماء لمكان الفعل ، وإنّما هي أسماء </w:t>
      </w:r>
      <w:bookmarkStart w:id="618" w:name="pg14482_156321"/>
    </w:p>
    <w:p>
      <w:pPr>
        <w:pStyle w:val="BookText"/>
        <w:rPr/>
      </w:pPr>
      <w:bookmarkEnd w:id="618"/>
      <w:r>
        <w:rPr>
          <w:rFonts w:ascii="Amiri" w:hAnsi="Amiri" w:eastAsia="Amiri" w:cs="Amiri"/>
          <w:color w:val="111111"/>
          <w:sz w:val="28"/>
          <w:sz w:val="28"/>
          <w:szCs w:val="28"/>
          <w:rtl w:val="true"/>
          <w:lang w:bidi="ar-SA"/>
        </w:rPr>
        <w:t xml:space="preserve">للمواضع ، فإنّ مقبرة بالفتح اسم مكان الفعل ، ومقبرة بالضم اسم للبقعة التي من شأنها أن يقبر فيها ، وكذلك القول في جميع ما يأتي مضموما من هذا الباب ، وإنّما جاء مضموما ليعلم أنه لم يذهب به مذهب الفعل فجاءت صيغه مضمومة على خلاف هذا الباب ليدلّ خروج الصيغة على خروجها عنه </w:t>
      </w:r>
      <w:r>
        <w:rPr>
          <w:rStyle w:val="FootnoteAnchor"/>
          <w:rtl w:val="true"/>
        </w:rPr>
        <w:footnoteReference w:id="179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19" w:name="__RefHeading___Toc716974_996550957"/>
      <w:bookmarkStart w:id="620" w:name="_Toc228"/>
      <w:bookmarkEnd w:id="619"/>
      <w:r>
        <w:rPr>
          <w:rtl w:val="true"/>
        </w:rPr>
        <w:t>ذكر اسم الزمان والمكان من الزائد على الثلاثي</w:t>
      </w:r>
      <w:bookmarkEnd w:id="620"/>
    </w:p>
    <w:p>
      <w:pPr>
        <w:pStyle w:val="BookText"/>
        <w:rPr/>
      </w:pPr>
      <w:r>
        <w:rPr>
          <w:rStyle w:val="FootnoteAnchor"/>
          <w:rtl w:val="true"/>
        </w:rPr>
        <w:footnoteReference w:id="17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مفعل ، إذا بني من الثلاثي المزيد فيه والرباعي ، فعلى صيغة اسم المفعول لا يختلف كالمدخل والمخرج بضم الميم ، من أدخل يدخل ، وأخرج يخرج ؛ ويأتي منه المفعول والمصدر واسم الزمان والمكان بلفظ واحد لا يختلف </w:t>
      </w:r>
      <w:r>
        <w:rPr>
          <w:rStyle w:val="FootnoteAnchor"/>
          <w:rtl w:val="true"/>
        </w:rPr>
        <w:footnoteReference w:id="1800"/>
      </w:r>
      <w:r>
        <w:rPr>
          <w:rFonts w:ascii="Amiri" w:hAnsi="Amiri" w:eastAsia="Amiri" w:cs="Amiri"/>
          <w:color w:val="111111"/>
          <w:sz w:val="28"/>
          <w:sz w:val="28"/>
          <w:szCs w:val="28"/>
          <w:rtl w:val="true"/>
          <w:lang w:bidi="ar-SA"/>
        </w:rPr>
        <w:t xml:space="preserve">، لأنّ مضارع ما جاوز الثلاثة لا يختلف بخلاف مضارع الثلاثي فإنّه مختلف ، ولذلك اختلف فيه المفعل فمدخل بالضم اسم مفعول أدخل واسم مصدره إذا كان بمعنى الإدخال ، واسم مكان الفعل أو زمانه ومنه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رَبِّ أَدْخِلْنِي مُدْخَلَ صِدْقٍ وَأَخْرِجْنِي مُخْرَجَ صِدْقٍ</w:t>
      </w:r>
      <w:r>
        <w:rPr>
          <w:rFonts w:eastAsia="Amiri" w:cs="Amiri" w:ascii="Amiri" w:hAnsi="Amiri"/>
          <w:color w:val="111111"/>
          <w:sz w:val="28"/>
          <w:szCs w:val="28"/>
          <w:rtl w:val="true"/>
          <w:lang w:bidi="ar-SA"/>
        </w:rPr>
        <w:t>)</w:t>
      </w:r>
      <w:r>
        <w:rPr>
          <w:rStyle w:val="FootnoteAnchor"/>
          <w:rtl w:val="true"/>
        </w:rPr>
        <w:footnoteReference w:id="1801"/>
      </w:r>
      <w:r>
        <w:rPr>
          <w:rFonts w:ascii="Amiri" w:hAnsi="Amiri" w:eastAsia="Amiri" w:cs="Amiri"/>
          <w:color w:val="111111"/>
          <w:sz w:val="28"/>
          <w:sz w:val="28"/>
          <w:szCs w:val="28"/>
          <w:rtl w:val="true"/>
          <w:lang w:bidi="ar-SA"/>
        </w:rPr>
        <w:t xml:space="preserve">وجاء ذلك كله على زنة يخرج مضارع ما لم يسمّ فاعله ، ليكون على لفظ المفعول ، لأنّه مفعول فيه كما أنّ مفعول ما لم يسمّ فاعله مفعول به ، ومنه المضطرب موضع الاضطراب وهو الحركة ، ويجوز أن يكون مصدرا ، وكذلك المنقلب </w:t>
      </w:r>
      <w:r>
        <w:rPr>
          <w:rFonts w:eastAsia="Amiri" w:cs="Amiri" w:ascii="Amiri" w:hAnsi="Amiri"/>
          <w:color w:val="111111"/>
          <w:sz w:val="28"/>
          <w:szCs w:val="28"/>
          <w:rtl w:val="true"/>
          <w:lang w:bidi="ar-SA"/>
        </w:rPr>
        <w:t xml:space="preserve">/ </w:t>
      </w:r>
      <w:r>
        <w:rPr>
          <w:rStyle w:val="FootnoteAnchor"/>
          <w:rtl w:val="true"/>
        </w:rPr>
        <w:footnoteReference w:id="1802"/>
      </w:r>
    </w:p>
    <w:p>
      <w:pPr>
        <w:pStyle w:val="BookText"/>
        <w:rPr/>
      </w:pPr>
      <w:r>
        <w:rPr>
          <w:rFonts w:ascii="Amiri" w:hAnsi="Amiri" w:eastAsia="Amiri" w:cs="Amiri"/>
          <w:color w:val="111111"/>
          <w:sz w:val="28"/>
          <w:sz w:val="28"/>
          <w:szCs w:val="28"/>
          <w:rtl w:val="true"/>
          <w:lang w:bidi="ar-SA"/>
        </w:rPr>
        <w:t xml:space="preserve">وانظر البحر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والفتوحات الإلهية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وأدب الكاتب ،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21" w:name="__RefHeading___Toc716976_996550957"/>
      <w:bookmarkStart w:id="622" w:name="_Toc229"/>
      <w:bookmarkEnd w:id="621"/>
      <w:r>
        <w:rPr>
          <w:rtl w:val="true"/>
        </w:rPr>
        <w:t>ذكر ما جاء فيه مفعلة</w:t>
      </w:r>
      <w:bookmarkEnd w:id="622"/>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8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كثر الشيء في المكان قيل فيه مفعلة بفتح ميم مفعلة وعينها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w:t>
      </w:r>
      <w:bookmarkStart w:id="623" w:name="pg14482_156322"/>
    </w:p>
    <w:p>
      <w:pPr>
        <w:pStyle w:val="BookText"/>
        <w:rPr/>
      </w:pPr>
      <w:bookmarkEnd w:id="623"/>
      <w:r>
        <w:rPr>
          <w:rFonts w:ascii="Amiri" w:hAnsi="Amiri" w:eastAsia="Amiri" w:cs="Amiri"/>
          <w:color w:val="111111"/>
          <w:sz w:val="28"/>
          <w:sz w:val="28"/>
          <w:szCs w:val="28"/>
          <w:rtl w:val="true"/>
          <w:lang w:bidi="ar-SA"/>
        </w:rPr>
        <w:t xml:space="preserve">مسبعة ، ومأسدة ، ومذأبة </w:t>
      </w:r>
      <w:r>
        <w:rPr>
          <w:rStyle w:val="FootnoteAnchor"/>
          <w:rtl w:val="true"/>
        </w:rPr>
        <w:footnoteReference w:id="1804"/>
      </w:r>
      <w:r>
        <w:rPr>
          <w:rFonts w:ascii="Amiri" w:hAnsi="Amiri" w:eastAsia="Amiri" w:cs="Amiri"/>
          <w:color w:val="111111"/>
          <w:sz w:val="28"/>
          <w:sz w:val="28"/>
          <w:szCs w:val="28"/>
          <w:rtl w:val="true"/>
          <w:lang w:bidi="ar-SA"/>
        </w:rPr>
        <w:t xml:space="preserve">ومحياة ، للكثيرة السباع والذئاب والحيّات ، ومفعأة لكثيرة الأفاعي ، ومقثأة لكثيرة القثّاء ، ومبطخة لكثيرة البطّيخ ، وجاء مبطخة بضمّ الطاء </w:t>
      </w:r>
      <w:r>
        <w:rPr>
          <w:rStyle w:val="FootnoteAnchor"/>
          <w:rtl w:val="true"/>
        </w:rPr>
        <w:footnoteReference w:id="1805"/>
      </w:r>
      <w:r>
        <w:rPr>
          <w:rFonts w:ascii="Amiri" w:hAnsi="Amiri" w:eastAsia="Amiri" w:cs="Amiri"/>
          <w:color w:val="111111"/>
          <w:sz w:val="28"/>
          <w:sz w:val="28"/>
          <w:szCs w:val="28"/>
          <w:rtl w:val="true"/>
          <w:lang w:bidi="ar-SA"/>
        </w:rPr>
        <w:t xml:space="preserve">واعلم أنّ هذا الضرب من الأسماء الذي لزمته التاء ليس اسما لمكان الفعل </w:t>
      </w:r>
      <w:r>
        <w:rPr>
          <w:rStyle w:val="FootnoteAnchor"/>
          <w:rtl w:val="true"/>
        </w:rPr>
        <w:footnoteReference w:id="1806"/>
      </w:r>
      <w:r>
        <w:rPr>
          <w:rFonts w:ascii="Amiri" w:hAnsi="Amiri" w:eastAsia="Amiri" w:cs="Amiri"/>
          <w:color w:val="111111"/>
          <w:sz w:val="28"/>
          <w:sz w:val="28"/>
          <w:szCs w:val="28"/>
          <w:rtl w:val="true"/>
          <w:lang w:bidi="ar-SA"/>
        </w:rPr>
        <w:t xml:space="preserve">بل هو صفة للأرض التي يكثر فيها ذلك ، والأرض مؤنّثة فكانت صفتها كذلك ، ولم يأتوا بمثل ذلك فيما جاوز الثلاثة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الثعلب والضفدع استثقالا له ، لأنّهم يستغنون عن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مثعلبة مثلا بأن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كثيرة الثّعالب </w:t>
      </w:r>
      <w:r>
        <w:rPr>
          <w:rStyle w:val="FootnoteAnchor"/>
          <w:rtl w:val="true"/>
        </w:rPr>
        <w:footnoteReference w:id="1807"/>
      </w:r>
      <w:r>
        <w:rPr>
          <w:rFonts w:ascii="IRNazanin" w:hAnsi="IRNazanin" w:eastAsia="IRNazanin"/>
          <w:color w:val="111111"/>
          <w:sz w:val="28"/>
          <w:sz w:val="28"/>
          <w:szCs w:val="28"/>
          <w:rtl w:val="true"/>
          <w:lang w:bidi="fa-IR"/>
        </w:rPr>
        <w:t>،</w:t>
      </w:r>
    </w:p>
    <w:p>
      <w:pPr>
        <w:pStyle w:val="Heading5"/>
        <w:numPr>
          <w:ilvl w:val="4"/>
          <w:numId w:val="1"/>
        </w:numPr>
        <w:rPr/>
      </w:pPr>
      <w:bookmarkStart w:id="624" w:name="__RefHeading___Toc716978_996550957"/>
      <w:bookmarkStart w:id="625" w:name="_Toc230"/>
      <w:bookmarkEnd w:id="624"/>
      <w:r>
        <w:rPr/>
        <w:t>8</w:t>
      </w:r>
      <w:r>
        <w:rPr>
          <w:rtl w:val="true"/>
        </w:rPr>
        <w:t xml:space="preserve">- </w:t>
      </w:r>
      <w:r>
        <w:rPr>
          <w:rtl w:val="true"/>
        </w:rPr>
        <w:t>ذكر اسم الآلة</w:t>
      </w:r>
      <w:bookmarkEnd w:id="625"/>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8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بها ما يعالج به وينقل ، والأولى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اسم مشتقّ من فعل لما يستعان به في ذلك الفعل </w:t>
      </w:r>
      <w:r>
        <w:rPr>
          <w:rStyle w:val="FootnoteAnchor"/>
          <w:rtl w:val="true"/>
        </w:rPr>
        <w:footnoteReference w:id="1809"/>
      </w:r>
      <w:r>
        <w:rPr>
          <w:rFonts w:ascii="Amiri" w:hAnsi="Amiri" w:eastAsia="Amiri" w:cs="Amiri"/>
          <w:color w:val="111111"/>
          <w:sz w:val="28"/>
          <w:sz w:val="28"/>
          <w:szCs w:val="28"/>
          <w:rtl w:val="true"/>
          <w:lang w:bidi="ar-SA"/>
        </w:rPr>
        <w:t xml:space="preserve">ويجيء على مفعل ومفعلة ومفعال بكسر الميم كالمقصّ والمحلب والمكسحة ، والمصفاة والمقراض والمفتاح </w:t>
      </w:r>
      <w:r>
        <w:rPr>
          <w:rStyle w:val="FootnoteAnchor"/>
          <w:rtl w:val="true"/>
        </w:rPr>
        <w:footnoteReference w:id="1810"/>
      </w:r>
      <w:r>
        <w:rPr>
          <w:rFonts w:ascii="Amiri" w:hAnsi="Amiri" w:eastAsia="Amiri" w:cs="Amiri"/>
          <w:color w:val="111111"/>
          <w:sz w:val="28"/>
          <w:sz w:val="28"/>
          <w:szCs w:val="28"/>
          <w:rtl w:val="true"/>
          <w:lang w:bidi="ar-SA"/>
        </w:rPr>
        <w:t xml:space="preserve">كأنهم أرادوا الفرق بين اسم الآلة وبين ما يكون مصدرا ومكانا ، فالمقصّ بكسر الميم ما يقصّ به ، والمقصّ بالفتح المصدر والمكان </w:t>
      </w:r>
      <w:r>
        <w:rPr>
          <w:rStyle w:val="FootnoteAnchor"/>
          <w:rtl w:val="true"/>
        </w:rPr>
        <w:footnoteReference w:id="1811"/>
      </w:r>
      <w:r>
        <w:rPr>
          <w:rFonts w:ascii="Amiri" w:hAnsi="Amiri" w:eastAsia="Amiri" w:cs="Amiri"/>
          <w:color w:val="111111"/>
          <w:sz w:val="28"/>
          <w:sz w:val="28"/>
          <w:szCs w:val="28"/>
          <w:rtl w:val="true"/>
          <w:lang w:bidi="ar-SA"/>
        </w:rPr>
        <w:t xml:space="preserve">، ومن ذلك منجل الحصاد ، ومسلّة للإبرة العظيمة ، ومطرقة ومخدّة ومصباح ، وقيل </w:t>
      </w:r>
      <w:r>
        <w:rPr>
          <w:rStyle w:val="FootnoteAnchor"/>
          <w:rtl w:val="true"/>
        </w:rPr>
        <w:footnoteReference w:id="18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مفعل مقصور عن مفعال ، والمراد بذلك أنّ كلّ ما جاز فيه مفعل جاز فيه مفعال أيضا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مقرض ومقراض ومضرب ومضراب ومفتح ومفتاح ، وزيدت الألف للمبالغة قال الشاعر </w:t>
      </w:r>
      <w:r>
        <w:rPr>
          <w:rFonts w:eastAsia="Amiri" w:cs="Amiri" w:ascii="Amiri" w:hAnsi="Amiri"/>
          <w:color w:val="111111"/>
          <w:sz w:val="28"/>
          <w:szCs w:val="28"/>
          <w:rtl w:val="true"/>
          <w:lang w:bidi="ar-SA"/>
        </w:rPr>
        <w:t xml:space="preserve">: </w:t>
      </w:r>
      <w:r>
        <w:rPr>
          <w:rStyle w:val="FootnoteAnchor"/>
          <w:rtl w:val="true"/>
        </w:rPr>
        <w:footnoteReference w:id="1813"/>
      </w:r>
    </w:p>
    <w:p>
      <w:pPr>
        <w:pStyle w:val="BookText"/>
        <w:rPr/>
      </w:pPr>
      <w:r>
        <w:rPr>
          <w:rFonts w:ascii="Amiri" w:hAnsi="Amiri" w:eastAsia="Amiri" w:cs="Amiri"/>
          <w:color w:val="111111"/>
          <w:sz w:val="28"/>
          <w:sz w:val="28"/>
          <w:szCs w:val="28"/>
          <w:rtl w:val="true"/>
          <w:lang w:bidi="ar-SA"/>
        </w:rPr>
        <w:t>إذا الفتى لم يركب الأهوالا</w:t>
      </w:r>
    </w:p>
    <w:p>
      <w:pPr>
        <w:pStyle w:val="BookText"/>
        <w:rPr/>
      </w:pPr>
      <w:r>
        <w:rPr>
          <w:rFonts w:ascii="Amiri" w:hAnsi="Amiri" w:eastAsia="Amiri" w:cs="Amiri"/>
          <w:color w:val="111111"/>
          <w:sz w:val="28"/>
          <w:sz w:val="28"/>
          <w:szCs w:val="28"/>
          <w:rtl w:val="true"/>
          <w:lang w:bidi="ar-SA"/>
        </w:rPr>
        <w:t>فابغ له المرآة والمكحالا</w:t>
      </w:r>
    </w:p>
    <w:p>
      <w:pPr>
        <w:pStyle w:val="BookText"/>
        <w:rPr/>
      </w:pPr>
      <w:r>
        <w:rPr>
          <w:rFonts w:ascii="Amiri" w:hAnsi="Amiri" w:eastAsia="Amiri" w:cs="Amiri"/>
          <w:color w:val="111111"/>
          <w:sz w:val="28"/>
          <w:sz w:val="28"/>
          <w:szCs w:val="28"/>
          <w:rtl w:val="true"/>
          <w:lang w:bidi="ar-SA"/>
        </w:rPr>
        <w:t>واسع له وعدّه عيالا</w:t>
      </w:r>
    </w:p>
    <w:p>
      <w:pPr>
        <w:pStyle w:val="BookText"/>
        <w:rPr/>
      </w:pPr>
      <w:r>
        <w:rPr>
          <w:rFonts w:ascii="Amiri" w:hAnsi="Amiri" w:eastAsia="Amiri" w:cs="Amiri"/>
          <w:color w:val="111111"/>
          <w:sz w:val="28"/>
          <w:sz w:val="28"/>
          <w:szCs w:val="28"/>
          <w:rtl w:val="true"/>
          <w:lang w:bidi="ar-SA"/>
        </w:rPr>
        <w:t xml:space="preserve">وليس كلّ ما جاز فيه مفعال جاز فيه مفعل </w:t>
      </w:r>
      <w:r>
        <w:rPr>
          <w:rStyle w:val="FootnoteAnchor"/>
          <w:rtl w:val="true"/>
        </w:rPr>
        <w:footnoteReference w:id="1814"/>
      </w:r>
      <w:r>
        <w:rPr>
          <w:rFonts w:ascii="Amiri" w:hAnsi="Amiri" w:eastAsia="Amiri" w:cs="Amiri"/>
          <w:color w:val="111111"/>
          <w:sz w:val="28"/>
          <w:sz w:val="28"/>
          <w:szCs w:val="28"/>
          <w:rtl w:val="true"/>
          <w:lang w:bidi="ar-SA"/>
        </w:rPr>
        <w:t xml:space="preserve">وقد جاء بعض أسماء الآلة مضموم الميم والعين </w:t>
      </w:r>
      <w:r>
        <w:rPr>
          <w:rStyle w:val="FootnoteAnchor"/>
          <w:rtl w:val="true"/>
        </w:rPr>
        <w:footnoteReference w:id="1815"/>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المسعط والمنخل والمدقّ والمدهن والمكحلة ، ومن ذلك أيضا محرضة </w:t>
      </w:r>
      <w:r>
        <w:rPr>
          <w:rStyle w:val="FootnoteAnchor"/>
          <w:rtl w:val="true"/>
        </w:rPr>
        <w:footnoteReference w:id="1816"/>
      </w:r>
      <w:r>
        <w:rPr>
          <w:rFonts w:ascii="Amiri" w:hAnsi="Amiri" w:eastAsia="Amiri" w:cs="Amiri"/>
          <w:color w:val="111111"/>
          <w:sz w:val="28"/>
          <w:sz w:val="28"/>
          <w:szCs w:val="28"/>
          <w:rtl w:val="true"/>
          <w:lang w:bidi="ar-SA"/>
        </w:rPr>
        <w:t xml:space="preserve">ومما جاء بالضم أيضا الملاءة </w:t>
      </w:r>
      <w:r>
        <w:rPr>
          <w:rStyle w:val="FootnoteAnchor"/>
          <w:rtl w:val="true"/>
        </w:rPr>
        <w:footnoteReference w:id="1817"/>
      </w:r>
      <w:r>
        <w:rPr>
          <w:rFonts w:ascii="Amiri" w:hAnsi="Amiri" w:eastAsia="Amiri" w:cs="Amiri"/>
          <w:color w:val="111111"/>
          <w:sz w:val="28"/>
          <w:sz w:val="28"/>
          <w:szCs w:val="28"/>
          <w:rtl w:val="true"/>
          <w:lang w:bidi="ar-SA"/>
        </w:rPr>
        <w:t xml:space="preserve">وجاء بالفتح المنارة والمنقل وهو الخفّ </w:t>
      </w:r>
      <w:r>
        <w:rPr>
          <w:rStyle w:val="FootnoteAnchor"/>
          <w:rtl w:val="true"/>
        </w:rPr>
        <w:footnoteReference w:id="1818"/>
      </w:r>
      <w:r>
        <w:rPr>
          <w:rFonts w:ascii="Amiri" w:hAnsi="Amiri" w:eastAsia="Amiri" w:cs="Amiri"/>
          <w:color w:val="111111"/>
          <w:sz w:val="28"/>
          <w:sz w:val="28"/>
          <w:szCs w:val="28"/>
          <w:rtl w:val="true"/>
          <w:lang w:bidi="ar-SA"/>
        </w:rPr>
        <w:t xml:space="preserve">، 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 صلى‌الله‌عليه‌وسلم النساء عن الخروج إلّا عجوزا في منقليها</w:t>
      </w:r>
      <w:r>
        <w:rPr>
          <w:rFonts w:eastAsia="Amiri" w:cs="Amiri" w:ascii="Amiri" w:hAnsi="Amiri"/>
          <w:color w:val="111111"/>
          <w:sz w:val="28"/>
          <w:szCs w:val="28"/>
          <w:rtl w:val="true"/>
          <w:lang w:bidi="ar-SA"/>
        </w:rPr>
        <w:t xml:space="preserve">» </w:t>
      </w:r>
      <w:r>
        <w:rPr>
          <w:rStyle w:val="FootnoteAnchor"/>
          <w:rtl w:val="true"/>
        </w:rPr>
        <w:footnoteReference w:id="1819"/>
      </w:r>
      <w:r>
        <w:rPr>
          <w:rFonts w:ascii="Amiri" w:hAnsi="Amiri" w:eastAsia="Amiri" w:cs="Amiri"/>
          <w:color w:val="111111"/>
          <w:sz w:val="28"/>
          <w:sz w:val="28"/>
          <w:szCs w:val="28"/>
          <w:rtl w:val="true"/>
          <w:lang w:bidi="ar-SA"/>
        </w:rPr>
        <w:t xml:space="preserve">أي </w:t>
      </w:r>
      <w:r>
        <w:rPr>
          <w:rStyle w:val="FootnoteAnchor"/>
          <w:rtl w:val="true"/>
        </w:rPr>
        <w:footnoteReference w:id="1820"/>
      </w:r>
    </w:p>
    <w:p>
      <w:pPr>
        <w:pStyle w:val="BookText"/>
        <w:rPr/>
      </w:pPr>
      <w:r>
        <w:rPr>
          <w:rFonts w:ascii="Amiri" w:hAnsi="Amiri" w:eastAsia="Amiri" w:cs="Amiri"/>
          <w:color w:val="111111"/>
          <w:sz w:val="28"/>
          <w:sz w:val="28"/>
          <w:szCs w:val="28"/>
          <w:rtl w:val="true"/>
          <w:lang w:bidi="ar-SA"/>
        </w:rPr>
        <w:t>وانظر الصحاح ،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تاج العروس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خفّيها ، وجميع ما جاء من ذلك مضموما لم يذهب به مذهب الفعل ، ولكنّها جعلت أسماء لهذه الأوعية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فإنّها شذّت عن مقتضى القياس ، لكونهم لم يراعوا فيها معنى الفعل والاشتقاق ، ومما لم يذهب به مذهب الفعل اسم الآلة الذي ليس في أوله ميم ، وهو زائد على ثلاثة أحرف وثالثه ألف ، فإنّه جاء بكسر أوله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العلاقة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والجراب والوسادة والعمامة ونحو ذلك ، وشذّ من ذلك بالفتح القباء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اللسان ، قبا</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يعمل شيء من هذه الأسماء ، لأنّه موضوع لآلة مشتقّة من الفعل المشتقّ منه من غير قيد ، فلو عمل تقيّد وخرج عن موضوعه ، ومما ألحقناه بقسم الاسم المصغّر والمنسوب</w:t>
      </w:r>
      <w:r>
        <w:rPr>
          <w:rFonts w:eastAsia="Amiri" w:cs="Amiri" w:ascii="Amiri" w:hAnsi="Amiri"/>
          <w:color w:val="111111"/>
          <w:sz w:val="28"/>
          <w:szCs w:val="28"/>
          <w:rtl w:val="true"/>
          <w:lang w:bidi="ar-SA"/>
        </w:rPr>
        <w:t>.</w:t>
      </w:r>
      <w:bookmarkStart w:id="626" w:name="pg14482_156324"/>
    </w:p>
    <w:p>
      <w:pPr>
        <w:pStyle w:val="Heading4"/>
        <w:numPr>
          <w:ilvl w:val="3"/>
          <w:numId w:val="1"/>
        </w:numPr>
        <w:rPr/>
      </w:pPr>
      <w:bookmarkStart w:id="627" w:name="__RefHeading___Toc716980_996550957"/>
      <w:bookmarkStart w:id="628" w:name="_Toc231"/>
      <w:bookmarkEnd w:id="626"/>
      <w:bookmarkEnd w:id="627"/>
      <w:r>
        <w:rPr>
          <w:rtl w:val="true"/>
        </w:rPr>
        <w:t>ذكر المصغّر</w:t>
      </w:r>
      <w:bookmarkEnd w:id="628"/>
    </w:p>
    <w:p>
      <w:pPr>
        <w:pStyle w:val="Heading5"/>
        <w:numPr>
          <w:ilvl w:val="4"/>
          <w:numId w:val="1"/>
        </w:numPr>
        <w:rPr/>
      </w:pPr>
      <w:bookmarkStart w:id="629" w:name="__RefHeading___Toc716982_996550957"/>
      <w:bookmarkStart w:id="630" w:name="_Toc232"/>
      <w:bookmarkEnd w:id="629"/>
      <w:r>
        <w:rPr>
          <w:rtl w:val="true"/>
        </w:rPr>
        <w:t>اشارة</w:t>
      </w:r>
      <w:bookmarkEnd w:id="630"/>
    </w:p>
    <w:p>
      <w:pPr>
        <w:pStyle w:val="BookText"/>
        <w:rPr/>
      </w:pPr>
      <w:r>
        <w:rPr>
          <w:rStyle w:val="FootnoteAnchor"/>
          <w:rtl w:val="true"/>
        </w:rPr>
        <w:footnoteReference w:id="1821"/>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ويسميّه البصريون المحقّر </w:t>
      </w:r>
      <w:r>
        <w:rPr>
          <w:rStyle w:val="FootnoteAnchor"/>
          <w:rtl w:val="true"/>
        </w:rPr>
        <w:footnoteReference w:id="1822"/>
      </w:r>
      <w:r>
        <w:rPr>
          <w:rFonts w:ascii="Amiri" w:hAnsi="Amiri" w:eastAsia="Amiri" w:cs="Amiri"/>
          <w:color w:val="111111"/>
          <w:sz w:val="28"/>
          <w:sz w:val="28"/>
          <w:szCs w:val="28"/>
          <w:rtl w:val="true"/>
          <w:lang w:bidi="ar-SA"/>
        </w:rPr>
        <w:t xml:space="preserve">، والتصغير من خواصّ الأسماء ، وهو اسم مزيد فيه ياء ليدلّ على تقليل مسمّاه ، فالاسم المتمكّن إذا صغّر ضمّ صدره </w:t>
      </w:r>
      <w:r>
        <w:rPr>
          <w:rStyle w:val="FootnoteAnchor"/>
          <w:rtl w:val="true"/>
        </w:rPr>
        <w:footnoteReference w:id="1823"/>
      </w:r>
      <w:r>
        <w:rPr>
          <w:rFonts w:ascii="Amiri" w:hAnsi="Amiri" w:eastAsia="Amiri" w:cs="Amiri"/>
          <w:color w:val="111111"/>
          <w:sz w:val="28"/>
          <w:sz w:val="28"/>
          <w:szCs w:val="28"/>
          <w:rtl w:val="true"/>
          <w:lang w:bidi="ar-SA"/>
        </w:rPr>
        <w:t xml:space="preserve">وفتح ثانيه ، وألحق ياء ساكنة ثالثة ، وله أمثلة ثلاثة ، فعيل كفليس ، وفعيعل كدريهم وفعيعيل كدنينير </w:t>
      </w:r>
      <w:r>
        <w:rPr>
          <w:rStyle w:val="FootnoteAnchor"/>
          <w:rtl w:val="true"/>
        </w:rPr>
        <w:footnoteReference w:id="1824"/>
      </w:r>
      <w:r>
        <w:rPr>
          <w:rFonts w:ascii="Amiri" w:hAnsi="Amiri" w:eastAsia="Amiri" w:cs="Amiri"/>
          <w:color w:val="111111"/>
          <w:sz w:val="28"/>
          <w:sz w:val="28"/>
          <w:szCs w:val="28"/>
          <w:rtl w:val="true"/>
          <w:lang w:bidi="ar-SA"/>
        </w:rPr>
        <w:t xml:space="preserve">وأما ما خالف ذلك فثلاثة </w:t>
      </w:r>
      <w:r>
        <w:rPr>
          <w:rStyle w:val="FootnoteAnchor"/>
          <w:rtl w:val="true"/>
        </w:rPr>
        <w:footnoteReference w:id="1825"/>
      </w:r>
      <w:r>
        <w:rPr>
          <w:rFonts w:ascii="Amiri" w:hAnsi="Amiri" w:eastAsia="Amiri" w:cs="Amiri"/>
          <w:color w:val="111111"/>
          <w:sz w:val="28"/>
          <w:sz w:val="28"/>
          <w:szCs w:val="28"/>
          <w:rtl w:val="true"/>
          <w:lang w:bidi="ar-SA"/>
        </w:rPr>
        <w:t xml:space="preserve">أشياء ، تصغير أفعال كأجيمال </w:t>
      </w:r>
      <w:r>
        <w:rPr>
          <w:rStyle w:val="FootnoteAnchor"/>
          <w:rtl w:val="true"/>
        </w:rPr>
        <w:footnoteReference w:id="1826"/>
      </w:r>
      <w:r>
        <w:rPr>
          <w:rFonts w:ascii="Amiri" w:hAnsi="Amiri" w:eastAsia="Amiri" w:cs="Amiri"/>
          <w:color w:val="111111"/>
          <w:sz w:val="28"/>
          <w:sz w:val="28"/>
          <w:szCs w:val="28"/>
          <w:rtl w:val="true"/>
          <w:lang w:bidi="ar-SA"/>
        </w:rPr>
        <w:t xml:space="preserve">وتصغير ما في آخره ألف التأنيث كحبيلى </w:t>
      </w:r>
      <w:r>
        <w:rPr>
          <w:rStyle w:val="FootnoteAnchor"/>
          <w:rtl w:val="true"/>
        </w:rPr>
        <w:footnoteReference w:id="1827"/>
      </w:r>
      <w:r>
        <w:rPr>
          <w:rFonts w:ascii="Amiri" w:hAnsi="Amiri" w:eastAsia="Amiri" w:cs="Amiri"/>
          <w:color w:val="111111"/>
          <w:sz w:val="28"/>
          <w:sz w:val="28"/>
          <w:szCs w:val="28"/>
          <w:rtl w:val="true"/>
          <w:lang w:bidi="ar-SA"/>
        </w:rPr>
        <w:t xml:space="preserve">وتصغير ما فيه ألف ونون مضارعتان لألفي التأنيث كسكيران </w:t>
      </w:r>
      <w:r>
        <w:rPr>
          <w:rStyle w:val="FootnoteAnchor"/>
          <w:rtl w:val="true"/>
        </w:rPr>
        <w:footnoteReference w:id="1828"/>
      </w:r>
      <w:r>
        <w:rPr>
          <w:rFonts w:ascii="Amiri" w:hAnsi="Amiri" w:eastAsia="Amiri" w:cs="Amiri"/>
          <w:color w:val="111111"/>
          <w:sz w:val="28"/>
          <w:sz w:val="28"/>
          <w:szCs w:val="28"/>
          <w:rtl w:val="true"/>
          <w:lang w:bidi="ar-SA"/>
        </w:rPr>
        <w:t xml:space="preserve">ولا يصغّر إلّا الثلاثي والرباعي ، وأمّا الخماسي فتصغيره مستكره كتكسيره ، لسقوط خامسه ، فإن صغّر قيل في فرزدق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فريزد ، وفي سفرجل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سفيرج ، بحذف الخامس لكونه نشأ منه الثقل ، ومنهم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فريزق </w:t>
      </w:r>
      <w:r>
        <w:rPr>
          <w:rStyle w:val="FootnoteAnchor"/>
          <w:rtl w:val="true"/>
        </w:rPr>
        <w:footnoteReference w:id="18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1" w:name="__RefHeading___Toc716984_996550957"/>
      <w:bookmarkStart w:id="632" w:name="_Toc233"/>
      <w:bookmarkEnd w:id="631"/>
      <w:r>
        <w:rPr>
          <w:rtl w:val="true"/>
        </w:rPr>
        <w:t>فصل</w:t>
      </w:r>
      <w:bookmarkEnd w:id="632"/>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8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اسم على حرفين فإنّ التصغير يردّه إلى أصله حتى يصير إلى أمثال فعيل والذي هو كذلك على ثلاثة أضرب ، ما حذف فاؤه أو عينه أو لامه ، فالذي حذفت فاؤه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فتقول في تصغيرها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وعيدة ، فتردّ الواو المحذوفة التي هي فاء الكلمة </w:t>
      </w:r>
      <w:r>
        <w:rPr>
          <w:rStyle w:val="FootnoteAnchor"/>
          <w:rtl w:val="true"/>
        </w:rPr>
        <w:footnoteReference w:id="1831"/>
      </w:r>
      <w:r>
        <w:rPr>
          <w:rFonts w:ascii="Amiri" w:hAnsi="Amiri" w:eastAsia="Amiri" w:cs="Amiri"/>
          <w:color w:val="111111"/>
          <w:sz w:val="28"/>
          <w:sz w:val="28"/>
          <w:szCs w:val="28"/>
          <w:rtl w:val="true"/>
          <w:lang w:bidi="ar-SA"/>
        </w:rPr>
        <w:t xml:space="preserve">وأمّا ما حذفت عينه فمثل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 ، فإذا سمّيت به وصغّرته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منيذ ، فتردّ النون المحذوفة لأنّ الأصل منذ </w:t>
      </w:r>
      <w:r>
        <w:rPr>
          <w:rStyle w:val="FootnoteAnchor"/>
          <w:rtl w:val="true"/>
        </w:rPr>
        <w:footnoteReference w:id="1832"/>
      </w:r>
      <w:r>
        <w:rPr>
          <w:rFonts w:ascii="IRNazanin" w:hAnsi="IRNazanin" w:eastAsia="IRNazanin"/>
          <w:color w:val="111111"/>
          <w:sz w:val="28"/>
          <w:sz w:val="28"/>
          <w:szCs w:val="28"/>
          <w:rtl w:val="true"/>
          <w:lang w:bidi="fa-IR"/>
        </w:rPr>
        <w:t xml:space="preserve">، وأمّا ما حذفت لامه فنحو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 وفم فتقول </w:t>
      </w:r>
      <w:r>
        <w:rPr>
          <w:rFonts w:eastAsia="IRNazanin" w:cs="IRNazanin"/>
          <w:color w:val="111111"/>
          <w:sz w:val="28"/>
          <w:szCs w:val="28"/>
          <w:rtl w:val="true"/>
          <w:lang w:bidi="fa-IR"/>
        </w:rPr>
        <w:t xml:space="preserve">: </w:t>
      </w:r>
      <w:bookmarkStart w:id="633" w:name="pg14482_156325"/>
    </w:p>
    <w:p>
      <w:pPr>
        <w:pStyle w:val="BookText"/>
        <w:rPr/>
      </w:pPr>
      <w:bookmarkEnd w:id="633"/>
      <w:r>
        <w:rPr>
          <w:rFonts w:ascii="Amiri" w:hAnsi="Amiri" w:eastAsia="Amiri" w:cs="Amiri"/>
          <w:color w:val="111111"/>
          <w:sz w:val="28"/>
          <w:sz w:val="28"/>
          <w:szCs w:val="28"/>
          <w:rtl w:val="true"/>
          <w:lang w:bidi="ar-SA"/>
        </w:rPr>
        <w:t xml:space="preserve">دميّ بردّ الذاهب منه وهو الياء وتقول في فم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فويه بردّ لامه المحذوفة التي هي الهاء ، لأنّ أصله فوه وتقول في 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حريح ، لأنّ أصله حرح فتردّ لامه المحذوفة </w:t>
      </w:r>
      <w:r>
        <w:rPr>
          <w:rStyle w:val="FootnoteAnchor"/>
          <w:rtl w:val="true"/>
        </w:rPr>
        <w:footnoteReference w:id="1833"/>
      </w:r>
      <w:r>
        <w:rPr>
          <w:rFonts w:ascii="Amiri" w:hAnsi="Amiri" w:eastAsia="Amiri" w:cs="Amiri"/>
          <w:color w:val="111111"/>
          <w:sz w:val="28"/>
          <w:sz w:val="28"/>
          <w:szCs w:val="28"/>
          <w:rtl w:val="true"/>
          <w:lang w:bidi="ar-SA"/>
        </w:rPr>
        <w:t xml:space="preserve">وأمّا الاسم الذي حذف منه ، وبقى بعد الحذف على أكثر من حرفين </w:t>
      </w:r>
      <w:r>
        <w:rPr>
          <w:rStyle w:val="FootnoteAnchor"/>
          <w:rtl w:val="true"/>
        </w:rPr>
        <w:footnoteReference w:id="1834"/>
      </w:r>
      <w:r>
        <w:rPr>
          <w:rFonts w:ascii="Amiri" w:hAnsi="Amiri" w:eastAsia="Amiri" w:cs="Amiri"/>
          <w:color w:val="111111"/>
          <w:sz w:val="28"/>
          <w:sz w:val="28"/>
          <w:szCs w:val="28"/>
          <w:rtl w:val="true"/>
          <w:lang w:bidi="ar-SA"/>
        </w:rPr>
        <w:t xml:space="preserve">فإنّ التصغير لا يردّه إلى أصله ، لأنّ الردّ ثمّ إنّما وجب ليحصل مثال التصغير ، فإذا حصل من غير ردّ فلا حاجة إلى الردّ ، فعلى هذا تقول في تصغير ميّت وهيّن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مييت وهيين بالتخفيف </w:t>
      </w:r>
      <w:r>
        <w:rPr>
          <w:rStyle w:val="FootnoteAnchor"/>
          <w:rtl w:val="true"/>
        </w:rPr>
        <w:footnoteReference w:id="18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4" w:name="__RefHeading___Toc716986_996550957"/>
      <w:bookmarkStart w:id="635" w:name="_Toc234"/>
      <w:bookmarkEnd w:id="634"/>
      <w:r>
        <w:rPr>
          <w:rtl w:val="true"/>
        </w:rPr>
        <w:t>فصل</w:t>
      </w:r>
      <w:bookmarkEnd w:id="635"/>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8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صغّرت نحو ابن واسم ، رددته إلى أصله وصغّرته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وسميّ بردّ اللام الذاهبة </w:t>
      </w:r>
      <w:r>
        <w:rPr>
          <w:rStyle w:val="FootnoteAnchor"/>
          <w:rtl w:val="true"/>
        </w:rPr>
        <w:footnoteReference w:id="1837"/>
      </w:r>
      <w:r>
        <w:rPr>
          <w:rFonts w:ascii="Amiri" w:hAnsi="Amiri" w:eastAsia="Amiri" w:cs="Amiri"/>
          <w:color w:val="111111"/>
          <w:sz w:val="28"/>
          <w:sz w:val="28"/>
          <w:szCs w:val="28"/>
          <w:rtl w:val="true"/>
          <w:lang w:bidi="ar-SA"/>
        </w:rPr>
        <w:t xml:space="preserve">لأنّ أصل ابن بنو كجمل ثم قلبت الواو ياء ، وأدغمت فيها ياء التصغير لأنّ الواو والياء إذا اجتمعتا وسبقت إحداهما بالسكون قلبت الواو ياء وأدغمت الياء في الياء فبقي ، بنيّ ، وأمّا اسم فأصله سمو مثل جذع </w:t>
      </w:r>
      <w:r>
        <w:rPr>
          <w:rStyle w:val="FootnoteAnchor"/>
          <w:rtl w:val="true"/>
        </w:rPr>
        <w:footnoteReference w:id="1838"/>
      </w:r>
      <w:r>
        <w:rPr>
          <w:rFonts w:ascii="Amiri" w:hAnsi="Amiri" w:eastAsia="Amiri" w:cs="Amiri"/>
          <w:color w:val="111111"/>
          <w:sz w:val="28"/>
          <w:sz w:val="28"/>
          <w:szCs w:val="28"/>
          <w:rtl w:val="true"/>
          <w:lang w:bidi="ar-SA"/>
        </w:rPr>
        <w:t xml:space="preserve">فإذا صغّر عادت الواو وقلبت ياء وأدغمت كما قيل في ابن ، وإذا صغّر أخت وبنت وهنت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أخيّة وبنيّة وهنيّة ، بردّ الّلامات المحذوفة ، لأنّ أصلهنّ أخوة وبنوة وهنوة على وزن صدقة ، ثم حذفوا هاءات التأنيث من أخوة وبنوة وهنوة ، وأبدلوا من الواوات تاءات لغير التأنيث ، فإنّ التاء في أخت وبنت وهنت بدل من الواو وليست للتأنيث </w:t>
      </w:r>
      <w:r>
        <w:rPr>
          <w:rStyle w:val="FootnoteAnchor"/>
          <w:rtl w:val="true"/>
        </w:rPr>
        <w:footnoteReference w:id="1839"/>
      </w:r>
      <w:r>
        <w:rPr>
          <w:rFonts w:ascii="Amiri" w:hAnsi="Amiri" w:eastAsia="Amiri" w:cs="Amiri"/>
          <w:color w:val="111111"/>
          <w:sz w:val="28"/>
          <w:sz w:val="28"/>
          <w:szCs w:val="28"/>
          <w:rtl w:val="true"/>
          <w:lang w:bidi="ar-SA"/>
        </w:rPr>
        <w:t xml:space="preserve">لأنّ تاء التأنيث لا يكون ما قبلها ساكنا بل مفتوحا ، إلّا أن يكون ما قبلها ألفا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قطاة ، فلما ردّ إلى أخت وبنت وهنت الواو الأصليّة صار أخيوة فاجتمعت الياء والواو وسبقت إحداهما بالسكون فقلبت الواو ياء وأدغمت فيها ياء التصغير ثم ردت هاء </w:t>
      </w:r>
      <w:r>
        <w:rPr>
          <w:rStyle w:val="FootnoteAnchor"/>
          <w:rtl w:val="true"/>
        </w:rPr>
        <w:footnoteReference w:id="1840"/>
      </w:r>
      <w:bookmarkStart w:id="636" w:name="pg14482_156326"/>
    </w:p>
    <w:p>
      <w:pPr>
        <w:pStyle w:val="BookText"/>
        <w:rPr/>
      </w:pPr>
      <w:bookmarkEnd w:id="636"/>
      <w:r>
        <w:rPr>
          <w:rFonts w:ascii="Amiri" w:hAnsi="Amiri" w:eastAsia="Amiri" w:cs="Amiri"/>
          <w:color w:val="111111"/>
          <w:sz w:val="28"/>
          <w:sz w:val="28"/>
          <w:szCs w:val="28"/>
          <w:rtl w:val="true"/>
          <w:lang w:bidi="ar-SA"/>
        </w:rPr>
        <w:t xml:space="preserve">التأنيث الأصليّة التي كانت في أخوة وبنوة وهنوة لذهاب التاء التي كانت في أخت وبنت وهنت ، لأنّها كانت تدلّ على التأنيث بحسب الصيغة وإن لم تكن تاء تأنيث ، فصار تصغير ذلك أخيّة وبنيّة وهنيّة </w:t>
      </w:r>
      <w:r>
        <w:rPr>
          <w:rStyle w:val="FootnoteAnchor"/>
          <w:rtl w:val="true"/>
        </w:rPr>
        <w:footnoteReference w:id="18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7" w:name="__RefHeading___Toc716988_996550957"/>
      <w:bookmarkStart w:id="638" w:name="_Toc235"/>
      <w:bookmarkEnd w:id="637"/>
      <w:r>
        <w:rPr>
          <w:rtl w:val="true"/>
        </w:rPr>
        <w:t>فصل</w:t>
      </w:r>
      <w:bookmarkEnd w:id="638"/>
    </w:p>
    <w:p>
      <w:pPr>
        <w:pStyle w:val="BookText"/>
        <w:rPr/>
      </w:pPr>
      <w:r>
        <w:rPr>
          <w:rStyle w:val="FootnoteAnchor"/>
          <w:rtl w:val="true"/>
        </w:rPr>
        <w:footnoteReference w:id="18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اسم فيه حرف بدل من حرف آخر ، فتصغيره ينقسم إلى تصغير يردّ الاسم إلى أصله ، وإلى تصغير لا يردّ الاسم إلى 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التصغير الذي يردّ الاسم إلى أصله فهو تصغير كلّ اسم فيه البدل غير 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بالبدل الغير اللازم بدل حرف بحرف ، أوجب قلبه علّة تزول في التصغير أو الجمع وذلك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وباب وناب ، فتقول في تصغيرها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مويزين </w:t>
      </w:r>
      <w:r>
        <w:rPr>
          <w:rStyle w:val="FootnoteAnchor"/>
          <w:rtl w:val="true"/>
        </w:rPr>
        <w:footnoteReference w:id="1843"/>
      </w:r>
      <w:r>
        <w:rPr>
          <w:rFonts w:ascii="Amiri" w:hAnsi="Amiri" w:eastAsia="Amiri" w:cs="Amiri"/>
          <w:color w:val="111111"/>
          <w:sz w:val="28"/>
          <w:sz w:val="28"/>
          <w:szCs w:val="28"/>
          <w:rtl w:val="true"/>
          <w:lang w:bidi="ar-SA"/>
        </w:rPr>
        <w:t xml:space="preserve">وبييب ونييب </w:t>
      </w:r>
      <w:r>
        <w:rPr>
          <w:rStyle w:val="FootnoteAnchor"/>
          <w:rtl w:val="true"/>
        </w:rPr>
        <w:footnoteReference w:id="1844"/>
      </w:r>
      <w:r>
        <w:rPr>
          <w:rFonts w:ascii="Amiri" w:hAnsi="Amiri" w:eastAsia="Amiri" w:cs="Amiri"/>
          <w:color w:val="111111"/>
          <w:sz w:val="28"/>
          <w:sz w:val="28"/>
          <w:szCs w:val="28"/>
          <w:rtl w:val="true"/>
          <w:lang w:bidi="ar-SA"/>
        </w:rPr>
        <w:t>بردّها إلى أصلها ، لأنّ الميزان من الوزن وأصله موزان بكسر الميم وسكون الواو ، فاستثقل ذلك فقلبت الواو ياء لانكسار ما قبلها فصار ميزان ، فلمّا صغّر ضمّت الميم فعادت الواو فصار تصغيره مويزين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القول في ميقات وميعاد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وأصل باب بوب لأنّ جمعه أبواب فلما تحركت الواو وانفتح ما قبلها قلبت ألفا ، ولم يجز بقاء الألف في التصغير لزوال الفتح وانضمام ما قبلها فوجب ردّ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وأصل ناب نيب لجمعه على أنياب ، ويجمع النّاب من الإبل على نيب </w:t>
      </w:r>
      <w:r>
        <w:rPr>
          <w:rStyle w:val="FootnoteAnchor"/>
          <w:rtl w:val="true"/>
        </w:rPr>
        <w:footnoteReference w:id="1845"/>
      </w:r>
      <w:r>
        <w:rPr>
          <w:rFonts w:ascii="Amiri" w:hAnsi="Amiri" w:eastAsia="Amiri" w:cs="Amiri"/>
          <w:color w:val="111111"/>
          <w:sz w:val="28"/>
          <w:sz w:val="28"/>
          <w:szCs w:val="28"/>
          <w:rtl w:val="true"/>
          <w:lang w:bidi="ar-SA"/>
        </w:rPr>
        <w:t xml:space="preserve">فلما تحركت الياء وانفتح ما قبلها قلبت ألفا ، ولم يمكن بقاء الألف في التصغير فردّت إلى أصلها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نييب </w:t>
      </w:r>
      <w:r>
        <w:rPr>
          <w:rStyle w:val="FootnoteAnchor"/>
          <w:rtl w:val="true"/>
        </w:rPr>
        <w:footnoteReference w:id="1846"/>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التصغير الذي لا يردّ الاسم إلى أصله فهو تصغير كلّ اسم فيه البدل لازم والبدل اللازم ؛ هو البدل الذي علّته تلزم في المصغّر كما تلزم في المكبّر ، وذلك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تخمة وتراث ، فإنّ أصل تخمة وخمة لأنّه من وخم وأصل تراث من ورث </w:t>
      </w:r>
      <w:bookmarkStart w:id="639" w:name="pg14482_156327"/>
    </w:p>
    <w:p>
      <w:pPr>
        <w:pStyle w:val="BookText"/>
        <w:rPr/>
      </w:pPr>
      <w:bookmarkEnd w:id="639"/>
      <w:r>
        <w:rPr>
          <w:rFonts w:ascii="Amiri" w:hAnsi="Amiri" w:eastAsia="Amiri" w:cs="Amiri"/>
          <w:color w:val="111111"/>
          <w:sz w:val="28"/>
          <w:sz w:val="28"/>
          <w:szCs w:val="28"/>
          <w:rtl w:val="true"/>
          <w:lang w:bidi="ar-SA"/>
        </w:rPr>
        <w:t xml:space="preserve">فأصله وراث ، ولكنّهم استثقلوا الضمّة على الواو فقلبوها تاء لأنّ التاء أجلد على الضمّة من الواو ، وهذه العلّة لازمة في التصغير فلذلك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تخيمة وتريث ، وتقول في تصغير 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عييد ، وكان حقّه أن يردّ إلى أصله لأنّه من عاد يعود ، لكنّهم لمّا قالوا في الجمع أعياد ، والجمع والتصغير من واد واحد ، قيل في تصغيره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عييد ، وإنّما جمعوه بالياء دون الواو ؛ ليفرّقوا بين جمع عيد ، وجمع عود </w:t>
      </w:r>
      <w:r>
        <w:rPr>
          <w:rStyle w:val="FootnoteAnchor"/>
          <w:rtl w:val="true"/>
        </w:rPr>
        <w:footnoteReference w:id="18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0" w:name="__RefHeading___Toc716990_996550957"/>
      <w:bookmarkStart w:id="641" w:name="_Toc236"/>
      <w:bookmarkEnd w:id="640"/>
      <w:r>
        <w:rPr>
          <w:rtl w:val="true"/>
        </w:rPr>
        <w:t>فصل</w:t>
      </w:r>
      <w:bookmarkEnd w:id="641"/>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8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صغّر ما ثالثه واو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أسود فأجود الوجهين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أسيّد </w:t>
      </w:r>
      <w:r>
        <w:rPr>
          <w:rStyle w:val="FootnoteAnchor"/>
          <w:rtl w:val="true"/>
        </w:rPr>
        <w:footnoteReference w:id="1849"/>
      </w:r>
      <w:r>
        <w:rPr>
          <w:rFonts w:ascii="Amiri" w:hAnsi="Amiri" w:eastAsia="Amiri" w:cs="Amiri"/>
          <w:color w:val="111111"/>
          <w:sz w:val="28"/>
          <w:sz w:val="28"/>
          <w:szCs w:val="28"/>
          <w:rtl w:val="true"/>
          <w:lang w:bidi="ar-SA"/>
        </w:rPr>
        <w:t xml:space="preserve">لأنّ الواو والياء إذا اجتمعتا وسبقت إحداهما بالسكون قلبت الواو ياء وأدغمت الياء في الياء ، ومنهم من يظهر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أسيود </w:t>
      </w:r>
      <w:r>
        <w:rPr>
          <w:rStyle w:val="FootnoteAnchor"/>
          <w:rtl w:val="true"/>
        </w:rPr>
        <w:footnoteReference w:id="18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ما وقعت واوه لاما </w:t>
      </w:r>
      <w:r>
        <w:rPr>
          <w:rStyle w:val="FootnoteAnchor"/>
          <w:rtl w:val="true"/>
        </w:rPr>
        <w:footnoteReference w:id="1851"/>
      </w:r>
      <w:r>
        <w:rPr>
          <w:rFonts w:ascii="Amiri" w:hAnsi="Amiri" w:eastAsia="Amiri" w:cs="Amiri"/>
          <w:color w:val="111111"/>
          <w:sz w:val="28"/>
          <w:sz w:val="28"/>
          <w:szCs w:val="28"/>
          <w:rtl w:val="true"/>
          <w:lang w:bidi="ar-SA"/>
        </w:rPr>
        <w:t xml:space="preserve">، وسواء صحّت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عروة </w:t>
      </w:r>
      <w:r>
        <w:rPr>
          <w:rStyle w:val="FootnoteAnchor"/>
          <w:rtl w:val="true"/>
        </w:rPr>
        <w:footnoteReference w:id="1852"/>
      </w:r>
      <w:r>
        <w:rPr>
          <w:rFonts w:ascii="Amiri" w:hAnsi="Amiri" w:eastAsia="Amiri" w:cs="Amiri"/>
          <w:color w:val="111111"/>
          <w:sz w:val="28"/>
          <w:sz w:val="28"/>
          <w:szCs w:val="28"/>
          <w:rtl w:val="true"/>
          <w:lang w:bidi="ar-SA"/>
        </w:rPr>
        <w:t xml:space="preserve">ورضوى أو اعتلّت نحو واو عصا وجب قلبها وإدغام ياء التصغير فيها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عريّة ورضيّة وعصيّة </w:t>
      </w:r>
      <w:r>
        <w:rPr>
          <w:rStyle w:val="FootnoteAnchor"/>
          <w:rtl w:val="true"/>
        </w:rPr>
        <w:footnoteReference w:id="1853"/>
      </w:r>
      <w:r>
        <w:rPr>
          <w:rFonts w:ascii="Amiri" w:hAnsi="Amiri" w:eastAsia="Amiri" w:cs="Amiri"/>
          <w:color w:val="111111"/>
          <w:sz w:val="28"/>
          <w:sz w:val="28"/>
          <w:szCs w:val="28"/>
          <w:rtl w:val="true"/>
          <w:lang w:bidi="ar-SA"/>
        </w:rPr>
        <w:t xml:space="preserve">، وإذا صغّرت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w:t>
      </w:r>
      <w:r>
        <w:rPr>
          <w:rStyle w:val="FootnoteAnchor"/>
          <w:rtl w:val="true"/>
        </w:rPr>
        <w:footnoteReference w:id="1854"/>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معيّة </w:t>
      </w:r>
      <w:r>
        <w:rPr>
          <w:rStyle w:val="FootnoteAnchor"/>
          <w:rtl w:val="true"/>
        </w:rPr>
        <w:footnoteReference w:id="1855"/>
      </w:r>
      <w:r>
        <w:rPr>
          <w:rFonts w:ascii="Amiri" w:hAnsi="Amiri" w:eastAsia="Amiri" w:cs="Amiri"/>
          <w:color w:val="111111"/>
          <w:sz w:val="28"/>
          <w:sz w:val="28"/>
          <w:szCs w:val="28"/>
          <w:rtl w:val="true"/>
          <w:lang w:bidi="ar-SA"/>
        </w:rPr>
        <w:t xml:space="preserve">لأنّ ألفه تحذف لأجل ياء التصغير فتبقى معيوية فيجتمع الواو وياء التصغير وتسبق الواو </w:t>
      </w:r>
      <w:r>
        <w:rPr>
          <w:rStyle w:val="FootnoteAnchor"/>
          <w:rtl w:val="true"/>
        </w:rPr>
        <w:footnoteReference w:id="1856"/>
      </w:r>
      <w:r>
        <w:rPr>
          <w:rFonts w:ascii="Amiri" w:hAnsi="Amiri" w:eastAsia="Amiri" w:cs="Amiri"/>
          <w:color w:val="111111"/>
          <w:sz w:val="28"/>
          <w:sz w:val="28"/>
          <w:szCs w:val="28"/>
          <w:rtl w:val="true"/>
          <w:lang w:bidi="ar-SA"/>
        </w:rPr>
        <w:t xml:space="preserve">بالسكون فتقلب الواو ياء وتدغم فيها ياء التصغير وتحذف ياء معيوية </w:t>
      </w:r>
      <w:r>
        <w:rPr>
          <w:rStyle w:val="FootnoteAnchor"/>
          <w:rtl w:val="true"/>
        </w:rPr>
        <w:footnoteReference w:id="1857"/>
      </w:r>
      <w:r>
        <w:rPr>
          <w:rFonts w:ascii="Amiri" w:hAnsi="Amiri" w:eastAsia="Amiri" w:cs="Amiri"/>
          <w:color w:val="111111"/>
          <w:sz w:val="28"/>
          <w:sz w:val="28"/>
          <w:szCs w:val="28"/>
          <w:rtl w:val="true"/>
          <w:lang w:bidi="ar-SA"/>
        </w:rPr>
        <w:t xml:space="preserve">الأخيرة لاجتماع ثلاث ياءات ، ووقوعها طرفا فيبقى معيّة على مثال دريهم ، وهذا على مذهب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أسيّد ، أمّا على مذهب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أسيود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معيوية </w:t>
      </w:r>
      <w:r>
        <w:rPr>
          <w:rStyle w:val="FootnoteAnchor"/>
          <w:rtl w:val="true"/>
        </w:rPr>
        <w:footnoteReference w:id="1858"/>
      </w:r>
      <w:r>
        <w:rPr>
          <w:rFonts w:eastAsia="Times New Roman" w:cs="Times New Roman" w:ascii="Times New Roman" w:hAnsi="Times New Roman"/>
          <w:color w:val="111111"/>
          <w:sz w:val="28"/>
          <w:szCs w:val="28"/>
          <w:rtl w:val="true"/>
          <w:lang w:val="en-US" w:bidi="en-US"/>
        </w:rPr>
        <w:t xml:space="preserve">. </w:t>
      </w:r>
      <w:bookmarkStart w:id="642" w:name="pg14482_156328"/>
    </w:p>
    <w:p>
      <w:pPr>
        <w:pStyle w:val="Heading5"/>
        <w:numPr>
          <w:ilvl w:val="4"/>
          <w:numId w:val="1"/>
        </w:numPr>
        <w:rPr/>
      </w:pPr>
      <w:bookmarkStart w:id="643" w:name="__RefHeading___Toc716992_996550957"/>
      <w:bookmarkStart w:id="644" w:name="_Toc237"/>
      <w:bookmarkEnd w:id="642"/>
      <w:bookmarkEnd w:id="643"/>
      <w:r>
        <w:rPr>
          <w:rtl w:val="true"/>
        </w:rPr>
        <w:t>فصل</w:t>
      </w:r>
      <w:bookmarkEnd w:id="644"/>
    </w:p>
    <w:p>
      <w:pPr>
        <w:pStyle w:val="BookText"/>
        <w:rPr/>
      </w:pPr>
      <w:r>
        <w:rPr>
          <w:rStyle w:val="FootnoteAnchor"/>
          <w:rtl w:val="true"/>
        </w:rPr>
        <w:footnoteReference w:id="18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في الاسم تاء التأنيث فهي إمّا ظاهرة وإمّا مقدّرة ، فالظاهرة تثبت ولا تحذف ، وطريق تصغيره أن تصغّر ما قبل علامة التأنيث ولا تعتدّ بها من حروف الكلمة ثم تضمّ إليها العلامة كما تفعل بالمركّب لأنّها بمنزلته ، فيقال في طلحة طليحة </w:t>
      </w:r>
      <w:r>
        <w:rPr>
          <w:rStyle w:val="FootnoteAnchor"/>
          <w:rtl w:val="true"/>
        </w:rPr>
        <w:footnoteReference w:id="1860"/>
      </w:r>
      <w:r>
        <w:rPr>
          <w:rFonts w:ascii="Amiri" w:hAnsi="Amiri" w:eastAsia="Amiri" w:cs="Amiri"/>
          <w:color w:val="111111"/>
          <w:sz w:val="28"/>
          <w:sz w:val="28"/>
          <w:szCs w:val="28"/>
          <w:rtl w:val="true"/>
          <w:lang w:bidi="ar-SA"/>
        </w:rPr>
        <w:t xml:space="preserve">والمقدّرة تثبت ظاهرة ، في كل ثلاثي </w:t>
      </w:r>
      <w:r>
        <w:rPr>
          <w:rStyle w:val="FootnoteAnchor"/>
          <w:rtl w:val="true"/>
        </w:rPr>
        <w:footnoteReference w:id="1861"/>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شميسة إلّا ما شذّ من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عريس </w:t>
      </w:r>
      <w:r>
        <w:rPr>
          <w:rStyle w:val="FootnoteAnchor"/>
          <w:rtl w:val="true"/>
        </w:rPr>
        <w:footnoteReference w:id="1862"/>
      </w:r>
      <w:r>
        <w:rPr>
          <w:rFonts w:ascii="Amiri" w:hAnsi="Amiri" w:eastAsia="Amiri" w:cs="Amiri"/>
          <w:color w:val="111111"/>
          <w:sz w:val="28"/>
          <w:sz w:val="28"/>
          <w:szCs w:val="28"/>
          <w:rtl w:val="true"/>
          <w:lang w:bidi="ar-SA"/>
        </w:rPr>
        <w:t xml:space="preserve">ولا تثبت في الرباعي فما فوقه فرارا من الثقل لكثرة حروف الكلمة ، ولأنّ الحرف الرابع قد نزّل منزلة تاء التأنيث فتقول في عقرب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عقيرب بغير تاء التأنيث إلّا ما شذّ من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قديديمة في تصغير قدّام </w:t>
      </w:r>
      <w:r>
        <w:rPr>
          <w:rStyle w:val="FootnoteAnchor"/>
          <w:rtl w:val="true"/>
        </w:rPr>
        <w:footnoteReference w:id="1863"/>
      </w:r>
      <w:r>
        <w:rPr>
          <w:rFonts w:ascii="Amiri" w:hAnsi="Amiri" w:eastAsia="Amiri" w:cs="Amiri"/>
          <w:color w:val="111111"/>
          <w:sz w:val="28"/>
          <w:sz w:val="28"/>
          <w:szCs w:val="28"/>
          <w:rtl w:val="true"/>
          <w:lang w:bidi="ar-SA"/>
        </w:rPr>
        <w:t xml:space="preserve">وأمّا ألف التأنيث فإذا كانت مقصورة رابعة ثبتت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حبيلى في تصغير حبلى </w:t>
      </w:r>
      <w:r>
        <w:rPr>
          <w:rStyle w:val="FootnoteAnchor"/>
          <w:rtl w:val="true"/>
        </w:rPr>
        <w:footnoteReference w:id="1864"/>
      </w:r>
      <w:r>
        <w:rPr>
          <w:rFonts w:ascii="Amiri" w:hAnsi="Amiri" w:eastAsia="Amiri" w:cs="Amiri"/>
          <w:color w:val="111111"/>
          <w:sz w:val="28"/>
          <w:sz w:val="28"/>
          <w:szCs w:val="28"/>
          <w:rtl w:val="true"/>
          <w:lang w:bidi="ar-SA"/>
        </w:rPr>
        <w:t xml:space="preserve">وسقطت خامسة فصاعدا </w:t>
      </w:r>
      <w:r>
        <w:rPr>
          <w:rStyle w:val="FootnoteAnchor"/>
          <w:rtl w:val="true"/>
        </w:rPr>
        <w:footnoteReference w:id="1865"/>
      </w:r>
      <w:r>
        <w:rPr>
          <w:rFonts w:ascii="Amiri" w:hAnsi="Amiri" w:eastAsia="Amiri" w:cs="Amiri"/>
          <w:color w:val="111111"/>
          <w:sz w:val="28"/>
          <w:sz w:val="28"/>
          <w:szCs w:val="28"/>
          <w:rtl w:val="true"/>
          <w:lang w:bidi="ar-SA"/>
        </w:rPr>
        <w:t xml:space="preserve">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قريقر في تصغير قرقرى ، وهو اسم موضع </w:t>
      </w:r>
      <w:r>
        <w:rPr>
          <w:rStyle w:val="FootnoteAnchor"/>
          <w:rtl w:val="true"/>
        </w:rPr>
        <w:footnoteReference w:id="1866"/>
      </w:r>
      <w:r>
        <w:rPr>
          <w:rFonts w:ascii="Amiri" w:hAnsi="Amiri" w:eastAsia="Amiri" w:cs="Amiri"/>
          <w:color w:val="111111"/>
          <w:sz w:val="28"/>
          <w:sz w:val="28"/>
          <w:szCs w:val="28"/>
          <w:rtl w:val="true"/>
          <w:lang w:bidi="ar-SA"/>
        </w:rPr>
        <w:t xml:space="preserve">وأمّا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خنفساء فتصغيرها </w:t>
      </w:r>
      <w:r>
        <w:rPr>
          <w:rStyle w:val="FootnoteAnchor"/>
          <w:rtl w:val="true"/>
        </w:rPr>
        <w:footnoteReference w:id="1867"/>
      </w:r>
      <w:r>
        <w:rPr>
          <w:rFonts w:ascii="Amiri" w:hAnsi="Amiri" w:eastAsia="Amiri" w:cs="Amiri"/>
          <w:color w:val="111111"/>
          <w:sz w:val="28"/>
          <w:sz w:val="28"/>
          <w:szCs w:val="28"/>
          <w:rtl w:val="true"/>
          <w:lang w:bidi="ar-SA"/>
        </w:rPr>
        <w:t xml:space="preserve">خنيفساء بثبوت الألف لقوتها بالحركة </w:t>
      </w:r>
      <w:r>
        <w:rPr>
          <w:rStyle w:val="FootnoteAnchor"/>
          <w:rtl w:val="true"/>
        </w:rPr>
        <w:footnoteReference w:id="18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5" w:name="__RefHeading___Toc716994_996550957"/>
      <w:bookmarkStart w:id="646" w:name="_Toc238"/>
      <w:bookmarkEnd w:id="645"/>
      <w:r>
        <w:rPr>
          <w:rtl w:val="true"/>
        </w:rPr>
        <w:t>فصل</w:t>
      </w:r>
      <w:bookmarkEnd w:id="646"/>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8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صغّرت ما رابعه حرف زائد من حروف المدّ واللين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w:t>
      </w:r>
      <w:bookmarkStart w:id="647" w:name="pg14482_156329"/>
    </w:p>
    <w:p>
      <w:pPr>
        <w:pStyle w:val="BookText"/>
        <w:rPr/>
      </w:pPr>
      <w:bookmarkEnd w:id="647"/>
      <w:r>
        <w:rPr>
          <w:rFonts w:ascii="Amiri" w:hAnsi="Amiri" w:eastAsia="Amiri" w:cs="Amiri"/>
          <w:color w:val="111111"/>
          <w:sz w:val="28"/>
          <w:sz w:val="28"/>
          <w:szCs w:val="28"/>
          <w:rtl w:val="true"/>
          <w:lang w:bidi="ar-SA"/>
        </w:rPr>
        <w:t xml:space="preserve">وكردوس </w:t>
      </w:r>
      <w:r>
        <w:rPr>
          <w:rStyle w:val="FootnoteAnchor"/>
          <w:rtl w:val="true"/>
        </w:rPr>
        <w:footnoteReference w:id="1870"/>
      </w:r>
      <w:r>
        <w:rPr>
          <w:rFonts w:ascii="Amiri" w:hAnsi="Amiri" w:eastAsia="Amiri" w:cs="Amiri"/>
          <w:color w:val="111111"/>
          <w:sz w:val="28"/>
          <w:sz w:val="28"/>
          <w:szCs w:val="28"/>
          <w:rtl w:val="true"/>
          <w:lang w:bidi="ar-SA"/>
        </w:rPr>
        <w:t xml:space="preserve">وقنديل قلبت الألف أو الواو ياء ، وقرّرت الياء بحالها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مصيبيح </w:t>
      </w:r>
      <w:r>
        <w:rPr>
          <w:rStyle w:val="FootnoteAnchor"/>
          <w:rtl w:val="true"/>
        </w:rPr>
        <w:footnoteReference w:id="1871"/>
      </w:r>
      <w:r>
        <w:rPr>
          <w:rFonts w:ascii="Amiri" w:hAnsi="Amiri" w:eastAsia="Amiri" w:cs="Amiri"/>
          <w:color w:val="111111"/>
          <w:sz w:val="28"/>
          <w:sz w:val="28"/>
          <w:szCs w:val="28"/>
          <w:rtl w:val="true"/>
          <w:lang w:bidi="ar-SA"/>
        </w:rPr>
        <w:t xml:space="preserve">وكريديس وقنيديل على مثال دنينير </w:t>
      </w:r>
      <w:r>
        <w:rPr>
          <w:rStyle w:val="FootnoteAnchor"/>
          <w:rtl w:val="true"/>
        </w:rPr>
        <w:footnoteReference w:id="18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8" w:name="__RefHeading___Toc716996_996550957"/>
      <w:bookmarkStart w:id="649" w:name="_Toc239"/>
      <w:bookmarkEnd w:id="648"/>
      <w:r>
        <w:rPr>
          <w:rtl w:val="true"/>
        </w:rPr>
        <w:t>فصل</w:t>
      </w:r>
      <w:bookmarkEnd w:id="649"/>
    </w:p>
    <w:p>
      <w:pPr>
        <w:pStyle w:val="BookText"/>
        <w:rPr/>
      </w:pPr>
      <w:r>
        <w:rPr>
          <w:rStyle w:val="FootnoteAnchor"/>
          <w:rtl w:val="true"/>
        </w:rPr>
        <w:footnoteReference w:id="18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صغّرت ما فيه ثلاثة أصول وزيادتان ، بقّيت التي حذفها يخلّ بالمعنى كالميم في منطلق ، مع النون ، فإنّك تبقي الميم في التصغير وتحذف النون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مطيلق ، لأنّك لو حذفت الميم لذهّبت معنى الفاعلية لأنّ الميم زيدت لمعنى الفاعليّة وليست النون كذلك </w:t>
      </w:r>
      <w:r>
        <w:rPr>
          <w:rStyle w:val="FootnoteAnchor"/>
          <w:rtl w:val="true"/>
        </w:rPr>
        <w:footnoteReference w:id="1874"/>
      </w:r>
      <w:r>
        <w:rPr>
          <w:rFonts w:ascii="Amiri" w:hAnsi="Amiri" w:eastAsia="Amiri" w:cs="Amiri"/>
          <w:color w:val="111111"/>
          <w:sz w:val="28"/>
          <w:sz w:val="28"/>
          <w:szCs w:val="28"/>
          <w:rtl w:val="true"/>
          <w:lang w:bidi="ar-SA"/>
        </w:rPr>
        <w:t xml:space="preserve">فإن لم تفضل إحدى الزيادتين الأخرى حذفت أيّهما شئت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قلنسوة ، فإنّ النون والواو فيهما زائدتان لا تفضل إحداهما الأخرى ، فإن حذفت النون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قليسية وإن حذفت الواو قلينسة </w:t>
      </w:r>
      <w:r>
        <w:rPr>
          <w:rStyle w:val="FootnoteAnchor"/>
          <w:rtl w:val="true"/>
        </w:rPr>
        <w:footnoteReference w:id="18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0" w:name="__RefHeading___Toc716998_996550957"/>
      <w:bookmarkStart w:id="651" w:name="_Toc240"/>
      <w:bookmarkEnd w:id="650"/>
      <w:r>
        <w:rPr>
          <w:rtl w:val="true"/>
        </w:rPr>
        <w:t>فصل</w:t>
      </w:r>
      <w:bookmarkEnd w:id="651"/>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8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والزيادة إن كانت رابعة ألفا أو واوا أو ياء ثبتت ولم تحذف ، ولكن تقلب ياء إن لم تكن إيّاها ، كما قلنا في مصباح وكردوس وقنديل ، وأمّا الذي زوائده ليست كذلك فتحذف كلّ زوائده في التصغير ، فتقول في سرادق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سريديق بحذف الألف لأنّها زائدة وهي غير رابعة وتقول في عنكبوت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عنيكب ، بحذف الواو والتاء لأنّهما زيادتان في غير الموضع المذكور ، ويجوز التعويض وتركه فيما حذفت منه هذه الزوائد ، فإذا حذفت وصارت الكلمة على 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دريهم فأنت مخيّر في التعويض ليصير على 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دنينير وفي التّرك ، فإن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مطيلق 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مطيليق ، 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عنيكب ، 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عنيكيب لأنّك في التعويض وتركه لا تخرج عن مثال </w:t>
      </w:r>
      <w:bookmarkStart w:id="652" w:name="pg14482_156330"/>
    </w:p>
    <w:p>
      <w:pPr>
        <w:pStyle w:val="BookText"/>
        <w:rPr/>
      </w:pPr>
      <w:bookmarkEnd w:id="652"/>
      <w:r>
        <w:rPr>
          <w:rFonts w:ascii="Amiri" w:hAnsi="Amiri" w:eastAsia="Amiri" w:cs="Amiri"/>
          <w:color w:val="111111"/>
          <w:sz w:val="28"/>
          <w:sz w:val="28"/>
          <w:szCs w:val="28"/>
          <w:rtl w:val="true"/>
          <w:lang w:bidi="ar-SA"/>
        </w:rPr>
        <w:t xml:space="preserve">التصغير </w:t>
      </w:r>
      <w:r>
        <w:rPr>
          <w:rStyle w:val="FootnoteAnchor"/>
          <w:rtl w:val="true"/>
        </w:rPr>
        <w:footnoteReference w:id="18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3" w:name="__RefHeading___Toc717000_996550957"/>
      <w:bookmarkStart w:id="654" w:name="_Toc241"/>
      <w:bookmarkEnd w:id="653"/>
      <w:r>
        <w:rPr>
          <w:rtl w:val="true"/>
        </w:rPr>
        <w:t>فصل</w:t>
      </w:r>
      <w:bookmarkEnd w:id="654"/>
    </w:p>
    <w:p>
      <w:pPr>
        <w:pStyle w:val="BookText"/>
        <w:rPr/>
      </w:pPr>
      <w:r>
        <w:rPr>
          <w:rStyle w:val="FootnoteAnchor"/>
          <w:rtl w:val="true"/>
        </w:rPr>
        <w:footnoteReference w:id="18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 القلّة يصغّر على بنائه كقولك في أكلب وأجربة وأجمال وغلمة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أكيلب وأجيربة وأجيمال وغليمة </w:t>
      </w:r>
      <w:r>
        <w:rPr>
          <w:rStyle w:val="FootnoteAnchor"/>
          <w:rtl w:val="true"/>
        </w:rPr>
        <w:footnoteReference w:id="1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جمع الكثرة ففيه مذهبان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يردّ إلى واحده ، ويصغّر عليه ثم يجمع على ما يستوجبه من الواو والنون أو الألف والتاء</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يردّ إلى بناء جمع قلّته إن وجد له ، ثمّ يصغّر كما في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غلمان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غليّمون أو غليمة </w:t>
      </w:r>
      <w:r>
        <w:rPr>
          <w:rStyle w:val="FootnoteAnchor"/>
          <w:rtl w:val="true"/>
        </w:rPr>
        <w:footnoteReference w:id="1880"/>
      </w:r>
      <w:r>
        <w:rPr>
          <w:rFonts w:ascii="Amiri" w:hAnsi="Amiri" w:eastAsia="Amiri" w:cs="Amiri"/>
          <w:color w:val="111111"/>
          <w:sz w:val="28"/>
          <w:sz w:val="28"/>
          <w:szCs w:val="28"/>
          <w:rtl w:val="true"/>
          <w:lang w:bidi="ar-SA"/>
        </w:rPr>
        <w:t xml:space="preserve">لاستكراههم صيغة واحدة تدلّ على التكثير والتقليل ، وقد شذّ من المصغّرات ما جاء على غير واحده </w:t>
      </w:r>
      <w:r>
        <w:rPr>
          <w:rStyle w:val="FootnoteAnchor"/>
          <w:rtl w:val="true"/>
        </w:rPr>
        <w:footnoteReference w:id="1881"/>
      </w:r>
      <w:r>
        <w:rPr>
          <w:rFonts w:ascii="Amiri" w:hAnsi="Amiri" w:eastAsia="Amiri" w:cs="Amiri"/>
          <w:color w:val="111111"/>
          <w:sz w:val="28"/>
          <w:sz w:val="28"/>
          <w:szCs w:val="28"/>
          <w:rtl w:val="true"/>
          <w:lang w:bidi="ar-SA"/>
        </w:rPr>
        <w:t xml:space="preserve">كأنيسيان في إنسان </w:t>
      </w:r>
      <w:r>
        <w:rPr>
          <w:rStyle w:val="FootnoteAnchor"/>
          <w:rtl w:val="true"/>
        </w:rPr>
        <w:footnoteReference w:id="1882"/>
      </w:r>
      <w:r>
        <w:rPr>
          <w:rFonts w:ascii="Amiri" w:hAnsi="Amiri" w:eastAsia="Amiri" w:cs="Amiri"/>
          <w:color w:val="111111"/>
          <w:sz w:val="28"/>
          <w:sz w:val="28"/>
          <w:szCs w:val="28"/>
          <w:rtl w:val="true"/>
          <w:lang w:bidi="ar-SA"/>
        </w:rPr>
        <w:t xml:space="preserve">، وعشيشية في عشيّة ، وأصيبيّة في صبية ، وأغيلمة في غلمة ، ورويجل في رجل </w:t>
      </w:r>
      <w:r>
        <w:rPr>
          <w:rStyle w:val="FootnoteAnchor"/>
          <w:rtl w:val="true"/>
        </w:rPr>
        <w:footnoteReference w:id="1883"/>
      </w:r>
      <w:r>
        <w:rPr>
          <w:rFonts w:ascii="Amiri" w:hAnsi="Amiri" w:eastAsia="Amiri" w:cs="Amiri"/>
          <w:color w:val="111111"/>
          <w:sz w:val="28"/>
          <w:sz w:val="28"/>
          <w:szCs w:val="28"/>
          <w:rtl w:val="true"/>
          <w:lang w:bidi="ar-SA"/>
        </w:rPr>
        <w:t xml:space="preserve">، وقولهم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أصيغر منك ، ودوين هذا ، فإنّه لتقليل ما بينهما من التفاوت ، لا للذّات الموضوع لها اللفظ </w:t>
      </w:r>
      <w:r>
        <w:rPr>
          <w:rStyle w:val="FootnoteAnchor"/>
          <w:rtl w:val="true"/>
        </w:rPr>
        <w:footnoteReference w:id="1884"/>
      </w:r>
      <w:r>
        <w:rPr>
          <w:rFonts w:eastAsia="Times New Roman" w:cs="Times New Roman" w:ascii="Times New Roman" w:hAnsi="Times New Roman"/>
          <w:color w:val="111111"/>
          <w:sz w:val="28"/>
          <w:szCs w:val="28"/>
          <w:rtl w:val="true"/>
          <w:lang w:val="en-US" w:bidi="en-US"/>
        </w:rPr>
        <w:t xml:space="preserve">. </w:t>
      </w:r>
      <w:bookmarkStart w:id="655" w:name="pg14482_156331"/>
    </w:p>
    <w:p>
      <w:pPr>
        <w:pStyle w:val="Heading5"/>
        <w:numPr>
          <w:ilvl w:val="4"/>
          <w:numId w:val="1"/>
        </w:numPr>
        <w:rPr/>
      </w:pPr>
      <w:bookmarkStart w:id="656" w:name="__RefHeading___Toc717002_996550957"/>
      <w:bookmarkStart w:id="657" w:name="_Toc242"/>
      <w:bookmarkEnd w:id="655"/>
      <w:bookmarkEnd w:id="656"/>
      <w:r>
        <w:rPr>
          <w:rtl w:val="true"/>
        </w:rPr>
        <w:t>فصل</w:t>
      </w:r>
      <w:bookmarkEnd w:id="657"/>
    </w:p>
    <w:p>
      <w:pPr>
        <w:pStyle w:val="BookText"/>
        <w:rPr/>
      </w:pPr>
      <w:r>
        <w:rPr>
          <w:rStyle w:val="FootnoteAnchor"/>
          <w:rtl w:val="true"/>
        </w:rPr>
        <w:footnoteReference w:id="18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وتصغير الفعل ليس بقياس ، وأمّا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أميلحه ، فإنّما يعنون الذي يوصف بالملح ، ومن الأسماء ما جرى في كلامهم مصغّرا وترك تكبيره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كميت وهو حمرة يخالطها سواد</w:t>
      </w:r>
      <w:r>
        <w:rPr>
          <w:rFonts w:eastAsia="Amiri" w:cs="Amiri" w:ascii="Amiri" w:hAnsi="Amiri"/>
          <w:color w:val="111111"/>
          <w:sz w:val="28"/>
          <w:szCs w:val="28"/>
          <w:rtl w:val="true"/>
          <w:lang w:bidi="ar-SA"/>
        </w:rPr>
        <w:t>.</w:t>
      </w:r>
    </w:p>
    <w:p>
      <w:pPr>
        <w:pStyle w:val="Heading5"/>
        <w:numPr>
          <w:ilvl w:val="4"/>
          <w:numId w:val="1"/>
        </w:numPr>
        <w:rPr/>
      </w:pPr>
      <w:bookmarkStart w:id="658" w:name="__RefHeading___Toc717004_996550957"/>
      <w:bookmarkStart w:id="659" w:name="_Toc243"/>
      <w:bookmarkEnd w:id="658"/>
      <w:r>
        <w:rPr>
          <w:rtl w:val="true"/>
        </w:rPr>
        <w:t>فصل</w:t>
      </w:r>
      <w:bookmarkEnd w:id="659"/>
    </w:p>
    <w:p>
      <w:pPr>
        <w:pStyle w:val="BookText"/>
        <w:rPr/>
      </w:pPr>
      <w:r>
        <w:rPr>
          <w:rStyle w:val="FootnoteAnchor"/>
          <w:rtl w:val="true"/>
        </w:rPr>
        <w:footnoteReference w:id="18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والأسماء المركّبة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بعلبكّ وحضرموت وخمسة عشر ، يصغّر الصّدر منها ويضمّ إلى الآخر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بعيلبكّ وحضيرموت وخميسة عشر وثنّيا </w:t>
      </w:r>
      <w:r>
        <w:rPr>
          <w:rStyle w:val="FootnoteAnchor"/>
          <w:rtl w:val="true"/>
        </w:rPr>
        <w:footnoteReference w:id="1887"/>
      </w:r>
      <w:r>
        <w:rPr>
          <w:rFonts w:ascii="Amiri" w:hAnsi="Amiri" w:eastAsia="Amiri" w:cs="Amiri"/>
          <w:color w:val="111111"/>
          <w:sz w:val="28"/>
          <w:sz w:val="28"/>
          <w:szCs w:val="28"/>
          <w:rtl w:val="true"/>
          <w:lang w:bidi="ar-SA"/>
        </w:rPr>
        <w:t>عشر وثنيّتا عشرة ولم يجز تصغير الاسمين جميعا ، لأنّ الثاني زيد في الأول كزيادة هاء التأنيث</w:t>
      </w:r>
      <w:r>
        <w:rPr>
          <w:rFonts w:eastAsia="Amiri" w:cs="Amiri" w:ascii="Amiri" w:hAnsi="Amiri"/>
          <w:color w:val="111111"/>
          <w:sz w:val="28"/>
          <w:szCs w:val="28"/>
          <w:rtl w:val="true"/>
          <w:lang w:bidi="ar-SA"/>
        </w:rPr>
        <w:t>.</w:t>
      </w:r>
    </w:p>
    <w:p>
      <w:pPr>
        <w:pStyle w:val="Heading5"/>
        <w:numPr>
          <w:ilvl w:val="4"/>
          <w:numId w:val="1"/>
        </w:numPr>
        <w:rPr/>
      </w:pPr>
      <w:bookmarkStart w:id="660" w:name="__RefHeading___Toc717006_996550957"/>
      <w:bookmarkStart w:id="661" w:name="_Toc244"/>
      <w:bookmarkEnd w:id="660"/>
      <w:r>
        <w:rPr>
          <w:rtl w:val="true"/>
        </w:rPr>
        <w:t>فصل</w:t>
      </w:r>
      <w:bookmarkEnd w:id="661"/>
    </w:p>
    <w:p>
      <w:pPr>
        <w:pStyle w:val="BookText"/>
        <w:rPr/>
      </w:pPr>
      <w:r>
        <w:rPr>
          <w:rStyle w:val="FootnoteAnchor"/>
          <w:rtl w:val="true"/>
        </w:rPr>
        <w:footnoteReference w:id="18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وتصغير الترخيم أن تحذف كلّ شيء زيد في بنات الثلاثة والأربعة حتى تصير الكلمة على حروفها الأصول ثم تصغّر كقولك في 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حريث وفي 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سويد ، وفي قرطاس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قريطس </w:t>
      </w:r>
      <w:r>
        <w:rPr>
          <w:rStyle w:val="FootnoteAnchor"/>
          <w:rtl w:val="true"/>
        </w:rPr>
        <w:footnoteReference w:id="18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2" w:name="__RefHeading___Toc717008_996550957"/>
      <w:bookmarkStart w:id="663" w:name="_Toc245"/>
      <w:bookmarkEnd w:id="662"/>
      <w:r>
        <w:rPr>
          <w:rtl w:val="true"/>
        </w:rPr>
        <w:t>فصل</w:t>
      </w:r>
      <w:bookmarkEnd w:id="663"/>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8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تصغير الغير المتمكّن فمنه الأسماء المبهمة ، وقد خولف بتصغيرها تصغير ما سواها بأن تركت أوائلها غير مضمومة ضمّ تصغير ، وألحقت بأواخرها ألفات ، وزيد قبل آخرها ياء التصغير ، وفتح ما قبل ياء التصغير ، فقالوا في ذا ، وتا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ذيّا وتيّا ، </w:t>
      </w:r>
      <w:bookmarkStart w:id="664" w:name="pg14482_156332"/>
    </w:p>
    <w:p>
      <w:pPr>
        <w:pStyle w:val="BookText"/>
        <w:rPr/>
      </w:pPr>
      <w:bookmarkEnd w:id="664"/>
      <w:r>
        <w:rPr>
          <w:rFonts w:ascii="Amiri" w:hAnsi="Amiri" w:eastAsia="Amiri" w:cs="Amiri"/>
          <w:color w:val="111111"/>
          <w:sz w:val="28"/>
          <w:sz w:val="28"/>
          <w:szCs w:val="28"/>
          <w:rtl w:val="true"/>
          <w:lang w:bidi="ar-SA"/>
        </w:rPr>
        <w:t xml:space="preserve">وفي الذي والتي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اللذيّا واللتيّا </w:t>
      </w:r>
      <w:r>
        <w:rPr>
          <w:rStyle w:val="FootnoteAnchor"/>
          <w:rtl w:val="true"/>
        </w:rPr>
        <w:footnoteReference w:id="1891"/>
      </w:r>
      <w:r>
        <w:rPr>
          <w:rFonts w:ascii="Amiri" w:hAnsi="Amiri" w:eastAsia="Amiri" w:cs="Amiri"/>
          <w:color w:val="111111"/>
          <w:sz w:val="28"/>
          <w:sz w:val="28"/>
          <w:szCs w:val="28"/>
          <w:rtl w:val="true"/>
          <w:lang w:bidi="ar-SA"/>
        </w:rPr>
        <w:t xml:space="preserve">ومن الأسماء ما لا يصغّر </w:t>
      </w:r>
      <w:r>
        <w:rPr>
          <w:rStyle w:val="FootnoteAnchor"/>
          <w:rtl w:val="true"/>
        </w:rPr>
        <w:footnoteReference w:id="1892"/>
      </w:r>
      <w:r>
        <w:rPr>
          <w:rFonts w:ascii="Amiri" w:hAnsi="Amiri" w:eastAsia="Amiri" w:cs="Amiri"/>
          <w:color w:val="111111"/>
          <w:sz w:val="28"/>
          <w:sz w:val="28"/>
          <w:szCs w:val="28"/>
          <w:rtl w:val="true"/>
          <w:lang w:bidi="ar-SA"/>
        </w:rPr>
        <w:t xml:space="preserve">وهي المصغّر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الكميت والمعظّم شرعا كاسم الله تعالى ، والضمائر ، وبعض المبنيّات ما لم تجعل أعلاما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ومتى ، وحيث ، وعند ، ومنذ ، ومع ، ومن ، وما ، وأمس ، وكذلك غدا ، وأول من أمس ، والبارحة </w:t>
      </w:r>
      <w:r>
        <w:rPr>
          <w:rStyle w:val="FootnoteAnchor"/>
          <w:rtl w:val="true"/>
        </w:rPr>
        <w:footnoteReference w:id="1893"/>
      </w:r>
      <w:r>
        <w:rPr>
          <w:rFonts w:ascii="Amiri" w:hAnsi="Amiri" w:eastAsia="Amiri" w:cs="Amiri"/>
          <w:color w:val="111111"/>
          <w:sz w:val="28"/>
          <w:sz w:val="28"/>
          <w:szCs w:val="28"/>
          <w:rtl w:val="true"/>
          <w:lang w:bidi="ar-SA"/>
        </w:rPr>
        <w:t xml:space="preserve">وأيام الأسبوع </w:t>
      </w:r>
      <w:r>
        <w:rPr>
          <w:rStyle w:val="FootnoteAnchor"/>
          <w:rtl w:val="true"/>
        </w:rPr>
        <w:footnoteReference w:id="1894"/>
      </w:r>
      <w:r>
        <w:rPr>
          <w:rFonts w:ascii="Amiri" w:hAnsi="Amiri" w:eastAsia="Amiri" w:cs="Amiri"/>
          <w:color w:val="111111"/>
          <w:sz w:val="28"/>
          <w:sz w:val="28"/>
          <w:szCs w:val="28"/>
          <w:rtl w:val="true"/>
          <w:lang w:bidi="ar-SA"/>
        </w:rPr>
        <w:t xml:space="preserve">، والاسم عاملا عمل الفعل كحسبك ، وضارب زيدا ، ومن ثمّ جاز ، ضويرب وامتنع ضويرب زيدا </w:t>
      </w:r>
      <w:r>
        <w:rPr>
          <w:rStyle w:val="FootnoteAnchor"/>
          <w:rtl w:val="true"/>
        </w:rPr>
        <w:footnoteReference w:id="18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5" w:name="__RefHeading___Toc717010_996550957"/>
      <w:bookmarkStart w:id="666" w:name="_Toc246"/>
      <w:bookmarkEnd w:id="665"/>
      <w:r>
        <w:rPr>
          <w:rtl w:val="true"/>
        </w:rPr>
        <w:t>ذكر المنسوب</w:t>
      </w:r>
      <w:bookmarkEnd w:id="666"/>
    </w:p>
    <w:p>
      <w:pPr>
        <w:pStyle w:val="Heading5"/>
        <w:numPr>
          <w:ilvl w:val="4"/>
          <w:numId w:val="1"/>
        </w:numPr>
        <w:rPr/>
      </w:pPr>
      <w:bookmarkStart w:id="667" w:name="__RefHeading___Toc717012_996550957"/>
      <w:bookmarkStart w:id="668" w:name="_Toc247"/>
      <w:bookmarkEnd w:id="667"/>
      <w:r>
        <w:rPr>
          <w:rtl w:val="true"/>
        </w:rPr>
        <w:t>اشارة</w:t>
      </w:r>
      <w:bookmarkEnd w:id="668"/>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8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النسبة لغة هي إضافة الشيء إلى غيره مطلقا </w:t>
      </w:r>
      <w:r>
        <w:rPr>
          <w:rStyle w:val="FootnoteAnchor"/>
          <w:rtl w:val="true"/>
        </w:rPr>
        <w:footnoteReference w:id="1897"/>
      </w:r>
      <w:r>
        <w:rPr>
          <w:rFonts w:ascii="Amiri" w:hAnsi="Amiri" w:eastAsia="Amiri" w:cs="Amiri"/>
          <w:color w:val="111111"/>
          <w:sz w:val="28"/>
          <w:sz w:val="28"/>
          <w:szCs w:val="28"/>
          <w:rtl w:val="true"/>
          <w:lang w:bidi="ar-SA"/>
        </w:rPr>
        <w:t xml:space="preserve">واصطلاحا هي إضافة الشيء إلى غيره بإلحاق الياء المشدّدة المكسور ما قبلها بآخر المضاف إليه ، للدلالة على النسبة ، ويسمّى المضاف منسوبا ، والمضاف إليه منسوبا إليه ، والغالب في المنسوب إليه أن يكون قبيلة كقرشيّ أو أبا كهاشميّ أو بلدا كمكيّ </w:t>
      </w:r>
      <w:r>
        <w:rPr>
          <w:rStyle w:val="FootnoteAnchor"/>
          <w:rtl w:val="true"/>
        </w:rPr>
        <w:footnoteReference w:id="1898"/>
      </w:r>
      <w:r>
        <w:rPr>
          <w:rFonts w:ascii="Amiri" w:hAnsi="Amiri" w:eastAsia="Amiri" w:cs="Amiri"/>
          <w:color w:val="111111"/>
          <w:sz w:val="28"/>
          <w:sz w:val="28"/>
          <w:szCs w:val="28"/>
          <w:rtl w:val="true"/>
          <w:lang w:bidi="ar-SA"/>
        </w:rPr>
        <w:t xml:space="preserve">أو صناعة كنحويّ ، والنسبة من خواصّ الاسم وألحقت ياء النسب بآخر الاسم علامة للنسبة إليه ، كما ألحقت التاء علامة للتأنيث وكما انقسم التأنيث إلى حقيقيّ وغير حقيقيّ فكذلك النسب حقيقيّ وغير حقيقي </w:t>
      </w:r>
      <w:r>
        <w:rPr>
          <w:rStyle w:val="FootnoteAnchor"/>
          <w:rtl w:val="true"/>
        </w:rPr>
        <w:footnoteReference w:id="1899"/>
      </w:r>
      <w:r>
        <w:rPr>
          <w:rFonts w:ascii="Amiri" w:hAnsi="Amiri" w:eastAsia="Amiri" w:cs="Amiri"/>
          <w:color w:val="111111"/>
          <w:sz w:val="28"/>
          <w:sz w:val="28"/>
          <w:szCs w:val="28"/>
          <w:rtl w:val="true"/>
          <w:lang w:bidi="ar-SA"/>
        </w:rPr>
        <w:t xml:space="preserve">، فالحقيقيّ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مؤثّرا في المعنى كهاشميّ ، فإنّه نقل المنسوب إليه عن الاسميّة إلى الصّفة ، وعن التعريف إلى التنكير ، وغير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على لفظ المنسوب لا غير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كرسيّ ، وكما جاءت التاء </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فارقة بين الجنس وواحده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تمرة وتمر ، فكذلك ياء النسبة فارقة بين الواحد والجنس كمجوسيّ ومجوس وروميّ وروم ، ويجب أن تحذف من المنسوب إليه تاء التأنيث </w:t>
      </w:r>
      <w:r>
        <w:rPr>
          <w:rStyle w:val="FootnoteAnchor"/>
          <w:rtl w:val="true"/>
        </w:rPr>
        <w:footnoteReference w:id="1900"/>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فاطميّ ، وإنّما حذفت لئلا يجمع بين زيادتين متنافيتين ؛ لأنّ التاء تشعر بعدم الوصف وياء النسب تشعر بالوصف </w:t>
      </w:r>
      <w:r>
        <w:rPr>
          <w:rStyle w:val="FootnoteAnchor"/>
          <w:rtl w:val="true"/>
        </w:rPr>
        <w:footnoteReference w:id="1901"/>
      </w:r>
      <w:r>
        <w:rPr>
          <w:rFonts w:ascii="Amiri" w:hAnsi="Amiri" w:eastAsia="Amiri" w:cs="Amiri"/>
          <w:color w:val="111111"/>
          <w:sz w:val="28"/>
          <w:sz w:val="28"/>
          <w:szCs w:val="28"/>
          <w:rtl w:val="true"/>
          <w:lang w:bidi="ar-SA"/>
        </w:rPr>
        <w:t xml:space="preserve">وإذا نسب إلى مثنّى أو إلى جمع سواء كان جمعا سالما أو مكسّرا ، وجب أن تحذف من ذلك علامة التثنية والجمع ، وتردّ المنسوب إليه إلى واحده ثم تنسب إليه </w:t>
      </w:r>
      <w:r>
        <w:rPr>
          <w:rStyle w:val="FootnoteAnchor"/>
          <w:rtl w:val="true"/>
        </w:rPr>
        <w:footnoteReference w:id="1902"/>
      </w:r>
      <w:r>
        <w:rPr>
          <w:rFonts w:ascii="Amiri" w:hAnsi="Amiri" w:eastAsia="Amiri" w:cs="Amiri"/>
          <w:color w:val="111111"/>
          <w:sz w:val="28"/>
          <w:sz w:val="28"/>
          <w:szCs w:val="28"/>
          <w:rtl w:val="true"/>
          <w:lang w:bidi="ar-SA"/>
        </w:rPr>
        <w:t xml:space="preserve">فتقول في النسبة إلى زيدان وزيدين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زيديّ ، وإلى مسلمين أو 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مسلميّ ، وإلى مسلمات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مسلميّ ، وإلى فرائض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فرضيّ بفتح الراء ، وإلى 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رجليّ ، لحصول الغرض بذلك لأنّ الغرض النسبة إلى مسمّى ذلك اللفظ ، واغتفر اللّبس في ذلك </w:t>
      </w:r>
      <w:r>
        <w:rPr>
          <w:rStyle w:val="FootnoteAnchor"/>
          <w:rtl w:val="true"/>
        </w:rPr>
        <w:footnoteReference w:id="1903"/>
      </w:r>
      <w:r>
        <w:rPr>
          <w:rFonts w:ascii="Amiri" w:hAnsi="Amiri" w:eastAsia="Amiri" w:cs="Amiri"/>
          <w:color w:val="111111"/>
          <w:sz w:val="28"/>
          <w:sz w:val="28"/>
          <w:szCs w:val="28"/>
          <w:rtl w:val="true"/>
          <w:lang w:bidi="ar-SA"/>
        </w:rPr>
        <w:t xml:space="preserve">وأما إذا كان الجمع المكسّر علما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كلاب ومدائن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كلابيّ ومدائنيّ </w:t>
      </w:r>
      <w:r>
        <w:rPr>
          <w:rStyle w:val="FootnoteAnchor"/>
          <w:rtl w:val="true"/>
        </w:rPr>
        <w:footnoteReference w:id="1904"/>
      </w:r>
      <w:r>
        <w:rPr>
          <w:rFonts w:ascii="Amiri" w:hAnsi="Amiri" w:eastAsia="Amiri" w:cs="Amiri"/>
          <w:color w:val="111111"/>
          <w:sz w:val="28"/>
          <w:sz w:val="28"/>
          <w:szCs w:val="28"/>
          <w:rtl w:val="true"/>
          <w:lang w:bidi="ar-SA"/>
        </w:rPr>
        <w:t xml:space="preserve">وأما إذا كان المثنّى علما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أبانين </w:t>
      </w:r>
      <w:r>
        <w:rPr>
          <w:rStyle w:val="FootnoteAnchor"/>
          <w:rtl w:val="true"/>
        </w:rPr>
        <w:footnoteReference w:id="1905"/>
      </w:r>
      <w:r>
        <w:rPr>
          <w:rFonts w:ascii="Amiri" w:hAnsi="Amiri" w:eastAsia="Amiri" w:cs="Amiri"/>
          <w:color w:val="111111"/>
          <w:sz w:val="28"/>
          <w:sz w:val="28"/>
          <w:szCs w:val="28"/>
          <w:rtl w:val="true"/>
          <w:lang w:bidi="ar-SA"/>
        </w:rPr>
        <w:t xml:space="preserve">أو الجمع السالم علما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قنّسرين </w:t>
      </w:r>
      <w:r>
        <w:rPr>
          <w:rStyle w:val="FootnoteAnchor"/>
          <w:rtl w:val="true"/>
        </w:rPr>
        <w:footnoteReference w:id="1906"/>
      </w:r>
      <w:r>
        <w:rPr>
          <w:rFonts w:ascii="Amiri" w:hAnsi="Amiri" w:eastAsia="Amiri" w:cs="Amiri"/>
          <w:color w:val="111111"/>
          <w:sz w:val="28"/>
          <w:sz w:val="28"/>
          <w:szCs w:val="28"/>
          <w:rtl w:val="true"/>
          <w:lang w:bidi="ar-SA"/>
        </w:rPr>
        <w:t xml:space="preserve">فالنسبة إليهما مترتّبة على إعرابهما فمن أعربهما بالحركة وهم الأكثر نسب إليهما من غير ردّهما إلى الواحد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أبانينيّ ورأيت أبانينيا ومررت بأبانينيّ ، وهذا قنّسريني ورأيت قنّسرينيا ومررت بقنّسرينيّ ، ومن أعربهما علمين بالحرف حذف علامة التثنية والجمع في النسبة </w:t>
      </w:r>
      <w:r>
        <w:rPr>
          <w:rStyle w:val="FootnoteAnchor"/>
          <w:rtl w:val="true"/>
        </w:rPr>
        <w:footnoteReference w:id="1907"/>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أبانيّ وقنّسريّ ، على أنّ إعرابهما بالحرف كما كان قبل العلميّة ، وقس على ذلك ، وأمّا جمع المؤنّث السالم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أذرعات </w:t>
      </w:r>
      <w:r>
        <w:rPr>
          <w:rStyle w:val="FootnoteAnchor"/>
          <w:rtl w:val="true"/>
        </w:rPr>
        <w:footnoteReference w:id="1908"/>
      </w:r>
      <w:r>
        <w:rPr>
          <w:rFonts w:ascii="Amiri" w:hAnsi="Amiri" w:eastAsia="Amiri" w:cs="Amiri"/>
          <w:color w:val="111111"/>
          <w:sz w:val="28"/>
          <w:sz w:val="28"/>
          <w:szCs w:val="28"/>
          <w:rtl w:val="true"/>
          <w:lang w:bidi="ar-SA"/>
        </w:rPr>
        <w:t xml:space="preserve">فيقول على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أذرعاتيّ ، وعلى القول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أذرعيّ </w:t>
      </w:r>
      <w:r>
        <w:rPr>
          <w:rStyle w:val="FootnoteAnchor"/>
          <w:rtl w:val="true"/>
        </w:rPr>
        <w:footnoteReference w:id="1909"/>
      </w:r>
      <w:r>
        <w:rPr>
          <w:rFonts w:eastAsia="Times New Roman" w:cs="Times New Roman" w:ascii="Times New Roman" w:hAnsi="Times New Roman"/>
          <w:color w:val="111111"/>
          <w:sz w:val="28"/>
          <w:szCs w:val="28"/>
          <w:rtl w:val="true"/>
          <w:lang w:val="en-US" w:bidi="en-US"/>
        </w:rPr>
        <w:t xml:space="preserve">. </w:t>
      </w:r>
      <w:bookmarkStart w:id="669" w:name="pg14482_156334"/>
    </w:p>
    <w:p>
      <w:pPr>
        <w:pStyle w:val="Heading5"/>
        <w:numPr>
          <w:ilvl w:val="4"/>
          <w:numId w:val="1"/>
        </w:numPr>
        <w:rPr/>
      </w:pPr>
      <w:bookmarkStart w:id="670" w:name="__RefHeading___Toc717014_996550957"/>
      <w:bookmarkStart w:id="671" w:name="_Toc248"/>
      <w:bookmarkEnd w:id="669"/>
      <w:bookmarkEnd w:id="670"/>
      <w:r>
        <w:rPr>
          <w:rtl w:val="true"/>
        </w:rPr>
        <w:t>فصل</w:t>
      </w:r>
      <w:bookmarkEnd w:id="671"/>
    </w:p>
    <w:p>
      <w:pPr>
        <w:pStyle w:val="BookText"/>
        <w:rPr/>
      </w:pPr>
      <w:r>
        <w:rPr>
          <w:rStyle w:val="FootnoteAnchor"/>
          <w:rtl w:val="true"/>
        </w:rPr>
        <w:footnoteReference w:id="19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نسبت إلى ثلاثيّ مكسور العين كنمر ، وجب فتح عينه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نمريّ بفتح الميم استثقالا لتوالي كسرتين مع ياءين ، ولا فرق في ذلك بين المذكّر والمؤنّث فتقول في شقرة بكسر القاف وهي قبيلة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شقريّ بالفتح </w:t>
      </w:r>
      <w:r>
        <w:rPr>
          <w:rStyle w:val="FootnoteAnchor"/>
          <w:rtl w:val="true"/>
        </w:rPr>
        <w:footnoteReference w:id="1911"/>
      </w:r>
      <w:r>
        <w:rPr>
          <w:rFonts w:ascii="Amiri" w:hAnsi="Amiri" w:eastAsia="Amiri" w:cs="Amiri"/>
          <w:color w:val="111111"/>
          <w:sz w:val="28"/>
          <w:sz w:val="28"/>
          <w:szCs w:val="28"/>
          <w:rtl w:val="true"/>
          <w:lang w:bidi="ar-SA"/>
        </w:rPr>
        <w:t xml:space="preserve">، وكذلك النسبة إلى إبل بالفتح </w:t>
      </w:r>
      <w:r>
        <w:rPr>
          <w:rStyle w:val="FootnoteAnchor"/>
          <w:rtl w:val="true"/>
        </w:rPr>
        <w:footnoteReference w:id="1912"/>
      </w:r>
      <w:r>
        <w:rPr>
          <w:rFonts w:ascii="Amiri" w:hAnsi="Amiri" w:eastAsia="Amiri" w:cs="Amiri"/>
          <w:color w:val="111111"/>
          <w:sz w:val="28"/>
          <w:sz w:val="28"/>
          <w:szCs w:val="28"/>
          <w:rtl w:val="true"/>
          <w:lang w:bidi="ar-SA"/>
        </w:rPr>
        <w:t xml:space="preserve">استيحاشا من توالي الكسرات هذا هو الذي عليه الجمهور ، قال السخاوي في شرح المفصّل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بالكسر ؛ لأنّ جميع حروفه مكسورة فيخفّ على اللسان ، وأمّا الحرف المكسور في الزائد على الثلاثي مع سكون ما قبله نحو راء يثرب ولام تغلب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فلك فيه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الفتح </w:t>
      </w:r>
      <w:r>
        <w:rPr>
          <w:rStyle w:val="FootnoteAnchor"/>
          <w:rtl w:val="true"/>
        </w:rPr>
        <w:footnoteReference w:id="1913"/>
      </w:r>
      <w:r>
        <w:rPr>
          <w:rFonts w:ascii="Amiri" w:hAnsi="Amiri" w:eastAsia="Amiri" w:cs="Amiri"/>
          <w:color w:val="111111"/>
          <w:sz w:val="28"/>
          <w:sz w:val="28"/>
          <w:szCs w:val="28"/>
          <w:rtl w:val="true"/>
          <w:lang w:bidi="ar-SA"/>
        </w:rPr>
        <w:t xml:space="preserve">وإبقاؤه على الكسرة ، والشائع الكسر ، لانجبار ثقل الكسرتين ، بخفّة سكون ما قبلهما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يثربيّ ويثربيّ بفتح الراء وكسرها</w:t>
      </w:r>
      <w:r>
        <w:rPr>
          <w:rFonts w:eastAsia="Amiri" w:cs="Amiri" w:ascii="Amiri" w:hAnsi="Amiri"/>
          <w:color w:val="111111"/>
          <w:sz w:val="28"/>
          <w:szCs w:val="28"/>
          <w:rtl w:val="true"/>
          <w:lang w:bidi="ar-SA"/>
        </w:rPr>
        <w:t>.</w:t>
      </w:r>
    </w:p>
    <w:p>
      <w:pPr>
        <w:pStyle w:val="Heading5"/>
        <w:numPr>
          <w:ilvl w:val="4"/>
          <w:numId w:val="1"/>
        </w:numPr>
        <w:rPr/>
      </w:pPr>
      <w:bookmarkStart w:id="672" w:name="__RefHeading___Toc717016_996550957"/>
      <w:bookmarkStart w:id="673" w:name="_Toc249"/>
      <w:bookmarkEnd w:id="672"/>
      <w:r>
        <w:rPr>
          <w:rtl w:val="true"/>
        </w:rPr>
        <w:t>فصل</w:t>
      </w:r>
      <w:bookmarkEnd w:id="673"/>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9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وينسب إلى فعيلة بفتح الفاء وكسر العين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حنيفة حنفيّ فتحذف ياء حنيفة وجوبا ، وكذلك تحذف الياء من فعيلة بضمّ الفاء وفتح العين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جهينة وعقيلة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جهنيّ وعقيليّ ، وكذلك تحذف الواو من فعوله بفتح الفاء وضمّ العين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شنوءة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شنئيّ </w:t>
      </w:r>
      <w:r>
        <w:rPr>
          <w:rStyle w:val="FootnoteAnchor"/>
          <w:rtl w:val="true"/>
        </w:rPr>
        <w:footnoteReference w:id="1915"/>
      </w:r>
      <w:r>
        <w:rPr>
          <w:rFonts w:ascii="IRNazanin" w:hAnsi="IRNazanin" w:eastAsia="IRNazanin"/>
          <w:color w:val="111111"/>
          <w:sz w:val="28"/>
          <w:sz w:val="28"/>
          <w:szCs w:val="28"/>
          <w:rtl w:val="true"/>
          <w:lang w:bidi="fa-IR"/>
        </w:rPr>
        <w:t xml:space="preserve">، </w:t>
      </w:r>
      <w:r>
        <w:rPr>
          <w:rStyle w:val="FootnoteAnchor"/>
          <w:rtl w:val="true"/>
        </w:rPr>
        <w:footnoteReference w:id="1916"/>
      </w:r>
      <w:r>
        <w:rPr>
          <w:rFonts w:ascii="Amiri" w:hAnsi="Amiri" w:eastAsia="Amiri" w:cs="Amiri"/>
          <w:color w:val="111111"/>
          <w:sz w:val="28"/>
          <w:sz w:val="28"/>
          <w:szCs w:val="28"/>
          <w:rtl w:val="true"/>
          <w:lang w:bidi="ar-SA"/>
        </w:rPr>
        <w:t xml:space="preserve">وإنما حذفت الياء والواو من فعيلة وفعيلة وفعولة المذكورات للفرق بينها وبين فعيل وفعيل وفعول المذكّرين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كريم وقريش وعجول ، فإنّك تنسب إليها بغير حذف الياء والواو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كريميّ وقريشيّ </w:t>
      </w:r>
      <w:bookmarkStart w:id="674" w:name="pg14482_156335"/>
    </w:p>
    <w:p>
      <w:pPr>
        <w:pStyle w:val="BookText"/>
        <w:rPr/>
      </w:pPr>
      <w:bookmarkEnd w:id="674"/>
      <w:r>
        <w:rPr>
          <w:rFonts w:ascii="Amiri" w:hAnsi="Amiri" w:eastAsia="Amiri" w:cs="Amiri"/>
          <w:color w:val="111111"/>
          <w:sz w:val="28"/>
          <w:sz w:val="28"/>
          <w:szCs w:val="28"/>
          <w:rtl w:val="true"/>
          <w:lang w:bidi="ar-SA"/>
        </w:rPr>
        <w:t xml:space="preserve">وعجوليّ </w:t>
      </w:r>
      <w:r>
        <w:rPr>
          <w:rStyle w:val="FootnoteAnchor"/>
          <w:rtl w:val="true"/>
        </w:rPr>
        <w:footnoteReference w:id="1917"/>
      </w:r>
      <w:r>
        <w:rPr>
          <w:rFonts w:ascii="Amiri" w:hAnsi="Amiri" w:eastAsia="Amiri" w:cs="Amiri"/>
          <w:color w:val="111111"/>
          <w:sz w:val="28"/>
          <w:sz w:val="28"/>
          <w:szCs w:val="28"/>
          <w:rtl w:val="true"/>
          <w:lang w:bidi="ar-SA"/>
        </w:rPr>
        <w:t xml:space="preserve">وما جاء بخلاف ذلك فهو شاذ 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قرشيّ على خلاف القياس </w:t>
      </w:r>
      <w:r>
        <w:rPr>
          <w:rStyle w:val="FootnoteAnchor"/>
          <w:rtl w:val="true"/>
        </w:rPr>
        <w:footnoteReference w:id="1918"/>
      </w:r>
      <w:r>
        <w:rPr>
          <w:rFonts w:ascii="Amiri" w:hAnsi="Amiri" w:eastAsia="Amiri" w:cs="Amiri"/>
          <w:color w:val="111111"/>
          <w:sz w:val="28"/>
          <w:sz w:val="28"/>
          <w:szCs w:val="28"/>
          <w:rtl w:val="true"/>
          <w:lang w:bidi="ar-SA"/>
        </w:rPr>
        <w:t xml:space="preserve">وإنما تحذف حرف العلّة من فعيلة وفعولة إذا لم تكن مضاعفة ولا معتلّة العين ، فأمّا إذا كانت فعيلة مضاعفة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شديدة فإنّك تنسب إليها بغير حذف الياء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شديديّ وكذلك تقول في فعيلة المعتلّة العين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طويلة طويليّ بإثبات الياء </w:t>
      </w:r>
      <w:r>
        <w:rPr>
          <w:rStyle w:val="FootnoteAnchor"/>
          <w:rtl w:val="true"/>
        </w:rPr>
        <w:footnoteReference w:id="19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5" w:name="__RefHeading___Toc717018_996550957"/>
      <w:bookmarkStart w:id="676" w:name="_Toc250"/>
      <w:bookmarkEnd w:id="675"/>
      <w:r>
        <w:rPr>
          <w:rtl w:val="true"/>
        </w:rPr>
        <w:t>فصل</w:t>
      </w:r>
      <w:bookmarkEnd w:id="676"/>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9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نسبت إلى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أسيّد وسيّد وحميّر وهو كلّ اسم قبل آخره ياءان مدغمة إحداهما في الأخرى فإنّه يجب حذف الياء المتحركة منهما ، وهي المدغم فيها وإبقاء الساكنة التي كانت مدغمة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أسيديّ وسيديّ وحميريّ </w:t>
      </w:r>
      <w:r>
        <w:rPr>
          <w:rStyle w:val="FootnoteAnchor"/>
          <w:rtl w:val="true"/>
        </w:rPr>
        <w:footnoteReference w:id="1921"/>
      </w:r>
      <w:r>
        <w:rPr>
          <w:rFonts w:ascii="Amiri" w:hAnsi="Amiri" w:eastAsia="Amiri" w:cs="Amiri"/>
          <w:color w:val="111111"/>
          <w:sz w:val="28"/>
          <w:sz w:val="28"/>
          <w:szCs w:val="28"/>
          <w:rtl w:val="true"/>
          <w:lang w:bidi="ar-SA"/>
        </w:rPr>
        <w:t xml:space="preserve">وكان يلزم أن يقال في طيء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طيئيّ مثل طيعيّ 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ولكنّهم جعلوا الألف مكان الياء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طائيّ على خلاف القياس </w:t>
      </w:r>
      <w:r>
        <w:rPr>
          <w:rStyle w:val="FootnoteAnchor"/>
          <w:rtl w:val="true"/>
        </w:rPr>
        <w:footnoteReference w:id="1922"/>
      </w:r>
      <w:r>
        <w:rPr>
          <w:rFonts w:ascii="Amiri" w:hAnsi="Amiri" w:eastAsia="Amiri" w:cs="Amiri"/>
          <w:color w:val="111111"/>
          <w:sz w:val="28"/>
          <w:sz w:val="28"/>
          <w:szCs w:val="28"/>
          <w:rtl w:val="true"/>
          <w:lang w:bidi="ar-SA"/>
        </w:rPr>
        <w:t xml:space="preserve">، وينسب إلى فعيل وفعيلة </w:t>
      </w:r>
      <w:r>
        <w:rPr>
          <w:rStyle w:val="FootnoteAnchor"/>
          <w:rtl w:val="true"/>
        </w:rPr>
        <w:footnoteReference w:id="1923"/>
      </w:r>
      <w:r>
        <w:rPr>
          <w:rFonts w:ascii="Amiri" w:hAnsi="Amiri" w:eastAsia="Amiri" w:cs="Amiri"/>
          <w:color w:val="111111"/>
          <w:sz w:val="28"/>
          <w:sz w:val="28"/>
          <w:szCs w:val="28"/>
          <w:rtl w:val="true"/>
          <w:lang w:bidi="ar-SA"/>
        </w:rPr>
        <w:t xml:space="preserve">، بفتح الفاء منهما من معتلّ اللام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غنيّ ، وهو حيّ من أحياء العرب </w:t>
      </w:r>
      <w:r>
        <w:rPr>
          <w:rStyle w:val="FootnoteAnchor"/>
          <w:rtl w:val="true"/>
        </w:rPr>
        <w:footnoteReference w:id="1924"/>
      </w:r>
      <w:r>
        <w:rPr>
          <w:rFonts w:ascii="Amiri" w:hAnsi="Amiri" w:eastAsia="Amiri" w:cs="Amiri"/>
          <w:color w:val="111111"/>
          <w:sz w:val="28"/>
          <w:sz w:val="28"/>
          <w:szCs w:val="28"/>
          <w:rtl w:val="true"/>
          <w:lang w:bidi="ar-SA"/>
        </w:rPr>
        <w:t xml:space="preserve">، وضريّة وهي قرية </w:t>
      </w:r>
      <w:r>
        <w:rPr>
          <w:rStyle w:val="FootnoteAnchor"/>
          <w:rtl w:val="true"/>
        </w:rPr>
        <w:footnoteReference w:id="1925"/>
      </w:r>
      <w:r>
        <w:rPr>
          <w:rFonts w:ascii="Amiri" w:hAnsi="Amiri" w:eastAsia="Amiri" w:cs="Amiri"/>
          <w:color w:val="111111"/>
          <w:sz w:val="28"/>
          <w:sz w:val="28"/>
          <w:szCs w:val="28"/>
          <w:rtl w:val="true"/>
          <w:lang w:bidi="ar-SA"/>
        </w:rPr>
        <w:t xml:space="preserve">بحذف الياء الساكنة وقلب الثانية واوا ، وإبدال الكسرة التي قبلها فتحة فيما هي فيه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غنويّ وضرويّ ، على وزن فعلي بفتح الفاء ، وتقول في فعيل وفعيلة بضمّ الفاء منهما من معتلّ اللّام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قصي وأمّية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قصويّ وأمويّ ، على وزن فعليّ بضم الفاء ، وتقول في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تحويّ ، وفي 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فعوليّ كقولك في 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عدوّيّ </w:t>
      </w:r>
      <w:r>
        <w:rPr>
          <w:rStyle w:val="FootnoteAnchor"/>
          <w:rtl w:val="true"/>
        </w:rPr>
        <w:footnoteReference w:id="1926"/>
      </w:r>
      <w:r>
        <w:rPr>
          <w:rFonts w:ascii="IRNazanin" w:hAnsi="IRNazanin" w:eastAsia="IRNazanin"/>
          <w:color w:val="111111"/>
          <w:sz w:val="28"/>
          <w:sz w:val="28"/>
          <w:szCs w:val="28"/>
          <w:rtl w:val="true"/>
          <w:lang w:bidi="fa-IR"/>
        </w:rPr>
        <w:t xml:space="preserve">، وأما مؤنثه </w:t>
      </w:r>
      <w:bookmarkStart w:id="677" w:name="pg14482_156336"/>
    </w:p>
    <w:p>
      <w:pPr>
        <w:pStyle w:val="BookText"/>
        <w:rPr/>
      </w:pPr>
      <w:bookmarkEnd w:id="677"/>
      <w:r>
        <w:rPr>
          <w:rFonts w:ascii="Amiri" w:hAnsi="Amiri" w:eastAsia="Amiri" w:cs="Amiri"/>
          <w:color w:val="111111"/>
          <w:sz w:val="28"/>
          <w:sz w:val="28"/>
          <w:szCs w:val="28"/>
          <w:rtl w:val="true"/>
          <w:lang w:bidi="ar-SA"/>
        </w:rPr>
        <w:t xml:space="preserve">فبحذف الواو وفتح ما قبل الآخر على قول سيبويه </w:t>
      </w:r>
      <w:r>
        <w:rPr>
          <w:rStyle w:val="FootnoteAnchor"/>
          <w:rtl w:val="true"/>
        </w:rPr>
        <w:footnoteReference w:id="1927"/>
      </w:r>
      <w:r>
        <w:rPr>
          <w:rFonts w:ascii="Amiri" w:hAnsi="Amiri" w:eastAsia="Amiri" w:cs="Amiri"/>
          <w:color w:val="111111"/>
          <w:sz w:val="28"/>
          <w:sz w:val="28"/>
          <w:szCs w:val="28"/>
          <w:rtl w:val="true"/>
          <w:lang w:bidi="ar-SA"/>
        </w:rPr>
        <w:t xml:space="preserve">كعدويّ في عدوّة إجراء له مجرى الصحيح ، والمبرّد خالفه في عدم التغيير كعدوّيّ بالتشديد كمذكّره إجراء للمشدّد مجرى الحرف الواحد </w:t>
      </w:r>
      <w:r>
        <w:rPr>
          <w:rStyle w:val="FootnoteAnchor"/>
          <w:rtl w:val="true"/>
        </w:rPr>
        <w:footnoteReference w:id="19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8" w:name="__RefHeading___Toc717020_996550957"/>
      <w:bookmarkStart w:id="679" w:name="_Toc251"/>
      <w:bookmarkEnd w:id="678"/>
      <w:r>
        <w:rPr>
          <w:rtl w:val="true"/>
        </w:rPr>
        <w:t>فصل</w:t>
      </w:r>
      <w:bookmarkEnd w:id="679"/>
    </w:p>
    <w:p>
      <w:pPr>
        <w:pStyle w:val="BookText"/>
        <w:rPr/>
      </w:pPr>
      <w:r>
        <w:rPr>
          <w:rStyle w:val="FootnoteAnchor"/>
          <w:rtl w:val="true"/>
        </w:rPr>
        <w:footnoteReference w:id="19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نسبت إلى ما في آخره ألف فإن كانت ثالثة أو رابعة وكانت منقلبة عن حرف أصلي قلبتها في النّسب واوا سواء كان أصلها الواو كعصا وأعشى أو الياء كرحى ومرمى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عصويّ وأعشويّ ورحويّ ومرمويّ </w:t>
      </w:r>
      <w:r>
        <w:rPr>
          <w:rStyle w:val="FootnoteAnchor"/>
          <w:rtl w:val="true"/>
        </w:rPr>
        <w:footnoteReference w:id="1930"/>
      </w:r>
      <w:r>
        <w:rPr>
          <w:rFonts w:ascii="Amiri" w:hAnsi="Amiri" w:eastAsia="Amiri" w:cs="Amiri"/>
          <w:color w:val="111111"/>
          <w:sz w:val="28"/>
          <w:sz w:val="28"/>
          <w:szCs w:val="28"/>
          <w:rtl w:val="true"/>
          <w:lang w:bidi="ar-SA"/>
        </w:rPr>
        <w:t xml:space="preserve">وإن كانت ألف التأنيث نحو ألف حبلى ودنيا فالقياس أن تحذف كما تحذف هاء التأنيث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حبليّ ودنييّ وفي سكرى سكريّ وفي بصرى بصريّ </w:t>
      </w:r>
      <w:r>
        <w:rPr>
          <w:rStyle w:val="FootnoteAnchor"/>
          <w:rtl w:val="true"/>
        </w:rPr>
        <w:footnoteReference w:id="1931"/>
      </w:r>
      <w:r>
        <w:rPr>
          <w:rFonts w:ascii="Amiri" w:hAnsi="Amiri" w:eastAsia="Amiri" w:cs="Amiri"/>
          <w:color w:val="111111"/>
          <w:sz w:val="28"/>
          <w:sz w:val="28"/>
          <w:szCs w:val="28"/>
          <w:rtl w:val="true"/>
          <w:lang w:bidi="ar-SA"/>
        </w:rPr>
        <w:t xml:space="preserve">ويجوز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حبلويّ ودنيويّ وحبلاويّ ودنياويّ </w:t>
      </w:r>
      <w:r>
        <w:rPr>
          <w:rStyle w:val="FootnoteAnchor"/>
          <w:rtl w:val="true"/>
        </w:rPr>
        <w:footnoteReference w:id="1932"/>
      </w:r>
      <w:r>
        <w:rPr>
          <w:rFonts w:ascii="Amiri" w:hAnsi="Amiri" w:eastAsia="Amiri" w:cs="Amiri"/>
          <w:color w:val="111111"/>
          <w:sz w:val="28"/>
          <w:sz w:val="28"/>
          <w:szCs w:val="28"/>
          <w:rtl w:val="true"/>
          <w:lang w:bidi="ar-SA"/>
        </w:rPr>
        <w:t xml:space="preserve">وليس في الألف الخامسة فصاعدا إلّا الحذف فتقول في حبارى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حباريّ ، وفي قبعثرى وهو العظيم الشديد قبعثريّ </w:t>
      </w:r>
      <w:r>
        <w:rPr>
          <w:rStyle w:val="FootnoteAnchor"/>
          <w:rtl w:val="true"/>
        </w:rPr>
        <w:footnoteReference w:id="19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0" w:name="__RefHeading___Toc717022_996550957"/>
      <w:bookmarkStart w:id="681" w:name="_Toc252"/>
      <w:bookmarkEnd w:id="680"/>
      <w:r>
        <w:rPr>
          <w:rtl w:val="true"/>
        </w:rPr>
        <w:t>فصل</w:t>
      </w:r>
      <w:bookmarkEnd w:id="681"/>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9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آخر الاسم ياء قبلها كسرة وكان على ثلاثة أحرف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الشجي فتحت العين في النسب كما تفتح في نمري ، فتنقلب الياء ألفا لانفتاح ما قبلها ثمّ تقلبها واوا كما تقلب ألف عصا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شجويّ </w:t>
      </w:r>
      <w:r>
        <w:rPr>
          <w:rStyle w:val="FootnoteAnchor"/>
          <w:rtl w:val="true"/>
        </w:rPr>
        <w:footnoteReference w:id="1935"/>
      </w:r>
      <w:r>
        <w:rPr>
          <w:rFonts w:ascii="Amiri" w:hAnsi="Amiri" w:eastAsia="Amiri" w:cs="Amiri"/>
          <w:color w:val="111111"/>
          <w:sz w:val="28"/>
          <w:sz w:val="28"/>
          <w:szCs w:val="28"/>
          <w:rtl w:val="true"/>
          <w:lang w:bidi="ar-SA"/>
        </w:rPr>
        <w:t xml:space="preserve">وإن كانت الياء رابعة وقبلها كسرة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والحاني ففيه وجهان </w:t>
      </w:r>
      <w:r>
        <w:rPr>
          <w:rFonts w:eastAsia="Amiri" w:cs="Amiri" w:ascii="Amiri" w:hAnsi="Amiri"/>
          <w:color w:val="111111"/>
          <w:sz w:val="28"/>
          <w:szCs w:val="28"/>
          <w:rtl w:val="true"/>
          <w:lang w:bidi="ar-SA"/>
        </w:rPr>
        <w:t xml:space="preserve">: </w:t>
      </w:r>
      <w:bookmarkStart w:id="682" w:name="pg14482_156337"/>
    </w:p>
    <w:p>
      <w:pPr>
        <w:pStyle w:val="BookText"/>
        <w:rPr/>
      </w:pPr>
      <w:bookmarkEnd w:id="682"/>
      <w:r>
        <w:rPr>
          <w:rFonts w:ascii="Amiri" w:hAnsi="Amiri" w:eastAsia="Amiri" w:cs="Amiri"/>
          <w:color w:val="111111"/>
          <w:sz w:val="28"/>
          <w:sz w:val="28"/>
          <w:szCs w:val="28"/>
          <w:rtl w:val="true"/>
          <w:lang w:bidi="ar-SA"/>
        </w:rPr>
        <w:t xml:space="preserve">أحدهما حذف الياء التي هي لام الكلمة وهو الأجود ثم تنسب إليه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قاضيّ وحانيّ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قلبهما واوا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قاضويّ وحانويّ </w:t>
      </w:r>
      <w:r>
        <w:rPr>
          <w:rStyle w:val="FootnoteAnchor"/>
          <w:rtl w:val="true"/>
        </w:rPr>
        <w:footnoteReference w:id="1936"/>
      </w:r>
      <w:r>
        <w:rPr>
          <w:rFonts w:ascii="Amiri" w:hAnsi="Amiri" w:eastAsia="Amiri" w:cs="Amiri"/>
          <w:color w:val="111111"/>
          <w:sz w:val="28"/>
          <w:sz w:val="28"/>
          <w:szCs w:val="28"/>
          <w:rtl w:val="true"/>
          <w:lang w:bidi="ar-SA"/>
        </w:rPr>
        <w:t xml:space="preserve">والحانيّ منسوب إلى الحانة وهو بيت الخمّار ، ووجه قاضويّ أنهم أبدلوا من الكسرة فتحة ، ومن الياء ألفا ، بقي قاضايّ ثم انقلبت الألف واوا مع ياء النسب فصار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قاضويّ ، وليس في الياء الخامسة فصاعدا إلّا الحذف كقولك في مشتري ومستسقي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مشتريّ ومستسقيّ </w:t>
      </w:r>
      <w:r>
        <w:rPr>
          <w:rStyle w:val="FootnoteAnchor"/>
          <w:rtl w:val="true"/>
        </w:rPr>
        <w:footnoteReference w:id="1937"/>
      </w:r>
      <w:r>
        <w:rPr>
          <w:rFonts w:ascii="Amiri" w:hAnsi="Amiri" w:eastAsia="Amiri" w:cs="Amiri"/>
          <w:color w:val="111111"/>
          <w:sz w:val="28"/>
          <w:sz w:val="28"/>
          <w:szCs w:val="28"/>
          <w:rtl w:val="true"/>
          <w:lang w:bidi="ar-SA"/>
        </w:rPr>
        <w:t xml:space="preserve">وإذا نسبت إلى محيّ اسم فاعل من حيّاه الله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محويّ بحذف الياء الأولى من محييّ ، فتقلب الياء الثانية ألفا لتحركها وانفتاح ما قبلها ثم تنقلب الألف واوا مع ياء النسب فيبقى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محويّ مثل أمويّ ، وفيه وجه آخر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محيّيّ فيجمع بين أربع ياءات لسكون الأولى والثالثة </w:t>
      </w:r>
      <w:r>
        <w:rPr>
          <w:rStyle w:val="FootnoteAnchor"/>
          <w:rtl w:val="true"/>
        </w:rPr>
        <w:footnoteReference w:id="19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3" w:name="__RefHeading___Toc717024_996550957"/>
      <w:bookmarkStart w:id="684" w:name="_Toc253"/>
      <w:bookmarkEnd w:id="683"/>
      <w:r>
        <w:rPr>
          <w:rtl w:val="true"/>
        </w:rPr>
        <w:t>فصل</w:t>
      </w:r>
      <w:bookmarkEnd w:id="684"/>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9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آخر الاسم واوا أو ياء قبلها ساكن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 وظبي فالنسبة إليهما كالنسبة إلى موازنهما من الصحيح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 ، فكما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بكريّ كذلك تقول في غزو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غزويّ بسكون الزاي ، وفي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نحويّ ، وفي ظبي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ظبييّ ، فتجمع بين ثلاث ياءات </w:t>
      </w:r>
      <w:r>
        <w:rPr>
          <w:rStyle w:val="FootnoteAnchor"/>
          <w:rtl w:val="true"/>
        </w:rPr>
        <w:footnoteReference w:id="1940"/>
      </w:r>
      <w:r>
        <w:rPr>
          <w:rFonts w:ascii="Amiri" w:hAnsi="Amiri" w:eastAsia="Amiri" w:cs="Amiri"/>
          <w:color w:val="111111"/>
          <w:sz w:val="28"/>
          <w:sz w:val="28"/>
          <w:szCs w:val="28"/>
          <w:rtl w:val="true"/>
          <w:lang w:bidi="ar-SA"/>
        </w:rPr>
        <w:t xml:space="preserve">وكذلك فيما لحقته تاء التأنيث من ذلك عند الخليل وسيبويه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ظبية فتقول في النسبة إليها ظبييّ ، كما تنسب إلى ظبي ، وقال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ظبويّ وعلى مذهبه جاء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قرويّ في النسبة إلى قرية وهو شاذ عند الخليل وسيبويه </w:t>
      </w:r>
      <w:r>
        <w:rPr>
          <w:rStyle w:val="FootnoteAnchor"/>
          <w:rtl w:val="true"/>
        </w:rPr>
        <w:footnoteReference w:id="1941"/>
      </w:r>
      <w:r>
        <w:rPr>
          <w:rFonts w:ascii="Amiri" w:hAnsi="Amiri" w:eastAsia="Amiri" w:cs="Amiri"/>
          <w:color w:val="111111"/>
          <w:sz w:val="28"/>
          <w:sz w:val="28"/>
          <w:szCs w:val="28"/>
          <w:rtl w:val="true"/>
          <w:lang w:bidi="ar-SA"/>
        </w:rPr>
        <w:t xml:space="preserve">، فإنّ النسبة إلى قرية على مذهبهما كالنسبة إلى ظبية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في النسبة إلى 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حيويّ </w:t>
      </w:r>
      <w:r>
        <w:rPr>
          <w:rStyle w:val="FootnoteAnchor"/>
          <w:rtl w:val="true"/>
        </w:rPr>
        <w:footnoteReference w:id="1942"/>
      </w:r>
      <w:bookmarkStart w:id="685" w:name="pg14482_156338"/>
    </w:p>
    <w:p>
      <w:pPr>
        <w:pStyle w:val="BookText"/>
        <w:rPr/>
      </w:pPr>
      <w:bookmarkEnd w:id="685"/>
      <w:r>
        <w:rPr>
          <w:rFonts w:ascii="Amiri" w:hAnsi="Amiri" w:eastAsia="Amiri" w:cs="Amiri"/>
          <w:color w:val="111111"/>
          <w:sz w:val="28"/>
          <w:sz w:val="28"/>
          <w:szCs w:val="28"/>
          <w:rtl w:val="true"/>
          <w:lang w:bidi="ar-SA"/>
        </w:rPr>
        <w:t xml:space="preserve">وكذلك الحكم في فعلة بضم الفاء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عروة ورشوة </w:t>
      </w:r>
      <w:r>
        <w:rPr>
          <w:rStyle w:val="FootnoteAnchor"/>
          <w:rtl w:val="true"/>
        </w:rPr>
        <w:footnoteReference w:id="1943"/>
      </w:r>
      <w:r>
        <w:rPr>
          <w:rFonts w:ascii="Amiri" w:hAnsi="Amiri" w:eastAsia="Amiri" w:cs="Amiri"/>
          <w:color w:val="111111"/>
          <w:sz w:val="28"/>
          <w:sz w:val="28"/>
          <w:szCs w:val="28"/>
          <w:rtl w:val="true"/>
          <w:lang w:bidi="ar-SA"/>
        </w:rPr>
        <w:t xml:space="preserve">وفي فعلة بكسر الفاء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فتية </w:t>
      </w:r>
      <w:r>
        <w:rPr>
          <w:rStyle w:val="FootnoteAnchor"/>
          <w:rtl w:val="true"/>
        </w:rPr>
        <w:footnoteReference w:id="19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6" w:name="__RefHeading___Toc717026_996550957"/>
      <w:bookmarkStart w:id="687" w:name="_Toc254"/>
      <w:bookmarkEnd w:id="686"/>
      <w:r>
        <w:rPr>
          <w:rtl w:val="true"/>
        </w:rPr>
        <w:t>فصل</w:t>
      </w:r>
      <w:bookmarkEnd w:id="687"/>
    </w:p>
    <w:p>
      <w:pPr>
        <w:pStyle w:val="BookText"/>
        <w:rPr/>
      </w:pPr>
      <w:r>
        <w:rPr>
          <w:rStyle w:val="FootnoteAnchor"/>
          <w:rtl w:val="true"/>
        </w:rPr>
        <w:footnoteReference w:id="19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نسبت إلى منسوب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تميميّ وهجريّ وشافعيّ لم تقل إلّا ذلك </w:t>
      </w:r>
      <w:r>
        <w:rPr>
          <w:rStyle w:val="FootnoteAnchor"/>
          <w:rtl w:val="true"/>
        </w:rPr>
        <w:footnoteReference w:id="19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8" w:name="__RefHeading___Toc717028_996550957"/>
      <w:bookmarkStart w:id="689" w:name="_Toc255"/>
      <w:bookmarkEnd w:id="688"/>
      <w:r>
        <w:rPr>
          <w:rtl w:val="true"/>
        </w:rPr>
        <w:t>فصل</w:t>
      </w:r>
      <w:bookmarkEnd w:id="689"/>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9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آخره ألف ممدودة ينقسم إلى منصرف وغير منصرف ، أما المنصرف فتبقيه على حاله وتنسب إليه ، سواء كانت الهمزة فيه أصليّة كقرّاء ، أو مبدلة من حرف أصلي ككساء ، أو كانت للإلحاق كحرباء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قرّائيّ وكسائيّ وحربائيّ والقلب في ذلك كله جائز </w:t>
      </w:r>
      <w:r>
        <w:rPr>
          <w:rStyle w:val="FootnoteAnchor"/>
          <w:rtl w:val="true"/>
        </w:rPr>
        <w:footnoteReference w:id="1948"/>
      </w:r>
      <w:r>
        <w:rPr>
          <w:rFonts w:ascii="Amiri" w:hAnsi="Amiri" w:eastAsia="Amiri" w:cs="Amiri"/>
          <w:color w:val="111111"/>
          <w:sz w:val="28"/>
          <w:sz w:val="28"/>
          <w:szCs w:val="28"/>
          <w:rtl w:val="true"/>
          <w:lang w:bidi="ar-SA"/>
        </w:rPr>
        <w:t xml:space="preserve">وهو أن تجعل مكان الهمزة واوا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قرّاويّ وكساويّ وحرباويّ ، وأمّا غير المنصرف ، وهو ما كانت فيه الهمزة للتأنيث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حمراء فليس فيه إلّا القلب </w:t>
      </w:r>
      <w:r>
        <w:rPr>
          <w:rStyle w:val="FootnoteAnchor"/>
          <w:rtl w:val="true"/>
        </w:rPr>
        <w:footnoteReference w:id="1949"/>
      </w:r>
      <w:r>
        <w:rPr>
          <w:rFonts w:ascii="Amiri" w:hAnsi="Amiri" w:eastAsia="Amiri" w:cs="Amiri"/>
          <w:color w:val="111111"/>
          <w:sz w:val="28"/>
          <w:sz w:val="28"/>
          <w:szCs w:val="28"/>
          <w:rtl w:val="true"/>
          <w:lang w:bidi="ar-SA"/>
        </w:rPr>
        <w:t xml:space="preserve">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حمراويّ ، وإنّما لم تحذف كما حذفت ألف حبلى ، لأنّ الهمزة قوية حية بالحركة فجرت لذلك مجرى الحروف الأصلية في عدم الحذف فلم تحذف ، وألف حبلى ضعيفة ميّتة بالسكون فحذفت </w:t>
      </w:r>
      <w:r>
        <w:rPr>
          <w:rStyle w:val="FootnoteAnchor"/>
          <w:rtl w:val="true"/>
        </w:rPr>
        <w:footnoteReference w:id="1950"/>
      </w:r>
      <w:r>
        <w:rPr>
          <w:rFonts w:ascii="Amiri" w:hAnsi="Amiri" w:eastAsia="Amiri" w:cs="Amiri"/>
          <w:color w:val="111111"/>
          <w:sz w:val="28"/>
          <w:sz w:val="28"/>
          <w:szCs w:val="28"/>
          <w:rtl w:val="true"/>
          <w:lang w:bidi="ar-SA"/>
        </w:rPr>
        <w:t xml:space="preserve">وتقول في زكرياء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زكرياويّ </w:t>
      </w:r>
      <w:r>
        <w:rPr>
          <w:rStyle w:val="FootnoteAnchor"/>
          <w:rtl w:val="true"/>
        </w:rPr>
        <w:footnoteReference w:id="1951"/>
      </w:r>
      <w:r>
        <w:rPr>
          <w:rFonts w:ascii="Amiri" w:hAnsi="Amiri" w:eastAsia="Amiri" w:cs="Amiri"/>
          <w:color w:val="111111"/>
          <w:sz w:val="28"/>
          <w:sz w:val="28"/>
          <w:szCs w:val="28"/>
          <w:rtl w:val="true"/>
          <w:lang w:bidi="ar-SA"/>
        </w:rPr>
        <w:t xml:space="preserve">لأنّهم لمّا عرّبوه أجروه مجرى كلامهم والهمزة في مثله للتأنيث فكان مثل حمراء ، وتقول في خنفساء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خنفساويّ ، لأنّ همزتها للتأنيث ، وإن لم تكن الهمزة للتأنيث ولكنّ الاسم مؤنّث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السماء ففيه وجهان ، القلب والإبقاء فتقول </w:t>
      </w:r>
      <w:r>
        <w:rPr>
          <w:rFonts w:eastAsia="Amiri" w:cs="Amiri" w:ascii="Amiri" w:hAnsi="Amiri"/>
          <w:color w:val="111111"/>
          <w:sz w:val="28"/>
          <w:szCs w:val="28"/>
          <w:rtl w:val="true"/>
          <w:lang w:bidi="ar-SA"/>
        </w:rPr>
        <w:t xml:space="preserve">: </w:t>
      </w:r>
      <w:bookmarkStart w:id="690" w:name="pg14482_156339"/>
    </w:p>
    <w:p>
      <w:pPr>
        <w:pStyle w:val="BookText"/>
        <w:rPr/>
      </w:pPr>
      <w:bookmarkEnd w:id="690"/>
      <w:r>
        <w:rPr>
          <w:rFonts w:ascii="Amiri" w:hAnsi="Amiri" w:eastAsia="Amiri" w:cs="Amiri"/>
          <w:color w:val="111111"/>
          <w:sz w:val="28"/>
          <w:sz w:val="28"/>
          <w:szCs w:val="28"/>
          <w:rtl w:val="true"/>
          <w:lang w:bidi="ar-SA"/>
        </w:rPr>
        <w:t xml:space="preserve">سمائيّ وسماويّ ، والإبقاء أجود </w:t>
      </w:r>
      <w:r>
        <w:rPr>
          <w:rStyle w:val="FootnoteAnchor"/>
          <w:rtl w:val="true"/>
        </w:rPr>
        <w:footnoteReference w:id="1952"/>
      </w:r>
      <w:r>
        <w:rPr>
          <w:rFonts w:ascii="Amiri" w:hAnsi="Amiri" w:eastAsia="Amiri" w:cs="Amiri"/>
          <w:color w:val="111111"/>
          <w:sz w:val="28"/>
          <w:sz w:val="28"/>
          <w:szCs w:val="28"/>
          <w:rtl w:val="true"/>
          <w:lang w:bidi="ar-SA"/>
        </w:rPr>
        <w:t xml:space="preserve">للفرق بينه وبين حمراء وكذلك لك فيما لامه ياء </w:t>
      </w:r>
      <w:r>
        <w:rPr>
          <w:rStyle w:val="FootnoteAnchor"/>
          <w:rtl w:val="true"/>
        </w:rPr>
        <w:footnoteReference w:id="1953"/>
      </w:r>
      <w:r>
        <w:rPr>
          <w:rFonts w:ascii="Amiri" w:hAnsi="Amiri" w:eastAsia="Amiri" w:cs="Amiri"/>
          <w:color w:val="111111"/>
          <w:sz w:val="28"/>
          <w:sz w:val="28"/>
          <w:szCs w:val="28"/>
          <w:rtl w:val="true"/>
          <w:lang w:bidi="ar-SA"/>
        </w:rPr>
        <w:t xml:space="preserve">وهو على مثال سقاية </w:t>
      </w:r>
      <w:r>
        <w:rPr>
          <w:rStyle w:val="FootnoteAnchor"/>
          <w:rtl w:val="true"/>
        </w:rPr>
        <w:footnoteReference w:id="1954"/>
      </w:r>
      <w:r>
        <w:rPr>
          <w:rFonts w:ascii="Amiri" w:hAnsi="Amiri" w:eastAsia="Amiri" w:cs="Amiri"/>
          <w:color w:val="111111"/>
          <w:sz w:val="28"/>
          <w:sz w:val="28"/>
          <w:szCs w:val="28"/>
          <w:rtl w:val="true"/>
          <w:lang w:bidi="ar-SA"/>
        </w:rPr>
        <w:t xml:space="preserve">إن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سقائيّ بالهمز ، وأمّا ما لامه واو وهو على هذا المثال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شقاوة فإنّه لا يغير فتقول شقاويّ </w:t>
      </w:r>
      <w:r>
        <w:rPr>
          <w:rFonts w:eastAsia="Amiri" w:cs="Amiri" w:ascii="Amiri" w:hAnsi="Amiri"/>
          <w:color w:val="111111"/>
          <w:sz w:val="28"/>
          <w:szCs w:val="28"/>
          <w:rtl w:val="true"/>
          <w:lang w:bidi="ar-SA"/>
        </w:rPr>
        <w:t xml:space="preserve">/ </w:t>
      </w:r>
      <w:r>
        <w:rPr>
          <w:rStyle w:val="FootnoteAnchor"/>
          <w:rtl w:val="true"/>
        </w:rPr>
        <w:footnoteReference w:id="1955"/>
      </w:r>
      <w:r>
        <w:rPr>
          <w:rFonts w:ascii="Amiri" w:hAnsi="Amiri" w:eastAsia="Amiri" w:cs="Amiri"/>
          <w:color w:val="111111"/>
          <w:sz w:val="28"/>
          <w:sz w:val="28"/>
          <w:szCs w:val="28"/>
          <w:rtl w:val="true"/>
          <w:lang w:bidi="ar-SA"/>
        </w:rPr>
        <w:t xml:space="preserve">وفي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راية وآية وجهان ، الإبقاء والقلب إلى الهمزة وإلى الواو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راييّ وآييّ ورائيّ وآئيّ ، وراويّ وآويّ </w:t>
      </w:r>
      <w:r>
        <w:rPr>
          <w:rStyle w:val="FootnoteAnchor"/>
          <w:rtl w:val="true"/>
        </w:rPr>
        <w:footnoteReference w:id="19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1" w:name="__RefHeading___Toc717030_996550957"/>
      <w:bookmarkStart w:id="692" w:name="_Toc256"/>
      <w:bookmarkEnd w:id="691"/>
      <w:r>
        <w:rPr>
          <w:rtl w:val="true"/>
        </w:rPr>
        <w:t>فصل</w:t>
      </w:r>
      <w:bookmarkEnd w:id="692"/>
    </w:p>
    <w:p>
      <w:pPr>
        <w:pStyle w:val="BookText"/>
        <w:rPr/>
      </w:pPr>
      <w:r>
        <w:rPr>
          <w:rStyle w:val="FootnoteAnchor"/>
          <w:rtl w:val="true"/>
        </w:rPr>
        <w:footnoteReference w:id="19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نسب إلى اسم على حرفين وكان متحرك الوسط في الأصل والمحذوف منه لام ، ولم يعوّض همزة وصل ، كأب وأخ وست وجب ردّ المحذوف </w:t>
      </w:r>
      <w:r>
        <w:rPr>
          <w:rStyle w:val="FootnoteAnchor"/>
          <w:rtl w:val="true"/>
        </w:rPr>
        <w:footnoteReference w:id="1958"/>
      </w: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أبويّ وأخويّ وستهيّ </w:t>
      </w:r>
      <w:r>
        <w:rPr>
          <w:rStyle w:val="FootnoteAnchor"/>
          <w:rtl w:val="true"/>
        </w:rPr>
        <w:footnoteReference w:id="1959"/>
      </w:r>
      <w:r>
        <w:rPr>
          <w:rFonts w:ascii="Amiri" w:hAnsi="Amiri" w:eastAsia="Amiri" w:cs="Amiri"/>
          <w:color w:val="111111"/>
          <w:sz w:val="28"/>
          <w:sz w:val="28"/>
          <w:szCs w:val="28"/>
          <w:rtl w:val="true"/>
          <w:lang w:bidi="ar-SA"/>
        </w:rPr>
        <w:t xml:space="preserve">إذ أصل ست ، سته بالتحريك وتحذف عينها فتبقى سه وتحذف لامها فتبقى ست </w:t>
      </w:r>
      <w:r>
        <w:rPr>
          <w:rStyle w:val="FootnoteAnchor"/>
          <w:rtl w:val="true"/>
        </w:rPr>
        <w:footnoteReference w:id="1960"/>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 وكاء السّه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وكاء السّت</w:t>
      </w:r>
      <w:r>
        <w:rPr>
          <w:rFonts w:eastAsia="Amiri" w:cs="Amiri" w:ascii="Amiri" w:hAnsi="Amiri"/>
          <w:color w:val="111111"/>
          <w:sz w:val="28"/>
          <w:szCs w:val="28"/>
          <w:rtl w:val="true"/>
          <w:lang w:bidi="ar-SA"/>
        </w:rPr>
        <w:t xml:space="preserve">» </w:t>
      </w:r>
      <w:r>
        <w:rPr>
          <w:rStyle w:val="FootnoteAnchor"/>
          <w:rtl w:val="true"/>
        </w:rPr>
        <w:footnoteReference w:id="1961"/>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المحذوف فاء </w:t>
      </w:r>
      <w:r>
        <w:rPr>
          <w:rStyle w:val="FootnoteAnchor"/>
          <w:rtl w:val="true"/>
        </w:rPr>
        <w:footnoteReference w:id="1962"/>
      </w:r>
      <w:r>
        <w:rPr>
          <w:rFonts w:ascii="Amiri" w:hAnsi="Amiri" w:eastAsia="Amiri" w:cs="Amiri"/>
          <w:color w:val="111111"/>
          <w:sz w:val="28"/>
          <w:sz w:val="28"/>
          <w:szCs w:val="28"/>
          <w:rtl w:val="true"/>
          <w:lang w:bidi="ar-SA"/>
        </w:rPr>
        <w:t xml:space="preserve">، فهو إما معتل اللام أو ، لا ، أما معتل اللام فنحو 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أصلها وشي فحذفت فاؤها وعوّضت التاء ، بقي شية ، فيجب ردّ المحذوف </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أيضا لأنّ التاء تحذف في النسب فيبقى الاسم على حرفين ثانيهما حرف لين ولا يكون ذلك في الأسماء المعرّبة المستقلّة فوجب الرّدّ ، ولا يشكل </w:t>
      </w:r>
      <w:r>
        <w:rPr>
          <w:rStyle w:val="FootnoteAnchor"/>
          <w:rtl w:val="true"/>
        </w:rPr>
        <w:footnoteReference w:id="1963"/>
      </w:r>
      <w:r>
        <w:rPr>
          <w:rFonts w:ascii="Amiri" w:hAnsi="Amiri" w:eastAsia="Amiri" w:cs="Amiri"/>
          <w:color w:val="111111"/>
          <w:sz w:val="28"/>
          <w:sz w:val="28"/>
          <w:szCs w:val="28"/>
          <w:rtl w:val="true"/>
          <w:lang w:bidi="ar-SA"/>
        </w:rPr>
        <w:t xml:space="preserve">بمثل عدة في النسبة إليه بغير ردّ ، لأنّ ثاني الحرفين ليس حرف لين ، ولا بذو مال ، لأنّه ليس بمستقلّ ، فتقول في النسبة إلى 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وشويّ بفتح الشين وقلب الياء واوا </w:t>
      </w:r>
      <w:r>
        <w:rPr>
          <w:rStyle w:val="FootnoteAnchor"/>
          <w:rtl w:val="true"/>
        </w:rPr>
        <w:footnoteReference w:id="1964"/>
      </w:r>
      <w:r>
        <w:rPr>
          <w:rFonts w:ascii="Amiri" w:hAnsi="Amiri" w:eastAsia="Amiri" w:cs="Amiri"/>
          <w:color w:val="111111"/>
          <w:sz w:val="28"/>
          <w:sz w:val="28"/>
          <w:szCs w:val="28"/>
          <w:rtl w:val="true"/>
          <w:lang w:bidi="ar-SA"/>
        </w:rPr>
        <w:t xml:space="preserve">وقال الأخفش وشييّ بردّ الفاء </w:t>
      </w:r>
      <w:r>
        <w:rPr>
          <w:rStyle w:val="FootnoteAnchor"/>
          <w:rtl w:val="true"/>
        </w:rPr>
        <w:footnoteReference w:id="1965"/>
      </w:r>
      <w:r>
        <w:rPr>
          <w:rFonts w:ascii="Amiri" w:hAnsi="Amiri" w:eastAsia="Amiri" w:cs="Amiri"/>
          <w:color w:val="111111"/>
          <w:sz w:val="28"/>
          <w:sz w:val="28"/>
          <w:szCs w:val="28"/>
          <w:rtl w:val="true"/>
          <w:lang w:bidi="ar-SA"/>
        </w:rPr>
        <w:t xml:space="preserve">كما قلنا ، وخالف بإبقاء الياء وسكون الشين على الأصل مع وجود الموجب لحذف الواو وهو حركة الشين التي سكّنها على غير قياس </w:t>
      </w:r>
      <w:r>
        <w:rPr>
          <w:rStyle w:val="FootnoteAnchor"/>
          <w:rtl w:val="true"/>
        </w:rPr>
        <w:footnoteReference w:id="1966"/>
      </w:r>
      <w:r>
        <w:rPr>
          <w:rFonts w:ascii="Amiri" w:hAnsi="Amiri" w:eastAsia="Amiri" w:cs="Amiri"/>
          <w:color w:val="111111"/>
          <w:sz w:val="28"/>
          <w:sz w:val="28"/>
          <w:szCs w:val="28"/>
          <w:rtl w:val="true"/>
          <w:lang w:bidi="ar-SA"/>
        </w:rPr>
        <w:t xml:space="preserve">وأمّا ما ليس بمعتلّ اللام والمحذوف فاء أو عين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وسه ومذ ، أسماء إذ أصل 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سته ، ومذ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 فإنك لا تردّ المحذوف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عديّ وسهيّ ومذيّ </w:t>
      </w:r>
      <w:r>
        <w:rPr>
          <w:rStyle w:val="FootnoteAnchor"/>
          <w:rtl w:val="true"/>
        </w:rPr>
        <w:footnoteReference w:id="1967"/>
      </w:r>
      <w:r>
        <w:rPr>
          <w:rFonts w:ascii="Amiri" w:hAnsi="Amiri" w:eastAsia="Amiri" w:cs="Amiri"/>
          <w:color w:val="111111"/>
          <w:sz w:val="28"/>
          <w:sz w:val="28"/>
          <w:szCs w:val="28"/>
          <w:rtl w:val="true"/>
          <w:lang w:bidi="ar-SA"/>
        </w:rPr>
        <w:t xml:space="preserve">وأمّا ما ورد في النسبة إلى 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عدويّ </w:t>
      </w:r>
      <w:r>
        <w:rPr>
          <w:rStyle w:val="FootnoteAnchor"/>
          <w:rtl w:val="true"/>
        </w:rPr>
        <w:footnoteReference w:id="1968"/>
      </w:r>
      <w:r>
        <w:rPr>
          <w:rFonts w:ascii="Amiri" w:hAnsi="Amiri" w:eastAsia="Amiri" w:cs="Amiri"/>
          <w:color w:val="111111"/>
          <w:sz w:val="28"/>
          <w:sz w:val="28"/>
          <w:szCs w:val="28"/>
          <w:rtl w:val="true"/>
          <w:lang w:bidi="ar-SA"/>
        </w:rPr>
        <w:t xml:space="preserve">فليس بردّ ، لأنّ المحذوف هو الفاء لكن زيد فيه حرف كالعوض من الفاء </w:t>
      </w:r>
      <w:r>
        <w:rPr>
          <w:rStyle w:val="FootnoteAnchor"/>
          <w:rtl w:val="true"/>
        </w:rPr>
        <w:footnoteReference w:id="1969"/>
      </w:r>
      <w:r>
        <w:rPr>
          <w:rFonts w:ascii="Amiri" w:hAnsi="Amiri" w:eastAsia="Amiri" w:cs="Amiri"/>
          <w:color w:val="111111"/>
          <w:sz w:val="28"/>
          <w:sz w:val="28"/>
          <w:szCs w:val="28"/>
          <w:rtl w:val="true"/>
          <w:lang w:bidi="ar-SA"/>
        </w:rPr>
        <w:t xml:space="preserve">وما سوى هذين البابين الذي يجب في أحدهما الردّ والآخر ممتنع ، سائغ فيه الأمران </w:t>
      </w:r>
      <w:r>
        <w:rPr>
          <w:rStyle w:val="FootnoteAnchor"/>
          <w:rtl w:val="true"/>
        </w:rPr>
        <w:footnoteReference w:id="1970"/>
      </w:r>
      <w:r>
        <w:rPr>
          <w:rFonts w:ascii="IRNazanin" w:hAnsi="IRNazanin" w:eastAsia="IRNazanin"/>
          <w:color w:val="111111"/>
          <w:sz w:val="28"/>
          <w:sz w:val="28"/>
          <w:szCs w:val="28"/>
          <w:rtl w:val="true"/>
          <w:lang w:bidi="fa-IR"/>
        </w:rPr>
        <w:t xml:space="preserve">إن شئت رددت ، وإن شئت لم تردّ </w:t>
      </w:r>
      <w:r>
        <w:rPr>
          <w:rStyle w:val="FootnoteAnchor"/>
          <w:rtl w:val="true"/>
        </w:rPr>
        <w:footnoteReference w:id="1971"/>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غديّ وغدويّ ودميّ ودمويّ ، ويديّ ويدويّ وحريّ وحرحيّ ، والأخفش يسكّن ما أصله السكون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غدويّ </w:t>
      </w:r>
      <w:r>
        <w:rPr>
          <w:rStyle w:val="FootnoteAnchor"/>
          <w:rtl w:val="true"/>
        </w:rPr>
        <w:footnoteReference w:id="1972"/>
      </w:r>
      <w:r>
        <w:rPr>
          <w:rFonts w:ascii="IRNazanin" w:hAnsi="IRNazanin" w:eastAsia="IRNazanin"/>
          <w:color w:val="111111"/>
          <w:sz w:val="28"/>
          <w:sz w:val="28"/>
          <w:szCs w:val="28"/>
          <w:rtl w:val="true"/>
          <w:lang w:bidi="fa-IR"/>
        </w:rPr>
        <w:t xml:space="preserve">ومن </w:t>
      </w:r>
      <w:bookmarkStart w:id="693" w:name="pg14482_156341"/>
    </w:p>
    <w:p>
      <w:pPr>
        <w:pStyle w:val="BookText"/>
        <w:rPr/>
      </w:pPr>
      <w:bookmarkEnd w:id="693"/>
      <w:r>
        <w:rPr>
          <w:rFonts w:ascii="Amiri" w:hAnsi="Amiri" w:eastAsia="Amiri" w:cs="Amiri"/>
          <w:color w:val="111111"/>
          <w:sz w:val="28"/>
          <w:sz w:val="28"/>
          <w:szCs w:val="28"/>
          <w:rtl w:val="true"/>
          <w:lang w:bidi="ar-SA"/>
        </w:rPr>
        <w:t xml:space="preserve">ذلك ابن واسم </w:t>
      </w:r>
      <w:r>
        <w:rPr>
          <w:rStyle w:val="FootnoteAnchor"/>
          <w:rtl w:val="true"/>
        </w:rPr>
        <w:footnoteReference w:id="1973"/>
      </w:r>
      <w:r>
        <w:rPr>
          <w:rFonts w:ascii="Amiri" w:hAnsi="Amiri" w:eastAsia="Amiri" w:cs="Amiri"/>
          <w:color w:val="111111"/>
          <w:sz w:val="28"/>
          <w:sz w:val="28"/>
          <w:szCs w:val="28"/>
          <w:rtl w:val="true"/>
          <w:lang w:bidi="ar-SA"/>
        </w:rPr>
        <w:t xml:space="preserve">فينسب إليهما </w:t>
      </w:r>
      <w:r>
        <w:rPr>
          <w:rStyle w:val="FootnoteAnchor"/>
          <w:rtl w:val="true"/>
        </w:rPr>
        <w:footnoteReference w:id="1974"/>
      </w:r>
      <w:r>
        <w:rPr>
          <w:rFonts w:ascii="Amiri" w:hAnsi="Amiri" w:eastAsia="Amiri" w:cs="Amiri"/>
          <w:color w:val="111111"/>
          <w:sz w:val="28"/>
          <w:sz w:val="28"/>
          <w:szCs w:val="28"/>
          <w:rtl w:val="true"/>
          <w:lang w:bidi="ar-SA"/>
        </w:rPr>
        <w:t xml:space="preserve">بالحذف ، وبالردّ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ابنيّ وبنويّ واسميّ وسمويّ بتحريك الميم بالفتح </w:t>
      </w:r>
      <w:r>
        <w:rPr>
          <w:rStyle w:val="FootnoteAnchor"/>
          <w:rtl w:val="true"/>
        </w:rPr>
        <w:footnoteReference w:id="1975"/>
      </w:r>
      <w:r>
        <w:rPr>
          <w:rFonts w:ascii="Amiri" w:hAnsi="Amiri" w:eastAsia="Amiri" w:cs="Amiri"/>
          <w:color w:val="111111"/>
          <w:sz w:val="28"/>
          <w:sz w:val="28"/>
          <w:szCs w:val="28"/>
          <w:rtl w:val="true"/>
          <w:lang w:bidi="ar-SA"/>
        </w:rPr>
        <w:t>وقياس قول الأخفش إسكانها</w:t>
      </w:r>
      <w:r>
        <w:rPr>
          <w:rFonts w:eastAsia="Amiri" w:cs="Amiri" w:ascii="Amiri" w:hAnsi="Amiri"/>
          <w:color w:val="111111"/>
          <w:sz w:val="28"/>
          <w:szCs w:val="28"/>
          <w:rtl w:val="true"/>
          <w:lang w:bidi="ar-SA"/>
        </w:rPr>
        <w:t>.</w:t>
      </w:r>
    </w:p>
    <w:p>
      <w:pPr>
        <w:pStyle w:val="Heading5"/>
        <w:numPr>
          <w:ilvl w:val="4"/>
          <w:numId w:val="1"/>
        </w:numPr>
        <w:rPr/>
      </w:pPr>
      <w:bookmarkStart w:id="694" w:name="__RefHeading___Toc717032_996550957"/>
      <w:bookmarkStart w:id="695" w:name="_Toc257"/>
      <w:bookmarkEnd w:id="694"/>
      <w:r>
        <w:rPr>
          <w:rtl w:val="true"/>
        </w:rPr>
        <w:t>فصل</w:t>
      </w:r>
      <w:bookmarkEnd w:id="695"/>
    </w:p>
    <w:p>
      <w:pPr>
        <w:pStyle w:val="BookText"/>
        <w:rPr/>
      </w:pPr>
      <w:r>
        <w:rPr>
          <w:rStyle w:val="FootnoteAnchor"/>
          <w:rtl w:val="true"/>
        </w:rPr>
        <w:footnoteReference w:id="19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نسبت إلى بنت وأخت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بنويّ وأخويّ عند سيبويه </w:t>
      </w:r>
      <w:r>
        <w:rPr>
          <w:rStyle w:val="FootnoteAnchor"/>
          <w:rtl w:val="true"/>
        </w:rPr>
        <w:footnoteReference w:id="1977"/>
      </w:r>
      <w:r>
        <w:rPr>
          <w:rFonts w:ascii="Amiri" w:hAnsi="Amiri" w:eastAsia="Amiri" w:cs="Amiri"/>
          <w:color w:val="111111"/>
          <w:sz w:val="28"/>
          <w:sz w:val="28"/>
          <w:szCs w:val="28"/>
          <w:rtl w:val="true"/>
          <w:lang w:bidi="ar-SA"/>
        </w:rPr>
        <w:t xml:space="preserve">لأنّ أصلهما بنوة وأخوة فحذفت الواو منهما ، وعوّض عنها التاء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وأخت ، وكما ردّت الواو في التصغير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بنيّة وأخيّة ، فكذلك ردّت الواو في النسب وحذفت التاء لشبه هذه التاء أعني تاء بنت وأخت بتاء التأنيث وهم يحذفون تاء التأنيث في النسب ، ويونس ينسب إليهما بغير تغيير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بنتي وأختي </w:t>
      </w:r>
      <w:r>
        <w:rPr>
          <w:rStyle w:val="FootnoteAnchor"/>
          <w:rtl w:val="true"/>
        </w:rPr>
        <w:footnoteReference w:id="19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6" w:name="__RefHeading___Toc717034_996550957"/>
      <w:bookmarkStart w:id="697" w:name="_Toc258"/>
      <w:bookmarkEnd w:id="696"/>
      <w:r>
        <w:rPr>
          <w:rtl w:val="true"/>
        </w:rPr>
        <w:t>فصل</w:t>
      </w:r>
      <w:bookmarkEnd w:id="697"/>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9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وينسب إلى الصدر من الأسماء المركّبة فتقول في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معدي كرب وحضرموت وخمسة عشر إذا كان اسما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معديّ ومعدويّ وخمسيّ وحضريّ </w:t>
      </w:r>
      <w:r>
        <w:rPr>
          <w:rStyle w:val="FootnoteAnchor"/>
          <w:rtl w:val="true"/>
        </w:rPr>
        <w:footnoteReference w:id="1980"/>
      </w:r>
      <w:r>
        <w:rPr>
          <w:rFonts w:ascii="Amiri" w:hAnsi="Amiri" w:eastAsia="Amiri" w:cs="Amiri"/>
          <w:color w:val="111111"/>
          <w:sz w:val="28"/>
          <w:sz w:val="28"/>
          <w:szCs w:val="28"/>
          <w:rtl w:val="true"/>
          <w:lang w:bidi="ar-SA"/>
        </w:rPr>
        <w:t xml:space="preserve">وحضّرميّ </w:t>
      </w:r>
      <w:r>
        <w:rPr>
          <w:rStyle w:val="FootnoteAnchor"/>
          <w:rtl w:val="true"/>
        </w:rPr>
        <w:footnoteReference w:id="1981"/>
      </w:r>
      <w:r>
        <w:rPr>
          <w:rFonts w:ascii="Amiri" w:hAnsi="Amiri" w:eastAsia="Amiri" w:cs="Amiri"/>
          <w:color w:val="111111"/>
          <w:sz w:val="28"/>
          <w:sz w:val="28"/>
          <w:szCs w:val="28"/>
          <w:rtl w:val="true"/>
          <w:lang w:bidi="ar-SA"/>
        </w:rPr>
        <w:t xml:space="preserve">لأنّ الاسم الثاني من المركبين مثل هاء التأنيث في انضمامه إلى الأول </w:t>
      </w:r>
      <w:r>
        <w:rPr>
          <w:rStyle w:val="FootnoteAnchor"/>
          <w:rtl w:val="true"/>
        </w:rPr>
        <w:footnoteReference w:id="1982"/>
      </w:r>
      <w:r>
        <w:rPr>
          <w:rFonts w:eastAsia="Times New Roman" w:cs="Times New Roman" w:ascii="Times New Roman" w:hAnsi="Times New Roman"/>
          <w:color w:val="111111"/>
          <w:sz w:val="28"/>
          <w:szCs w:val="28"/>
          <w:rtl w:val="true"/>
          <w:lang w:val="en-US" w:bidi="en-US"/>
        </w:rPr>
        <w:t xml:space="preserve">. </w:t>
      </w:r>
      <w:bookmarkStart w:id="698" w:name="pg14482_156342"/>
    </w:p>
    <w:p>
      <w:pPr>
        <w:pStyle w:val="Heading5"/>
        <w:numPr>
          <w:ilvl w:val="4"/>
          <w:numId w:val="1"/>
        </w:numPr>
        <w:rPr/>
      </w:pPr>
      <w:bookmarkStart w:id="699" w:name="__RefHeading___Toc717036_996550957"/>
      <w:bookmarkStart w:id="700" w:name="_Toc259"/>
      <w:bookmarkEnd w:id="698"/>
      <w:bookmarkEnd w:id="699"/>
      <w:r>
        <w:rPr>
          <w:rtl w:val="true"/>
        </w:rPr>
        <w:t>فصل</w:t>
      </w:r>
      <w:bookmarkEnd w:id="700"/>
    </w:p>
    <w:p>
      <w:pPr>
        <w:pStyle w:val="BookText"/>
        <w:rPr/>
      </w:pPr>
      <w:r>
        <w:rPr>
          <w:rStyle w:val="FootnoteAnchor"/>
          <w:rtl w:val="true"/>
        </w:rPr>
        <w:footnoteReference w:id="19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نسبت إلى اسم مضاف فالمضاف إليه إن كان يتناول مسمّى على حياله كابن الزّبير ، فإنما تنسب إلى الاسم دون الأول </w:t>
      </w:r>
      <w:r>
        <w:rPr>
          <w:rStyle w:val="FootnoteAnchor"/>
          <w:rtl w:val="true"/>
        </w:rPr>
        <w:footnoteReference w:id="1984"/>
      </w:r>
      <w:r>
        <w:rPr>
          <w:rFonts w:ascii="Amiri" w:hAnsi="Amiri" w:eastAsia="Amiri" w:cs="Amiri"/>
          <w:color w:val="111111"/>
          <w:sz w:val="28"/>
          <w:sz w:val="28"/>
          <w:szCs w:val="28"/>
          <w:rtl w:val="true"/>
          <w:lang w:bidi="ar-SA"/>
        </w:rPr>
        <w:t xml:space="preserve">لأنّ الثاني هو الذي اشتهر به الأول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زبيريّ ، وكذلك الكنى كأبي بكر وأبي مسلم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مسلميّ وبكريّ وإن كان المضاف إليه لا يتناول مسمّى على حياله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امرىء القيس فتحذف الثاني ، لأنه زائد على الأول وتنسب إلى الأول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امرئيّ ، وقد خرجوا عن هذا القياس في عبد مناف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منافيّ خشية الإلتباس </w:t>
      </w:r>
      <w:r>
        <w:rPr>
          <w:rStyle w:val="FootnoteAnchor"/>
          <w:rtl w:val="true"/>
        </w:rPr>
        <w:footnoteReference w:id="1985"/>
      </w:r>
      <w:r>
        <w:rPr>
          <w:rFonts w:ascii="Amiri" w:hAnsi="Amiri" w:eastAsia="Amiri" w:cs="Amiri"/>
          <w:color w:val="111111"/>
          <w:sz w:val="28"/>
          <w:sz w:val="28"/>
          <w:szCs w:val="28"/>
          <w:rtl w:val="true"/>
          <w:lang w:bidi="ar-SA"/>
        </w:rPr>
        <w:t xml:space="preserve">وقد يلفّق من حروف الاسمين اسم وينسب إليه كقولهم في نحو عبد الدار وعبد القيس وعبد 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عبدريّ وعبقسيّ وعبشميّ </w:t>
      </w:r>
      <w:r>
        <w:rPr>
          <w:rStyle w:val="FootnoteAnchor"/>
          <w:rtl w:val="true"/>
        </w:rPr>
        <w:footnoteReference w:id="1986"/>
      </w:r>
      <w:r>
        <w:rPr>
          <w:rFonts w:ascii="Amiri" w:hAnsi="Amiri" w:eastAsia="Amiri" w:cs="Amiri"/>
          <w:color w:val="111111"/>
          <w:sz w:val="28"/>
          <w:sz w:val="28"/>
          <w:szCs w:val="28"/>
          <w:rtl w:val="true"/>
          <w:lang w:bidi="ar-SA"/>
        </w:rPr>
        <w:t>وهو نادر في كلامهم لا يقاس عليه</w:t>
      </w:r>
      <w:r>
        <w:rPr>
          <w:rFonts w:eastAsia="Amiri" w:cs="Amiri" w:ascii="Amiri" w:hAnsi="Amiri"/>
          <w:color w:val="111111"/>
          <w:sz w:val="28"/>
          <w:szCs w:val="28"/>
          <w:rtl w:val="true"/>
          <w:lang w:bidi="ar-SA"/>
        </w:rPr>
        <w:t>.</w:t>
      </w:r>
    </w:p>
    <w:p>
      <w:pPr>
        <w:pStyle w:val="Heading5"/>
        <w:numPr>
          <w:ilvl w:val="4"/>
          <w:numId w:val="1"/>
        </w:numPr>
        <w:rPr/>
      </w:pPr>
      <w:bookmarkStart w:id="701" w:name="__RefHeading___Toc717038_996550957"/>
      <w:bookmarkStart w:id="702" w:name="_Toc260"/>
      <w:bookmarkEnd w:id="701"/>
      <w:r>
        <w:rPr>
          <w:rtl w:val="true"/>
        </w:rPr>
        <w:t>فصل</w:t>
      </w:r>
      <w:bookmarkEnd w:id="702"/>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9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جاءت أسماء منسوبة خارجة عن القياس وذلك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بدويّ نسبة إلى البادية وكان قياسه باديّ ، وكذلك بصريّ بكسر الباء الموحدة والقياس الفتح </w:t>
      </w:r>
      <w:r>
        <w:rPr>
          <w:rStyle w:val="FootnoteAnchor"/>
          <w:rtl w:val="true"/>
        </w:rPr>
        <w:footnoteReference w:id="1988"/>
      </w:r>
      <w:r>
        <w:rPr>
          <w:rFonts w:ascii="Amiri" w:hAnsi="Amiri" w:eastAsia="Amiri" w:cs="Amiri"/>
          <w:color w:val="111111"/>
          <w:sz w:val="28"/>
          <w:sz w:val="28"/>
          <w:szCs w:val="28"/>
          <w:rtl w:val="true"/>
          <w:lang w:bidi="ar-SA"/>
        </w:rPr>
        <w:t xml:space="preserve">وكذلك دهريّ بضمّ الدال للذي أتت عليه الدهور </w:t>
      </w:r>
      <w:r>
        <w:rPr>
          <w:rStyle w:val="FootnoteAnchor"/>
          <w:rtl w:val="true"/>
        </w:rPr>
        <w:footnoteReference w:id="1989"/>
      </w:r>
      <w:r>
        <w:rPr>
          <w:rFonts w:ascii="Amiri" w:hAnsi="Amiri" w:eastAsia="Amiri" w:cs="Amiri"/>
          <w:color w:val="111111"/>
          <w:sz w:val="28"/>
          <w:sz w:val="28"/>
          <w:szCs w:val="28"/>
          <w:rtl w:val="true"/>
          <w:lang w:bidi="ar-SA"/>
        </w:rPr>
        <w:t xml:space="preserve">للفرق بينه وبين الذي يقول بالدهر ، فإنه دهريّ بفتح الدال ، وكذلك أمويّ بفتح الهمزة وكان القياس الضمّ ، وكذلك ثقفيّ وقرشيّ وهذليّ ، والقياس ثقيفيّ وقريشيّ وهذيليّ بإثبات الياء </w:t>
      </w:r>
      <w:r>
        <w:rPr>
          <w:rStyle w:val="FootnoteAnchor"/>
          <w:rtl w:val="true"/>
        </w:rPr>
        <w:footnoteReference w:id="1990"/>
      </w:r>
      <w:r>
        <w:rPr>
          <w:rFonts w:ascii="Amiri" w:hAnsi="Amiri" w:eastAsia="Amiri" w:cs="Amiri"/>
          <w:color w:val="111111"/>
          <w:sz w:val="28"/>
          <w:sz w:val="28"/>
          <w:szCs w:val="28"/>
          <w:rtl w:val="true"/>
          <w:lang w:bidi="ar-SA"/>
        </w:rPr>
        <w:t xml:space="preserve">وكذلك جلوليّ في النسبة إلى جلولاء اسم بقعة </w:t>
      </w:r>
      <w:r>
        <w:rPr>
          <w:rStyle w:val="FootnoteAnchor"/>
          <w:rtl w:val="true"/>
        </w:rPr>
        <w:footnoteReference w:id="1991"/>
      </w:r>
      <w:r>
        <w:rPr>
          <w:rFonts w:ascii="Amiri" w:hAnsi="Amiri" w:eastAsia="Amiri" w:cs="Amiri"/>
          <w:color w:val="111111"/>
          <w:sz w:val="28"/>
          <w:sz w:val="28"/>
          <w:szCs w:val="28"/>
          <w:rtl w:val="true"/>
          <w:lang w:bidi="ar-SA"/>
        </w:rPr>
        <w:t xml:space="preserve">والقياس جلولاويّ ، وكذلك </w:t>
      </w:r>
      <w:bookmarkStart w:id="703" w:name="pg14482_156343"/>
    </w:p>
    <w:p>
      <w:pPr>
        <w:pStyle w:val="BookText"/>
        <w:rPr/>
      </w:pPr>
      <w:bookmarkEnd w:id="703"/>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صنعانيّ في النسبة إلى صنعاء والقياس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صنعاويّ ، وكذلك شتويّ في النسبة إلى الشتاء والقياس شتائيّ </w:t>
      </w:r>
      <w:r>
        <w:rPr>
          <w:rStyle w:val="FootnoteAnchor"/>
          <w:rtl w:val="true"/>
        </w:rPr>
        <w:footnoteReference w:id="1992"/>
      </w:r>
      <w:r>
        <w:rPr>
          <w:rFonts w:ascii="Amiri" w:hAnsi="Amiri" w:eastAsia="Amiri" w:cs="Amiri"/>
          <w:color w:val="111111"/>
          <w:sz w:val="28"/>
          <w:sz w:val="28"/>
          <w:szCs w:val="28"/>
          <w:rtl w:val="true"/>
          <w:lang w:bidi="ar-SA"/>
        </w:rPr>
        <w:t xml:space="preserve">وشذّ في لغة الأزد سليقيّ وسليميّ ، نسبة إلى سليقة وسليمة ، والقياس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سلقيّ وسلميّ ، وشذّ في لغة كلب عميريّ </w:t>
      </w:r>
      <w:r>
        <w:rPr>
          <w:rStyle w:val="FootnoteAnchor"/>
          <w:rtl w:val="true"/>
        </w:rPr>
        <w:footnoteReference w:id="1993"/>
      </w:r>
      <w:r>
        <w:rPr>
          <w:rFonts w:ascii="Amiri" w:hAnsi="Amiri" w:eastAsia="Amiri" w:cs="Amiri"/>
          <w:color w:val="111111"/>
          <w:sz w:val="28"/>
          <w:sz w:val="28"/>
          <w:szCs w:val="28"/>
          <w:rtl w:val="true"/>
          <w:lang w:bidi="ar-SA"/>
        </w:rPr>
        <w:t xml:space="preserve">نسبة إلى عميرة والقياس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عمريّ ، وشذّ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عبديّ وجذمي بضمّ الفاء فيهما نسبة إلى عبيدة وجذيمة </w:t>
      </w:r>
      <w:r>
        <w:rPr>
          <w:rStyle w:val="FootnoteAnchor"/>
          <w:rtl w:val="true"/>
        </w:rPr>
        <w:footnoteReference w:id="1994"/>
      </w:r>
      <w:r>
        <w:rPr>
          <w:rFonts w:ascii="Amiri" w:hAnsi="Amiri" w:eastAsia="Amiri" w:cs="Amiri"/>
          <w:color w:val="111111"/>
          <w:sz w:val="28"/>
          <w:sz w:val="28"/>
          <w:szCs w:val="28"/>
          <w:rtl w:val="true"/>
          <w:lang w:bidi="ar-SA"/>
        </w:rPr>
        <w:t xml:space="preserve">والقياس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عبديّ وجذميّ </w:t>
      </w:r>
      <w:r>
        <w:rPr>
          <w:rStyle w:val="FootnoteAnchor"/>
          <w:rtl w:val="true"/>
        </w:rPr>
        <w:footnoteReference w:id="1995"/>
      </w:r>
      <w:r>
        <w:rPr>
          <w:rStyle w:val="FootnoteAnchor"/>
          <w:rtl w:val="true"/>
        </w:rPr>
        <w:footnoteReference w:id="19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4" w:name="__RefHeading___Toc717040_996550957"/>
      <w:bookmarkStart w:id="705" w:name="_Toc261"/>
      <w:bookmarkEnd w:id="704"/>
      <w:r>
        <w:rPr>
          <w:rtl w:val="true"/>
        </w:rPr>
        <w:t>فصل</w:t>
      </w:r>
      <w:bookmarkEnd w:id="705"/>
    </w:p>
    <w:p>
      <w:pPr>
        <w:pStyle w:val="BookText"/>
        <w:rPr/>
      </w:pPr>
      <w:r>
        <w:rPr>
          <w:rStyle w:val="FootnoteAnchor"/>
          <w:rtl w:val="true"/>
        </w:rPr>
        <w:footnoteReference w:id="19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يقوم مقام ياء النسب في إفادة معنى النسبة صيغتان وهما فعّال وفاعل ، وكثر ذلك في الحرف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فعّالا لما كان بناء للتكثير جعل لصاحب الحرفة المديم لها كالخيّاط والنجّار والعطّار ، وأمّا فاعل فإنّه صاحب شيء كدارع ونابل وطاعم وكاس أي ذو درع وذو نبل وذو طعام وذو كسوة ، وكذلك تامر ولابن أي صاحب تمر وصاحب لبن ، فإن كان يديم بيعهما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تمّار ولبّان </w:t>
      </w:r>
      <w:r>
        <w:rPr>
          <w:rStyle w:val="FootnoteAnchor"/>
          <w:rtl w:val="true"/>
        </w:rPr>
        <w:footnoteReference w:id="19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6" w:name="__RefHeading___Toc717042_996550957"/>
      <w:bookmarkStart w:id="707" w:name="_Toc262"/>
      <w:bookmarkEnd w:id="706"/>
      <w:r>
        <w:rPr>
          <w:rtl w:val="true"/>
        </w:rPr>
        <w:t>فصل في المقصور والممدود</w:t>
      </w:r>
      <w:bookmarkEnd w:id="707"/>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9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فالمقصور في آخره ألف ليس بعدها همزة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عصا والممدود ما في آخره همزة قبلها ألف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كساء </w:t>
      </w:r>
      <w:r>
        <w:rPr>
          <w:rStyle w:val="FootnoteAnchor"/>
          <w:rtl w:val="true"/>
        </w:rPr>
        <w:footnoteReference w:id="2000"/>
      </w:r>
      <w:r>
        <w:rPr>
          <w:rFonts w:ascii="Amiri" w:hAnsi="Amiri" w:eastAsia="Amiri" w:cs="Amiri"/>
          <w:color w:val="111111"/>
          <w:sz w:val="28"/>
          <w:sz w:val="28"/>
          <w:szCs w:val="28"/>
          <w:rtl w:val="true"/>
          <w:lang w:bidi="ar-SA"/>
        </w:rPr>
        <w:t xml:space="preserve">وكلاهما منه ما طريق معرفته القياس ومنه ما لا يعرف إلا بالسّماع ، والمراد بالقياسيّ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يعرف بقاعدة معلومة من استقراء كلامهم يرجع إليها فيها ، والسّماعي ما ليس كذلك بل يفتقر كلّ اسم منه إلى سماع قصره أو مدّه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المقصور القياسيّ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كلّ اسم قبل آخر نظيره من الصحيح فتحة ، ولامه ياء أو واو ، ويأتي من أسماء المفاعيل والمصادر ومن الجمع كما سنذكره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ذلك </w:t>
      </w:r>
      <w:r>
        <w:rPr>
          <w:rFonts w:eastAsia="Amiri" w:cs="Amiri" w:ascii="Amiri" w:hAnsi="Amiri"/>
          <w:color w:val="111111"/>
          <w:sz w:val="28"/>
          <w:szCs w:val="28"/>
          <w:rtl w:val="true"/>
          <w:lang w:bidi="ar-SA"/>
        </w:rPr>
        <w:t xml:space="preserve">: </w:t>
      </w:r>
      <w:r>
        <w:rPr>
          <w:rStyle w:val="FootnoteAnchor"/>
          <w:rtl w:val="true"/>
        </w:rPr>
        <w:footnoteReference w:id="2001"/>
      </w:r>
      <w:r>
        <w:rPr>
          <w:rFonts w:ascii="Amiri" w:hAnsi="Amiri" w:eastAsia="Amiri" w:cs="Amiri"/>
          <w:color w:val="111111"/>
          <w:sz w:val="28"/>
          <w:sz w:val="28"/>
          <w:szCs w:val="28"/>
          <w:rtl w:val="true"/>
          <w:lang w:bidi="ar-SA"/>
        </w:rPr>
        <w:t xml:space="preserve">كلّ اسم مفعول لامه ياء أو واو وفعله يزيد على ثلاثة أحرف وله نظير من الصحيح قبل آخره فتحة ، فمتى وقع المعتلّ كذلك تحرّكت فيه الياء أو الواو وانفتح ما قبلها فقلبت ألفا ، فيجب أن يكون مقصورا </w:t>
      </w:r>
      <w:r>
        <w:rPr>
          <w:rStyle w:val="FootnoteAnchor"/>
          <w:rtl w:val="true"/>
        </w:rPr>
        <w:footnoteReference w:id="2002"/>
      </w:r>
      <w:r>
        <w:rPr>
          <w:rFonts w:ascii="Amiri" w:hAnsi="Amiri" w:eastAsia="Amiri" w:cs="Amiri"/>
          <w:color w:val="111111"/>
          <w:sz w:val="28"/>
          <w:sz w:val="28"/>
          <w:szCs w:val="28"/>
          <w:rtl w:val="true"/>
          <w:lang w:bidi="ar-SA"/>
        </w:rPr>
        <w:t xml:space="preserve">وذلك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مشترى ومعطى ، لأن لام مشترى ياء وفعله اشترى وهو يزيد عن ثلاثة ، ونظيره من الصحيح مشترك ، وهو مفتوح ما قبل الآخر وأصل 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مشتريّ مثل مشترك فتحركت الياء وانفتح ما قبلها فقلبت ألفا فمشترى مقصور لحصول الشرائط المذكورة ، وبمثل ذلك بعينه انقلبت ياء معطى ألفا لكون نظيرة مخرج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الزمان والمكان والمصدر الميمي </w:t>
      </w:r>
      <w:r>
        <w:rPr>
          <w:rStyle w:val="FootnoteAnchor"/>
          <w:rtl w:val="true"/>
        </w:rPr>
        <w:footnoteReference w:id="2003"/>
      </w:r>
      <w:r>
        <w:rPr>
          <w:rFonts w:ascii="Amiri" w:hAnsi="Amiri" w:eastAsia="Amiri" w:cs="Amiri"/>
          <w:color w:val="111111"/>
          <w:sz w:val="28"/>
          <w:sz w:val="28"/>
          <w:szCs w:val="28"/>
          <w:rtl w:val="true"/>
          <w:lang w:bidi="ar-SA"/>
        </w:rPr>
        <w:t xml:space="preserve">إذا كان فيها معتلّ اللّام وهو على وزن مفعل أو مفعل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مغزى وملهى لأنّ نظيرهما مقتل ومخرج إذ الأصل فيهما مغزي وملهو بالضم فقلبتا ألفا لتحركّها وانفتاح ما قبلهما</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المعتلّ اللام لفعل يفعل إذا كان اسم الفاعل منه على أفعل أو فعل أو فعلان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العشا والصّدى والطّوى إذ نظيرها الحول والفرق والعطش ، فعشي يعشى فهو أعشى نظيره حول يحول فهو أحول ، وصدي يصدى فهو صد ، نظيره فرق يفرق فهو فرق ، وطوي يطوي فهو طيّان نظيره عطش يعطش فهو عطشان </w:t>
      </w:r>
      <w:r>
        <w:rPr>
          <w:rStyle w:val="FootnoteAnchor"/>
          <w:rtl w:val="true"/>
        </w:rPr>
        <w:footnoteReference w:id="2004"/>
      </w:r>
      <w:r>
        <w:rPr>
          <w:rFonts w:ascii="Amiri" w:hAnsi="Amiri" w:eastAsia="Amiri" w:cs="Amiri"/>
          <w:color w:val="111111"/>
          <w:sz w:val="28"/>
          <w:sz w:val="28"/>
          <w:szCs w:val="28"/>
          <w:rtl w:val="true"/>
          <w:lang w:bidi="ar-SA"/>
        </w:rPr>
        <w:t xml:space="preserve">والغراء بالمد شاذّ ، لأنّه من غري فهو غر ، والأصمعيّ </w:t>
      </w:r>
      <w:r>
        <w:rPr>
          <w:rStyle w:val="FootnoteAnchor"/>
          <w:rtl w:val="true"/>
        </w:rPr>
        <w:footnoteReference w:id="2005"/>
      </w:r>
      <w:r>
        <w:rPr>
          <w:rFonts w:ascii="Amiri" w:hAnsi="Amiri" w:eastAsia="Amiri" w:cs="Amiri"/>
          <w:color w:val="111111"/>
          <w:sz w:val="28"/>
          <w:sz w:val="28"/>
          <w:szCs w:val="28"/>
          <w:rtl w:val="true"/>
          <w:lang w:bidi="ar-SA"/>
        </w:rPr>
        <w:t xml:space="preserve">قصره على القياس </w:t>
      </w:r>
      <w:r>
        <w:rPr>
          <w:rStyle w:val="FootnoteAnchor"/>
          <w:rtl w:val="true"/>
        </w:rPr>
        <w:footnoteReference w:id="20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فعلة وفعلة ، كعرى جمع عروة ، وجزى جمع جزية </w:t>
      </w:r>
      <w:r>
        <w:rPr>
          <w:rStyle w:val="FootnoteAnchor"/>
          <w:rtl w:val="true"/>
        </w:rPr>
        <w:footnoteReference w:id="2007"/>
      </w:r>
      <w:r>
        <w:rPr>
          <w:rFonts w:ascii="Amiri" w:hAnsi="Amiri" w:eastAsia="Amiri" w:cs="Amiri"/>
          <w:color w:val="111111"/>
          <w:sz w:val="28"/>
          <w:sz w:val="28"/>
          <w:szCs w:val="28"/>
          <w:rtl w:val="true"/>
          <w:lang w:bidi="ar-SA"/>
        </w:rPr>
        <w:t xml:space="preserve">لأن نظائرهما ظلم جمع ظلمة ، وكسر جمع كسرة ، وشذّ من المقصور قرى بالقصر جمع قرية ، لأن قرية فعلة بفتح الفاء مثل جفنة وجمعها جفان ، فقياس نظيره من المعتل أن يكون ممدودا لا مقصورا </w:t>
      </w:r>
      <w:r>
        <w:rPr>
          <w:rStyle w:val="FootnoteAnchor"/>
          <w:rtl w:val="true"/>
        </w:rPr>
        <w:footnoteReference w:id="20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الممدود القياسي </w:t>
      </w:r>
      <w:r>
        <w:rPr>
          <w:rFonts w:eastAsia="Amiri" w:cs="Amiri" w:ascii="Amiri" w:hAnsi="Amiri"/>
          <w:color w:val="111111"/>
          <w:sz w:val="28"/>
          <w:szCs w:val="28"/>
          <w:rtl w:val="true"/>
          <w:lang w:bidi="ar-SA"/>
        </w:rPr>
        <w:t xml:space="preserve">: </w:t>
      </w:r>
      <w:r>
        <w:rPr>
          <w:rStyle w:val="FootnoteAnchor"/>
          <w:rtl w:val="true"/>
        </w:rPr>
        <w:footnoteReference w:id="2009"/>
      </w:r>
      <w:r>
        <w:rPr>
          <w:rFonts w:ascii="Amiri" w:hAnsi="Amiri" w:eastAsia="Amiri" w:cs="Amiri"/>
          <w:color w:val="111111"/>
          <w:sz w:val="28"/>
          <w:sz w:val="28"/>
          <w:szCs w:val="28"/>
          <w:rtl w:val="true"/>
          <w:lang w:bidi="ar-SA"/>
        </w:rPr>
        <w:t xml:space="preserve">فهو كلّ اسم معتلّ لامه ياء أو واو ، وقبل آخر نظيره من الصحيح ألف </w:t>
      </w:r>
      <w:r>
        <w:rPr>
          <w:rStyle w:val="FootnoteAnchor"/>
          <w:rtl w:val="true"/>
        </w:rPr>
        <w:footnoteReference w:id="2010"/>
      </w:r>
      <w:r>
        <w:rPr>
          <w:rFonts w:ascii="Amiri" w:hAnsi="Amiri" w:eastAsia="Amiri" w:cs="Amiri"/>
          <w:color w:val="111111"/>
          <w:sz w:val="28"/>
          <w:sz w:val="28"/>
          <w:szCs w:val="28"/>
          <w:rtl w:val="true"/>
          <w:lang w:bidi="ar-SA"/>
        </w:rPr>
        <w:t xml:space="preserve">، ويأتي المعتلّ المذكور على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مصدرا لأفعل أو فاعل ويكون في آخر ذلك المصدر الواو والياء طرفا بعد ألف زائدة ، ويكون قبل آخر نظيره من الصحيح ألف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الإعطاء والرّماء </w:t>
      </w:r>
      <w:r>
        <w:rPr>
          <w:rStyle w:val="FootnoteAnchor"/>
          <w:rtl w:val="true"/>
        </w:rPr>
        <w:footnoteReference w:id="2011"/>
      </w:r>
      <w:r>
        <w:rPr>
          <w:rFonts w:ascii="Amiri" w:hAnsi="Amiri" w:eastAsia="Amiri" w:cs="Amiri"/>
          <w:color w:val="111111"/>
          <w:sz w:val="28"/>
          <w:sz w:val="28"/>
          <w:szCs w:val="28"/>
          <w:rtl w:val="true"/>
          <w:lang w:bidi="ar-SA"/>
        </w:rPr>
        <w:t xml:space="preserve">إذ نظيرهما الإكرام والطلاب ، لأنّ أعطيت إعطاء مثل أكرمت إكراما ، وراميت رماء مثل طالبت طلابا ، والأصل الإعطاو والرماي فوقعت الواو والياء </w:t>
      </w:r>
      <w:r>
        <w:rPr>
          <w:rStyle w:val="FootnoteAnchor"/>
          <w:rtl w:val="true"/>
        </w:rPr>
        <w:footnoteReference w:id="2012"/>
      </w:r>
      <w:r>
        <w:rPr>
          <w:rFonts w:ascii="Amiri" w:hAnsi="Amiri" w:eastAsia="Amiri" w:cs="Amiri"/>
          <w:color w:val="111111"/>
          <w:sz w:val="28"/>
          <w:sz w:val="28"/>
          <w:szCs w:val="28"/>
          <w:rtl w:val="true"/>
          <w:lang w:bidi="ar-SA"/>
        </w:rPr>
        <w:t xml:space="preserve">طرفين بعد ألف فقلبتا همزة ، وكذلك </w:t>
      </w:r>
      <w:r>
        <w:rPr>
          <w:rStyle w:val="FootnoteAnchor"/>
          <w:rtl w:val="true"/>
        </w:rPr>
        <w:footnoteReference w:id="2013"/>
      </w:r>
      <w:r>
        <w:rPr>
          <w:rFonts w:ascii="Amiri" w:hAnsi="Amiri" w:eastAsia="Amiri" w:cs="Amiri"/>
          <w:color w:val="111111"/>
          <w:sz w:val="28"/>
          <w:sz w:val="28"/>
          <w:szCs w:val="28"/>
          <w:rtl w:val="true"/>
          <w:lang w:bidi="ar-SA"/>
        </w:rPr>
        <w:t>حكم الألفين إذا وقعا طرفين ، فإنّ الثانية تقلب همزة كما ستعلم ذلك في الفصل السّادس في الإبدال من قسم المشترك ، وهكذا الكلام في جميع ما يأتي في هذا الفصل من الممدود القياسي فاعلم ذلك</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مصدرا لافتعلت افتعالا </w:t>
      </w:r>
      <w:r>
        <w:rPr>
          <w:rStyle w:val="FootnoteAnchor"/>
          <w:rtl w:val="true"/>
        </w:rPr>
        <w:footnoteReference w:id="2014"/>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الاشتراء ، لأن اشتريت اشتراء مثل افتتحت افتتاحا ، والأصل الاشتراي فوقعت الياء بعد ألف زائدة في الاشتراء كوقوع الحاء بعد الألف الزائدة في الافتتاح ، فقلبت الياء همزة فحصلت الهمزة طرفا بعد ألف زائدة وهو الممدود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مصدرا لافعنليت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الاحبنطاء </w:t>
      </w:r>
      <w:r>
        <w:rPr>
          <w:rStyle w:val="FootnoteAnchor"/>
          <w:rtl w:val="true"/>
        </w:rPr>
        <w:footnoteReference w:id="2015"/>
      </w:r>
      <w:r>
        <w:rPr>
          <w:rFonts w:ascii="Amiri" w:hAnsi="Amiri" w:eastAsia="Amiri" w:cs="Amiri"/>
          <w:color w:val="111111"/>
          <w:sz w:val="28"/>
          <w:sz w:val="28"/>
          <w:szCs w:val="28"/>
          <w:rtl w:val="true"/>
          <w:lang w:bidi="ar-SA"/>
        </w:rPr>
        <w:t>لأنّه من احبنطيت احبنطاء مثل احرنجمت احرنجاما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مصدرا مضموم الأول ، ويكون للصوت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العواء والبغاء </w:t>
      </w:r>
      <w:r>
        <w:rPr>
          <w:rStyle w:val="FootnoteAnchor"/>
          <w:rtl w:val="true"/>
        </w:rPr>
        <w:footnoteReference w:id="2016"/>
      </w:r>
      <w:r>
        <w:rPr>
          <w:rFonts w:ascii="Amiri" w:hAnsi="Amiri" w:eastAsia="Amiri" w:cs="Amiri"/>
          <w:color w:val="111111"/>
          <w:sz w:val="28"/>
          <w:sz w:val="28"/>
          <w:szCs w:val="28"/>
          <w:rtl w:val="true"/>
          <w:lang w:bidi="ar-SA"/>
        </w:rPr>
        <w:t xml:space="preserve">والرّغاء لأنّ نظيرها من الصحيح الصّراخ والنّباح والصّياح ، وأما البكاء فيمدّ ويقصر ، فمن مدّ ذهب به مذهب الأصوات ، ومن قصر ذهب به مذهب الحزن </w:t>
      </w:r>
      <w:r>
        <w:rPr>
          <w:rStyle w:val="FootnoteAnchor"/>
          <w:rtl w:val="true"/>
        </w:rPr>
        <w:footnoteReference w:id="20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مصدرا للعلاج فإنه أجري مجرى الصوت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النّزاء وهو الوثوب ، لأن نظيره القماص وهو جمز البعير </w:t>
      </w:r>
      <w:r>
        <w:rPr>
          <w:rStyle w:val="FootnoteAnchor"/>
          <w:rtl w:val="true"/>
        </w:rPr>
        <w:footnoteReference w:id="20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 الذي يجمع على أفعلة </w:t>
      </w:r>
      <w:r>
        <w:rPr>
          <w:rStyle w:val="FootnoteAnchor"/>
          <w:rtl w:val="true"/>
        </w:rPr>
        <w:footnoteReference w:id="2019"/>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قباء وكساء لجمعهما على أقبية وأكسية ، لأن أفعلة واحدها ، إمّا فعال بفتح الفاء أو فعال بكسرها أو فعال بضمها ، كقذال وأقذلة </w:t>
      </w:r>
      <w:r>
        <w:rPr>
          <w:rStyle w:val="FootnoteAnchor"/>
          <w:rtl w:val="true"/>
        </w:rPr>
        <w:footnoteReference w:id="2020"/>
      </w:r>
      <w:r>
        <w:rPr>
          <w:rFonts w:ascii="Amiri" w:hAnsi="Amiri" w:eastAsia="Amiri" w:cs="Amiri"/>
          <w:color w:val="111111"/>
          <w:sz w:val="28"/>
          <w:sz w:val="28"/>
          <w:szCs w:val="28"/>
          <w:rtl w:val="true"/>
          <w:lang w:bidi="ar-SA"/>
        </w:rPr>
        <w:t xml:space="preserve">، وحمار وأحمرة ، وغراب وأغربة ، وأمّا مجيء ندى مقصورا فشاذ </w:t>
      </w:r>
      <w:r>
        <w:rPr>
          <w:rStyle w:val="FootnoteAnchor"/>
          <w:rtl w:val="true"/>
        </w:rPr>
        <w:footnoteReference w:id="2021"/>
      </w:r>
      <w:r>
        <w:rPr>
          <w:rFonts w:ascii="Amiri" w:hAnsi="Amiri" w:eastAsia="Amiri" w:cs="Amiri"/>
          <w:color w:val="111111"/>
          <w:sz w:val="28"/>
          <w:sz w:val="28"/>
          <w:szCs w:val="28"/>
          <w:rtl w:val="true"/>
          <w:lang w:bidi="ar-SA"/>
        </w:rPr>
        <w:t xml:space="preserve">لأنّه مثل قباء مفردا وجمعا ، لأنّه يجمع على أندية ، فكان قياسه المدّ </w:t>
      </w:r>
      <w:r>
        <w:rPr>
          <w:rStyle w:val="FootnoteAnchor"/>
          <w:rtl w:val="true"/>
        </w:rPr>
        <w:footnoteReference w:id="20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الذي واحده على وزن فعل بضم الفاء وسكون العين مثل عضو وأعضاء لأنه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قفل وأقفال</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الذي واحده على وزن فعل بكسر الفاء وسكون العين كشلو </w:t>
      </w:r>
      <w:bookmarkStart w:id="708" w:name="pg14482_156347"/>
    </w:p>
    <w:p>
      <w:pPr>
        <w:pStyle w:val="BookText"/>
        <w:rPr/>
      </w:pPr>
      <w:bookmarkEnd w:id="708"/>
      <w:r>
        <w:rPr>
          <w:rFonts w:ascii="IRNazanin" w:hAnsi="IRNazanin" w:eastAsia="IRNazanin"/>
          <w:color w:val="111111"/>
          <w:sz w:val="28"/>
          <w:sz w:val="28"/>
          <w:szCs w:val="28"/>
          <w:rtl w:val="true"/>
          <w:lang w:bidi="fa-IR"/>
        </w:rPr>
        <w:t xml:space="preserve">وأشلاء ، لأنه مثل عدل وأعدال </w:t>
      </w:r>
      <w:r>
        <w:rPr>
          <w:rStyle w:val="FootnoteAnchor"/>
          <w:rtl w:val="true"/>
        </w:rPr>
        <w:footnoteReference w:id="20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أيضا الذي واحده على فعل بكسر الفاء وفتح العين كمعى وأمعاء ، لأنه مثل عنب وأعناب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فعلاء بضم الفاء وفتح العين إذا كان مفردا فإنه يكون ممدودا في الأكثر كنفساء وعشراء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فعلاء بفتح الفاء وسكون العين وفتح اللّام </w:t>
      </w:r>
      <w:r>
        <w:rPr>
          <w:rStyle w:val="FootnoteAnchor"/>
          <w:rtl w:val="true"/>
        </w:rPr>
        <w:footnoteReference w:id="2024"/>
      </w:r>
      <w:r>
        <w:rPr>
          <w:rFonts w:ascii="Amiri" w:hAnsi="Amiri" w:eastAsia="Amiri" w:cs="Amiri"/>
          <w:color w:val="111111"/>
          <w:sz w:val="28"/>
          <w:sz w:val="28"/>
          <w:szCs w:val="28"/>
          <w:rtl w:val="true"/>
          <w:lang w:bidi="ar-SA"/>
        </w:rPr>
        <w:t xml:space="preserve">، إذا كان مؤنّثا ومذكّره أفعل كحمراء أحمر </w:t>
      </w:r>
      <w:r>
        <w:rPr>
          <w:rStyle w:val="FootnoteAnchor"/>
          <w:rtl w:val="true"/>
        </w:rPr>
        <w:footnoteReference w:id="20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اسم على وزن فعّال في معنى النّسب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غزّاء للكثير الغزو ، وسقّاء وشّواء وما أشبهها </w:t>
      </w:r>
      <w:r>
        <w:rPr>
          <w:rStyle w:val="FootnoteAnchor"/>
          <w:rtl w:val="true"/>
        </w:rPr>
        <w:footnoteReference w:id="20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السّماعي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فالمقصور منه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عصا ورحى ، والممدود منه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السّماء والخفاء من خفي عليه الأثر ، والإباء من أبيت الشيء إباء</w:t>
      </w:r>
      <w:r>
        <w:rPr>
          <w:rFonts w:eastAsia="Amiri" w:cs="Amiri" w:ascii="Amiri" w:hAnsi="Amiri"/>
          <w:color w:val="111111"/>
          <w:sz w:val="28"/>
          <w:szCs w:val="28"/>
          <w:rtl w:val="true"/>
          <w:lang w:bidi="ar-SA"/>
        </w:rPr>
        <w:t>.</w:t>
      </w:r>
    </w:p>
    <w:p>
      <w:pPr>
        <w:pStyle w:val="Heading4"/>
        <w:numPr>
          <w:ilvl w:val="3"/>
          <w:numId w:val="1"/>
        </w:numPr>
        <w:rPr/>
      </w:pPr>
      <w:bookmarkStart w:id="709" w:name="__RefHeading___Toc717044_996550957"/>
      <w:bookmarkStart w:id="710" w:name="_Toc263"/>
      <w:bookmarkEnd w:id="709"/>
      <w:r>
        <w:rPr>
          <w:rtl w:val="true"/>
        </w:rPr>
        <w:t>فصل في الوزن</w:t>
      </w:r>
      <w:bookmarkEnd w:id="710"/>
    </w:p>
    <w:p>
      <w:pPr>
        <w:pStyle w:val="Heading5"/>
        <w:numPr>
          <w:ilvl w:val="4"/>
          <w:numId w:val="1"/>
        </w:numPr>
        <w:rPr/>
      </w:pPr>
      <w:bookmarkStart w:id="711" w:name="__RefHeading___Toc717046_996550957"/>
      <w:bookmarkStart w:id="712" w:name="_Toc264"/>
      <w:bookmarkEnd w:id="711"/>
      <w:r>
        <w:rPr>
          <w:rtl w:val="true"/>
        </w:rPr>
        <w:t>اشارة</w:t>
      </w:r>
      <w:bookmarkEnd w:id="712"/>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0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ذكرناه في قسم الاسم لأنّا لمّا أردنا أن نذكر فيه أبنية الأسماء على نحو ما ذكره في المفصّل ، لم يكن لنا بدّ من ذكر الأوزان لتوقّف معرفة الأبنية الأصول والمزيد فيها عليها ، والغرض بالوزن بيان كيفية وزن الأبنية </w:t>
      </w:r>
      <w:r>
        <w:rPr>
          <w:rStyle w:val="FootnoteAnchor"/>
          <w:rtl w:val="true"/>
        </w:rPr>
        <w:footnoteReference w:id="2028"/>
      </w:r>
      <w:r>
        <w:rPr>
          <w:rFonts w:ascii="Amiri" w:hAnsi="Amiri" w:eastAsia="Amiri" w:cs="Amiri"/>
          <w:color w:val="111111"/>
          <w:sz w:val="28"/>
          <w:sz w:val="28"/>
          <w:szCs w:val="28"/>
          <w:rtl w:val="true"/>
          <w:lang w:bidi="ar-SA"/>
        </w:rPr>
        <w:t xml:space="preserve">في الاصطلاح وأبنية الاسم الأصول ثلاثية كرجل ، ورباعية كجعفر وخماسية كسفرجل ، وأبنية الفعل الأصول ثلاثية كضرب ورباعية كدحرج ، وقد نقصت الأفعال عن الأسماء بدرجة لثقلها وخفة الأسماء ، ويعبّر عن الحروف الأصول بالفاء والعين واللام ، فيقال نصر على وزن فعل ، نونه فاء الفعل ، وصاده عين الفعل ، وراؤه لام الفعل ، لمقابلتهم </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الأصول في الوزن بهذه الحروف ، ويعبّر عن الحرف الأصلي الزائد على الثلاثة بلام ثابتة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فعلل ، وعن الأصلي الزائد على الأربعة بلام ثالثة </w:t>
      </w:r>
      <w:r>
        <w:rPr>
          <w:rStyle w:val="FootnoteAnchor"/>
          <w:rtl w:val="true"/>
        </w:rPr>
        <w:footnoteReference w:id="2029"/>
      </w: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جحمرش </w:t>
      </w:r>
      <w:r>
        <w:rPr>
          <w:rStyle w:val="FootnoteAnchor"/>
          <w:rtl w:val="true"/>
        </w:rPr>
        <w:footnoteReference w:id="2030"/>
      </w:r>
      <w:r>
        <w:rPr>
          <w:rFonts w:ascii="Amiri" w:hAnsi="Amiri" w:eastAsia="Amiri" w:cs="Amiri"/>
          <w:color w:val="111111"/>
          <w:sz w:val="28"/>
          <w:sz w:val="28"/>
          <w:szCs w:val="28"/>
          <w:rtl w:val="true"/>
          <w:lang w:bidi="ar-SA"/>
        </w:rPr>
        <w:t xml:space="preserve">فعلل بثلاث لا مات ، ويعبّر عن الزائد بلفظه كقولك في ضارب فاعل وفي مضروب مفعول إلا المبدل من تاء الافتعال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ازدجر واضطرب فلا يقال في زنته افدعل </w:t>
      </w:r>
      <w:r>
        <w:rPr>
          <w:rStyle w:val="FootnoteAnchor"/>
          <w:rtl w:val="true"/>
        </w:rPr>
        <w:footnoteReference w:id="2031"/>
      </w:r>
      <w:r>
        <w:rPr>
          <w:rFonts w:ascii="Amiri" w:hAnsi="Amiri" w:eastAsia="Amiri" w:cs="Amiri"/>
          <w:color w:val="111111"/>
          <w:sz w:val="28"/>
          <w:sz w:val="28"/>
          <w:szCs w:val="28"/>
          <w:rtl w:val="true"/>
          <w:lang w:bidi="ar-SA"/>
        </w:rPr>
        <w:t xml:space="preserve">ولا افطعل ، ولكن افتعل تبيينا للأصل ، وكذلك المكرّر سواء كان للإلحاق </w:t>
      </w:r>
      <w:r>
        <w:rPr>
          <w:rStyle w:val="FootnoteAnchor"/>
          <w:rtl w:val="true"/>
        </w:rPr>
        <w:footnoteReference w:id="2032"/>
      </w:r>
      <w:r>
        <w:rPr>
          <w:rFonts w:ascii="Amiri" w:hAnsi="Amiri" w:eastAsia="Amiri" w:cs="Amiri"/>
          <w:color w:val="111111"/>
          <w:sz w:val="28"/>
          <w:sz w:val="28"/>
          <w:szCs w:val="28"/>
          <w:rtl w:val="true"/>
          <w:lang w:bidi="ar-SA"/>
        </w:rPr>
        <w:t xml:space="preserve">أو لغيره ، فإنّه لا يوزن بلفظه بل بما يوزن به الحرف الأصلي الذي قبله سواء فصل بين ذلك الأصلي وبين المكرّر الذي بعده حرف زائد كنحرير </w:t>
      </w:r>
      <w:r>
        <w:rPr>
          <w:rStyle w:val="FootnoteAnchor"/>
          <w:rtl w:val="true"/>
        </w:rPr>
        <w:footnoteReference w:id="2033"/>
      </w:r>
      <w:r>
        <w:rPr>
          <w:rFonts w:ascii="Amiri" w:hAnsi="Amiri" w:eastAsia="Amiri" w:cs="Amiri"/>
          <w:color w:val="111111"/>
          <w:sz w:val="28"/>
          <w:sz w:val="28"/>
          <w:szCs w:val="28"/>
          <w:rtl w:val="true"/>
          <w:lang w:bidi="ar-SA"/>
        </w:rPr>
        <w:t xml:space="preserve">أو لم يفصل كجلبب ، فالمكرّر في نحرير الراء الثانية وقد فصل بينها وبين الرّاء الأصليّة الياء ، وفي جلبب الباء الثانية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وزن نحرير فعليل لا فعلير ، وجلبب فعلل لا فعلبب ، وأحمرّ افعلّ لا افعلر ، وعلّم فعّل لا فعلل ولا فلعل ، وإنّما عبر </w:t>
      </w:r>
      <w:r>
        <w:rPr>
          <w:rStyle w:val="FootnoteAnchor"/>
          <w:rtl w:val="true"/>
        </w:rPr>
        <w:footnoteReference w:id="2034"/>
      </w:r>
      <w:r>
        <w:rPr>
          <w:rFonts w:ascii="Amiri" w:hAnsi="Amiri" w:eastAsia="Amiri" w:cs="Amiri"/>
          <w:color w:val="111111"/>
          <w:sz w:val="28"/>
          <w:sz w:val="28"/>
          <w:szCs w:val="28"/>
          <w:rtl w:val="true"/>
          <w:lang w:bidi="ar-SA"/>
        </w:rPr>
        <w:t xml:space="preserve">عن المكرّر بما عبّر به عن </w:t>
      </w:r>
      <w:r>
        <w:rPr>
          <w:rStyle w:val="FootnoteAnchor"/>
          <w:rtl w:val="true"/>
        </w:rPr>
        <w:footnoteReference w:id="2035"/>
      </w:r>
      <w:r>
        <w:rPr>
          <w:rFonts w:ascii="Amiri" w:hAnsi="Amiri" w:eastAsia="Amiri" w:cs="Amiri"/>
          <w:color w:val="111111"/>
          <w:sz w:val="28"/>
          <w:sz w:val="28"/>
          <w:szCs w:val="28"/>
          <w:rtl w:val="true"/>
          <w:lang w:bidi="ar-SA"/>
        </w:rPr>
        <w:t xml:space="preserve">الحرف الأصلي الذي قبله ، لأنّه إن كان للإلحاق فهو جار مجرى الأصلي ، وإن كان لغير الإلحاق فالمقصود بهذه الزيادة هو تكرير ما قبلها الذي هو الأصلي ، فلذلك قوبل بما يقابل به الأصلي الذي قبله ، بخلاف الزيادة التي ليست لقصد التكرير بل قصدوا زيادة حرف واتّفق موافقته لما قبله ، فإنّه إذا كان كذلك لم يعبّر عنه بما يعبّر عما قبله بل يعبّر عنه بلفظه ولا يجعل الحرف لغير التكرير والإلحاق إلا بدليل ، على أنه لم يقصد به التكرار ولا الإلحاق ، لأنّ الظاهر قصد التكرار ومن ثمّ كان حلتيت </w:t>
      </w:r>
      <w:r>
        <w:rPr>
          <w:rStyle w:val="FootnoteAnchor"/>
          <w:rtl w:val="true"/>
        </w:rPr>
        <w:footnoteReference w:id="2036"/>
      </w:r>
      <w:r>
        <w:rPr>
          <w:rFonts w:ascii="Amiri" w:hAnsi="Amiri" w:eastAsia="Amiri" w:cs="Amiri"/>
          <w:color w:val="111111"/>
          <w:sz w:val="28"/>
          <w:sz w:val="28"/>
          <w:szCs w:val="28"/>
          <w:rtl w:val="true"/>
          <w:lang w:bidi="ar-SA"/>
        </w:rPr>
        <w:t xml:space="preserve">فعليلا لا فعليتا ، لأنّه لم يذكر دليل على عدم قصد التكرار فيجب الحمل على التكرار ، </w:t>
      </w:r>
      <w:bookmarkStart w:id="713" w:name="pg14482_156349"/>
    </w:p>
    <w:p>
      <w:pPr>
        <w:pStyle w:val="BookText"/>
        <w:rPr/>
      </w:pPr>
      <w:bookmarkEnd w:id="713"/>
      <w:r>
        <w:rPr>
          <w:rFonts w:ascii="IRNazanin" w:hAnsi="IRNazanin" w:eastAsia="IRNazanin"/>
          <w:color w:val="111111"/>
          <w:sz w:val="28"/>
          <w:sz w:val="28"/>
          <w:szCs w:val="28"/>
          <w:rtl w:val="true"/>
          <w:lang w:bidi="fa-IR"/>
        </w:rPr>
        <w:t xml:space="preserve">وسحنون </w:t>
      </w:r>
      <w:r>
        <w:rPr>
          <w:rStyle w:val="FootnoteAnchor"/>
          <w:rtl w:val="true"/>
        </w:rPr>
        <w:footnoteReference w:id="2037"/>
      </w:r>
      <w:r>
        <w:rPr>
          <w:rFonts w:ascii="IRNazanin" w:hAnsi="IRNazanin" w:eastAsia="IRNazanin"/>
          <w:color w:val="111111"/>
          <w:sz w:val="28"/>
          <w:sz w:val="28"/>
          <w:szCs w:val="28"/>
          <w:rtl w:val="true"/>
          <w:lang w:bidi="fa-IR"/>
        </w:rPr>
        <w:t xml:space="preserve">وعثنون </w:t>
      </w:r>
      <w:r>
        <w:rPr>
          <w:rStyle w:val="FootnoteAnchor"/>
          <w:rtl w:val="true"/>
        </w:rPr>
        <w:footnoteReference w:id="2038"/>
      </w:r>
      <w:r>
        <w:rPr>
          <w:rFonts w:ascii="Amiri" w:hAnsi="Amiri" w:eastAsia="Amiri" w:cs="Amiri"/>
          <w:color w:val="111111"/>
          <w:sz w:val="28"/>
          <w:sz w:val="28"/>
          <w:szCs w:val="28"/>
          <w:rtl w:val="true"/>
          <w:lang w:bidi="ar-SA"/>
        </w:rPr>
        <w:t xml:space="preserve">فعلول لا فعلون ، لما قيل في حلتيت ، ولعدم فعلون ، لأنّه إذا تردّد الوزن بين أن يكون على زنة ما ثبت في كلامهم ، وبين أن يكون على خلافه فحمله على ما ثبت في كلامهم هو الوجه </w:t>
      </w:r>
      <w:r>
        <w:rPr>
          <w:rStyle w:val="FootnoteAnchor"/>
          <w:rtl w:val="true"/>
        </w:rPr>
        <w:footnoteReference w:id="20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4" w:name="__RefHeading___Toc717048_996550957"/>
      <w:bookmarkStart w:id="715" w:name="_Toc265"/>
      <w:bookmarkEnd w:id="714"/>
      <w:r>
        <w:rPr>
          <w:rtl w:val="true"/>
        </w:rPr>
        <w:t xml:space="preserve">ذكر ما جاء فيه دليل على أنه لم يقصد به التكرار </w:t>
      </w:r>
      <w:r>
        <w:rPr>
          <w:rtl w:val="true"/>
        </w:rPr>
        <w:t xml:space="preserve">: </w:t>
      </w:r>
      <w:r>
        <w:rPr>
          <w:rtl w:val="true"/>
        </w:rPr>
        <w:t>بل زيد واتّفق موافقة الزائد لما قبله</w:t>
      </w:r>
      <w:bookmarkEnd w:id="715"/>
    </w:p>
    <w:p>
      <w:pPr>
        <w:pStyle w:val="BookText"/>
        <w:rPr/>
      </w:pPr>
      <w:r>
        <w:rPr>
          <w:rStyle w:val="FootnoteAnchor"/>
          <w:rtl w:val="true"/>
        </w:rPr>
        <w:footnoteReference w:id="20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سحنون بالفتح فهو فعلون لعدم فعلول في كلامهم ، وكثرة فعلون كحمدون ، وهو مختصّ بالعلم ، 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 فعلول بالفتح لورود صعفوق </w:t>
      </w:r>
      <w:r>
        <w:rPr>
          <w:rStyle w:val="FootnoteAnchor"/>
          <w:rtl w:val="true"/>
        </w:rPr>
        <w:footnoteReference w:id="2041"/>
      </w: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نادر والنادر كالمعدوم </w:t>
      </w:r>
      <w:r>
        <w:rPr>
          <w:rStyle w:val="FootnoteAnchor"/>
          <w:rtl w:val="true"/>
        </w:rPr>
        <w:footnoteReference w:id="2042"/>
      </w:r>
      <w:r>
        <w:rPr>
          <w:rFonts w:ascii="Amiri" w:hAnsi="Amiri" w:eastAsia="Amiri" w:cs="Amiri"/>
          <w:color w:val="111111"/>
          <w:sz w:val="28"/>
          <w:sz w:val="28"/>
          <w:szCs w:val="28"/>
          <w:rtl w:val="true"/>
          <w:lang w:bidi="ar-SA"/>
        </w:rPr>
        <w:t xml:space="preserve">، وأمّا خرنوب بالفتح ، فضعيف ، والفصيح الضمّ </w:t>
      </w:r>
      <w:r>
        <w:rPr>
          <w:rStyle w:val="FootnoteAnchor"/>
          <w:rtl w:val="true"/>
        </w:rPr>
        <w:footnoteReference w:id="20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سمنان </w:t>
      </w:r>
      <w:r>
        <w:rPr>
          <w:rStyle w:val="FootnoteAnchor"/>
          <w:rtl w:val="true"/>
        </w:rPr>
        <w:footnoteReference w:id="2044"/>
      </w:r>
      <w:r>
        <w:rPr>
          <w:rFonts w:ascii="Amiri" w:hAnsi="Amiri" w:eastAsia="Amiri" w:cs="Amiri"/>
          <w:color w:val="111111"/>
          <w:sz w:val="28"/>
          <w:sz w:val="28"/>
          <w:szCs w:val="28"/>
          <w:rtl w:val="true"/>
          <w:lang w:bidi="ar-SA"/>
        </w:rPr>
        <w:t xml:space="preserve">وهو فعلان لا فعلال ، لكثرة فعلان وعدم فعلال من غير المضاعف كزلزال </w:t>
      </w:r>
      <w:r>
        <w:rPr>
          <w:rStyle w:val="FootnoteAnchor"/>
          <w:rtl w:val="true"/>
        </w:rPr>
        <w:footnoteReference w:id="2045"/>
      </w:r>
      <w:r>
        <w:rPr>
          <w:rFonts w:ascii="Amiri" w:hAnsi="Amiri" w:eastAsia="Amiri" w:cs="Amiri"/>
          <w:color w:val="111111"/>
          <w:sz w:val="28"/>
          <w:sz w:val="28"/>
          <w:szCs w:val="28"/>
          <w:rtl w:val="true"/>
          <w:lang w:bidi="ar-SA"/>
        </w:rPr>
        <w:t xml:space="preserve">وأمّا خزعال </w:t>
      </w:r>
      <w:r>
        <w:rPr>
          <w:rStyle w:val="FootnoteAnchor"/>
          <w:rtl w:val="true"/>
        </w:rPr>
        <w:footnoteReference w:id="2046"/>
      </w:r>
      <w:r>
        <w:rPr>
          <w:rFonts w:ascii="Amiri" w:hAnsi="Amiri" w:eastAsia="Amiri" w:cs="Amiri"/>
          <w:color w:val="111111"/>
          <w:sz w:val="28"/>
          <w:sz w:val="28"/>
          <w:szCs w:val="28"/>
          <w:rtl w:val="true"/>
          <w:lang w:bidi="ar-SA"/>
        </w:rPr>
        <w:t>فنادر ، وبهرام وشهرام عجميّان</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بطنان بالضمّ وهو فعلان لمجيئه في كلامهم كعثمان وعدم فعلال مع أنه نقيض ظهران وهو فعلان ، إذ بطنان اسم لباطن الريش ، وظهران اسم لظاهره </w:t>
      </w:r>
      <w:r>
        <w:rPr>
          <w:rStyle w:val="FootnoteAnchor"/>
          <w:rtl w:val="true"/>
        </w:rPr>
        <w:footnoteReference w:id="2047"/>
      </w:r>
      <w:r>
        <w:rPr>
          <w:rFonts w:eastAsia="Times New Roman" w:cs="Times New Roman" w:ascii="Times New Roman" w:hAnsi="Times New Roman"/>
          <w:color w:val="111111"/>
          <w:sz w:val="28"/>
          <w:szCs w:val="28"/>
          <w:rtl w:val="true"/>
          <w:lang w:val="en-US" w:bidi="en-US"/>
        </w:rPr>
        <w:t xml:space="preserve">. </w:t>
      </w:r>
      <w:bookmarkStart w:id="716" w:name="pg14482_156350"/>
    </w:p>
    <w:p>
      <w:pPr>
        <w:pStyle w:val="BookText"/>
        <w:rPr/>
      </w:pPr>
      <w:bookmarkEnd w:id="716"/>
      <w:r>
        <w:rPr>
          <w:rFonts w:ascii="Amiri" w:hAnsi="Amiri" w:eastAsia="Amiri" w:cs="Amiri"/>
          <w:color w:val="111111"/>
          <w:sz w:val="28"/>
          <w:sz w:val="28"/>
          <w:szCs w:val="28"/>
          <w:rtl w:val="true"/>
          <w:lang w:bidi="ar-SA"/>
        </w:rPr>
        <w:t xml:space="preserve">وأمّا قرطاس بضم القاف فضعيف والفصيح قرطاس بالكسر </w:t>
      </w:r>
      <w:r>
        <w:rPr>
          <w:rStyle w:val="FootnoteAnchor"/>
          <w:rtl w:val="true"/>
        </w:rPr>
        <w:footnoteReference w:id="2048"/>
      </w:r>
    </w:p>
    <w:p>
      <w:pPr>
        <w:pStyle w:val="BookText"/>
        <w:rPr/>
      </w:pPr>
      <w:r>
        <w:rPr>
          <w:rFonts w:ascii="Amiri" w:hAnsi="Amiri" w:eastAsia="Amiri" w:cs="Amiri"/>
          <w:color w:val="111111"/>
          <w:sz w:val="28"/>
          <w:sz w:val="28"/>
          <w:szCs w:val="28"/>
          <w:rtl w:val="true"/>
          <w:lang w:bidi="ar-SA"/>
        </w:rPr>
        <w:t>والقرطاس بالكسر وبالضم وبالفتح ، الصحيفة الثابتة التي يكتب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اللسان ، قرطس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7" w:name="__RefHeading___Toc717050_996550957"/>
      <w:bookmarkStart w:id="718" w:name="_Toc266"/>
      <w:bookmarkEnd w:id="717"/>
      <w:r>
        <w:rPr>
          <w:rtl w:val="true"/>
        </w:rPr>
        <w:t>ذكر كيفية وزن الكلمة المقلوبة</w:t>
      </w:r>
      <w:bookmarkEnd w:id="718"/>
    </w:p>
    <w:p>
      <w:pPr>
        <w:pStyle w:val="BookText"/>
        <w:rPr/>
      </w:pPr>
      <w:r>
        <w:rPr>
          <w:rStyle w:val="FootnoteAnchor"/>
          <w:rtl w:val="true"/>
        </w:rPr>
        <w:footnoteReference w:id="20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يتوقّف على معرفة الأصلي والزائد ، فالأصليّ ما ثبت في تصاريف الكلمة لفظا أو تقديرا كفاء ضربت وعينه ، لثبوتهما في ضرب يضرب فهو ضارب ومضروب ، والزائد بخلافه كميم مضروب وواوه إذا عرفت ذلك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متى وقع في الموزون قلب وهو جعل أحد الأصول موضع الآخر ، قلبت الزنة كما قلب الموزون ، إذ فائدة الزنة التنبيه على الفاء والعين واللام ، فتقول في قسيّ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فليع ، لأنّ الأصل قوس ، قافه فاء ، وواوه عين وسينه لام ، فوقعت العين التي هي واو قوس في قسيّ </w:t>
      </w:r>
      <w:r>
        <w:rPr>
          <w:rStyle w:val="FootnoteAnchor"/>
          <w:rtl w:val="true"/>
        </w:rPr>
        <w:footnoteReference w:id="2050"/>
      </w:r>
      <w:r>
        <w:rPr>
          <w:rFonts w:ascii="Amiri" w:hAnsi="Amiri" w:eastAsia="Amiri" w:cs="Amiri"/>
          <w:color w:val="111111"/>
          <w:sz w:val="28"/>
          <w:sz w:val="28"/>
          <w:szCs w:val="28"/>
          <w:rtl w:val="true"/>
          <w:lang w:bidi="ar-SA"/>
        </w:rPr>
        <w:t xml:space="preserve">موضع اللام فاجتمع في الآخر واوان مع ضمّتين </w:t>
      </w:r>
      <w:r>
        <w:rPr>
          <w:rStyle w:val="FootnoteAnchor"/>
          <w:rtl w:val="true"/>
        </w:rPr>
        <w:footnoteReference w:id="2051"/>
      </w:r>
      <w:r>
        <w:rPr>
          <w:rFonts w:ascii="Amiri" w:hAnsi="Amiri" w:eastAsia="Amiri" w:cs="Amiri"/>
          <w:color w:val="111111"/>
          <w:sz w:val="28"/>
          <w:sz w:val="28"/>
          <w:szCs w:val="28"/>
          <w:rtl w:val="true"/>
          <w:lang w:bidi="ar-SA"/>
        </w:rPr>
        <w:t xml:space="preserve">فقلبتا ياءين وأدغمت إحداهما في الأخرى ، وكسرت السين ثم القاف للتبعيّة وكما وقعت الواو في قسيّ موضع اللّام ، وقعت لام قوس وهي السين موضع العين فصار وزن قسيّ فليع </w:t>
      </w:r>
      <w:r>
        <w:rPr>
          <w:rStyle w:val="FootnoteAnchor"/>
          <w:rtl w:val="true"/>
        </w:rPr>
        <w:footnoteReference w:id="20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9" w:name="__RefHeading___Toc717052_996550957"/>
      <w:bookmarkStart w:id="720" w:name="_Toc267"/>
      <w:bookmarkEnd w:id="719"/>
      <w:r>
        <w:rPr>
          <w:rtl w:val="true"/>
        </w:rPr>
        <w:t>ذكر ما يتعرّف به القلب</w:t>
      </w:r>
      <w:bookmarkEnd w:id="720"/>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0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أشياء أحدها </w:t>
      </w:r>
      <w:r>
        <w:rPr>
          <w:rFonts w:eastAsia="Amiri" w:cs="Amiri" w:ascii="Amiri" w:hAnsi="Amiri"/>
          <w:color w:val="111111"/>
          <w:sz w:val="28"/>
          <w:szCs w:val="28"/>
          <w:rtl w:val="true"/>
          <w:lang w:bidi="ar-SA"/>
        </w:rPr>
        <w:t xml:space="preserve">: </w:t>
      </w:r>
      <w:r>
        <w:rPr>
          <w:rStyle w:val="FootnoteAnchor"/>
          <w:rtl w:val="true"/>
        </w:rPr>
        <w:footnoteReference w:id="20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يتعرّف بأصل المقلوب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ناء فإنّه مقلوب من نأي ينأى ، وهو من النّأي الذي هو الأصل ، ونأي ؛ نونه فاء وهمزته عين وياؤه لام ، فجعلت العين التي هي الهمزة لاما ، والّلام التي هي الياء عينا ، بقي نيأ فقلبت </w:t>
      </w:r>
    </w:p>
    <w:p>
      <w:pPr>
        <w:pStyle w:val="BookText"/>
        <w:rPr/>
      </w:pPr>
      <w:r>
        <w:rPr>
          <w:rFonts w:ascii="Amiri" w:hAnsi="Amiri" w:eastAsia="Amiri" w:cs="Amiri"/>
          <w:color w:val="111111"/>
          <w:sz w:val="28"/>
          <w:sz w:val="28"/>
          <w:szCs w:val="28"/>
          <w:rtl w:val="true"/>
          <w:lang w:bidi="ar-SA"/>
        </w:rPr>
        <w:t xml:space="preserve">الياء ألفا لتحركها وانفتاح ما قبلها بقي ناء وزنه فلع </w:t>
      </w:r>
      <w:r>
        <w:rPr>
          <w:rStyle w:val="FootnoteAnchor"/>
          <w:rtl w:val="true"/>
        </w:rPr>
        <w:footnoteReference w:id="20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بثبوت الحروف التي من الأصل في أمثلة اشتقاقه أي برجوع تلك الكلم المشتقّة إلى أصل واحد ، كرجوع الجاه والوجيه والتوّجيه والتوجّه إلى الوجه ، فهو أصل لهذه الكلم المشتقّة منه ، فواو الوجه فاء والجيم عين والهاء لام ، فوقعت الجيم التي هي عين موضع الفاء في جاه ، ووقعت فيه الواو التي هي فاء موضع العين فصار جوه ، تحركت الواو وانفتح ما قبلها فقلبت ألفا فصار جاه على وزن عفل </w:t>
      </w:r>
      <w:r>
        <w:rPr>
          <w:rStyle w:val="FootnoteAnchor"/>
          <w:rtl w:val="true"/>
        </w:rPr>
        <w:footnoteReference w:id="20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الحادي والواحد والتوحيد والتوحّد راجع إلى أصل واحد ، وهو الوحدة ، الواو فاء والحاء عين والدّال لام ، فجعل في الحادي العين وهي الحاء موضع الفاء ، واللام ، وهي الدال موضع العين ، والفاء وهي الواو موضع اللام ، صارت الكلمة بألف فاعل حادو ، وليس لهم اسم متمكّن آخره واو قبلها ضمّة فقلبت ياء ، وأبدل من الضمة كسرة ، فصار حادي على وزن عالف </w:t>
      </w:r>
      <w:r>
        <w:rPr>
          <w:rStyle w:val="FootnoteAnchor"/>
          <w:rtl w:val="true"/>
        </w:rPr>
        <w:footnoteReference w:id="20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بصحة حرف العلّة مع تحركّه ، وانفتاح ما قبله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أيس </w:t>
      </w:r>
      <w:r>
        <w:rPr>
          <w:rStyle w:val="FootnoteAnchor"/>
          <w:rtl w:val="true"/>
        </w:rPr>
        <w:footnoteReference w:id="2058"/>
      </w:r>
      <w:r>
        <w:rPr>
          <w:rFonts w:ascii="Amiri" w:hAnsi="Amiri" w:eastAsia="Amiri" w:cs="Amiri"/>
          <w:color w:val="111111"/>
          <w:sz w:val="28"/>
          <w:sz w:val="28"/>
          <w:szCs w:val="28"/>
          <w:rtl w:val="true"/>
          <w:lang w:bidi="ar-SA"/>
        </w:rPr>
        <w:t xml:space="preserve">فإنه لو لم يكن مقلوبا من يئس لوجب أن يقال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آس لتحرّك عين الكلمة وانفتاح ما قبلها ، فلمّا لم تنقلب علم أنه قد جعلت فيه الفاء عينا وبالعكس ، فوزن أيس عفل ، لا يقال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صحّت الواو في عور مع تحركها وانفتاح ما قبلها ومع ذلك ليس بمقلوب ، 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قبل الواو في عور ساكن حكما لأنّه بمعنى أعور فالعين ساكنة ، وحركتها عارضة للابتداء ، وأمّا ما قبل الياء في أيس فإنه متحرّك لفظا وحكما </w:t>
      </w:r>
      <w:r>
        <w:rPr>
          <w:rStyle w:val="FootnoteAnchor"/>
          <w:rtl w:val="true"/>
        </w:rPr>
        <w:footnoteReference w:id="2059"/>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بقلّة استعماله مع آخر كثير </w:t>
      </w:r>
      <w:r>
        <w:rPr>
          <w:rStyle w:val="FootnoteAnchor"/>
          <w:rtl w:val="true"/>
        </w:rPr>
        <w:footnoteReference w:id="2060"/>
      </w:r>
      <w:r>
        <w:rPr>
          <w:rFonts w:ascii="Amiri" w:hAnsi="Amiri" w:eastAsia="Amiri" w:cs="Amiri"/>
          <w:color w:val="111111"/>
          <w:sz w:val="28"/>
          <w:sz w:val="28"/>
          <w:szCs w:val="28"/>
          <w:rtl w:val="true"/>
          <w:lang w:bidi="ar-SA"/>
        </w:rPr>
        <w:t xml:space="preserve">الاستعمال وهما من أصل واحد لكن اختلف ترتيبهما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آرام وأرآم جمعي رئم وهو الظبيّ الأبيض </w:t>
      </w:r>
      <w:r>
        <w:rPr>
          <w:rStyle w:val="FootnoteAnchor"/>
          <w:rtl w:val="true"/>
        </w:rPr>
        <w:footnoteReference w:id="2061"/>
      </w:r>
      <w:r>
        <w:rPr>
          <w:rFonts w:ascii="Amiri" w:hAnsi="Amiri" w:eastAsia="Amiri" w:cs="Amiri"/>
          <w:color w:val="111111"/>
          <w:sz w:val="28"/>
          <w:sz w:val="28"/>
          <w:szCs w:val="28"/>
          <w:rtl w:val="true"/>
          <w:lang w:bidi="ar-SA"/>
        </w:rPr>
        <w:t xml:space="preserve">وأرام أكثر استعمالا فهو أصل فآرام مقلوب منه لقلّة استعماله وكره استعمال أرآم ، وأرآم أفعال ، </w:t>
      </w:r>
      <w:bookmarkStart w:id="721" w:name="pg14482_156352"/>
    </w:p>
    <w:p>
      <w:pPr>
        <w:pStyle w:val="BookText"/>
        <w:rPr/>
      </w:pPr>
      <w:bookmarkEnd w:id="721"/>
      <w:r>
        <w:rPr>
          <w:rFonts w:ascii="Amiri" w:hAnsi="Amiri" w:eastAsia="Amiri" w:cs="Amiri"/>
          <w:color w:val="111111"/>
          <w:sz w:val="28"/>
          <w:sz w:val="28"/>
          <w:szCs w:val="28"/>
          <w:rtl w:val="true"/>
          <w:lang w:bidi="ar-SA"/>
        </w:rPr>
        <w:t>راؤه فاء وهمزته عين وميمه لام ، فقلب بأن جعلت فاؤه عينا وعينه فاء لأرآم أعني بأن جعلت فاء أرآم وهي الراء عينا ، وجعلت عين أرآم وهي الهمزة الثانية فاء فانقلبت ألفا فصار آرام أعفال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إذا لم يجعل مقلوبا أدّى إلى منع الصّرف بغير علّة كأشياء فإنّها غير منصرفة بالاتفاق ، والمختار أنّها لفعاء مقلوبة من شيئاء </w:t>
      </w:r>
      <w:r>
        <w:rPr>
          <w:rFonts w:eastAsia="Amiri" w:cs="Amiri" w:ascii="Amiri" w:hAnsi="Amiri"/>
          <w:color w:val="111111"/>
          <w:sz w:val="28"/>
          <w:szCs w:val="28"/>
          <w:rtl w:val="true"/>
          <w:lang w:bidi="ar-SA"/>
        </w:rPr>
        <w:t xml:space="preserve">: </w:t>
      </w:r>
      <w:r>
        <w:rPr>
          <w:rStyle w:val="FootnoteAnchor"/>
          <w:rtl w:val="true"/>
        </w:rPr>
        <w:footnoteReference w:id="2062"/>
      </w:r>
      <w:r>
        <w:rPr>
          <w:rFonts w:ascii="Amiri" w:hAnsi="Amiri" w:eastAsia="Amiri" w:cs="Amiri"/>
          <w:color w:val="111111"/>
          <w:sz w:val="28"/>
          <w:sz w:val="28"/>
          <w:szCs w:val="28"/>
          <w:rtl w:val="true"/>
          <w:lang w:bidi="ar-SA"/>
        </w:rPr>
        <w:t xml:space="preserve">فمنع صرفها لألف التأنيث قال في الصّحاح عن شيئاء إنه جمع على غير واحده كما أن الشّعراء جمع على غير واحده ، لأنّ فاعل لا يجمع على فعلاء انتهى كلام صاحب الصّحاح </w:t>
      </w:r>
      <w:r>
        <w:rPr>
          <w:rStyle w:val="FootnoteAnchor"/>
          <w:rtl w:val="true"/>
        </w:rPr>
        <w:footnoteReference w:id="2063"/>
      </w:r>
      <w:r>
        <w:rPr>
          <w:rFonts w:ascii="Amiri" w:hAnsi="Amiri" w:eastAsia="Amiri" w:cs="Amiri"/>
          <w:color w:val="111111"/>
          <w:sz w:val="28"/>
          <w:sz w:val="28"/>
          <w:szCs w:val="28"/>
          <w:rtl w:val="true"/>
          <w:lang w:bidi="ar-SA"/>
        </w:rPr>
        <w:t xml:space="preserve">وشيئاء فعلاء ، الشين فاء والياء عين والهمزة الأولى لام ، فجعلت اللام وهي الهمزة الأولى فاء ، والفاء وهي الشين عينا ، والعين وهي الياء لاما ، فصار أشياء على وزن لفعاء وقال الكسائي أشياء أفعال جمع شيء لأنّ فعلا معتلّ العين يجمع على أفعال ، كقيل وأقيال وهو مردود لاستلزامه منع الصّرف بغير علّة </w:t>
      </w:r>
      <w:r>
        <w:rPr>
          <w:rStyle w:val="FootnoteAnchor"/>
          <w:rtl w:val="true"/>
        </w:rPr>
        <w:footnoteReference w:id="2064"/>
      </w:r>
      <w:r>
        <w:rPr>
          <w:rFonts w:ascii="Amiri" w:hAnsi="Amiri" w:eastAsia="Amiri" w:cs="Amiri"/>
          <w:color w:val="111111"/>
          <w:sz w:val="28"/>
          <w:sz w:val="28"/>
          <w:szCs w:val="28"/>
          <w:rtl w:val="true"/>
          <w:lang w:bidi="ar-SA"/>
        </w:rPr>
        <w:t xml:space="preserve">، وأمّا القلب فكثير في كلامهم فوجب المصير إليه ، 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أشياء أشيئاء على وزن أفعلاء ، جمع لشيّء على وزن فيعل ، ورأى أنّ شيئا أصله شيّء ثم خفّف كما خفّف ميت من ميّت وجمع بحسب الأصل على أشيئاء ، كما جمع بيّن على أبيناء ثم حذفت الهمزة التي بين الياء والألف وهي لام الكلمة تخفيفا كراهة لهمزتين بينهما ألف فصار وزنه عنده أفعاء ، وهو مردود بأنه لم يسمع شيّء فلو كان هو الأصل لكان شائعا كميّت ، وبأنه حذف لام الفعل على غير قياس ، لأنّ الهمزتين إذا توسّطهما الألف لا تحذف إحداهما ولا هما </w:t>
      </w:r>
      <w:r>
        <w:rPr>
          <w:rStyle w:val="FootnoteAnchor"/>
          <w:rtl w:val="true"/>
        </w:rPr>
        <w:footnoteReference w:id="20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2" w:name="__RefHeading___Toc717054_996550957"/>
      <w:bookmarkStart w:id="723" w:name="_Toc268"/>
      <w:bookmarkEnd w:id="722"/>
      <w:r>
        <w:rPr>
          <w:rtl w:val="true"/>
        </w:rPr>
        <w:t>ذكر كيفيّة وزن الكلمة المحذوفة</w:t>
      </w:r>
      <w:bookmarkEnd w:id="723"/>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0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الحذف كالقلب أي إن كان حذف في الموزون حذفت الزنة مثله </w:t>
      </w:r>
      <w:r>
        <w:rPr>
          <w:rStyle w:val="FootnoteAnchor"/>
          <w:rtl w:val="true"/>
        </w:rPr>
        <w:footnoteReference w:id="2067"/>
      </w:r>
      <w:r>
        <w:rPr>
          <w:rFonts w:ascii="IRNazanin" w:hAnsi="IRNazanin" w:eastAsia="IRNazanin"/>
          <w:color w:val="111111"/>
          <w:sz w:val="28"/>
          <w:sz w:val="28"/>
          <w:szCs w:val="28"/>
          <w:rtl w:val="true"/>
          <w:lang w:bidi="fa-IR"/>
        </w:rPr>
        <w:t xml:space="preserve">، </w:t>
      </w:r>
      <w:bookmarkStart w:id="724" w:name="pg14482_156353"/>
    </w:p>
    <w:p>
      <w:pPr>
        <w:pStyle w:val="BookText"/>
        <w:rPr/>
      </w:pPr>
      <w:bookmarkEnd w:id="724"/>
      <w:r>
        <w:rPr>
          <w:rFonts w:ascii="Amiri" w:hAnsi="Amiri" w:eastAsia="Amiri" w:cs="Amiri"/>
          <w:color w:val="111111"/>
          <w:sz w:val="28"/>
          <w:sz w:val="28"/>
          <w:szCs w:val="28"/>
          <w:rtl w:val="true"/>
          <w:lang w:bidi="ar-SA"/>
        </w:rPr>
        <w:t xml:space="preserve">فتقول في وزن قاض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 ، لأنّ لامه التي هي الياء حذفت للتنوين ، وفي يمق </w:t>
      </w:r>
      <w:r>
        <w:rPr>
          <w:rStyle w:val="FootnoteAnchor"/>
          <w:rtl w:val="true"/>
        </w:rPr>
        <w:footnoteReference w:id="2068"/>
      </w:r>
      <w:r>
        <w:rPr>
          <w:rFonts w:ascii="Amiri" w:hAnsi="Amiri" w:eastAsia="Amiri" w:cs="Amiri"/>
          <w:color w:val="111111"/>
          <w:sz w:val="28"/>
          <w:sz w:val="28"/>
          <w:szCs w:val="28"/>
          <w:rtl w:val="true"/>
          <w:lang w:bidi="ar-SA"/>
        </w:rPr>
        <w:t>يعل ، لأنّ أصله يومق على وزن يفعل فحذفت فاء الفعل وهي واو يومق لوقوعها بين ياء وكسرة ، لأنها بعد ياء المضارعة فصار وزن يمق يعل ، بحذف الفاء لكن إن قصد في المقلوب والمحذوف تبيين القلب والحذف فيهما جاز أن تأتي بالزنة حينئذ على الأصل كما تقول أشياء على مذهب سيبويه وزنها في الأصل فعلاء ، وقاض وزنه في الأصل فاعل</w:t>
      </w:r>
      <w:r>
        <w:rPr>
          <w:rFonts w:eastAsia="Amiri" w:cs="Amiri" w:ascii="Amiri" w:hAnsi="Amiri"/>
          <w:color w:val="111111"/>
          <w:sz w:val="28"/>
          <w:szCs w:val="28"/>
          <w:rtl w:val="true"/>
          <w:lang w:bidi="ar-SA"/>
        </w:rPr>
        <w:t>.</w:t>
      </w:r>
    </w:p>
    <w:p>
      <w:pPr>
        <w:pStyle w:val="Heading4"/>
        <w:numPr>
          <w:ilvl w:val="3"/>
          <w:numId w:val="1"/>
        </w:numPr>
        <w:rPr/>
      </w:pPr>
      <w:bookmarkStart w:id="725" w:name="__RefHeading___Toc717056_996550957"/>
      <w:bookmarkStart w:id="726" w:name="_Toc269"/>
      <w:bookmarkEnd w:id="725"/>
      <w:r>
        <w:rPr>
          <w:rtl w:val="true"/>
        </w:rPr>
        <w:t>فصل في الأبنية</w:t>
      </w:r>
      <w:bookmarkEnd w:id="726"/>
    </w:p>
    <w:p>
      <w:pPr>
        <w:pStyle w:val="Heading5"/>
        <w:numPr>
          <w:ilvl w:val="4"/>
          <w:numId w:val="1"/>
        </w:numPr>
        <w:rPr/>
      </w:pPr>
      <w:bookmarkStart w:id="727" w:name="__RefHeading___Toc717058_996550957"/>
      <w:bookmarkStart w:id="728" w:name="_Toc270"/>
      <w:bookmarkEnd w:id="727"/>
      <w:r>
        <w:rPr>
          <w:rtl w:val="true"/>
        </w:rPr>
        <w:t>اشارة</w:t>
      </w:r>
      <w:bookmarkEnd w:id="728"/>
    </w:p>
    <w:p>
      <w:pPr>
        <w:pStyle w:val="BookText"/>
        <w:rPr/>
      </w:pPr>
      <w:r>
        <w:rPr>
          <w:rFonts w:ascii="Amiri" w:hAnsi="Amiri" w:eastAsia="Amiri" w:cs="Amiri"/>
          <w:color w:val="111111"/>
          <w:sz w:val="28"/>
          <w:sz w:val="28"/>
          <w:szCs w:val="28"/>
          <w:rtl w:val="true"/>
          <w:lang w:bidi="ar-SA"/>
        </w:rPr>
        <w:t>والكلام في هذا الفصل على تقسيم الأبنية ، وعلى أبنية الاسم الأصول المجرّدة عن الزيادة ، وأما أبنية المزيد فيه فتأتي في فصل بعد هذا الفصل</w:t>
      </w:r>
      <w:r>
        <w:rPr>
          <w:rFonts w:eastAsia="Amiri" w:cs="Amiri" w:ascii="Amiri" w:hAnsi="Amiri"/>
          <w:color w:val="111111"/>
          <w:sz w:val="28"/>
          <w:szCs w:val="28"/>
          <w:rtl w:val="true"/>
          <w:lang w:bidi="ar-SA"/>
        </w:rPr>
        <w:t>.</w:t>
      </w:r>
    </w:p>
    <w:p>
      <w:pPr>
        <w:pStyle w:val="Heading5"/>
        <w:numPr>
          <w:ilvl w:val="4"/>
          <w:numId w:val="1"/>
        </w:numPr>
        <w:rPr/>
      </w:pPr>
      <w:bookmarkStart w:id="729" w:name="__RefHeading___Toc717060_996550957"/>
      <w:bookmarkStart w:id="730" w:name="_Toc271"/>
      <w:bookmarkEnd w:id="729"/>
      <w:r>
        <w:rPr>
          <w:rtl w:val="true"/>
        </w:rPr>
        <w:t>ذكر تقسيم الأبنية الأصول</w:t>
      </w:r>
      <w:bookmarkEnd w:id="730"/>
    </w:p>
    <w:p>
      <w:pPr>
        <w:pStyle w:val="BookText"/>
        <w:rPr/>
      </w:pPr>
      <w:r>
        <w:rPr>
          <w:rStyle w:val="FootnoteAnchor"/>
          <w:rtl w:val="true"/>
        </w:rPr>
        <w:footnoteReference w:id="20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تنقسم إلى صحيح ومعتلّ ومضاعف ومهموز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الصحيح </w:t>
      </w:r>
      <w:r>
        <w:rPr>
          <w:rFonts w:eastAsia="Amiri" w:cs="Amiri" w:ascii="Amiri" w:hAnsi="Amiri"/>
          <w:color w:val="111111"/>
          <w:sz w:val="28"/>
          <w:szCs w:val="28"/>
          <w:rtl w:val="true"/>
          <w:lang w:bidi="ar-SA"/>
        </w:rPr>
        <w:t xml:space="preserve">: </w:t>
      </w:r>
      <w:r>
        <w:rPr>
          <w:rStyle w:val="FootnoteAnchor"/>
          <w:rtl w:val="true"/>
        </w:rPr>
        <w:footnoteReference w:id="2070"/>
      </w:r>
      <w:r>
        <w:rPr>
          <w:rFonts w:ascii="Amiri" w:hAnsi="Amiri" w:eastAsia="Amiri" w:cs="Amiri"/>
          <w:color w:val="111111"/>
          <w:sz w:val="28"/>
          <w:sz w:val="28"/>
          <w:szCs w:val="28"/>
          <w:rtl w:val="true"/>
          <w:lang w:bidi="ar-SA"/>
        </w:rPr>
        <w:t xml:space="preserve">فهو ما سلمت أصوله من حروف العلّة والهمزة والتضعيف </w:t>
      </w:r>
      <w:r>
        <w:rPr>
          <w:rStyle w:val="FootnoteAnchor"/>
          <w:rtl w:val="true"/>
        </w:rPr>
        <w:footnoteReference w:id="2071"/>
      </w:r>
      <w:r>
        <w:rPr>
          <w:rFonts w:ascii="Amiri" w:hAnsi="Amiri" w:eastAsia="Amiri" w:cs="Amiri"/>
          <w:color w:val="111111"/>
          <w:sz w:val="28"/>
          <w:sz w:val="28"/>
          <w:szCs w:val="28"/>
          <w:rtl w:val="true"/>
          <w:lang w:bidi="ar-SA"/>
        </w:rPr>
        <w:t>وإنما خصّص الأصول بالسلامة لجواز وقوع ذلك في غير الأصول كحرف العلّة في يضرب وضارب</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المعتلّ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ما كان أحد أصوله حرف علة وهو الواو والألف والياء وذلك الأصل إمّا فاء كوعد ويسر أو عين كقال وباع أو لام كغزا ورمى ، وسمّي معتلّ الفاء في اصطلاح المتقدّمين مثالا لمماثلته الصحيح في صحّته وعدم إعلاله </w:t>
      </w:r>
      <w:r>
        <w:rPr>
          <w:rStyle w:val="FootnoteAnchor"/>
          <w:rtl w:val="true"/>
        </w:rPr>
        <w:footnoteReference w:id="2072"/>
      </w:r>
      <w:r>
        <w:rPr>
          <w:rFonts w:ascii="Amiri" w:hAnsi="Amiri" w:eastAsia="Amiri" w:cs="Amiri"/>
          <w:color w:val="111111"/>
          <w:sz w:val="28"/>
          <w:sz w:val="28"/>
          <w:szCs w:val="28"/>
          <w:rtl w:val="true"/>
          <w:lang w:bidi="ar-SA"/>
        </w:rPr>
        <w:t xml:space="preserve">ومعتلّ العين أجوف لكون حرف العلّة في وسطه ، وهو كالجوف ويقال له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الثلاثة لكونه مع ضمير الفاعل المتحرّك على ثلاثة أحرف في المتكلّم والمخاطب المذكّر والمؤنّث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وبعت بضم التاء وفتحها وكسرها ، ويسمّى معتلّ اللام منقوصا لنقصان </w:t>
      </w:r>
      <w:bookmarkStart w:id="731" w:name="pg14482_156354"/>
    </w:p>
    <w:p>
      <w:pPr>
        <w:pStyle w:val="BookText"/>
        <w:rPr/>
      </w:pPr>
      <w:bookmarkEnd w:id="731"/>
      <w:r>
        <w:rPr>
          <w:rFonts w:ascii="Amiri" w:hAnsi="Amiri" w:eastAsia="Amiri" w:cs="Amiri"/>
          <w:color w:val="111111"/>
          <w:sz w:val="28"/>
          <w:sz w:val="28"/>
          <w:szCs w:val="28"/>
          <w:rtl w:val="true"/>
          <w:lang w:bidi="ar-SA"/>
        </w:rPr>
        <w:t xml:space="preserve">الحركة منه حال الرفع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يغزو ويرمي أو لنقصان الّلام منه في الاسم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 وفي الفعل في الجزم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يغز </w:t>
      </w:r>
      <w:r>
        <w:rPr>
          <w:rStyle w:val="FootnoteAnchor"/>
          <w:rtl w:val="true"/>
        </w:rPr>
        <w:footnoteReference w:id="2073"/>
      </w:r>
      <w:r>
        <w:rPr>
          <w:rFonts w:ascii="Amiri" w:hAnsi="Amiri" w:eastAsia="Amiri" w:cs="Amiri"/>
          <w:color w:val="111111"/>
          <w:sz w:val="28"/>
          <w:sz w:val="28"/>
          <w:szCs w:val="28"/>
          <w:rtl w:val="true"/>
          <w:lang w:bidi="ar-SA"/>
        </w:rPr>
        <w:t xml:space="preserve">، ويقال له أيضا ذو الأربعة لأنه مع ضمير المتكلمّ والمخاطب المذكّر والمؤنّث على أربعة أحرف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غزوت وشريت بضم التاء وفتحها وكسرها ويسمى معتلّ الفاء والعين معا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 ومعتلّ العين والّلام معا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طوى لفيفا مقرونا ، لالتفاف حرفي العلّة واقترانهما ، ويسمّى معتلّ الفاء والّلام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 لفيفا مفروقا لافتراق حرفي العلّة بغيرهما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المضاعف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فالثلاثي ما كان عينه ولامه من جنس واحد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وشدّ ، والرباعي ما كان أوله وثالثه من جنس واحد ، وثانيه ورابعه من جنس واحد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المهموز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ما كان أحد أصوله همزة فإن كانت فاء سمّي البناء قطعا ، ومهموز الفاء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 وإن كانت عينا 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نبر ومهموز العين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 وإن كانت لاما 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همز ، ومهموز اللام كقرأ ، فلا يقاس وعدت على رميت في التسمية بذي الأربعة ، ولا مهموز العين على مهموز الّلام في التسمية بالهمز ، ولا مهموز الّلام على مهموز العين في التسمية بالنبر ، لأنّ الصحيح أن لا قياس في اللغة</w:t>
      </w:r>
      <w:r>
        <w:rPr>
          <w:rFonts w:eastAsia="Amiri" w:cs="Amiri" w:ascii="Amiri" w:hAnsi="Amiri"/>
          <w:color w:val="111111"/>
          <w:sz w:val="28"/>
          <w:szCs w:val="28"/>
          <w:rtl w:val="true"/>
          <w:lang w:bidi="ar-SA"/>
        </w:rPr>
        <w:t>.</w:t>
      </w:r>
    </w:p>
    <w:p>
      <w:pPr>
        <w:pStyle w:val="Heading5"/>
        <w:numPr>
          <w:ilvl w:val="4"/>
          <w:numId w:val="1"/>
        </w:numPr>
        <w:rPr/>
      </w:pPr>
      <w:bookmarkStart w:id="732" w:name="__RefHeading___Toc717062_996550957"/>
      <w:bookmarkStart w:id="733" w:name="_Toc272"/>
      <w:bookmarkEnd w:id="732"/>
      <w:r>
        <w:rPr>
          <w:rtl w:val="true"/>
        </w:rPr>
        <w:t>ذكر أبنية الاسم الثلاثي المجرّد</w:t>
      </w:r>
      <w:bookmarkEnd w:id="733"/>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0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وأبنيته أكثر من أبنية الرباعي والخماسي وهي عشرة ، والقسمة تقتضي اثني عشر ، من ضرب ثلاث حركات ، الأول في أربع حالات الثاني ، وسقط فعل بضمّ الفاء وكسر العين ، وفعل بكسر الفاء وضمّ العين استثقالا للخروج من الضمّة إلى الكسرة وبالعكس </w:t>
      </w:r>
      <w:r>
        <w:rPr>
          <w:rStyle w:val="FootnoteAnchor"/>
          <w:rtl w:val="true"/>
        </w:rPr>
        <w:footnoteReference w:id="2075"/>
      </w:r>
      <w:r>
        <w:rPr>
          <w:rFonts w:ascii="Amiri" w:hAnsi="Amiri" w:eastAsia="Amiri" w:cs="Amiri"/>
          <w:color w:val="111111"/>
          <w:sz w:val="28"/>
          <w:sz w:val="28"/>
          <w:szCs w:val="28"/>
          <w:rtl w:val="true"/>
          <w:lang w:bidi="ar-SA"/>
        </w:rPr>
        <w:t xml:space="preserve">وأمّا الدّئل بضمّ أوله وكسر ثانيه ، فعلم منقول من فعل ما لم يسمّ فاعله </w:t>
      </w:r>
      <w:r>
        <w:rPr>
          <w:rStyle w:val="FootnoteAnchor"/>
          <w:rtl w:val="true"/>
        </w:rPr>
        <w:footnoteReference w:id="2076"/>
      </w:r>
      <w:r>
        <w:rPr>
          <w:rFonts w:ascii="Amiri" w:hAnsi="Amiri" w:eastAsia="Amiri" w:cs="Amiri"/>
          <w:color w:val="111111"/>
          <w:sz w:val="28"/>
          <w:sz w:val="28"/>
          <w:szCs w:val="28"/>
          <w:rtl w:val="true"/>
          <w:lang w:bidi="ar-SA"/>
        </w:rPr>
        <w:t xml:space="preserve">، وأمّا الحبك </w:t>
      </w:r>
      <w:r>
        <w:rPr>
          <w:rStyle w:val="FootnoteAnchor"/>
          <w:rtl w:val="true"/>
        </w:rPr>
        <w:footnoteReference w:id="2077"/>
      </w:r>
      <w:r>
        <w:rPr>
          <w:rFonts w:ascii="Amiri" w:hAnsi="Amiri" w:eastAsia="Amiri" w:cs="Amiri"/>
          <w:color w:val="111111"/>
          <w:sz w:val="28"/>
          <w:sz w:val="28"/>
          <w:szCs w:val="28"/>
          <w:rtl w:val="true"/>
          <w:lang w:bidi="ar-SA"/>
        </w:rPr>
        <w:t xml:space="preserve">بكسر أوله وضمّ ثانيه إن ثبت فعلى تداخل اللّغتين </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لأنّه ورد حبك بكسرهما ، وحبك بضمهما ، فركّب الحبك من كسرة فاء أحدهما وضمّة عين الآخر ، وأمّا العشرة الباقية </w:t>
      </w:r>
      <w:r>
        <w:rPr>
          <w:rStyle w:val="FootnoteAnchor"/>
          <w:rtl w:val="true"/>
        </w:rPr>
        <w:footnoteReference w:id="2078"/>
      </w:r>
      <w:r>
        <w:rPr>
          <w:rFonts w:ascii="Amiri" w:hAnsi="Amiri" w:eastAsia="Amiri" w:cs="Amiri"/>
          <w:color w:val="111111"/>
          <w:sz w:val="28"/>
          <w:sz w:val="28"/>
          <w:szCs w:val="28"/>
          <w:rtl w:val="true"/>
          <w:lang w:bidi="ar-SA"/>
        </w:rPr>
        <w:t xml:space="preserve">فأربعة بفتح الفاء مع سكون العين وفتحها وكسرها وضمّها ، كفلس وفرس وكتف وعضد ، وثلاثة بكسر الفاء مع سكون العين وفتحها وكسرها ، كحبر وعنب وإبل ، وثلاثة بضمّ الفاء مع سكون العين وفتحها وضمّها ، كقفل وصرد وعنق </w:t>
      </w:r>
      <w:r>
        <w:rPr>
          <w:rStyle w:val="FootnoteAnchor"/>
          <w:rtl w:val="true"/>
        </w:rPr>
        <w:footnoteReference w:id="2079"/>
      </w:r>
      <w:r>
        <w:rPr>
          <w:rFonts w:ascii="Amiri" w:hAnsi="Amiri" w:eastAsia="Amiri" w:cs="Amiri"/>
          <w:color w:val="111111"/>
          <w:sz w:val="28"/>
          <w:sz w:val="28"/>
          <w:szCs w:val="28"/>
          <w:rtl w:val="true"/>
          <w:lang w:bidi="ar-SA"/>
        </w:rPr>
        <w:t xml:space="preserve">، وبعض هذه الأمثلة قد يردّ إلى بعض فيكون الوزن الثاني فرعا من الأول فلفعل بفتح الفاء وكسر العين ممّا ثانيه حرف حلق مثل فخذ ، له فروع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كفخذ ، وفعل كفخذ ، وفعل كفخذ </w:t>
      </w:r>
      <w:r>
        <w:rPr>
          <w:rStyle w:val="FootnoteAnchor"/>
          <w:rtl w:val="true"/>
        </w:rPr>
        <w:footnoteReference w:id="2080"/>
      </w:r>
      <w:r>
        <w:rPr>
          <w:rFonts w:ascii="Amiri" w:hAnsi="Amiri" w:eastAsia="Amiri" w:cs="Amiri"/>
          <w:color w:val="111111"/>
          <w:sz w:val="28"/>
          <w:sz w:val="28"/>
          <w:szCs w:val="28"/>
          <w:rtl w:val="true"/>
          <w:lang w:bidi="ar-SA"/>
        </w:rPr>
        <w:t xml:space="preserve">وكذلك القول فيما أشبهه </w:t>
      </w:r>
      <w:r>
        <w:rPr>
          <w:rStyle w:val="FootnoteAnchor"/>
          <w:rtl w:val="true"/>
        </w:rPr>
        <w:footnoteReference w:id="2081"/>
      </w:r>
      <w:r>
        <w:rPr>
          <w:rFonts w:ascii="Amiri" w:hAnsi="Amiri" w:eastAsia="Amiri" w:cs="Amiri"/>
          <w:color w:val="111111"/>
          <w:sz w:val="28"/>
          <w:sz w:val="28"/>
          <w:szCs w:val="28"/>
          <w:rtl w:val="true"/>
          <w:lang w:bidi="ar-SA"/>
        </w:rPr>
        <w:t xml:space="preserve">، والفعل في ذلك كالاسم أعني أنّ الفعل إذا كان أوله مفتوحا وثانيه حرف حلق مكسور كشهد فله ثلاثة فروع فعل كشهد ، وفعل كشهد بفتح الشين وكسرها مع سكون الهاء ، وفعل كشهد بكسرهما ، فإن لم يكن ثاني فعل حرف حلق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كتف فله فرعان فقط ، كتف وكتف على فعل وفعل بفتح الفاء وكسرها مع سكون العين ، ولم يجز فيه كتف بكسرهما ، لأنّ كسرة التاء ليست بقوية مثل قوّة كسرة حرف الحلق التي ناسبت لقوّتها أن تتبع بكسرة أخرى ، ولفعل بفتح الفاء وضمّ العين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عضد فرع واحد وهو عضد ، بفتح فاء الفعل وسكون العين ، ولفعل بضمّ الفاء والعين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عنق فرع واحد أيضا وهو عنق بضمّ الفاء وسكون العين ، ولفعل بكسر الفاء والعين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إبل فرع واحد أيضا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إبل بكسر الفاء وسكون العين ، إلّا أنّ إسكان عين الفعل في عنق أفصح من إسكانها في إبل وفي فعل بضم الفاء وسكون العين كقفل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 فبعضهم يجوّز فيه فعل بضمهما </w:t>
      </w:r>
      <w:r>
        <w:rPr>
          <w:rStyle w:val="FootnoteAnchor"/>
          <w:rtl w:val="true"/>
        </w:rPr>
        <w:footnoteReference w:id="2082"/>
      </w:r>
      <w:r>
        <w:rPr>
          <w:rFonts w:ascii="Amiri" w:hAnsi="Amiri" w:eastAsia="Amiri" w:cs="Amiri"/>
          <w:color w:val="111111"/>
          <w:sz w:val="28"/>
          <w:sz w:val="28"/>
          <w:szCs w:val="28"/>
          <w:rtl w:val="true"/>
          <w:lang w:bidi="ar-SA"/>
        </w:rPr>
        <w:t>لمجيء عسر ويسر في عسر ويسر ، والأكثر يمنعون منه ، ويمنعون من أن يكون عسر فرعا لعسر بل هما أصلان ، وهو الأجدر لئلا يلزم الانتقال من الخفّة إلى الثقل</w:t>
      </w:r>
      <w:r>
        <w:rPr>
          <w:rFonts w:eastAsia="Amiri" w:cs="Amiri" w:ascii="Amiri" w:hAnsi="Amiri"/>
          <w:color w:val="111111"/>
          <w:sz w:val="28"/>
          <w:szCs w:val="28"/>
          <w:rtl w:val="true"/>
          <w:lang w:bidi="ar-SA"/>
        </w:rPr>
        <w:t xml:space="preserve">. </w:t>
      </w:r>
      <w:bookmarkStart w:id="734" w:name="pg14482_156356"/>
    </w:p>
    <w:p>
      <w:pPr>
        <w:pStyle w:val="Heading5"/>
        <w:numPr>
          <w:ilvl w:val="4"/>
          <w:numId w:val="1"/>
        </w:numPr>
        <w:rPr/>
      </w:pPr>
      <w:bookmarkStart w:id="735" w:name="__RefHeading___Toc717064_996550957"/>
      <w:bookmarkStart w:id="736" w:name="_Toc273"/>
      <w:bookmarkEnd w:id="734"/>
      <w:bookmarkEnd w:id="735"/>
      <w:r>
        <w:rPr>
          <w:rtl w:val="true"/>
        </w:rPr>
        <w:t>ذكر أبنية الاسم الرباعي المجرّد</w:t>
      </w:r>
      <w:bookmarkEnd w:id="736"/>
    </w:p>
    <w:p>
      <w:pPr>
        <w:pStyle w:val="BookText"/>
        <w:rPr/>
      </w:pPr>
      <w:r>
        <w:rPr>
          <w:rStyle w:val="FootnoteAnchor"/>
          <w:rtl w:val="true"/>
        </w:rPr>
        <w:footnoteReference w:id="20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خمسة بالاستقراء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فعلل بفتح الفاء والّلام وسكون العين </w:t>
      </w:r>
      <w:r>
        <w:rPr>
          <w:rStyle w:val="FootnoteAnchor"/>
          <w:rtl w:val="true"/>
        </w:rPr>
        <w:footnoteReference w:id="2084"/>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فعلل بكسر الفاء والّلام وسكون العين </w:t>
      </w:r>
      <w:r>
        <w:rPr>
          <w:rStyle w:val="FootnoteAnchor"/>
          <w:rtl w:val="true"/>
        </w:rPr>
        <w:footnoteReference w:id="2085"/>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زبرج وهو من أسماء الذهب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فعلل بضمّ الفاء والّلام وسكون العين </w:t>
      </w:r>
      <w:r>
        <w:rPr>
          <w:rStyle w:val="FootnoteAnchor"/>
          <w:rtl w:val="true"/>
        </w:rPr>
        <w:footnoteReference w:id="2086"/>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برثن </w:t>
      </w:r>
      <w:r>
        <w:rPr>
          <w:rStyle w:val="FootnoteAnchor"/>
          <w:rtl w:val="true"/>
        </w:rPr>
        <w:footnoteReference w:id="20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فعلل بكسر الفاء وسكون العين وفتح الّلام </w:t>
      </w:r>
      <w:r>
        <w:rPr>
          <w:rStyle w:val="FootnoteAnchor"/>
          <w:rtl w:val="true"/>
        </w:rPr>
        <w:footnoteReference w:id="2088"/>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فعلل بكسر الفاء وفتح العين وسكون الّلام الأولى </w:t>
      </w:r>
      <w:r>
        <w:rPr>
          <w:rStyle w:val="FootnoteAnchor"/>
          <w:rtl w:val="true"/>
        </w:rPr>
        <w:footnoteReference w:id="20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قمطر </w:t>
      </w:r>
      <w:r>
        <w:rPr>
          <w:rStyle w:val="FootnoteAnchor"/>
          <w:rtl w:val="true"/>
        </w:rPr>
        <w:footnoteReference w:id="2090"/>
      </w:r>
      <w:r>
        <w:rPr>
          <w:rFonts w:ascii="IRNazanin" w:hAnsi="IRNazanin" w:eastAsia="IRNazanin"/>
          <w:color w:val="111111"/>
          <w:sz w:val="28"/>
          <w:sz w:val="28"/>
          <w:szCs w:val="28"/>
          <w:rtl w:val="true"/>
          <w:lang w:bidi="fa-IR"/>
        </w:rPr>
        <w:t xml:space="preserve">وزاد الأخفش </w:t>
      </w:r>
      <w:r>
        <w:rPr>
          <w:rStyle w:val="FootnoteAnchor"/>
          <w:rtl w:val="true"/>
        </w:rPr>
        <w:footnoteReference w:id="2091"/>
      </w:r>
      <w:r>
        <w:rPr>
          <w:rFonts w:ascii="Amiri" w:hAnsi="Amiri" w:eastAsia="Amiri" w:cs="Amiri"/>
          <w:color w:val="111111"/>
          <w:sz w:val="28"/>
          <w:sz w:val="28"/>
          <w:szCs w:val="28"/>
          <w:rtl w:val="true"/>
          <w:lang w:bidi="ar-SA"/>
        </w:rPr>
        <w:t xml:space="preserve">بناء سادسا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فعلل بضمّ الفاء وسكون العين وفتح الّلام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جخدب </w:t>
      </w:r>
      <w:r>
        <w:rPr>
          <w:rStyle w:val="FootnoteAnchor"/>
          <w:rtl w:val="true"/>
        </w:rPr>
        <w:footnoteReference w:id="2092"/>
      </w:r>
      <w:r>
        <w:rPr>
          <w:rFonts w:ascii="Amiri" w:hAnsi="Amiri" w:eastAsia="Amiri" w:cs="Amiri"/>
          <w:color w:val="111111"/>
          <w:sz w:val="28"/>
          <w:sz w:val="28"/>
          <w:szCs w:val="28"/>
          <w:rtl w:val="true"/>
          <w:lang w:bidi="ar-SA"/>
        </w:rPr>
        <w:t xml:space="preserve">وسيبويه يرويه بضمّ الدّال </w:t>
      </w:r>
      <w:r>
        <w:rPr>
          <w:rStyle w:val="FootnoteAnchor"/>
          <w:rtl w:val="true"/>
        </w:rPr>
        <w:footnoteReference w:id="2093"/>
      </w:r>
      <w:r>
        <w:rPr>
          <w:rFonts w:ascii="Amiri" w:hAnsi="Amiri" w:eastAsia="Amiri" w:cs="Amiri"/>
          <w:color w:val="111111"/>
          <w:sz w:val="28"/>
          <w:sz w:val="28"/>
          <w:szCs w:val="28"/>
          <w:rtl w:val="true"/>
          <w:lang w:bidi="ar-SA"/>
        </w:rPr>
        <w:t xml:space="preserve">وأمّا ما ورد من الرباعي على خلاف ذلك وهو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جندل </w:t>
      </w:r>
      <w:r>
        <w:rPr>
          <w:rStyle w:val="FootnoteAnchor"/>
          <w:rtl w:val="true"/>
        </w:rPr>
        <w:footnoteReference w:id="2094"/>
      </w:r>
      <w:r>
        <w:rPr>
          <w:rFonts w:ascii="Amiri" w:hAnsi="Amiri" w:eastAsia="Amiri" w:cs="Amiri"/>
          <w:color w:val="111111"/>
          <w:sz w:val="28"/>
          <w:sz w:val="28"/>
          <w:szCs w:val="28"/>
          <w:rtl w:val="true"/>
          <w:lang w:bidi="ar-SA"/>
        </w:rPr>
        <w:t xml:space="preserve">بفتح الفاء والعين وكسر اللام ، وعلبط </w:t>
      </w:r>
      <w:r>
        <w:rPr>
          <w:rStyle w:val="FootnoteAnchor"/>
          <w:rtl w:val="true"/>
        </w:rPr>
        <w:footnoteReference w:id="2095"/>
      </w:r>
      <w:r>
        <w:rPr>
          <w:rFonts w:ascii="Amiri" w:hAnsi="Amiri" w:eastAsia="Amiri" w:cs="Amiri"/>
          <w:color w:val="111111"/>
          <w:sz w:val="28"/>
          <w:sz w:val="28"/>
          <w:szCs w:val="28"/>
          <w:rtl w:val="true"/>
          <w:lang w:bidi="ar-SA"/>
        </w:rPr>
        <w:t xml:space="preserve">بضمّ الفاء وفتح العين وكسر الّلام ، فلا يعتدّ به لندوره ، لأنّ كلامهم لا يجتمع فيه أربع </w:t>
      </w:r>
      <w:bookmarkStart w:id="737" w:name="pg14482_156357"/>
    </w:p>
    <w:p>
      <w:pPr>
        <w:pStyle w:val="BookText"/>
        <w:rPr/>
      </w:pPr>
      <w:bookmarkEnd w:id="737"/>
      <w:r>
        <w:rPr>
          <w:rFonts w:ascii="Amiri" w:hAnsi="Amiri" w:eastAsia="Amiri" w:cs="Amiri"/>
          <w:color w:val="111111"/>
          <w:sz w:val="28"/>
          <w:sz w:val="28"/>
          <w:szCs w:val="28"/>
          <w:rtl w:val="true"/>
          <w:lang w:bidi="ar-SA"/>
        </w:rPr>
        <w:t xml:space="preserve">حركات متوالية في كلمة واحدة ، فحملا على أنّ الأصل جنادل وعلابط </w:t>
      </w:r>
      <w:r>
        <w:rPr>
          <w:rStyle w:val="FootnoteAnchor"/>
          <w:rtl w:val="true"/>
        </w:rPr>
        <w:footnoteReference w:id="20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8" w:name="__RefHeading___Toc717066_996550957"/>
      <w:bookmarkStart w:id="739" w:name="_Toc274"/>
      <w:bookmarkEnd w:id="738"/>
      <w:r>
        <w:rPr>
          <w:rtl w:val="true"/>
        </w:rPr>
        <w:t>ذكر أبنية الاسم الخماسي المجرّد</w:t>
      </w:r>
      <w:bookmarkEnd w:id="739"/>
    </w:p>
    <w:p>
      <w:pPr>
        <w:pStyle w:val="BookText"/>
        <w:rPr/>
      </w:pPr>
      <w:r>
        <w:rPr>
          <w:rStyle w:val="FootnoteAnchor"/>
          <w:rtl w:val="true"/>
        </w:rPr>
        <w:footnoteReference w:id="20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فعلّل بفتح الفاء والعين وسكون الّلام الأولى وفتح الثانية نحو سفرجل </w:t>
      </w:r>
      <w:r>
        <w:rPr>
          <w:rStyle w:val="FootnoteAnchor"/>
          <w:rtl w:val="true"/>
        </w:rPr>
        <w:footnoteReference w:id="20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فعللّ بكسر الفاء وسكون العين وفتح الّلام الأولى وسكون الّلام الثانية نحو قرطعب </w:t>
      </w:r>
      <w:r>
        <w:rPr>
          <w:rStyle w:val="FootnoteAnchor"/>
          <w:rtl w:val="true"/>
        </w:rPr>
        <w:footnoteReference w:id="2099"/>
      </w:r>
      <w:r>
        <w:rPr>
          <w:rFonts w:ascii="Amiri" w:hAnsi="Amiri" w:eastAsia="Amiri" w:cs="Amiri"/>
          <w:color w:val="111111"/>
          <w:sz w:val="28"/>
          <w:sz w:val="28"/>
          <w:szCs w:val="28"/>
          <w:rtl w:val="true"/>
          <w:lang w:bidi="ar-SA"/>
        </w:rPr>
        <w:t>وهي الخرقة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فعللل بفتح الفاء وسكون العين وفتح الّلام الأولى وكسر الّلام الثانية </w:t>
      </w:r>
      <w:r>
        <w:rPr>
          <w:rStyle w:val="FootnoteAnchor"/>
          <w:rtl w:val="true"/>
        </w:rPr>
        <w:footnoteReference w:id="2100"/>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قهبلس وهو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فعللل بضمّ الفاء وفتح العين وسكون الّلام الأولى وكسر الّلام الثانية </w:t>
      </w:r>
      <w:r>
        <w:rPr>
          <w:rStyle w:val="FootnoteAnchor"/>
          <w:rtl w:val="true"/>
        </w:rPr>
        <w:footnoteReference w:id="2101"/>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قذعمل وهو الشيء القليل انتهى الكلام على الأبنية الأصول</w:t>
      </w:r>
      <w:r>
        <w:rPr>
          <w:rFonts w:eastAsia="Amiri" w:cs="Amiri" w:ascii="Amiri" w:hAnsi="Amiri"/>
          <w:color w:val="111111"/>
          <w:sz w:val="28"/>
          <w:szCs w:val="28"/>
          <w:rtl w:val="true"/>
          <w:lang w:bidi="ar-SA"/>
        </w:rPr>
        <w:t>.</w:t>
      </w:r>
    </w:p>
    <w:p>
      <w:pPr>
        <w:pStyle w:val="Heading4"/>
        <w:numPr>
          <w:ilvl w:val="3"/>
          <w:numId w:val="1"/>
        </w:numPr>
        <w:rPr/>
      </w:pPr>
      <w:bookmarkStart w:id="740" w:name="__RefHeading___Toc717068_996550957"/>
      <w:bookmarkStart w:id="741" w:name="_Toc275"/>
      <w:bookmarkEnd w:id="740"/>
      <w:r>
        <w:rPr>
          <w:rtl w:val="true"/>
        </w:rPr>
        <w:t>فصل في أبنية المزيد فيه</w:t>
      </w:r>
      <w:bookmarkEnd w:id="741"/>
    </w:p>
    <w:p>
      <w:pPr>
        <w:pStyle w:val="Heading5"/>
        <w:numPr>
          <w:ilvl w:val="4"/>
          <w:numId w:val="1"/>
        </w:numPr>
        <w:rPr/>
      </w:pPr>
      <w:bookmarkStart w:id="742" w:name="__RefHeading___Toc717070_996550957"/>
      <w:bookmarkStart w:id="743" w:name="_Toc276"/>
      <w:bookmarkEnd w:id="742"/>
      <w:r>
        <w:rPr>
          <w:rtl w:val="true"/>
        </w:rPr>
        <w:t>اشارة</w:t>
      </w:r>
      <w:bookmarkEnd w:id="743"/>
    </w:p>
    <w:p>
      <w:pPr>
        <w:pStyle w:val="BookText"/>
        <w:rPr/>
      </w:pPr>
      <w:r>
        <w:rPr>
          <w:rStyle w:val="FootnoteAnchor"/>
          <w:rtl w:val="true"/>
        </w:rPr>
        <w:footnoteReference w:id="2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بالمزيد فيه ما زيد على أصوله بعض حروف الزيادة التي يجمعها اليوم تنساه حسبما نذكر هذه الحروف مفصلة في فصل الزيادة من المشترك إن شاء الله ، والمذكور هنا إنما هو أبنية الاسم المزيد فيه الثلاثي ثم الرباعي ثم الخماسي ، وقبل ذكر الثلاثي المزيد فيه لا بدّ من تقديم كلام على الزيادة</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الزيادة </w:t>
      </w:r>
      <w:r>
        <w:rPr>
          <w:rStyle w:val="FootnoteAnchor"/>
          <w:rtl w:val="true"/>
        </w:rPr>
        <w:footnoteReference w:id="2103"/>
      </w:r>
      <w:r>
        <w:rPr>
          <w:rFonts w:ascii="Amiri" w:hAnsi="Amiri" w:eastAsia="Amiri" w:cs="Amiri"/>
          <w:color w:val="111111"/>
          <w:sz w:val="28"/>
          <w:sz w:val="28"/>
          <w:szCs w:val="28"/>
          <w:rtl w:val="true"/>
          <w:lang w:bidi="ar-SA"/>
        </w:rPr>
        <w:t xml:space="preserve">تنقسم إلى زيادة من جنس حروف الكلمة ويقال لها الزيادة </w:t>
      </w:r>
      <w:bookmarkStart w:id="744" w:name="pg14482_156358"/>
    </w:p>
    <w:p>
      <w:pPr>
        <w:pStyle w:val="BookText"/>
        <w:rPr/>
      </w:pPr>
      <w:bookmarkEnd w:id="744"/>
      <w:r>
        <w:rPr>
          <w:rFonts w:ascii="Amiri" w:hAnsi="Amiri" w:eastAsia="Amiri" w:cs="Amiri"/>
          <w:color w:val="111111"/>
          <w:sz w:val="28"/>
          <w:sz w:val="28"/>
          <w:szCs w:val="28"/>
          <w:rtl w:val="true"/>
          <w:lang w:bidi="ar-SA"/>
        </w:rPr>
        <w:t xml:space="preserve">من موضعها كدال مهدد </w:t>
      </w:r>
      <w:r>
        <w:rPr>
          <w:rStyle w:val="FootnoteAnchor"/>
          <w:rtl w:val="true"/>
        </w:rPr>
        <w:footnoteReference w:id="2104"/>
      </w:r>
      <w:r>
        <w:rPr>
          <w:rFonts w:ascii="Amiri" w:hAnsi="Amiri" w:eastAsia="Amiri" w:cs="Amiri"/>
          <w:color w:val="111111"/>
          <w:sz w:val="28"/>
          <w:sz w:val="28"/>
          <w:szCs w:val="28"/>
          <w:rtl w:val="true"/>
          <w:lang w:bidi="ar-SA"/>
        </w:rPr>
        <w:t xml:space="preserve">وإلى زيادة من غير جنس حروف الكلمة كهمزة أحمر ، وتكون الزيادة للإلحاق ولغير الإلحاق ؛ والزيادة التي من جنس حروف الكلمة ، إنّما تكون بتكرير حرف أصلي من العين أو الّلام ؛ بأن يزاد على العين مثلها أو على الّلام مثلها فيحصل العين أو الّلام مضاعفة ؛ إمّا بإدغام أو بغير إدغام ، فمثال مضاعفة العين بغير إدغام ، خفيفد وهو الظّليم </w:t>
      </w:r>
      <w:r>
        <w:rPr>
          <w:rStyle w:val="FootnoteAnchor"/>
          <w:rtl w:val="true"/>
        </w:rPr>
        <w:footnoteReference w:id="2105"/>
      </w:r>
      <w:r>
        <w:rPr>
          <w:rFonts w:ascii="IRNazanin" w:hAnsi="IRNazanin" w:eastAsia="IRNazanin"/>
          <w:color w:val="111111"/>
          <w:sz w:val="28"/>
          <w:sz w:val="28"/>
          <w:szCs w:val="28"/>
          <w:rtl w:val="true"/>
          <w:lang w:bidi="fa-IR"/>
        </w:rPr>
        <w:t xml:space="preserve">وبإدغام تبّع </w:t>
      </w:r>
      <w:r>
        <w:rPr>
          <w:rStyle w:val="FootnoteAnchor"/>
          <w:rtl w:val="true"/>
        </w:rPr>
        <w:footnoteReference w:id="2106"/>
      </w:r>
      <w:r>
        <w:rPr>
          <w:rFonts w:ascii="Amiri" w:hAnsi="Amiri" w:eastAsia="Amiri" w:cs="Amiri"/>
          <w:color w:val="111111"/>
          <w:sz w:val="28"/>
          <w:sz w:val="28"/>
          <w:szCs w:val="28"/>
          <w:rtl w:val="true"/>
          <w:lang w:bidi="ar-SA"/>
        </w:rPr>
        <w:t xml:space="preserve">ومثال مضاعفة اللام بغير إدغام خفيدد ، وهو الظليم أيضا وأصلهما من الخفد وهو الإسراع ، وبإدغام خدبّ وهو الضخم </w:t>
      </w:r>
      <w:r>
        <w:rPr>
          <w:rStyle w:val="FootnoteAnchor"/>
          <w:rtl w:val="true"/>
        </w:rPr>
        <w:footnoteReference w:id="2107"/>
      </w:r>
      <w:r>
        <w:rPr>
          <w:rFonts w:ascii="Amiri" w:hAnsi="Amiri" w:eastAsia="Amiri" w:cs="Amiri"/>
          <w:color w:val="111111"/>
          <w:sz w:val="28"/>
          <w:sz w:val="28"/>
          <w:szCs w:val="28"/>
          <w:rtl w:val="true"/>
          <w:lang w:bidi="ar-SA"/>
        </w:rPr>
        <w:t xml:space="preserve">وأما الفاء فلا تضاعف وحدها فإنّه لم يأت ففعل ، وإنما تضاعف مع العين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مرمريس وهو من أسماء الدّاهية ووزنه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فعفعيل ، ولم تضاعف الفاء مع الّلام فلم يأت ففعلل ، وجاءت العين مضاعفة من الّلام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صمحح وهو الشديد ووزنه فعلعل </w:t>
      </w:r>
      <w:r>
        <w:rPr>
          <w:rStyle w:val="FootnoteAnchor"/>
          <w:rtl w:val="true"/>
        </w:rPr>
        <w:footnoteReference w:id="21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5" w:name="__RefHeading___Toc717072_996550957"/>
      <w:bookmarkStart w:id="746" w:name="_Toc277"/>
      <w:bookmarkEnd w:id="745"/>
      <w:r>
        <w:rPr>
          <w:rtl w:val="true"/>
        </w:rPr>
        <w:t>ذكر أبنية الاسم الثلاثي المزيد فيه</w:t>
      </w:r>
      <w:bookmarkEnd w:id="746"/>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والزيادة كثرت في الثلاثي لسهولته وكثرة استعماله ، وتقع الزيادة الواحدة فيه في أربعة مواضع ؛ ما قبل الفاء ، وما بين الفاء وبين العين ، وما بين العين وبين الّلام ، وما بعد الّلام ، وتقع في هذه المواضع زيادة واحدة واثنتان وثلاث وأربع وهي غاية الزيادة كما سنذكر</w:t>
      </w:r>
      <w:r>
        <w:rPr>
          <w:rFonts w:eastAsia="Amiri" w:cs="Amiri" w:ascii="Amiri" w:hAnsi="Amiri"/>
          <w:color w:val="111111"/>
          <w:sz w:val="28"/>
          <w:szCs w:val="28"/>
          <w:rtl w:val="true"/>
          <w:lang w:bidi="ar-SA"/>
        </w:rPr>
        <w:t xml:space="preserve">. </w:t>
      </w:r>
      <w:bookmarkStart w:id="747" w:name="pg14482_156359"/>
    </w:p>
    <w:p>
      <w:pPr>
        <w:pStyle w:val="Heading5"/>
        <w:numPr>
          <w:ilvl w:val="4"/>
          <w:numId w:val="1"/>
        </w:numPr>
        <w:rPr/>
      </w:pPr>
      <w:bookmarkStart w:id="748" w:name="__RefHeading___Toc717074_996550957"/>
      <w:bookmarkStart w:id="749" w:name="_Toc278"/>
      <w:bookmarkEnd w:id="747"/>
      <w:bookmarkEnd w:id="748"/>
      <w:r>
        <w:rPr>
          <w:rtl w:val="true"/>
        </w:rPr>
        <w:t>ذكر الزيادة الواحدة بحسب المواضع الأربعة المذكورة</w:t>
      </w:r>
      <w:bookmarkEnd w:id="749"/>
    </w:p>
    <w:p>
      <w:pPr>
        <w:pStyle w:val="BookText"/>
        <w:rPr/>
      </w:pPr>
      <w:r>
        <w:rPr>
          <w:rStyle w:val="FootnoteAnchor"/>
          <w:rtl w:val="true"/>
        </w:rPr>
        <w:footnoteReference w:id="2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قبل الفاء ، فتقع فيه أحد أحرف أربعة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الهمزة ، والميم ، والتاء ، والياء </w:t>
      </w:r>
      <w:r>
        <w:rPr>
          <w:rStyle w:val="FootnoteAnchor"/>
          <w:rtl w:val="true"/>
        </w:rPr>
        <w:footnoteReference w:id="2111"/>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أجدل </w:t>
      </w:r>
      <w:r>
        <w:rPr>
          <w:rStyle w:val="FootnoteAnchor"/>
          <w:rtl w:val="true"/>
        </w:rPr>
        <w:footnoteReference w:id="2112"/>
      </w:r>
      <w:r>
        <w:rPr>
          <w:rFonts w:ascii="IRNazanin" w:hAnsi="IRNazanin" w:eastAsia="IRNazanin"/>
          <w:color w:val="111111"/>
          <w:sz w:val="28"/>
          <w:sz w:val="28"/>
          <w:szCs w:val="28"/>
          <w:rtl w:val="true"/>
          <w:lang w:bidi="fa-IR"/>
        </w:rPr>
        <w:t xml:space="preserve">ومقتل ، وتتفل </w:t>
      </w:r>
      <w:r>
        <w:rPr>
          <w:rStyle w:val="FootnoteAnchor"/>
          <w:rtl w:val="true"/>
        </w:rPr>
        <w:footnoteReference w:id="2113"/>
      </w:r>
      <w:r>
        <w:rPr>
          <w:rFonts w:ascii="Amiri" w:hAnsi="Amiri" w:eastAsia="Amiri" w:cs="Amiri"/>
          <w:color w:val="111111"/>
          <w:sz w:val="28"/>
          <w:sz w:val="28"/>
          <w:szCs w:val="28"/>
          <w:rtl w:val="true"/>
          <w:lang w:bidi="ar-SA"/>
        </w:rPr>
        <w:t xml:space="preserve">ويرمع </w:t>
      </w:r>
      <w:r>
        <w:rPr>
          <w:rStyle w:val="FootnoteAnchor"/>
          <w:rtl w:val="true"/>
        </w:rPr>
        <w:footnoteReference w:id="2114"/>
      </w:r>
      <w:r>
        <w:rPr>
          <w:rFonts w:ascii="Amiri" w:hAnsi="Amiri" w:eastAsia="Amiri" w:cs="Amiri"/>
          <w:color w:val="111111"/>
          <w:sz w:val="28"/>
          <w:sz w:val="28"/>
          <w:szCs w:val="28"/>
          <w:rtl w:val="true"/>
          <w:lang w:bidi="ar-SA"/>
        </w:rPr>
        <w:t xml:space="preserve">، وزاد الأخفش الهاء أيضا </w:t>
      </w:r>
      <w:r>
        <w:rPr>
          <w:rStyle w:val="FootnoteAnchor"/>
          <w:rtl w:val="true"/>
        </w:rPr>
        <w:footnoteReference w:id="2115"/>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هبلع </w:t>
      </w:r>
      <w:r>
        <w:rPr>
          <w:rStyle w:val="FootnoteAnchor"/>
          <w:rtl w:val="true"/>
        </w:rPr>
        <w:footnoteReference w:id="2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ما بين الفاء والعين </w:t>
      </w:r>
      <w:r>
        <w:rPr>
          <w:rStyle w:val="FootnoteAnchor"/>
          <w:rtl w:val="true"/>
        </w:rPr>
        <w:footnoteReference w:id="2117"/>
      </w:r>
      <w:r>
        <w:rPr>
          <w:rFonts w:ascii="Amiri" w:hAnsi="Amiri" w:eastAsia="Amiri" w:cs="Amiri"/>
          <w:color w:val="111111"/>
          <w:sz w:val="28"/>
          <w:sz w:val="28"/>
          <w:szCs w:val="28"/>
          <w:rtl w:val="true"/>
          <w:lang w:bidi="ar-SA"/>
        </w:rPr>
        <w:t xml:space="preserve">، فأحد حروف خمسة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الألف والهمزة والياء والنون والواو </w:t>
      </w:r>
      <w:r>
        <w:rPr>
          <w:rStyle w:val="FootnoteAnchor"/>
          <w:rtl w:val="true"/>
        </w:rPr>
        <w:footnoteReference w:id="2118"/>
      </w:r>
      <w:r>
        <w:rPr>
          <w:rFonts w:ascii="IRNazanin" w:hAnsi="IRNazanin" w:eastAsia="IRNazanin"/>
          <w:color w:val="111111"/>
          <w:sz w:val="28"/>
          <w:sz w:val="28"/>
          <w:szCs w:val="28"/>
          <w:rtl w:val="true"/>
          <w:lang w:bidi="fa-IR"/>
        </w:rPr>
        <w:t xml:space="preserve">،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وشأمل </w:t>
      </w:r>
      <w:r>
        <w:rPr>
          <w:rStyle w:val="FootnoteAnchor"/>
          <w:rtl w:val="true"/>
        </w:rPr>
        <w:footnoteReference w:id="2119"/>
      </w:r>
      <w:r>
        <w:rPr>
          <w:rFonts w:ascii="Amiri" w:hAnsi="Amiri" w:eastAsia="Amiri" w:cs="Amiri"/>
          <w:color w:val="111111"/>
          <w:sz w:val="28"/>
          <w:sz w:val="28"/>
          <w:szCs w:val="28"/>
          <w:rtl w:val="true"/>
          <w:lang w:bidi="ar-SA"/>
        </w:rPr>
        <w:t xml:space="preserve">وضيغم </w:t>
      </w:r>
      <w:r>
        <w:rPr>
          <w:rStyle w:val="FootnoteAnchor"/>
          <w:rtl w:val="true"/>
        </w:rPr>
        <w:footnoteReference w:id="2120"/>
      </w:r>
      <w:r>
        <w:rPr>
          <w:rFonts w:ascii="IRNazanin" w:hAnsi="IRNazanin" w:eastAsia="IRNazanin"/>
          <w:color w:val="111111"/>
          <w:sz w:val="28"/>
          <w:sz w:val="28"/>
          <w:szCs w:val="28"/>
          <w:rtl w:val="true"/>
          <w:lang w:bidi="fa-IR"/>
        </w:rPr>
        <w:t xml:space="preserve">وقنبر وعوسج </w:t>
      </w:r>
      <w:r>
        <w:rPr>
          <w:rStyle w:val="FootnoteAnchor"/>
          <w:rtl w:val="true"/>
        </w:rPr>
        <w:footnoteReference w:id="2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ما بين العين والّلام </w:t>
      </w:r>
      <w:r>
        <w:rPr>
          <w:rStyle w:val="FootnoteAnchor"/>
          <w:rtl w:val="true"/>
        </w:rPr>
        <w:footnoteReference w:id="2122"/>
      </w:r>
      <w:r>
        <w:rPr>
          <w:rFonts w:ascii="Amiri" w:hAnsi="Amiri" w:eastAsia="Amiri" w:cs="Amiri"/>
          <w:color w:val="111111"/>
          <w:sz w:val="28"/>
          <w:sz w:val="28"/>
          <w:szCs w:val="28"/>
          <w:rtl w:val="true"/>
          <w:lang w:bidi="ar-SA"/>
        </w:rPr>
        <w:t xml:space="preserve">، فزيادته إمّا أحد الحروف الخمسة المزيدة بين الفاء والعين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شمأل وغزال وحمير وترنج </w:t>
      </w:r>
      <w:r>
        <w:rPr>
          <w:rStyle w:val="FootnoteAnchor"/>
          <w:rtl w:val="true"/>
        </w:rPr>
        <w:footnoteReference w:id="2123"/>
      </w:r>
      <w:r>
        <w:rPr>
          <w:rFonts w:ascii="IRNazanin" w:hAnsi="IRNazanin" w:eastAsia="IRNazanin"/>
          <w:color w:val="111111"/>
          <w:sz w:val="28"/>
          <w:sz w:val="28"/>
          <w:szCs w:val="28"/>
          <w:rtl w:val="true"/>
          <w:lang w:bidi="fa-IR"/>
        </w:rPr>
        <w:t xml:space="preserve">وقعود ، وإمّا من موضعها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 وسلّم</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بعد الّلام </w:t>
      </w:r>
      <w:r>
        <w:rPr>
          <w:rStyle w:val="FootnoteAnchor"/>
          <w:rtl w:val="true"/>
        </w:rPr>
        <w:footnoteReference w:id="2124"/>
      </w:r>
      <w:r>
        <w:rPr>
          <w:rFonts w:ascii="Amiri" w:hAnsi="Amiri" w:eastAsia="Amiri" w:cs="Amiri"/>
          <w:color w:val="111111"/>
          <w:sz w:val="28"/>
          <w:sz w:val="28"/>
          <w:szCs w:val="28"/>
          <w:rtl w:val="true"/>
          <w:lang w:bidi="ar-SA"/>
        </w:rPr>
        <w:t xml:space="preserve">، فهي إمّا حرف من حروف الزيادة نحو ألف الإلحاق في </w:t>
      </w:r>
      <w:bookmarkStart w:id="750" w:name="pg14482_156360"/>
    </w:p>
    <w:p>
      <w:pPr>
        <w:pStyle w:val="BookText"/>
        <w:rPr/>
      </w:pPr>
      <w:bookmarkEnd w:id="750"/>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معزى ، أو ألف التأنيث في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حبلى أو النون </w:t>
      </w:r>
      <w:r>
        <w:rPr>
          <w:rStyle w:val="FootnoteAnchor"/>
          <w:rtl w:val="true"/>
        </w:rPr>
        <w:footnoteReference w:id="2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رعشن </w:t>
      </w:r>
      <w:r>
        <w:rPr>
          <w:rStyle w:val="FootnoteAnchor"/>
          <w:rtl w:val="true"/>
        </w:rPr>
        <w:footnoteReference w:id="2126"/>
      </w:r>
      <w:r>
        <w:rPr>
          <w:rFonts w:ascii="Amiri" w:hAnsi="Amiri" w:eastAsia="Amiri" w:cs="Amiri"/>
          <w:color w:val="111111"/>
          <w:sz w:val="28"/>
          <w:sz w:val="28"/>
          <w:szCs w:val="28"/>
          <w:rtl w:val="true"/>
          <w:lang w:bidi="ar-SA"/>
        </w:rPr>
        <w:t xml:space="preserve">، أو من موضعها بغير إدغام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قردد ، وهو الغليظ ، أو بإدغام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معدّ </w:t>
      </w:r>
      <w:r>
        <w:rPr>
          <w:rStyle w:val="FootnoteAnchor"/>
          <w:rtl w:val="true"/>
        </w:rPr>
        <w:footnoteReference w:id="2127"/>
      </w:r>
      <w:r>
        <w:rPr>
          <w:rFonts w:ascii="Amiri" w:hAnsi="Amiri" w:eastAsia="Amiri" w:cs="Amiri"/>
          <w:color w:val="111111"/>
          <w:sz w:val="28"/>
          <w:sz w:val="28"/>
          <w:szCs w:val="28"/>
          <w:rtl w:val="true"/>
          <w:lang w:bidi="ar-SA"/>
        </w:rPr>
        <w:t xml:space="preserve">وأما الزيادتان ، فعلى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مفترقتين ومجتمعتين</w:t>
      </w:r>
      <w:r>
        <w:rPr>
          <w:rFonts w:eastAsia="Amiri" w:cs="Amiri" w:ascii="Amiri" w:hAnsi="Amiri"/>
          <w:color w:val="111111"/>
          <w:sz w:val="28"/>
          <w:szCs w:val="28"/>
          <w:rtl w:val="true"/>
          <w:lang w:bidi="ar-SA"/>
        </w:rPr>
        <w:t>.</w:t>
      </w:r>
    </w:p>
    <w:p>
      <w:pPr>
        <w:pStyle w:val="Heading5"/>
        <w:numPr>
          <w:ilvl w:val="4"/>
          <w:numId w:val="1"/>
        </w:numPr>
        <w:rPr/>
      </w:pPr>
      <w:bookmarkStart w:id="751" w:name="__RefHeading___Toc717076_996550957"/>
      <w:bookmarkStart w:id="752" w:name="_Toc279"/>
      <w:bookmarkEnd w:id="751"/>
      <w:r>
        <w:rPr>
          <w:rtl w:val="true"/>
        </w:rPr>
        <w:t>ذكر الزيادتين المفترقتين</w:t>
      </w:r>
      <w:bookmarkEnd w:id="752"/>
    </w:p>
    <w:p>
      <w:pPr>
        <w:pStyle w:val="BookText"/>
        <w:rPr/>
      </w:pPr>
      <w:r>
        <w:rPr>
          <w:rStyle w:val="FootnoteAnchor"/>
          <w:rtl w:val="true"/>
        </w:rPr>
        <w:footnoteReference w:id="2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يقع في الاسم الثلاثي زيادتان يفصل بينهما إمّا أحد الأصول أعني الفاء والعين واللّام ، أو اثنان منها أو جميعها ، وتقع الزيادتان بحسب ذلك على ستة 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تقعا قبل الفاء وبعدها بحيث تصير الفاء فاصلة بينهما فمن ذلك أن تكون الأولى التي قبل الفاء همزة وتكون الثانية إمّا نونا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ألنجج </w:t>
      </w:r>
      <w:r>
        <w:rPr>
          <w:rStyle w:val="FootnoteAnchor"/>
          <w:rtl w:val="true"/>
        </w:rPr>
        <w:footnoteReference w:id="2129"/>
      </w:r>
      <w:r>
        <w:rPr>
          <w:rFonts w:ascii="Amiri" w:hAnsi="Amiri" w:eastAsia="Amiri" w:cs="Amiri"/>
          <w:color w:val="111111"/>
          <w:sz w:val="28"/>
          <w:sz w:val="28"/>
          <w:szCs w:val="28"/>
          <w:rtl w:val="true"/>
          <w:lang w:bidi="ar-SA"/>
        </w:rPr>
        <w:t xml:space="preserve">أو ألفا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أجادل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الأولى ميما والثانية ألفا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مساجد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الأولى تاء والثانية ألفا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تناضب وهو شجر </w:t>
      </w:r>
      <w:r>
        <w:rPr>
          <w:rStyle w:val="FootnoteAnchor"/>
          <w:rtl w:val="true"/>
        </w:rPr>
        <w:footnoteReference w:id="2130"/>
      </w:r>
      <w:r>
        <w:rPr>
          <w:rFonts w:ascii="Amiri" w:hAnsi="Amiri" w:eastAsia="Amiri" w:cs="Amiri"/>
          <w:color w:val="111111"/>
          <w:sz w:val="28"/>
          <w:sz w:val="28"/>
          <w:szCs w:val="28"/>
          <w:rtl w:val="true"/>
          <w:lang w:bidi="ar-SA"/>
        </w:rPr>
        <w:t xml:space="preserve">ومنه أن تكون الأولى ياء والثانية ألفا أيضا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يرامع ، والفاء الفاصلة بين الزيادتين المذكورتين في ذلك كلّه هي لام ألنجج ، وجيم أجادل وسين مساجد ، ونون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تناضب وراء يرامع ، فوزن ألنجج أفنعل ، وأجادل أفاعل ، ومساجد مفاعل وتناضب تفاعل ، ويرامع يفاعل ، وعلى نحو ذلك تأتي باقي أقسام هاتين الزيادتين المفترقتين </w:t>
      </w:r>
      <w:r>
        <w:rPr>
          <w:rStyle w:val="FootnoteAnchor"/>
          <w:rtl w:val="true"/>
        </w:rPr>
        <w:footnoteReference w:id="2131"/>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Style w:val="FootnoteAnchor"/>
          <w:rtl w:val="true"/>
        </w:rPr>
        <w:footnoteReference w:id="2132"/>
      </w:r>
      <w:r>
        <w:rPr>
          <w:rFonts w:ascii="Amiri" w:hAnsi="Amiri" w:eastAsia="Amiri" w:cs="Amiri"/>
          <w:color w:val="111111"/>
          <w:sz w:val="28"/>
          <w:sz w:val="28"/>
          <w:szCs w:val="28"/>
          <w:rtl w:val="true"/>
          <w:lang w:bidi="ar-SA"/>
        </w:rPr>
        <w:t xml:space="preserve">أن تقع الأولى بين الفاء والعين والثانية بين العين واللّام </w:t>
      </w:r>
      <w:r>
        <w:rPr>
          <w:rStyle w:val="FootnoteAnchor"/>
          <w:rtl w:val="true"/>
        </w:rPr>
        <w:footnoteReference w:id="2133"/>
      </w:r>
      <w:r>
        <w:rPr>
          <w:rFonts w:ascii="Amiri" w:hAnsi="Amiri" w:eastAsia="Amiri" w:cs="Amiri"/>
          <w:color w:val="111111"/>
          <w:sz w:val="28"/>
          <w:sz w:val="28"/>
          <w:szCs w:val="28"/>
          <w:rtl w:val="true"/>
          <w:lang w:bidi="ar-SA"/>
        </w:rPr>
        <w:t xml:space="preserve">فتصير العين فاصلة بينهما ؛ فمنه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الأولى ألفا والثانية واوا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عاقول وهو </w:t>
      </w:r>
    </w:p>
    <w:p>
      <w:pPr>
        <w:pStyle w:val="BookText"/>
        <w:rPr/>
      </w:pPr>
      <w:r>
        <w:rPr>
          <w:rFonts w:ascii="Amiri" w:hAnsi="Amiri" w:eastAsia="Amiri" w:cs="Amiri"/>
          <w:color w:val="111111"/>
          <w:sz w:val="28"/>
          <w:sz w:val="28"/>
          <w:szCs w:val="28"/>
          <w:rtl w:val="true"/>
          <w:lang w:bidi="ar-SA"/>
        </w:rPr>
        <w:t xml:space="preserve">ما يستدير في البحر </w:t>
      </w:r>
      <w:r>
        <w:rPr>
          <w:rStyle w:val="FootnoteAnchor"/>
          <w:rtl w:val="true"/>
        </w:rPr>
        <w:footnoteReference w:id="2134"/>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عكس ذلك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طومار وهو السجلّ </w:t>
      </w:r>
      <w:r>
        <w:rPr>
          <w:rStyle w:val="FootnoteAnchor"/>
          <w:rtl w:val="true"/>
        </w:rPr>
        <w:footnoteReference w:id="2135"/>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الأولى ياء والثانية إمّا ألفا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ديماس </w:t>
      </w:r>
      <w:r>
        <w:rPr>
          <w:rStyle w:val="FootnoteAnchor"/>
          <w:rtl w:val="true"/>
        </w:rPr>
        <w:footnoteReference w:id="2136"/>
      </w:r>
      <w:r>
        <w:rPr>
          <w:rFonts w:ascii="Amiri" w:hAnsi="Amiri" w:eastAsia="Amiri" w:cs="Amiri"/>
          <w:color w:val="111111"/>
          <w:sz w:val="28"/>
          <w:sz w:val="28"/>
          <w:szCs w:val="28"/>
          <w:rtl w:val="true"/>
          <w:lang w:bidi="ar-SA"/>
        </w:rPr>
        <w:t xml:space="preserve">أو واوا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قيصوم </w:t>
      </w:r>
      <w:r>
        <w:rPr>
          <w:rStyle w:val="FootnoteAnchor"/>
          <w:rtl w:val="true"/>
        </w:rPr>
        <w:footnoteReference w:id="2137"/>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الأولى واوا والثانية ألفا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توراب وهو التراب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Style w:val="FootnoteAnchor"/>
          <w:rtl w:val="true"/>
        </w:rPr>
        <w:footnoteReference w:id="2138"/>
      </w:r>
      <w:r>
        <w:rPr>
          <w:rFonts w:ascii="Amiri" w:hAnsi="Amiri" w:eastAsia="Amiri" w:cs="Amiri"/>
          <w:color w:val="111111"/>
          <w:sz w:val="28"/>
          <w:sz w:val="28"/>
          <w:szCs w:val="28"/>
          <w:rtl w:val="true"/>
          <w:lang w:bidi="ar-SA"/>
        </w:rPr>
        <w:t xml:space="preserve">أن تقع الأولى بين العين واللّام ، والثانية بعد اللّام فتصير اللّام فاصلة بينهما </w:t>
      </w:r>
      <w:r>
        <w:rPr>
          <w:rStyle w:val="FootnoteAnchor"/>
          <w:rtl w:val="true"/>
        </w:rPr>
        <w:footnoteReference w:id="2139"/>
      </w:r>
      <w:r>
        <w:rPr>
          <w:rFonts w:ascii="Amiri" w:hAnsi="Amiri" w:eastAsia="Amiri" w:cs="Amiri"/>
          <w:color w:val="111111"/>
          <w:sz w:val="28"/>
          <w:sz w:val="28"/>
          <w:szCs w:val="28"/>
          <w:rtl w:val="true"/>
          <w:lang w:bidi="ar-SA"/>
        </w:rPr>
        <w:t xml:space="preserve">فمنه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الأولى ياء والثانية ألفا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قصيرى وهي الضلع السّفلى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الأولى نونا والثانية ألفا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قرنبى ، وقرنبى مقصور بفتح القاف والراء ، دويبة مثل الخنفساء وأعظم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الأولى ألفا والثانية ألفا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حبارى </w:t>
      </w:r>
      <w:r>
        <w:rPr>
          <w:rStyle w:val="FootnoteAnchor"/>
          <w:rtl w:val="true"/>
        </w:rPr>
        <w:footnoteReference w:id="2140"/>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الأولى ياء والثانية من موضعها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خفيدد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الأولى نونا والثانية هاء التأنيث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جرنبة اسم مكان </w:t>
      </w:r>
      <w:r>
        <w:rPr>
          <w:rStyle w:val="FootnoteAnchor"/>
          <w:rtl w:val="true"/>
        </w:rPr>
        <w:footnoteReference w:id="2141"/>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رابعها </w:t>
      </w:r>
      <w:r>
        <w:rPr>
          <w:rFonts w:eastAsia="IRNazanin" w:cs="IRNazanin"/>
          <w:color w:val="111111"/>
          <w:sz w:val="28"/>
          <w:szCs w:val="28"/>
          <w:rtl w:val="true"/>
          <w:lang w:bidi="fa-IR"/>
        </w:rPr>
        <w:t xml:space="preserve">: </w:t>
      </w:r>
      <w:r>
        <w:rPr>
          <w:rStyle w:val="FootnoteAnchor"/>
          <w:rtl w:val="true"/>
        </w:rPr>
        <w:footnoteReference w:id="2142"/>
      </w:r>
      <w:r>
        <w:rPr>
          <w:rFonts w:ascii="Amiri" w:hAnsi="Amiri" w:eastAsia="Amiri" w:cs="Amiri"/>
          <w:color w:val="111111"/>
          <w:sz w:val="28"/>
          <w:sz w:val="28"/>
          <w:szCs w:val="28"/>
          <w:rtl w:val="true"/>
          <w:lang w:bidi="ar-SA"/>
        </w:rPr>
        <w:t xml:space="preserve">أن تقع الأولى قبل الفاء والعين ، والثانية بين العين واللّام فتصير الفاء والعين معا فاصلتين بينهما ، فمنه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الأولى همزة والثانية ألفا وذلك في ما هو على وزن إفعال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إعصار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الأولى همزة والثانية ياء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إخريط وهو نبت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الأولى تاء والثانية إمّا ياء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تنبيت </w:t>
      </w:r>
      <w:r>
        <w:rPr>
          <w:rStyle w:val="FootnoteAnchor"/>
          <w:rtl w:val="true"/>
        </w:rPr>
        <w:footnoteReference w:id="2143"/>
      </w:r>
      <w:r>
        <w:rPr>
          <w:rFonts w:ascii="Amiri" w:hAnsi="Amiri" w:eastAsia="Amiri" w:cs="Amiri"/>
          <w:color w:val="111111"/>
          <w:sz w:val="28"/>
          <w:sz w:val="28"/>
          <w:szCs w:val="28"/>
          <w:rtl w:val="true"/>
          <w:lang w:bidi="ar-SA"/>
        </w:rPr>
        <w:t xml:space="preserve">على تفعيل أو واوا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تفعول وهو البسر الذي بدأ فيه الإرطاب </w:t>
      </w:r>
      <w:r>
        <w:rPr>
          <w:rStyle w:val="FootnoteAnchor"/>
          <w:rtl w:val="true"/>
        </w:rPr>
        <w:footnoteReference w:id="2144"/>
      </w:r>
    </w:p>
    <w:p>
      <w:pPr>
        <w:pStyle w:val="BookText"/>
        <w:rPr/>
      </w:pPr>
      <w:r>
        <w:rPr>
          <w:rFonts w:ascii="Amiri" w:hAnsi="Amiri" w:eastAsia="Amiri" w:cs="Amiri"/>
          <w:color w:val="111111"/>
          <w:sz w:val="28"/>
          <w:sz w:val="28"/>
          <w:szCs w:val="28"/>
          <w:rtl w:val="true"/>
          <w:lang w:bidi="ar-SA"/>
        </w:rPr>
        <w:t xml:space="preserve">أو واوا من موضعها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تنوّط على تفعّل بضمّ العين جمع تنوّطة وهو طائر </w:t>
      </w:r>
      <w:r>
        <w:rPr>
          <w:rStyle w:val="FootnoteAnchor"/>
          <w:rtl w:val="true"/>
        </w:rPr>
        <w:footnoteReference w:id="2145"/>
      </w:r>
    </w:p>
    <w:p>
      <w:pPr>
        <w:pStyle w:val="BookText"/>
        <w:rPr/>
      </w:pPr>
      <w:r>
        <w:rPr>
          <w:rFonts w:ascii="IRNazanin" w:hAnsi="IRNazanin" w:eastAsia="IRNazanin"/>
          <w:color w:val="111111"/>
          <w:sz w:val="28"/>
          <w:sz w:val="28"/>
          <w:szCs w:val="28"/>
          <w:rtl w:val="true"/>
          <w:lang w:bidi="fa-IR"/>
        </w:rPr>
        <w:t xml:space="preserve">وانظر المزهر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مثل التكسّر والتقطّع في المصادر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الأولى تاء أيضا والثانية من موضعها ، إمّا شين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تبشّر على تفعّل بضمّ التاء وكسر العين ، وهو اسم طائر يسمّى الصّفراية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وإمّا باء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تهبّط بكسر التاء والهاء وتشديد العين المكسورة وهو طائر أيضا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الأولى همزة والثانية واوا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أسلوب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الأولى ميما ، والثانية إمّا ألفا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أو واوا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مضروب ، أو ياء نحو منديل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الأولى تاء والثانية ألفا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تمثال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الأولى ياء ، والثانية إمّا واوا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يربوع أو ياء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يعضيد وهو نبت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خامسها </w:t>
      </w:r>
      <w:r>
        <w:rPr>
          <w:rFonts w:eastAsia="IRNazanin" w:cs="IRNazanin"/>
          <w:color w:val="111111"/>
          <w:sz w:val="28"/>
          <w:szCs w:val="28"/>
          <w:rtl w:val="true"/>
          <w:lang w:bidi="fa-IR"/>
        </w:rPr>
        <w:t xml:space="preserve">: </w:t>
      </w:r>
      <w:r>
        <w:rPr>
          <w:rStyle w:val="FootnoteAnchor"/>
          <w:rtl w:val="true"/>
        </w:rPr>
        <w:footnoteReference w:id="2146"/>
      </w:r>
      <w:r>
        <w:rPr>
          <w:rFonts w:ascii="Amiri" w:hAnsi="Amiri" w:eastAsia="Amiri" w:cs="Amiri"/>
          <w:color w:val="111111"/>
          <w:sz w:val="28"/>
          <w:sz w:val="28"/>
          <w:szCs w:val="28"/>
          <w:rtl w:val="true"/>
          <w:lang w:bidi="ar-SA"/>
        </w:rPr>
        <w:t xml:space="preserve">أن تقع الأولى قبل العين والثانية بعد اللّام فتصير العين واللّام معا فاصلتين بينهما </w:t>
      </w:r>
      <w:r>
        <w:rPr>
          <w:rStyle w:val="FootnoteAnchor"/>
          <w:rtl w:val="true"/>
        </w:rPr>
        <w:footnoteReference w:id="2147"/>
      </w:r>
      <w:r>
        <w:rPr>
          <w:rFonts w:ascii="Amiri" w:hAnsi="Amiri" w:eastAsia="Amiri" w:cs="Amiri"/>
          <w:color w:val="111111"/>
          <w:sz w:val="28"/>
          <w:sz w:val="28"/>
          <w:szCs w:val="28"/>
          <w:rtl w:val="true"/>
          <w:lang w:bidi="ar-SA"/>
        </w:rPr>
        <w:t xml:space="preserve">فمنه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الأولى ياء والثانية ألفا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خيزلى ، وهي مشية </w:t>
      </w:r>
      <w:r>
        <w:rPr>
          <w:rStyle w:val="FootnoteAnchor"/>
          <w:rtl w:val="true"/>
        </w:rPr>
        <w:footnoteReference w:id="2148"/>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سادسها </w:t>
      </w:r>
      <w:r>
        <w:rPr>
          <w:rFonts w:eastAsia="IRNazanin" w:cs="IRNazanin"/>
          <w:color w:val="111111"/>
          <w:sz w:val="28"/>
          <w:szCs w:val="28"/>
          <w:rtl w:val="true"/>
          <w:lang w:bidi="fa-IR"/>
        </w:rPr>
        <w:t xml:space="preserve">: </w:t>
      </w:r>
      <w:r>
        <w:rPr>
          <w:rStyle w:val="FootnoteAnchor"/>
          <w:rtl w:val="true"/>
        </w:rPr>
        <w:footnoteReference w:id="2149"/>
      </w:r>
      <w:r>
        <w:rPr>
          <w:rFonts w:ascii="Amiri" w:hAnsi="Amiri" w:eastAsia="Amiri" w:cs="Amiri"/>
          <w:color w:val="111111"/>
          <w:sz w:val="28"/>
          <w:sz w:val="28"/>
          <w:szCs w:val="28"/>
          <w:rtl w:val="true"/>
          <w:lang w:bidi="ar-SA"/>
        </w:rPr>
        <w:t xml:space="preserve">أن تقع الأولى قبل الفاء والثانية بعد اللّام فتصير الفاء والعين واللّام فاصلة بينهما فمنه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الأولى همزة والثانية ألفا </w:t>
      </w:r>
      <w:r>
        <w:rPr>
          <w:rStyle w:val="FootnoteAnchor"/>
          <w:rtl w:val="true"/>
        </w:rPr>
        <w:footnoteReference w:id="2150"/>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أجفلى وهو الدّعوة العامّة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الأولى همزة والثانية من موضعها </w:t>
      </w:r>
      <w:r>
        <w:rPr>
          <w:rStyle w:val="FootnoteAnchor"/>
          <w:rtl w:val="true"/>
        </w:rPr>
        <w:footnoteReference w:id="2151"/>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أترجّ </w:t>
      </w:r>
      <w:r>
        <w:rPr>
          <w:rStyle w:val="FootnoteAnchor"/>
          <w:rtl w:val="true"/>
        </w:rPr>
        <w:footnoteReference w:id="2152"/>
      </w:r>
      <w:bookmarkStart w:id="753" w:name="pg14482_156363"/>
    </w:p>
    <w:p>
      <w:pPr>
        <w:pStyle w:val="BookText"/>
        <w:rPr/>
      </w:pPr>
      <w:bookmarkEnd w:id="753"/>
      <w:r>
        <w:rPr>
          <w:rFonts w:ascii="Amiri" w:hAnsi="Amiri" w:eastAsia="Amiri" w:cs="Amiri"/>
          <w:color w:val="111111"/>
          <w:sz w:val="28"/>
          <w:sz w:val="28"/>
          <w:szCs w:val="28"/>
          <w:rtl w:val="true"/>
          <w:lang w:bidi="ar-SA"/>
        </w:rPr>
        <w:t xml:space="preserve">الجيم الثانية أيضا زائدة لقولهم في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ترنج ، ومثله إرزبّ وهو القصير </w:t>
      </w:r>
      <w:r>
        <w:rPr>
          <w:rStyle w:val="FootnoteAnchor"/>
          <w:rtl w:val="true"/>
        </w:rPr>
        <w:footnoteReference w:id="2153"/>
      </w:r>
      <w:r>
        <w:rPr>
          <w:rFonts w:ascii="Amiri" w:hAnsi="Amiri" w:eastAsia="Amiri" w:cs="Amiri"/>
          <w:color w:val="111111"/>
          <w:sz w:val="28"/>
          <w:sz w:val="28"/>
          <w:szCs w:val="28"/>
          <w:rtl w:val="true"/>
          <w:lang w:bidi="ar-SA"/>
        </w:rPr>
        <w:t>الباء الثانية زائدة مثل أترجّ</w:t>
      </w:r>
      <w:r>
        <w:rPr>
          <w:rFonts w:eastAsia="Amiri" w:cs="Amiri" w:ascii="Amiri" w:hAnsi="Amiri"/>
          <w:color w:val="111111"/>
          <w:sz w:val="28"/>
          <w:szCs w:val="28"/>
          <w:rtl w:val="true"/>
          <w:lang w:bidi="ar-SA"/>
        </w:rPr>
        <w:t>.</w:t>
      </w:r>
    </w:p>
    <w:p>
      <w:pPr>
        <w:pStyle w:val="Heading5"/>
        <w:numPr>
          <w:ilvl w:val="4"/>
          <w:numId w:val="1"/>
        </w:numPr>
        <w:rPr/>
      </w:pPr>
      <w:bookmarkStart w:id="754" w:name="__RefHeading___Toc717078_996550957"/>
      <w:bookmarkStart w:id="755" w:name="_Toc280"/>
      <w:bookmarkEnd w:id="754"/>
      <w:r>
        <w:rPr>
          <w:rtl w:val="true"/>
        </w:rPr>
        <w:t>ذكر الزيادتين المجتمعتين</w:t>
      </w:r>
      <w:bookmarkEnd w:id="755"/>
    </w:p>
    <w:p>
      <w:pPr>
        <w:pStyle w:val="BookText"/>
        <w:rPr/>
      </w:pPr>
      <w:r>
        <w:rPr>
          <w:rStyle w:val="FootnoteAnchor"/>
          <w:rtl w:val="true"/>
        </w:rPr>
        <w:footnoteReference w:id="21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وتقعان </w:t>
      </w:r>
      <w:r>
        <w:rPr>
          <w:rStyle w:val="FootnoteAnchor"/>
          <w:rtl w:val="true"/>
        </w:rPr>
        <w:footnoteReference w:id="2155"/>
      </w:r>
      <w:r>
        <w:rPr>
          <w:rFonts w:ascii="Amiri" w:hAnsi="Amiri" w:eastAsia="Amiri" w:cs="Amiri"/>
          <w:color w:val="111111"/>
          <w:sz w:val="28"/>
          <w:sz w:val="28"/>
          <w:szCs w:val="28"/>
          <w:rtl w:val="true"/>
          <w:lang w:bidi="ar-SA"/>
        </w:rPr>
        <w:t xml:space="preserve">في المواضع الأربعة كما وقعت الزيادة الواحدة أعني قبل الفاء وبين الفاء والعين ، وبين العين واللّام ، وبعد اللّام ، فذلك أربعة أوجه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تقعا قبل الفاء ولا يكون ذلك إلّا في الأسماء الجارية على الفعل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الميم والنون ، والميم والسين ، والميم والهاء في منطلق ومستطيع ومهراق ، ولم تقع </w:t>
      </w:r>
      <w:r>
        <w:rPr>
          <w:rStyle w:val="FootnoteAnchor"/>
          <w:rtl w:val="true"/>
        </w:rPr>
        <w:footnoteReference w:id="2156"/>
      </w:r>
      <w:r>
        <w:rPr>
          <w:rFonts w:ascii="Amiri" w:hAnsi="Amiri" w:eastAsia="Amiri" w:cs="Amiri"/>
          <w:color w:val="111111"/>
          <w:sz w:val="28"/>
          <w:sz w:val="28"/>
          <w:szCs w:val="28"/>
          <w:rtl w:val="true"/>
          <w:lang w:bidi="ar-SA"/>
        </w:rPr>
        <w:t xml:space="preserve">في غيرها إلّا في قولهم للشيخ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إنقحل وانقحر </w:t>
      </w:r>
      <w:r>
        <w:rPr>
          <w:rStyle w:val="FootnoteAnchor"/>
          <w:rtl w:val="true"/>
        </w:rPr>
        <w:footnoteReference w:id="2157"/>
      </w:r>
      <w:r>
        <w:rPr>
          <w:rFonts w:ascii="Amiri" w:hAnsi="Amiri" w:eastAsia="Amiri" w:cs="Amiri"/>
          <w:color w:val="111111"/>
          <w:sz w:val="28"/>
          <w:sz w:val="28"/>
          <w:szCs w:val="28"/>
          <w:rtl w:val="true"/>
          <w:lang w:bidi="ar-SA"/>
        </w:rPr>
        <w:t xml:space="preserve">فالهمزة والنون </w:t>
      </w:r>
      <w:r>
        <w:rPr>
          <w:rStyle w:val="FootnoteAnchor"/>
          <w:rtl w:val="true"/>
        </w:rPr>
        <w:footnoteReference w:id="2158"/>
      </w:r>
      <w:r>
        <w:rPr>
          <w:rFonts w:ascii="IRNazanin" w:hAnsi="IRNazanin" w:eastAsia="IRNazanin"/>
          <w:color w:val="111111"/>
          <w:sz w:val="28"/>
          <w:sz w:val="28"/>
          <w:szCs w:val="28"/>
          <w:rtl w:val="true"/>
          <w:lang w:bidi="fa-IR"/>
        </w:rPr>
        <w:t xml:space="preserve">زائدتان </w:t>
      </w:r>
      <w:r>
        <w:rPr>
          <w:rStyle w:val="FootnoteAnchor"/>
          <w:rtl w:val="true"/>
        </w:rPr>
        <w:footnoteReference w:id="2159"/>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Style w:val="FootnoteAnchor"/>
          <w:rtl w:val="true"/>
        </w:rPr>
        <w:footnoteReference w:id="2160"/>
      </w:r>
      <w:r>
        <w:rPr>
          <w:rFonts w:ascii="Amiri" w:hAnsi="Amiri" w:eastAsia="Amiri" w:cs="Amiri"/>
          <w:color w:val="111111"/>
          <w:sz w:val="28"/>
          <w:sz w:val="28"/>
          <w:szCs w:val="28"/>
          <w:rtl w:val="true"/>
          <w:lang w:bidi="ar-SA"/>
        </w:rPr>
        <w:t xml:space="preserve">أن تقعا بين الفاء والعين ، وأكثر ما يكون ذلك في جمع التكسير فمنه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حواجر </w:t>
      </w:r>
      <w:r>
        <w:rPr>
          <w:rStyle w:val="FootnoteAnchor"/>
          <w:rtl w:val="true"/>
        </w:rPr>
        <w:footnoteReference w:id="2161"/>
      </w:r>
      <w:r>
        <w:rPr>
          <w:rFonts w:ascii="Amiri" w:hAnsi="Amiri" w:eastAsia="Amiri" w:cs="Amiri"/>
          <w:color w:val="111111"/>
          <w:sz w:val="28"/>
          <w:sz w:val="28"/>
          <w:szCs w:val="28"/>
          <w:rtl w:val="true"/>
          <w:lang w:bidi="ar-SA"/>
        </w:rPr>
        <w:t xml:space="preserve">وغيالم </w:t>
      </w:r>
      <w:r>
        <w:rPr>
          <w:rStyle w:val="FootnoteAnchor"/>
          <w:rtl w:val="true"/>
        </w:rPr>
        <w:footnoteReference w:id="2162"/>
      </w:r>
      <w:r>
        <w:rPr>
          <w:rFonts w:ascii="IRNazanin" w:hAnsi="IRNazanin" w:eastAsia="IRNazanin"/>
          <w:color w:val="111111"/>
          <w:sz w:val="28"/>
          <w:sz w:val="28"/>
          <w:szCs w:val="28"/>
          <w:rtl w:val="true"/>
          <w:lang w:bidi="fa-IR"/>
        </w:rPr>
        <w:t xml:space="preserve">وجنادب </w:t>
      </w:r>
      <w:r>
        <w:rPr>
          <w:rStyle w:val="FootnoteAnchor"/>
          <w:rtl w:val="true"/>
        </w:rPr>
        <w:footnoteReference w:id="2163"/>
      </w:r>
      <w:r>
        <w:rPr>
          <w:rFonts w:ascii="Amiri" w:hAnsi="Amiri" w:eastAsia="Amiri" w:cs="Amiri"/>
          <w:color w:val="111111"/>
          <w:sz w:val="28"/>
          <w:sz w:val="28"/>
          <w:szCs w:val="28"/>
          <w:rtl w:val="true"/>
          <w:lang w:bidi="ar-SA"/>
        </w:rPr>
        <w:t xml:space="preserve">فالواو والياء والنون مع الألفات الثلاث زوائد وقد جاء في الإفراد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 دواسر </w:t>
      </w:r>
      <w:r>
        <w:rPr>
          <w:rStyle w:val="FootnoteAnchor"/>
          <w:rtl w:val="true"/>
        </w:rPr>
        <w:footnoteReference w:id="21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Style w:val="FootnoteAnchor"/>
          <w:rtl w:val="true"/>
        </w:rPr>
        <w:footnoteReference w:id="2165"/>
      </w:r>
      <w:r>
        <w:rPr>
          <w:rFonts w:ascii="Amiri" w:hAnsi="Amiri" w:eastAsia="Amiri" w:cs="Amiri"/>
          <w:color w:val="111111"/>
          <w:sz w:val="28"/>
          <w:sz w:val="28"/>
          <w:szCs w:val="28"/>
          <w:rtl w:val="true"/>
          <w:lang w:bidi="ar-SA"/>
        </w:rPr>
        <w:t xml:space="preserve">أن تقعا بين العين واللّام ، وتقعان على فعّال </w:t>
      </w:r>
      <w:r>
        <w:rPr>
          <w:rStyle w:val="FootnoteAnchor"/>
          <w:rtl w:val="true"/>
        </w:rPr>
        <w:footnoteReference w:id="2166"/>
      </w:r>
      <w:r>
        <w:rPr>
          <w:rFonts w:ascii="Amiri" w:hAnsi="Amiri" w:eastAsia="Amiri" w:cs="Amiri"/>
          <w:color w:val="111111"/>
          <w:sz w:val="28"/>
          <w:sz w:val="28"/>
          <w:szCs w:val="28"/>
          <w:rtl w:val="true"/>
          <w:lang w:bidi="ar-SA"/>
        </w:rPr>
        <w:t xml:space="preserve">كخطّاف </w:t>
      </w:r>
      <w:r>
        <w:rPr>
          <w:rStyle w:val="FootnoteAnchor"/>
          <w:rtl w:val="true"/>
        </w:rPr>
        <w:footnoteReference w:id="2167"/>
      </w:r>
      <w:r>
        <w:rPr>
          <w:rFonts w:ascii="Amiri" w:hAnsi="Amiri" w:eastAsia="Amiri" w:cs="Amiri"/>
          <w:color w:val="111111"/>
          <w:sz w:val="28"/>
          <w:sz w:val="28"/>
          <w:szCs w:val="28"/>
          <w:rtl w:val="true"/>
          <w:lang w:bidi="ar-SA"/>
        </w:rPr>
        <w:t xml:space="preserve">الطاء الثانية والألف زائدتان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كلّاء </w:t>
      </w:r>
      <w:r>
        <w:rPr>
          <w:rStyle w:val="FootnoteAnchor"/>
          <w:rtl w:val="true"/>
        </w:rPr>
        <w:footnoteReference w:id="2168"/>
      </w:r>
      <w:r>
        <w:rPr>
          <w:rFonts w:ascii="Amiri" w:hAnsi="Amiri" w:eastAsia="Amiri" w:cs="Amiri"/>
          <w:color w:val="111111"/>
          <w:sz w:val="28"/>
          <w:sz w:val="28"/>
          <w:szCs w:val="28"/>
          <w:rtl w:val="true"/>
          <w:lang w:bidi="ar-SA"/>
        </w:rPr>
        <w:t xml:space="preserve">وهو موضع السفن من السّاحل فالهمزة هي لام الكلمة وقبلها الزيادتان ، وهما اللّام الثانية المدغم فيها والألف ، ومثله بالشرح حنّاء وكذلك صوّام ونسّاف اسم طائر ، وتقعان أيضا على فعوال </w:t>
      </w:r>
      <w:r>
        <w:rPr>
          <w:rStyle w:val="FootnoteAnchor"/>
          <w:rtl w:val="true"/>
        </w:rPr>
        <w:footnoteReference w:id="2169"/>
      </w:r>
      <w:r>
        <w:rPr>
          <w:rFonts w:ascii="Amiri" w:hAnsi="Amiri" w:eastAsia="Amiri" w:cs="Amiri"/>
          <w:color w:val="111111"/>
          <w:sz w:val="28"/>
          <w:sz w:val="28"/>
          <w:szCs w:val="28"/>
          <w:rtl w:val="true"/>
          <w:lang w:bidi="ar-SA"/>
        </w:rPr>
        <w:t xml:space="preserve">كقرواش </w:t>
      </w:r>
      <w:r>
        <w:rPr>
          <w:rStyle w:val="FootnoteAnchor"/>
          <w:rtl w:val="true"/>
        </w:rPr>
        <w:footnoteReference w:id="2170"/>
      </w:r>
      <w:r>
        <w:rPr>
          <w:rFonts w:ascii="Amiri" w:hAnsi="Amiri" w:eastAsia="Amiri" w:cs="Amiri"/>
          <w:color w:val="111111"/>
          <w:sz w:val="28"/>
          <w:sz w:val="28"/>
          <w:szCs w:val="28"/>
          <w:rtl w:val="true"/>
          <w:lang w:bidi="ar-SA"/>
        </w:rPr>
        <w:t xml:space="preserve">وعلى فعيال </w:t>
      </w:r>
      <w:r>
        <w:rPr>
          <w:rStyle w:val="FootnoteAnchor"/>
          <w:rtl w:val="true"/>
        </w:rPr>
        <w:footnoteReference w:id="2171"/>
      </w:r>
      <w:r>
        <w:rPr>
          <w:rFonts w:ascii="Amiri" w:hAnsi="Amiri" w:eastAsia="Amiri" w:cs="Amiri"/>
          <w:color w:val="111111"/>
          <w:sz w:val="28"/>
          <w:sz w:val="28"/>
          <w:szCs w:val="28"/>
          <w:rtl w:val="true"/>
          <w:lang w:bidi="ar-SA"/>
        </w:rPr>
        <w:t xml:space="preserve">كجريال </w:t>
      </w:r>
      <w:r>
        <w:rPr>
          <w:rStyle w:val="FootnoteAnchor"/>
          <w:rtl w:val="true"/>
        </w:rPr>
        <w:footnoteReference w:id="2172"/>
      </w:r>
      <w:r>
        <w:rPr>
          <w:rFonts w:ascii="Amiri" w:hAnsi="Amiri" w:eastAsia="Amiri" w:cs="Amiri"/>
          <w:color w:val="111111"/>
          <w:sz w:val="28"/>
          <w:sz w:val="28"/>
          <w:szCs w:val="28"/>
          <w:rtl w:val="true"/>
          <w:lang w:bidi="ar-SA"/>
        </w:rPr>
        <w:t xml:space="preserve">وعلى فعيول </w:t>
      </w:r>
      <w:r>
        <w:rPr>
          <w:rStyle w:val="FootnoteAnchor"/>
          <w:rtl w:val="true"/>
        </w:rPr>
        <w:footnoteReference w:id="2173"/>
      </w:r>
      <w:r>
        <w:rPr>
          <w:rFonts w:ascii="Amiri" w:hAnsi="Amiri" w:eastAsia="Amiri" w:cs="Amiri"/>
          <w:color w:val="111111"/>
          <w:sz w:val="28"/>
          <w:sz w:val="28"/>
          <w:szCs w:val="28"/>
          <w:rtl w:val="true"/>
          <w:lang w:bidi="ar-SA"/>
        </w:rPr>
        <w:t xml:space="preserve">كهليون </w:t>
      </w:r>
      <w:r>
        <w:rPr>
          <w:rStyle w:val="FootnoteAnchor"/>
          <w:rtl w:val="true"/>
        </w:rPr>
        <w:footnoteReference w:id="2174"/>
      </w:r>
      <w:r>
        <w:rPr>
          <w:rFonts w:ascii="Amiri" w:hAnsi="Amiri" w:eastAsia="Amiri" w:cs="Amiri"/>
          <w:color w:val="111111"/>
          <w:sz w:val="28"/>
          <w:sz w:val="28"/>
          <w:szCs w:val="28"/>
          <w:rtl w:val="true"/>
          <w:lang w:bidi="ar-SA"/>
        </w:rPr>
        <w:t xml:space="preserve">، وعلى فعّيل </w:t>
      </w:r>
      <w:r>
        <w:rPr>
          <w:rStyle w:val="FootnoteAnchor"/>
          <w:rtl w:val="true"/>
        </w:rPr>
        <w:footnoteReference w:id="2175"/>
      </w:r>
      <w:r>
        <w:rPr>
          <w:rFonts w:ascii="Amiri" w:hAnsi="Amiri" w:eastAsia="Amiri" w:cs="Amiri"/>
          <w:color w:val="111111"/>
          <w:sz w:val="28"/>
          <w:sz w:val="28"/>
          <w:szCs w:val="28"/>
          <w:rtl w:val="true"/>
          <w:lang w:bidi="ar-SA"/>
        </w:rPr>
        <w:t xml:space="preserve">كبطّيخ ، وعلى فعنعل </w:t>
      </w:r>
      <w:r>
        <w:rPr>
          <w:rStyle w:val="FootnoteAnchor"/>
          <w:rtl w:val="true"/>
        </w:rPr>
        <w:footnoteReference w:id="2176"/>
      </w:r>
      <w:r>
        <w:rPr>
          <w:rFonts w:ascii="Amiri" w:hAnsi="Amiri" w:eastAsia="Amiri" w:cs="Amiri"/>
          <w:color w:val="111111"/>
          <w:sz w:val="28"/>
          <w:sz w:val="28"/>
          <w:szCs w:val="28"/>
          <w:rtl w:val="true"/>
          <w:lang w:bidi="ar-SA"/>
        </w:rPr>
        <w:t xml:space="preserve">كعقنقل </w:t>
      </w:r>
      <w:r>
        <w:rPr>
          <w:rStyle w:val="FootnoteAnchor"/>
          <w:rtl w:val="true"/>
        </w:rPr>
        <w:footnoteReference w:id="2177"/>
      </w:r>
      <w:r>
        <w:rPr>
          <w:rFonts w:ascii="Amiri" w:hAnsi="Amiri" w:eastAsia="Amiri" w:cs="Amiri"/>
          <w:color w:val="111111"/>
          <w:sz w:val="28"/>
          <w:sz w:val="28"/>
          <w:szCs w:val="28"/>
          <w:rtl w:val="true"/>
          <w:lang w:bidi="ar-SA"/>
        </w:rPr>
        <w:t xml:space="preserve">النون والقاف الثانية زائدتان وعلى فعامل </w:t>
      </w:r>
      <w:r>
        <w:rPr>
          <w:rStyle w:val="FootnoteAnchor"/>
          <w:rtl w:val="true"/>
        </w:rPr>
        <w:footnoteReference w:id="2178"/>
      </w:r>
      <w:r>
        <w:rPr>
          <w:rFonts w:ascii="IRNazanin" w:hAnsi="IRNazanin" w:eastAsia="IRNazanin"/>
          <w:color w:val="111111"/>
          <w:sz w:val="28"/>
          <w:sz w:val="28"/>
          <w:szCs w:val="28"/>
          <w:rtl w:val="true"/>
          <w:lang w:bidi="fa-IR"/>
        </w:rPr>
        <w:t xml:space="preserve">نحو دلامص </w:t>
      </w:r>
      <w:r>
        <w:rPr>
          <w:rStyle w:val="FootnoteAnchor"/>
          <w:rtl w:val="true"/>
        </w:rPr>
        <w:footnoteReference w:id="2179"/>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رابعها </w:t>
      </w:r>
      <w:r>
        <w:rPr>
          <w:rFonts w:eastAsia="IRNazanin" w:cs="IRNazanin"/>
          <w:color w:val="111111"/>
          <w:sz w:val="28"/>
          <w:szCs w:val="28"/>
          <w:rtl w:val="true"/>
          <w:lang w:bidi="fa-IR"/>
        </w:rPr>
        <w:t xml:space="preserve">: </w:t>
      </w:r>
      <w:r>
        <w:rPr>
          <w:rStyle w:val="FootnoteAnchor"/>
          <w:rtl w:val="true"/>
        </w:rPr>
        <w:footnoteReference w:id="2180"/>
      </w:r>
      <w:r>
        <w:rPr>
          <w:rFonts w:ascii="Amiri" w:hAnsi="Amiri" w:eastAsia="Amiri" w:cs="Amiri"/>
          <w:color w:val="111111"/>
          <w:sz w:val="28"/>
          <w:sz w:val="28"/>
          <w:szCs w:val="28"/>
          <w:rtl w:val="true"/>
          <w:lang w:bidi="ar-SA"/>
        </w:rPr>
        <w:t xml:space="preserve">أن تقعا بعد اللّام فمنه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الألف والهمزة أخيرا فيما جاء على وزن </w:t>
      </w:r>
      <w:bookmarkStart w:id="756" w:name="pg14482_156365"/>
    </w:p>
    <w:p>
      <w:pPr>
        <w:pStyle w:val="BookText"/>
        <w:rPr/>
      </w:pPr>
      <w:bookmarkEnd w:id="756"/>
      <w:r>
        <w:rPr>
          <w:rFonts w:ascii="IRNazanin" w:hAnsi="IRNazanin" w:eastAsia="IRNazanin"/>
          <w:color w:val="111111"/>
          <w:sz w:val="28"/>
          <w:sz w:val="28"/>
          <w:szCs w:val="28"/>
          <w:rtl w:val="true"/>
          <w:lang w:bidi="fa-IR"/>
        </w:rPr>
        <w:t xml:space="preserve">فعلاء </w:t>
      </w:r>
      <w:r>
        <w:rPr>
          <w:rStyle w:val="FootnoteAnchor"/>
          <w:rtl w:val="true"/>
        </w:rPr>
        <w:footnoteReference w:id="2181"/>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ضهياء </w:t>
      </w:r>
      <w:r>
        <w:rPr>
          <w:rStyle w:val="FootnoteAnchor"/>
          <w:rtl w:val="true"/>
        </w:rPr>
        <w:footnoteReference w:id="2182"/>
      </w:r>
      <w:r>
        <w:rPr>
          <w:rFonts w:ascii="IRNazanin" w:hAnsi="IRNazanin" w:eastAsia="IRNazanin"/>
          <w:color w:val="111111"/>
          <w:sz w:val="28"/>
          <w:sz w:val="28"/>
          <w:szCs w:val="28"/>
          <w:rtl w:val="true"/>
          <w:lang w:bidi="fa-IR"/>
        </w:rPr>
        <w:t xml:space="preserve">وحمراء ، وعلى فعلاء </w:t>
      </w:r>
      <w:r>
        <w:rPr>
          <w:rStyle w:val="FootnoteAnchor"/>
          <w:rtl w:val="true"/>
        </w:rPr>
        <w:footnoteReference w:id="2183"/>
      </w:r>
      <w:r>
        <w:rPr>
          <w:rFonts w:ascii="Amiri" w:hAnsi="Amiri" w:eastAsia="Amiri" w:cs="Amiri"/>
          <w:color w:val="111111"/>
          <w:sz w:val="28"/>
          <w:sz w:val="28"/>
          <w:szCs w:val="28"/>
          <w:rtl w:val="true"/>
          <w:lang w:bidi="ar-SA"/>
        </w:rPr>
        <w:t xml:space="preserve">بالكسر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علباء </w:t>
      </w:r>
      <w:r>
        <w:rPr>
          <w:rStyle w:val="FootnoteAnchor"/>
          <w:rtl w:val="true"/>
        </w:rPr>
        <w:footnoteReference w:id="2184"/>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الألف والنون في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كروان ومرجان وعثمان وسلطان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والتاء في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جبروت </w:t>
      </w:r>
      <w:r>
        <w:rPr>
          <w:rStyle w:val="FootnoteAnchor"/>
          <w:rtl w:val="true"/>
        </w:rPr>
        <w:footnoteReference w:id="2185"/>
      </w:r>
      <w:r>
        <w:rPr>
          <w:rFonts w:ascii="Amiri" w:hAnsi="Amiri" w:eastAsia="Amiri" w:cs="Amiri"/>
          <w:color w:val="111111"/>
          <w:sz w:val="28"/>
          <w:sz w:val="28"/>
          <w:szCs w:val="28"/>
          <w:rtl w:val="true"/>
          <w:lang w:bidi="ar-SA"/>
        </w:rPr>
        <w:t xml:space="preserve">والألف والطاء الأخيرة في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فسطاط </w:t>
      </w:r>
      <w:r>
        <w:rPr>
          <w:rStyle w:val="FootnoteAnchor"/>
          <w:rtl w:val="true"/>
        </w:rPr>
        <w:footnoteReference w:id="2186"/>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الميم والحاء الأخيرتان في صمحمح ووزنه فعلعل </w:t>
      </w:r>
      <w:r>
        <w:rPr>
          <w:rStyle w:val="FootnoteAnchor"/>
          <w:rtl w:val="true"/>
        </w:rPr>
        <w:footnoteReference w:id="2187"/>
      </w:r>
      <w:r>
        <w:rPr>
          <w:rFonts w:ascii="Amiri" w:hAnsi="Amiri" w:eastAsia="Amiri" w:cs="Amiri"/>
          <w:color w:val="111111"/>
          <w:sz w:val="28"/>
          <w:sz w:val="28"/>
          <w:szCs w:val="28"/>
          <w:rtl w:val="true"/>
          <w:lang w:bidi="ar-SA"/>
        </w:rPr>
        <w:t xml:space="preserve">بالفتح ، والرّاء والحاء الأخيرة في ذرحرح </w:t>
      </w:r>
      <w:r>
        <w:rPr>
          <w:rStyle w:val="FootnoteAnchor"/>
          <w:rtl w:val="true"/>
        </w:rPr>
        <w:footnoteReference w:id="2188"/>
      </w:r>
      <w:r>
        <w:rPr>
          <w:rFonts w:ascii="IRNazanin" w:hAnsi="IRNazanin" w:eastAsia="IRNazanin"/>
          <w:color w:val="111111"/>
          <w:sz w:val="28"/>
          <w:sz w:val="28"/>
          <w:szCs w:val="28"/>
          <w:rtl w:val="true"/>
          <w:lang w:bidi="fa-IR"/>
        </w:rPr>
        <w:t xml:space="preserve">ووزنه فعلعل </w:t>
      </w:r>
      <w:r>
        <w:rPr>
          <w:rStyle w:val="FootnoteAnchor"/>
          <w:rtl w:val="true"/>
        </w:rPr>
        <w:footnoteReference w:id="2189"/>
      </w:r>
      <w:r>
        <w:rPr>
          <w:rFonts w:ascii="Amiri" w:hAnsi="Amiri" w:eastAsia="Amiri" w:cs="Amiri"/>
          <w:color w:val="111111"/>
          <w:sz w:val="28"/>
          <w:sz w:val="28"/>
          <w:szCs w:val="28"/>
          <w:rtl w:val="true"/>
          <w:lang w:bidi="ar-SA"/>
        </w:rPr>
        <w:t xml:space="preserve">بالضمّ ، وأمّا الزيادات الثلاث فتقع </w:t>
      </w:r>
      <w:r>
        <w:rPr>
          <w:rStyle w:val="FootnoteAnchor"/>
          <w:rtl w:val="true"/>
        </w:rPr>
        <w:footnoteReference w:id="2190"/>
      </w:r>
      <w:r>
        <w:rPr>
          <w:rFonts w:ascii="Amiri" w:hAnsi="Amiri" w:eastAsia="Amiri" w:cs="Amiri"/>
          <w:color w:val="111111"/>
          <w:sz w:val="28"/>
          <w:sz w:val="28"/>
          <w:szCs w:val="28"/>
          <w:rtl w:val="true"/>
          <w:lang w:bidi="ar-SA"/>
        </w:rPr>
        <w:t>مفترقة ومجتمعة</w:t>
      </w:r>
      <w:r>
        <w:rPr>
          <w:rFonts w:eastAsia="Amiri" w:cs="Amiri" w:ascii="Amiri" w:hAnsi="Amiri"/>
          <w:color w:val="111111"/>
          <w:sz w:val="28"/>
          <w:szCs w:val="28"/>
          <w:rtl w:val="true"/>
          <w:lang w:bidi="ar-SA"/>
        </w:rPr>
        <w:t>.</w:t>
      </w:r>
    </w:p>
    <w:p>
      <w:pPr>
        <w:pStyle w:val="Heading5"/>
        <w:numPr>
          <w:ilvl w:val="4"/>
          <w:numId w:val="1"/>
        </w:numPr>
        <w:rPr/>
      </w:pPr>
      <w:bookmarkStart w:id="757" w:name="__RefHeading___Toc717080_996550957"/>
      <w:bookmarkStart w:id="758" w:name="_Toc281"/>
      <w:bookmarkEnd w:id="757"/>
      <w:r>
        <w:rPr>
          <w:rtl w:val="true"/>
        </w:rPr>
        <w:t>ذكر الزيادات الثّلاث المفترقة</w:t>
      </w:r>
      <w:bookmarkEnd w:id="758"/>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1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ذلك أن تقع الأولى قبل الفاء والثانية بين العين واللّام ، والثالثة بعد اللّام نحو اهجيرى </w:t>
      </w:r>
      <w:r>
        <w:rPr>
          <w:rStyle w:val="FootnoteAnchor"/>
          <w:rtl w:val="true"/>
        </w:rPr>
        <w:footnoteReference w:id="2192"/>
      </w:r>
      <w:r>
        <w:rPr>
          <w:rFonts w:ascii="Amiri" w:hAnsi="Amiri" w:eastAsia="Amiri" w:cs="Amiri"/>
          <w:color w:val="111111"/>
          <w:sz w:val="28"/>
          <w:sz w:val="28"/>
          <w:szCs w:val="28"/>
          <w:rtl w:val="true"/>
          <w:lang w:bidi="ar-SA"/>
        </w:rPr>
        <w:t xml:space="preserve">الهمزة ثمّ الياء ثمّ الألف الأخيرة زوائد </w:t>
      </w:r>
      <w:r>
        <w:rPr>
          <w:rStyle w:val="FootnoteAnchor"/>
          <w:rtl w:val="true"/>
        </w:rPr>
        <w:footnoteReference w:id="2193"/>
      </w:r>
      <w:r>
        <w:rPr>
          <w:rFonts w:ascii="Amiri" w:hAnsi="Amiri" w:eastAsia="Amiri" w:cs="Amiri"/>
          <w:color w:val="111111"/>
          <w:sz w:val="28"/>
          <w:sz w:val="28"/>
          <w:szCs w:val="28"/>
          <w:rtl w:val="true"/>
          <w:lang w:bidi="ar-SA"/>
        </w:rPr>
        <w:t xml:space="preserve">،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تقع الأولى قبل الفاء والثانية بين الفاء وبين العين ، والثالثة بين العين وبين اللام فمنه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مخاريق </w:t>
      </w:r>
      <w:r>
        <w:rPr>
          <w:rStyle w:val="FootnoteAnchor"/>
          <w:rtl w:val="true"/>
        </w:rPr>
        <w:footnoteReference w:id="2194"/>
      </w:r>
      <w:r>
        <w:rPr>
          <w:rFonts w:ascii="Amiri" w:hAnsi="Amiri" w:eastAsia="Amiri" w:cs="Amiri"/>
          <w:color w:val="111111"/>
          <w:sz w:val="28"/>
          <w:sz w:val="28"/>
          <w:szCs w:val="28"/>
          <w:rtl w:val="true"/>
          <w:lang w:bidi="ar-SA"/>
        </w:rPr>
        <w:t xml:space="preserve">فالزوائد المتفرقة الميم ثمّ الألف ثمّ الياء </w:t>
      </w:r>
      <w:r>
        <w:rPr>
          <w:rStyle w:val="FootnoteAnchor"/>
          <w:rtl w:val="true"/>
        </w:rPr>
        <w:footnoteReference w:id="2195"/>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تماثيل ، التاء ثمّ الألف ثم الياء زوائد </w:t>
      </w:r>
      <w:r>
        <w:rPr>
          <w:rStyle w:val="FootnoteAnchor"/>
          <w:rtl w:val="true"/>
        </w:rPr>
        <w:footnoteReference w:id="2196"/>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يرابيع </w:t>
      </w:r>
      <w:r>
        <w:rPr>
          <w:rStyle w:val="FootnoteAnchor"/>
          <w:rtl w:val="true"/>
        </w:rPr>
        <w:footnoteReference w:id="2197"/>
      </w:r>
      <w:r>
        <w:rPr>
          <w:rFonts w:ascii="Amiri" w:hAnsi="Amiri" w:eastAsia="Amiri" w:cs="Amiri"/>
          <w:color w:val="111111"/>
          <w:sz w:val="28"/>
          <w:sz w:val="28"/>
          <w:szCs w:val="28"/>
          <w:rtl w:val="true"/>
          <w:lang w:bidi="ar-SA"/>
        </w:rPr>
        <w:t xml:space="preserve">الياء ثمّ الألف ثم الياء الثانية </w:t>
      </w:r>
      <w:bookmarkStart w:id="759" w:name="pg14482_156366"/>
    </w:p>
    <w:p>
      <w:pPr>
        <w:pStyle w:val="BookText"/>
        <w:rPr/>
      </w:pPr>
      <w:bookmarkEnd w:id="759"/>
      <w:r>
        <w:rPr>
          <w:rFonts w:ascii="IRNazanin" w:hAnsi="IRNazanin" w:eastAsia="IRNazanin"/>
          <w:color w:val="111111"/>
          <w:sz w:val="28"/>
          <w:sz w:val="28"/>
          <w:szCs w:val="28"/>
          <w:rtl w:val="true"/>
          <w:lang w:bidi="fa-IR"/>
        </w:rPr>
        <w:t xml:space="preserve">زوائد </w:t>
      </w:r>
      <w:r>
        <w:rPr>
          <w:rStyle w:val="FootnoteAnchor"/>
          <w:rtl w:val="true"/>
        </w:rPr>
        <w:footnoteReference w:id="21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0" w:name="__RefHeading___Toc717082_996550957"/>
      <w:bookmarkStart w:id="761" w:name="_Toc282"/>
      <w:bookmarkEnd w:id="760"/>
      <w:r>
        <w:rPr>
          <w:rtl w:val="true"/>
        </w:rPr>
        <w:t>ذكر الزيادات الثّلاث المجتمعة</w:t>
      </w:r>
      <w:bookmarkEnd w:id="761"/>
    </w:p>
    <w:p>
      <w:pPr>
        <w:pStyle w:val="BookText"/>
        <w:rPr/>
      </w:pPr>
      <w:r>
        <w:rPr>
          <w:rStyle w:val="FootnoteAnchor"/>
          <w:rtl w:val="true"/>
        </w:rPr>
        <w:footnoteReference w:id="21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ويقعن في ثلاثة مواضع ، قبل الفاء ، وبين العين واللّام ، وبعد اللّام ، أمّا وقوعهنّ قبل الفاء فلا يكون إلّا في اسم جار على الفعل وذلك في مستفعل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مستخرج الميم والسين والتاء زوائد ، وأمّا وقوعهنّ بين العين واللّام فنحو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سلاليم الألف ثمّ اللّام ثمّ الياء زوائد </w:t>
      </w:r>
      <w:r>
        <w:rPr>
          <w:rStyle w:val="FootnoteAnchor"/>
          <w:rtl w:val="true"/>
        </w:rPr>
        <w:footnoteReference w:id="2200"/>
      </w:r>
      <w:r>
        <w:rPr>
          <w:rFonts w:ascii="Amiri" w:hAnsi="Amiri" w:eastAsia="Amiri" w:cs="Amiri"/>
          <w:color w:val="111111"/>
          <w:sz w:val="28"/>
          <w:sz w:val="28"/>
          <w:szCs w:val="28"/>
          <w:rtl w:val="true"/>
          <w:lang w:bidi="ar-SA"/>
        </w:rPr>
        <w:t xml:space="preserve">وأمّا وقوعهنّ بعد اللّام فنحو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على فعليان كصلّيان </w:t>
      </w:r>
      <w:r>
        <w:rPr>
          <w:rStyle w:val="FootnoteAnchor"/>
          <w:rtl w:val="true"/>
        </w:rPr>
        <w:footnoteReference w:id="2201"/>
      </w:r>
      <w:r>
        <w:rPr>
          <w:rFonts w:ascii="Amiri" w:hAnsi="Amiri" w:eastAsia="Amiri" w:cs="Amiri"/>
          <w:color w:val="111111"/>
          <w:sz w:val="28"/>
          <w:sz w:val="28"/>
          <w:szCs w:val="28"/>
          <w:rtl w:val="true"/>
          <w:lang w:bidi="ar-SA"/>
        </w:rPr>
        <w:t xml:space="preserve">الياء ثمّ الألف ثم النون زوائد ، أو على فعلوان </w:t>
      </w:r>
      <w:r>
        <w:rPr>
          <w:rStyle w:val="FootnoteAnchor"/>
          <w:rtl w:val="true"/>
        </w:rPr>
        <w:footnoteReference w:id="2202"/>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عنفوان ، الواو ثم الألف ثم النون زوائد ، أو على فعلياء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كبرياء ، الياء ثمّ الألف ثمّ الهمزة زوائد </w:t>
      </w:r>
      <w:r>
        <w:rPr>
          <w:rStyle w:val="FootnoteAnchor"/>
          <w:rtl w:val="true"/>
        </w:rPr>
        <w:footnoteReference w:id="22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2" w:name="__RefHeading___Toc717084_996550957"/>
      <w:bookmarkStart w:id="763" w:name="_Toc283"/>
      <w:bookmarkEnd w:id="762"/>
      <w:r>
        <w:rPr>
          <w:rtl w:val="true"/>
        </w:rPr>
        <w:t>ذكر الزيادات الثّلاث على وجه تنفرد واحدة وتجتمع ثنتان</w:t>
      </w:r>
      <w:bookmarkEnd w:id="763"/>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2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تقع واحدة منفردة قبل الفاء ، وثنتان مجتمعتان بعد اللّام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أفعوان </w:t>
      </w:r>
      <w:r>
        <w:rPr>
          <w:rStyle w:val="FootnoteAnchor"/>
          <w:rtl w:val="true"/>
        </w:rPr>
        <w:footnoteReference w:id="2205"/>
      </w:r>
      <w:r>
        <w:rPr>
          <w:rFonts w:ascii="Amiri" w:hAnsi="Amiri" w:eastAsia="Amiri" w:cs="Amiri"/>
          <w:color w:val="111111"/>
          <w:sz w:val="28"/>
          <w:sz w:val="28"/>
          <w:szCs w:val="28"/>
          <w:rtl w:val="true"/>
          <w:lang w:bidi="ar-SA"/>
        </w:rPr>
        <w:t xml:space="preserve">فالهمزة قبل الفاء منفردة والألف والنون بعد اللّام مجتمعتان ووزنه </w:t>
      </w:r>
      <w:r>
        <w:rPr>
          <w:rStyle w:val="FootnoteAnchor"/>
          <w:rtl w:val="true"/>
        </w:rPr>
        <w:footnoteReference w:id="2206"/>
      </w:r>
      <w:r>
        <w:rPr>
          <w:rFonts w:ascii="IRNazanin" w:hAnsi="IRNazanin" w:eastAsia="IRNazanin"/>
          <w:color w:val="111111"/>
          <w:sz w:val="28"/>
          <w:sz w:val="28"/>
          <w:szCs w:val="28"/>
          <w:rtl w:val="true"/>
          <w:lang w:bidi="fa-IR"/>
        </w:rPr>
        <w:t xml:space="preserve">أفعلان </w:t>
      </w:r>
      <w:r>
        <w:rPr>
          <w:rStyle w:val="FootnoteAnchor"/>
          <w:rtl w:val="true"/>
        </w:rPr>
        <w:footnoteReference w:id="2207"/>
      </w: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إضحيان </w:t>
      </w:r>
      <w:r>
        <w:rPr>
          <w:rStyle w:val="FootnoteAnchor"/>
          <w:rtl w:val="true"/>
        </w:rPr>
        <w:footnoteReference w:id="2208"/>
      </w:r>
      <w:r>
        <w:rPr>
          <w:rFonts w:ascii="IRNazanin" w:hAnsi="IRNazanin" w:eastAsia="IRNazanin"/>
          <w:color w:val="111111"/>
          <w:sz w:val="28"/>
          <w:sz w:val="28"/>
          <w:szCs w:val="28"/>
          <w:rtl w:val="true"/>
          <w:lang w:bidi="fa-IR"/>
        </w:rPr>
        <w:t xml:space="preserve">وأربعاء </w:t>
      </w:r>
      <w:r>
        <w:rPr>
          <w:rStyle w:val="FootnoteAnchor"/>
          <w:rtl w:val="true"/>
        </w:rPr>
        <w:footnoteReference w:id="2209"/>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تقع المنفردة بين الفاء </w:t>
      </w:r>
      <w:bookmarkStart w:id="764" w:name="pg14482_156367"/>
    </w:p>
    <w:p>
      <w:pPr>
        <w:pStyle w:val="BookText"/>
        <w:rPr/>
      </w:pPr>
      <w:bookmarkEnd w:id="764"/>
      <w:r>
        <w:rPr>
          <w:rFonts w:ascii="Amiri" w:hAnsi="Amiri" w:eastAsia="Amiri" w:cs="Amiri"/>
          <w:color w:val="111111"/>
          <w:sz w:val="28"/>
          <w:sz w:val="28"/>
          <w:szCs w:val="28"/>
          <w:rtl w:val="true"/>
          <w:lang w:bidi="ar-SA"/>
        </w:rPr>
        <w:t xml:space="preserve">والعين والمجتمعتان بعد اللّام ويجيء على فنعلاء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خنفساء </w:t>
      </w:r>
      <w:r>
        <w:rPr>
          <w:rStyle w:val="FootnoteAnchor"/>
          <w:rtl w:val="true"/>
        </w:rPr>
        <w:footnoteReference w:id="2210"/>
      </w:r>
      <w:r>
        <w:rPr>
          <w:rFonts w:ascii="Amiri" w:hAnsi="Amiri" w:eastAsia="Amiri" w:cs="Amiri"/>
          <w:color w:val="111111"/>
          <w:sz w:val="28"/>
          <w:sz w:val="28"/>
          <w:szCs w:val="28"/>
          <w:rtl w:val="true"/>
          <w:lang w:bidi="ar-SA"/>
        </w:rPr>
        <w:t xml:space="preserve">النون بين الفاء والعين منفردة ، والألف والهمزة بعد اللّام مجتمعتان ، ويجيء كذلك على فيعلان </w:t>
      </w:r>
      <w:r>
        <w:rPr>
          <w:rStyle w:val="FootnoteAnchor"/>
          <w:rtl w:val="true"/>
        </w:rPr>
        <w:footnoteReference w:id="2211"/>
      </w:r>
      <w:r>
        <w:rPr>
          <w:rFonts w:ascii="Amiri" w:hAnsi="Amiri" w:eastAsia="Amiri" w:cs="Amiri"/>
          <w:color w:val="111111"/>
          <w:sz w:val="28"/>
          <w:sz w:val="28"/>
          <w:szCs w:val="28"/>
          <w:rtl w:val="true"/>
          <w:lang w:bidi="ar-SA"/>
        </w:rPr>
        <w:t xml:space="preserve">كهيّبان أي هيوب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تقع المنفردة بين العين واللام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فساطيط </w:t>
      </w:r>
      <w:r>
        <w:rPr>
          <w:rStyle w:val="FootnoteAnchor"/>
          <w:rtl w:val="true"/>
        </w:rPr>
        <w:footnoteReference w:id="2212"/>
      </w:r>
      <w:r>
        <w:rPr>
          <w:rFonts w:ascii="Amiri" w:hAnsi="Amiri" w:eastAsia="Amiri" w:cs="Amiri"/>
          <w:color w:val="111111"/>
          <w:sz w:val="28"/>
          <w:sz w:val="28"/>
          <w:szCs w:val="28"/>
          <w:rtl w:val="true"/>
          <w:lang w:bidi="ar-SA"/>
        </w:rPr>
        <w:t xml:space="preserve">وسراحين ، فالألف زائدة منفردة فيهما بين العين واللام ، والياء والطاء الأخيرة مجتمعتان بعد اللام ، والياء والنون في سراحين </w:t>
      </w:r>
      <w:r>
        <w:rPr>
          <w:rStyle w:val="FootnoteAnchor"/>
          <w:rtl w:val="true"/>
        </w:rPr>
        <w:footnoteReference w:id="2213"/>
      </w:r>
      <w:r>
        <w:rPr>
          <w:rFonts w:ascii="Amiri" w:hAnsi="Amiri" w:eastAsia="Amiri" w:cs="Amiri"/>
          <w:color w:val="111111"/>
          <w:sz w:val="28"/>
          <w:sz w:val="28"/>
          <w:szCs w:val="28"/>
          <w:rtl w:val="true"/>
          <w:lang w:bidi="ar-SA"/>
        </w:rPr>
        <w:t xml:space="preserve">كذلك ، ومن ذلك قلنسوة على فعنلوة </w:t>
      </w:r>
      <w:r>
        <w:rPr>
          <w:rStyle w:val="FootnoteAnchor"/>
          <w:rtl w:val="true"/>
        </w:rPr>
        <w:footnoteReference w:id="2214"/>
      </w:r>
      <w:r>
        <w:rPr>
          <w:rFonts w:ascii="Amiri" w:hAnsi="Amiri" w:eastAsia="Amiri" w:cs="Amiri"/>
          <w:color w:val="111111"/>
          <w:sz w:val="28"/>
          <w:sz w:val="28"/>
          <w:szCs w:val="28"/>
          <w:rtl w:val="true"/>
          <w:lang w:bidi="ar-SA"/>
        </w:rPr>
        <w:t>النون منفردة بين العين واللّام ، والواو والهاء مجتمعتان بعد اللّام</w:t>
      </w:r>
      <w:r>
        <w:rPr>
          <w:rFonts w:eastAsia="Amiri" w:cs="Amiri" w:ascii="Amiri" w:hAnsi="Amiri"/>
          <w:color w:val="111111"/>
          <w:sz w:val="28"/>
          <w:szCs w:val="28"/>
          <w:rtl w:val="true"/>
          <w:lang w:bidi="ar-SA"/>
        </w:rPr>
        <w:t>.</w:t>
      </w:r>
    </w:p>
    <w:p>
      <w:pPr>
        <w:pStyle w:val="Heading5"/>
        <w:numPr>
          <w:ilvl w:val="4"/>
          <w:numId w:val="1"/>
        </w:numPr>
        <w:rPr/>
      </w:pPr>
      <w:bookmarkStart w:id="765" w:name="__RefHeading___Toc717086_996550957"/>
      <w:bookmarkStart w:id="766" w:name="_Toc284"/>
      <w:bookmarkEnd w:id="765"/>
      <w:r>
        <w:rPr>
          <w:rtl w:val="true"/>
        </w:rPr>
        <w:t>ذكر الزيادات الأربع</w:t>
      </w:r>
      <w:bookmarkEnd w:id="766"/>
    </w:p>
    <w:p>
      <w:pPr>
        <w:pStyle w:val="BookText"/>
        <w:rPr/>
      </w:pPr>
      <w:r>
        <w:rPr>
          <w:rStyle w:val="FootnoteAnchor"/>
          <w:rtl w:val="true"/>
        </w:rPr>
        <w:footnoteReference w:id="22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تقع في الثلاثي المذكور في مصدر افعيلال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اشهيباب </w:t>
      </w:r>
      <w:r>
        <w:rPr>
          <w:rStyle w:val="FootnoteAnchor"/>
          <w:rtl w:val="true"/>
        </w:rPr>
        <w:footnoteReference w:id="2216"/>
      </w:r>
      <w:r>
        <w:rPr>
          <w:rFonts w:ascii="Amiri" w:hAnsi="Amiri" w:eastAsia="Amiri" w:cs="Amiri"/>
          <w:color w:val="111111"/>
          <w:sz w:val="28"/>
          <w:sz w:val="28"/>
          <w:szCs w:val="28"/>
          <w:rtl w:val="true"/>
          <w:lang w:bidi="ar-SA"/>
        </w:rPr>
        <w:t xml:space="preserve">ففيه أربع زيادات ، الهمزة أولا للنطق بالساكن ، ثم الياء لأنّها بدل من ألف اشهابّ قلبت في المصدر ياء لانكسار ما قبلها ، ثمّ الألف التي بين الباءين ثم الباء الأخيرة لأنّها مكررة ألا ترى أنها ليست موجودة في الشهبة ، وهذه غاية ما تنتهي إليه بنات </w:t>
      </w:r>
      <w:r>
        <w:rPr>
          <w:rStyle w:val="FootnoteAnchor"/>
          <w:rtl w:val="true"/>
        </w:rPr>
        <w:footnoteReference w:id="2217"/>
      </w:r>
      <w:r>
        <w:rPr>
          <w:rFonts w:ascii="Amiri" w:hAnsi="Amiri" w:eastAsia="Amiri" w:cs="Amiri"/>
          <w:color w:val="111111"/>
          <w:sz w:val="28"/>
          <w:sz w:val="28"/>
          <w:szCs w:val="28"/>
          <w:rtl w:val="true"/>
          <w:lang w:bidi="ar-SA"/>
        </w:rPr>
        <w:t xml:space="preserve">الثلاثة ، وكذلك احميرار ، الهمزة ثمّ الياء ثمّ الألف ثم الراء الأخيرة زوائد </w:t>
      </w:r>
      <w:r>
        <w:rPr>
          <w:rStyle w:val="FootnoteAnchor"/>
          <w:rtl w:val="true"/>
        </w:rPr>
        <w:footnoteReference w:id="2218"/>
      </w:r>
      <w:r>
        <w:rPr>
          <w:rFonts w:ascii="Amiri" w:hAnsi="Amiri" w:eastAsia="Amiri" w:cs="Amiri"/>
          <w:color w:val="111111"/>
          <w:sz w:val="28"/>
          <w:sz w:val="28"/>
          <w:szCs w:val="28"/>
          <w:rtl w:val="true"/>
          <w:lang w:bidi="ar-SA"/>
        </w:rPr>
        <w:t xml:space="preserve">وكذلك تقع الزوائد الأربع في الاستفعال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استخراج ، الهمزة ثم السين ثم التاء ثم الألف زوائد ، وفي عاشوراء الألف ثم الواو ثم الألف الأخرى ثم الهمزة زوائد </w:t>
      </w:r>
      <w:r>
        <w:rPr>
          <w:rStyle w:val="FootnoteAnchor"/>
          <w:rtl w:val="true"/>
        </w:rPr>
        <w:footnoteReference w:id="22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7" w:name="__RefHeading___Toc717088_996550957"/>
      <w:bookmarkStart w:id="768" w:name="_Toc285"/>
      <w:bookmarkEnd w:id="767"/>
      <w:r>
        <w:rPr>
          <w:rtl w:val="true"/>
        </w:rPr>
        <w:t>ذكر أبنية الاسم الرباعي المزيد فيه</w:t>
      </w:r>
      <w:bookmarkEnd w:id="768"/>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وتقع في الرباعي زيادة وثنتان وثلاث</w:t>
      </w:r>
      <w:r>
        <w:rPr>
          <w:rFonts w:eastAsia="Amiri" w:cs="Amiri" w:ascii="Amiri" w:hAnsi="Amiri"/>
          <w:color w:val="111111"/>
          <w:sz w:val="28"/>
          <w:szCs w:val="28"/>
          <w:rtl w:val="true"/>
          <w:lang w:bidi="ar-SA"/>
        </w:rPr>
        <w:t xml:space="preserve">. </w:t>
      </w:r>
      <w:bookmarkStart w:id="769" w:name="pg14482_156368"/>
    </w:p>
    <w:p>
      <w:pPr>
        <w:pStyle w:val="Heading5"/>
        <w:numPr>
          <w:ilvl w:val="4"/>
          <w:numId w:val="1"/>
        </w:numPr>
        <w:rPr/>
      </w:pPr>
      <w:bookmarkStart w:id="770" w:name="__RefHeading___Toc717090_996550957"/>
      <w:bookmarkStart w:id="771" w:name="_Toc286"/>
      <w:bookmarkEnd w:id="769"/>
      <w:bookmarkEnd w:id="770"/>
      <w:r>
        <w:rPr>
          <w:rtl w:val="true"/>
        </w:rPr>
        <w:t>ذكر الزيادة الواحدة في الرباعي</w:t>
      </w:r>
      <w:bookmarkEnd w:id="771"/>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2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تقع فيه قبل الفاء ، وبين الفاء والعين ، وبين العين واللّام الأولى ، وبين اللّام الأولى والثانية ، وبعد اللام الأخيرة ، أما ما قبل الفاء فلا تلحقه الزيادة إلّا أن يكون اسما جاريا على الفعل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مدحرج </w:t>
      </w:r>
      <w:r>
        <w:rPr>
          <w:rStyle w:val="FootnoteAnchor"/>
          <w:rtl w:val="true"/>
        </w:rPr>
        <w:footnoteReference w:id="2221"/>
      </w:r>
      <w:r>
        <w:rPr>
          <w:rFonts w:ascii="Amiri" w:hAnsi="Amiri" w:eastAsia="Amiri" w:cs="Amiri"/>
          <w:color w:val="111111"/>
          <w:sz w:val="28"/>
          <w:sz w:val="28"/>
          <w:szCs w:val="28"/>
          <w:rtl w:val="true"/>
          <w:lang w:bidi="ar-SA"/>
        </w:rPr>
        <w:t xml:space="preserve">وأمّا ما بين الفاء والعين فتزاد فيه النون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قنفخر </w:t>
      </w:r>
      <w:r>
        <w:rPr>
          <w:rStyle w:val="FootnoteAnchor"/>
          <w:rtl w:val="true"/>
        </w:rPr>
        <w:footnoteReference w:id="2222"/>
      </w:r>
      <w:r>
        <w:rPr>
          <w:rFonts w:ascii="Amiri" w:hAnsi="Amiri" w:eastAsia="Amiri" w:cs="Amiri"/>
          <w:color w:val="111111"/>
          <w:sz w:val="28"/>
          <w:sz w:val="28"/>
          <w:szCs w:val="28"/>
          <w:rtl w:val="true"/>
          <w:lang w:bidi="ar-SA"/>
        </w:rPr>
        <w:t xml:space="preserve">وهو الضخم ، وكنتأل </w:t>
      </w:r>
      <w:r>
        <w:rPr>
          <w:rStyle w:val="FootnoteAnchor"/>
          <w:rtl w:val="true"/>
        </w:rPr>
        <w:footnoteReference w:id="2223"/>
      </w:r>
      <w:r>
        <w:rPr>
          <w:rFonts w:ascii="Amiri" w:hAnsi="Amiri" w:eastAsia="Amiri" w:cs="Amiri"/>
          <w:color w:val="111111"/>
          <w:sz w:val="28"/>
          <w:sz w:val="28"/>
          <w:szCs w:val="28"/>
          <w:rtl w:val="true"/>
          <w:lang w:bidi="ar-SA"/>
        </w:rPr>
        <w:t xml:space="preserve">بضمّ الكاف وهو القصير ، وكنهبل </w:t>
      </w:r>
      <w:r>
        <w:rPr>
          <w:rStyle w:val="FootnoteAnchor"/>
          <w:rtl w:val="true"/>
        </w:rPr>
        <w:footnoteReference w:id="2224"/>
      </w:r>
      <w:r>
        <w:rPr>
          <w:rFonts w:ascii="IRNazanin" w:hAnsi="IRNazanin" w:eastAsia="IRNazanin"/>
          <w:color w:val="111111"/>
          <w:sz w:val="28"/>
          <w:sz w:val="28"/>
          <w:szCs w:val="28"/>
          <w:rtl w:val="true"/>
          <w:lang w:bidi="fa-IR"/>
        </w:rPr>
        <w:t xml:space="preserve">وهو شجر </w:t>
      </w:r>
      <w:r>
        <w:rPr>
          <w:rStyle w:val="FootnoteAnchor"/>
          <w:rtl w:val="true"/>
        </w:rPr>
        <w:footnoteReference w:id="22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بين العين واللام الأولى فتزاد الألف والياء والواو والنون ، أمّا الألف فتقع في المفرد كعذافر </w:t>
      </w:r>
      <w:r>
        <w:rPr>
          <w:rStyle w:val="FootnoteAnchor"/>
          <w:rtl w:val="true"/>
        </w:rPr>
        <w:footnoteReference w:id="2226"/>
      </w:r>
      <w:r>
        <w:rPr>
          <w:rFonts w:ascii="Amiri" w:hAnsi="Amiri" w:eastAsia="Amiri" w:cs="Amiri"/>
          <w:color w:val="111111"/>
          <w:sz w:val="28"/>
          <w:sz w:val="28"/>
          <w:szCs w:val="28"/>
          <w:rtl w:val="true"/>
          <w:lang w:bidi="ar-SA"/>
        </w:rPr>
        <w:t xml:space="preserve">وهو الجمل العظيم ، وفي الجمع كحبارج </w:t>
      </w:r>
      <w:r>
        <w:rPr>
          <w:rStyle w:val="FootnoteAnchor"/>
          <w:rtl w:val="true"/>
        </w:rPr>
        <w:footnoteReference w:id="2227"/>
      </w:r>
      <w:r>
        <w:rPr>
          <w:rFonts w:ascii="Amiri" w:hAnsi="Amiri" w:eastAsia="Amiri" w:cs="Amiri"/>
          <w:color w:val="111111"/>
          <w:sz w:val="28"/>
          <w:sz w:val="28"/>
          <w:szCs w:val="28"/>
          <w:rtl w:val="true"/>
          <w:lang w:bidi="ar-SA"/>
        </w:rPr>
        <w:t xml:space="preserve">وأمّا الياء فنحو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سميدع </w:t>
      </w:r>
      <w:r>
        <w:rPr>
          <w:rStyle w:val="FootnoteAnchor"/>
          <w:rtl w:val="true"/>
        </w:rPr>
        <w:footnoteReference w:id="2228"/>
      </w:r>
      <w:r>
        <w:rPr>
          <w:rFonts w:ascii="Amiri" w:hAnsi="Amiri" w:eastAsia="Amiri" w:cs="Amiri"/>
          <w:color w:val="111111"/>
          <w:sz w:val="28"/>
          <w:sz w:val="28"/>
          <w:szCs w:val="28"/>
          <w:rtl w:val="true"/>
          <w:lang w:bidi="ar-SA"/>
        </w:rPr>
        <w:t xml:space="preserve">وهو السيد ، وأما الواو فنحو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فدوكس </w:t>
      </w:r>
      <w:r>
        <w:rPr>
          <w:rStyle w:val="FootnoteAnchor"/>
          <w:rtl w:val="true"/>
        </w:rPr>
        <w:footnoteReference w:id="2229"/>
      </w:r>
      <w:r>
        <w:rPr>
          <w:rFonts w:ascii="IRNazanin" w:hAnsi="IRNazanin" w:eastAsia="IRNazanin"/>
          <w:color w:val="111111"/>
          <w:sz w:val="28"/>
          <w:sz w:val="28"/>
          <w:szCs w:val="28"/>
          <w:rtl w:val="true"/>
          <w:lang w:bidi="fa-IR"/>
        </w:rPr>
        <w:t xml:space="preserve">وهو من أسماء الأسد ، وأمّا النون فتختصّ بالصفات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حزنبل </w:t>
      </w:r>
      <w:r>
        <w:rPr>
          <w:rStyle w:val="FootnoteAnchor"/>
          <w:rtl w:val="true"/>
        </w:rPr>
        <w:footnoteReference w:id="2230"/>
      </w:r>
      <w:r>
        <w:rPr>
          <w:rFonts w:ascii="Amiri" w:hAnsi="Amiri" w:eastAsia="Amiri" w:cs="Amiri"/>
          <w:color w:val="111111"/>
          <w:sz w:val="28"/>
          <w:sz w:val="28"/>
          <w:szCs w:val="28"/>
          <w:rtl w:val="true"/>
          <w:lang w:bidi="ar-SA"/>
        </w:rPr>
        <w:t xml:space="preserve">وهو القصير ، وأمّا ما بين اللّامين فتزاد فيه الياء والواو والألف واللّام من موضعها ، والراء من موضعها أمّا الياء فتزاد على فعليل بكسر الفاء </w:t>
      </w:r>
      <w:r>
        <w:rPr>
          <w:rStyle w:val="FootnoteAnchor"/>
          <w:rtl w:val="true"/>
        </w:rPr>
        <w:footnoteReference w:id="2231"/>
      </w:r>
      <w:r>
        <w:rPr>
          <w:rFonts w:ascii="Amiri" w:hAnsi="Amiri" w:eastAsia="Amiri" w:cs="Amiri"/>
          <w:color w:val="111111"/>
          <w:sz w:val="28"/>
          <w:sz w:val="28"/>
          <w:szCs w:val="28"/>
          <w:rtl w:val="true"/>
          <w:lang w:bidi="ar-SA"/>
        </w:rPr>
        <w:t xml:space="preserve">كقنديل وعلى فعليل بالضمّ </w:t>
      </w:r>
      <w:r>
        <w:rPr>
          <w:rStyle w:val="FootnoteAnchor"/>
          <w:rtl w:val="true"/>
        </w:rPr>
        <w:footnoteReference w:id="2232"/>
      </w:r>
      <w:r>
        <w:rPr>
          <w:rFonts w:ascii="Amiri" w:hAnsi="Amiri" w:eastAsia="Amiri" w:cs="Amiri"/>
          <w:color w:val="111111"/>
          <w:sz w:val="28"/>
          <w:sz w:val="28"/>
          <w:szCs w:val="28"/>
          <w:rtl w:val="true"/>
          <w:lang w:bidi="ar-SA"/>
        </w:rPr>
        <w:t xml:space="preserve">كغرنيق </w:t>
      </w:r>
      <w:r>
        <w:rPr>
          <w:rStyle w:val="FootnoteAnchor"/>
          <w:rtl w:val="true"/>
        </w:rPr>
        <w:footnoteReference w:id="2233"/>
      </w:r>
      <w:r>
        <w:rPr>
          <w:rFonts w:ascii="IRNazanin" w:hAnsi="IRNazanin" w:eastAsia="IRNazanin"/>
          <w:color w:val="111111"/>
          <w:sz w:val="28"/>
          <w:sz w:val="28"/>
          <w:szCs w:val="28"/>
          <w:rtl w:val="true"/>
          <w:lang w:bidi="fa-IR"/>
        </w:rPr>
        <w:t xml:space="preserve">وأمّا الواو فعلى فعلول </w:t>
      </w:r>
      <w:r>
        <w:rPr>
          <w:rStyle w:val="FootnoteAnchor"/>
          <w:rtl w:val="true"/>
        </w:rPr>
        <w:footnoteReference w:id="2234"/>
      </w:r>
      <w:r>
        <w:rPr>
          <w:rFonts w:ascii="Amiri" w:hAnsi="Amiri" w:eastAsia="Amiri" w:cs="Amiri"/>
          <w:color w:val="111111"/>
          <w:sz w:val="28"/>
          <w:sz w:val="28"/>
          <w:szCs w:val="28"/>
          <w:rtl w:val="true"/>
          <w:lang w:bidi="ar-SA"/>
        </w:rPr>
        <w:t xml:space="preserve">كزنبور ، وعلى فعلول </w:t>
      </w:r>
      <w:r>
        <w:rPr>
          <w:rStyle w:val="FootnoteAnchor"/>
          <w:rtl w:val="true"/>
        </w:rPr>
        <w:footnoteReference w:id="2235"/>
      </w:r>
      <w:r>
        <w:rPr>
          <w:rFonts w:ascii="Amiri" w:hAnsi="Amiri" w:eastAsia="Amiri" w:cs="Amiri"/>
          <w:color w:val="111111"/>
          <w:sz w:val="28"/>
          <w:sz w:val="28"/>
          <w:szCs w:val="28"/>
          <w:rtl w:val="true"/>
          <w:lang w:bidi="ar-SA"/>
        </w:rPr>
        <w:t xml:space="preserve">كفردوس ، وعلى </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فعلول </w:t>
      </w:r>
      <w:r>
        <w:rPr>
          <w:rStyle w:val="FootnoteAnchor"/>
          <w:rtl w:val="true"/>
        </w:rPr>
        <w:footnoteReference w:id="2236"/>
      </w:r>
      <w:r>
        <w:rPr>
          <w:rFonts w:ascii="Amiri" w:hAnsi="Amiri" w:eastAsia="Amiri" w:cs="Amiri"/>
          <w:color w:val="111111"/>
          <w:sz w:val="28"/>
          <w:sz w:val="28"/>
          <w:szCs w:val="28"/>
          <w:rtl w:val="true"/>
          <w:lang w:bidi="ar-SA"/>
        </w:rPr>
        <w:t xml:space="preserve">مثل كنهور وهو السحاب </w:t>
      </w:r>
      <w:r>
        <w:rPr>
          <w:rStyle w:val="FootnoteAnchor"/>
          <w:rtl w:val="true"/>
        </w:rPr>
        <w:footnoteReference w:id="2237"/>
      </w:r>
      <w:r>
        <w:rPr>
          <w:rFonts w:ascii="Amiri" w:hAnsi="Amiri" w:eastAsia="Amiri" w:cs="Amiri"/>
          <w:color w:val="111111"/>
          <w:sz w:val="28"/>
          <w:sz w:val="28"/>
          <w:szCs w:val="28"/>
          <w:rtl w:val="true"/>
          <w:lang w:bidi="ar-SA"/>
        </w:rPr>
        <w:t xml:space="preserve">، وعلى فعلول بفتح الفاء والعين </w:t>
      </w:r>
      <w:r>
        <w:rPr>
          <w:rStyle w:val="FootnoteAnchor"/>
          <w:rtl w:val="true"/>
        </w:rPr>
        <w:footnoteReference w:id="2238"/>
      </w:r>
      <w:r>
        <w:rPr>
          <w:rFonts w:ascii="Amiri" w:hAnsi="Amiri" w:eastAsia="Amiri" w:cs="Amiri"/>
          <w:color w:val="111111"/>
          <w:sz w:val="28"/>
          <w:sz w:val="28"/>
          <w:szCs w:val="28"/>
          <w:rtl w:val="true"/>
          <w:lang w:bidi="ar-SA"/>
        </w:rPr>
        <w:t xml:space="preserve">كقربوس </w:t>
      </w:r>
      <w:r>
        <w:rPr>
          <w:rStyle w:val="FootnoteAnchor"/>
          <w:rtl w:val="true"/>
        </w:rPr>
        <w:footnoteReference w:id="2239"/>
      </w:r>
      <w:r>
        <w:rPr>
          <w:rFonts w:ascii="Amiri" w:hAnsi="Amiri" w:eastAsia="Amiri" w:cs="Amiri"/>
          <w:color w:val="111111"/>
          <w:sz w:val="28"/>
          <w:sz w:val="28"/>
          <w:szCs w:val="28"/>
          <w:rtl w:val="true"/>
          <w:lang w:bidi="ar-SA"/>
        </w:rPr>
        <w:t xml:space="preserve">، وأمّا الألف فعلى فعلال بفتح الفاء وسكون العين </w:t>
      </w:r>
      <w:r>
        <w:rPr>
          <w:rStyle w:val="FootnoteAnchor"/>
          <w:rtl w:val="true"/>
        </w:rPr>
        <w:footnoteReference w:id="2240"/>
      </w:r>
      <w:r>
        <w:rPr>
          <w:rFonts w:ascii="Amiri" w:hAnsi="Amiri" w:eastAsia="Amiri" w:cs="Amiri"/>
          <w:color w:val="111111"/>
          <w:sz w:val="28"/>
          <w:sz w:val="28"/>
          <w:szCs w:val="28"/>
          <w:rtl w:val="true"/>
          <w:lang w:bidi="ar-SA"/>
        </w:rPr>
        <w:t xml:space="preserve">كصلصال </w:t>
      </w:r>
      <w:r>
        <w:rPr>
          <w:rStyle w:val="FootnoteAnchor"/>
          <w:rtl w:val="true"/>
        </w:rPr>
        <w:footnoteReference w:id="2241"/>
      </w:r>
      <w:r>
        <w:rPr>
          <w:rFonts w:ascii="Amiri" w:hAnsi="Amiri" w:eastAsia="Amiri" w:cs="Amiri"/>
          <w:color w:val="111111"/>
          <w:sz w:val="28"/>
          <w:sz w:val="28"/>
          <w:szCs w:val="28"/>
          <w:rtl w:val="true"/>
          <w:lang w:bidi="ar-SA"/>
        </w:rPr>
        <w:t xml:space="preserve">وعلى فعلال بكسرها </w:t>
      </w:r>
      <w:r>
        <w:rPr>
          <w:rStyle w:val="FootnoteAnchor"/>
          <w:rtl w:val="true"/>
        </w:rPr>
        <w:footnoteReference w:id="2242"/>
      </w:r>
      <w:r>
        <w:rPr>
          <w:rFonts w:ascii="Amiri" w:hAnsi="Amiri" w:eastAsia="Amiri" w:cs="Amiri"/>
          <w:color w:val="111111"/>
          <w:sz w:val="28"/>
          <w:sz w:val="28"/>
          <w:szCs w:val="28"/>
          <w:rtl w:val="true"/>
          <w:lang w:bidi="ar-SA"/>
        </w:rPr>
        <w:t xml:space="preserve">كسرداح وهي النّاقة العظيمة ، وأمّا اللّام من موضعها فعلى فعلّل </w:t>
      </w:r>
      <w:r>
        <w:rPr>
          <w:rStyle w:val="FootnoteAnchor"/>
          <w:rtl w:val="true"/>
        </w:rPr>
        <w:footnoteReference w:id="2243"/>
      </w:r>
      <w:r>
        <w:rPr>
          <w:rFonts w:ascii="Amiri" w:hAnsi="Amiri" w:eastAsia="Amiri" w:cs="Amiri"/>
          <w:color w:val="111111"/>
          <w:sz w:val="28"/>
          <w:sz w:val="28"/>
          <w:szCs w:val="28"/>
          <w:rtl w:val="true"/>
          <w:lang w:bidi="ar-SA"/>
        </w:rPr>
        <w:t xml:space="preserve">كشفلّح وهو ثمر الكبر </w:t>
      </w:r>
      <w:r>
        <w:rPr>
          <w:rStyle w:val="FootnoteAnchor"/>
          <w:rtl w:val="true"/>
        </w:rPr>
        <w:footnoteReference w:id="2244"/>
      </w:r>
      <w:r>
        <w:rPr>
          <w:rFonts w:ascii="IRNazanin" w:hAnsi="IRNazanin" w:eastAsia="IRNazanin"/>
          <w:color w:val="111111"/>
          <w:sz w:val="28"/>
          <w:sz w:val="28"/>
          <w:szCs w:val="28"/>
          <w:rtl w:val="true"/>
          <w:lang w:bidi="fa-IR"/>
        </w:rPr>
        <w:t xml:space="preserve">والراء من موضعها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زمرّد </w:t>
      </w:r>
      <w:r>
        <w:rPr>
          <w:rStyle w:val="FootnoteAnchor"/>
          <w:rtl w:val="true"/>
        </w:rPr>
        <w:footnoteReference w:id="2245"/>
      </w:r>
      <w:r>
        <w:rPr>
          <w:rFonts w:ascii="Amiri" w:hAnsi="Amiri" w:eastAsia="Amiri" w:cs="Amiri"/>
          <w:color w:val="111111"/>
          <w:sz w:val="28"/>
          <w:sz w:val="28"/>
          <w:szCs w:val="28"/>
          <w:rtl w:val="true"/>
          <w:lang w:bidi="ar-SA"/>
        </w:rPr>
        <w:t xml:space="preserve">وصفرّق </w:t>
      </w:r>
      <w:r>
        <w:rPr>
          <w:rStyle w:val="FootnoteAnchor"/>
          <w:rtl w:val="true"/>
        </w:rPr>
        <w:footnoteReference w:id="2246"/>
      </w:r>
      <w:r>
        <w:rPr>
          <w:rFonts w:ascii="Amiri" w:hAnsi="Amiri" w:eastAsia="Amiri" w:cs="Amiri"/>
          <w:color w:val="111111"/>
          <w:sz w:val="28"/>
          <w:sz w:val="28"/>
          <w:szCs w:val="28"/>
          <w:rtl w:val="true"/>
          <w:lang w:bidi="ar-SA"/>
        </w:rPr>
        <w:t xml:space="preserve">، وهو ضرب من النبات ، وأمّا ما بعد اللّام الأخيرة فتزاد الألف واللّام والباء من موضعها ، أمّا الألف فتزاد آخرا فيما جاء على وزن فعلّى </w:t>
      </w:r>
      <w:r>
        <w:rPr>
          <w:rStyle w:val="FootnoteAnchor"/>
          <w:rtl w:val="true"/>
        </w:rPr>
        <w:footnoteReference w:id="2247"/>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حبركى وهو الطويل الظّهر القصير الرجلين ، وعلى فعللى </w:t>
      </w:r>
      <w:r>
        <w:rPr>
          <w:rStyle w:val="FootnoteAnchor"/>
          <w:rtl w:val="true"/>
        </w:rPr>
        <w:footnoteReference w:id="2248"/>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قرقرى اسم أرض </w:t>
      </w:r>
      <w:r>
        <w:rPr>
          <w:rStyle w:val="FootnoteAnchor"/>
          <w:rtl w:val="true"/>
        </w:rPr>
        <w:footnoteReference w:id="2249"/>
      </w:r>
      <w:r>
        <w:rPr>
          <w:rFonts w:ascii="IRNazanin" w:hAnsi="IRNazanin" w:eastAsia="IRNazanin"/>
          <w:color w:val="111111"/>
          <w:sz w:val="28"/>
          <w:sz w:val="28"/>
          <w:szCs w:val="28"/>
          <w:rtl w:val="true"/>
          <w:lang w:bidi="fa-IR"/>
        </w:rPr>
        <w:t xml:space="preserve">وعلى فعللى </w:t>
      </w:r>
      <w:r>
        <w:rPr>
          <w:rStyle w:val="FootnoteAnchor"/>
          <w:rtl w:val="true"/>
        </w:rPr>
        <w:footnoteReference w:id="2250"/>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هندبى </w:t>
      </w:r>
      <w:r>
        <w:rPr>
          <w:rStyle w:val="FootnoteAnchor"/>
          <w:rtl w:val="true"/>
        </w:rPr>
        <w:footnoteReference w:id="2251"/>
      </w:r>
      <w:r>
        <w:rPr>
          <w:rFonts w:ascii="Amiri" w:hAnsi="Amiri" w:eastAsia="Amiri" w:cs="Amiri"/>
          <w:color w:val="111111"/>
          <w:sz w:val="28"/>
          <w:sz w:val="28"/>
          <w:szCs w:val="28"/>
          <w:rtl w:val="true"/>
          <w:lang w:bidi="ar-SA"/>
        </w:rPr>
        <w:t xml:space="preserve">وعلى فعلّى </w:t>
      </w:r>
      <w:r>
        <w:rPr>
          <w:rStyle w:val="FootnoteAnchor"/>
          <w:rtl w:val="true"/>
        </w:rPr>
        <w:footnoteReference w:id="2252"/>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سبطرى وهي مشية فيها تبختر ، وأمّا اللّام من موضعها فتزاد على فعلّل </w:t>
      </w:r>
      <w:r>
        <w:rPr>
          <w:rStyle w:val="FootnoteAnchor"/>
          <w:rtl w:val="true"/>
        </w:rPr>
        <w:footnoteReference w:id="2253"/>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سبهلل وهو الفارغ ، وأمّا </w:t>
      </w:r>
      <w:bookmarkStart w:id="772" w:name="pg14482_156370"/>
    </w:p>
    <w:p>
      <w:pPr>
        <w:pStyle w:val="BookText"/>
        <w:rPr/>
      </w:pPr>
      <w:bookmarkEnd w:id="772"/>
      <w:r>
        <w:rPr>
          <w:rFonts w:ascii="IRNazanin" w:hAnsi="IRNazanin" w:eastAsia="IRNazanin"/>
          <w:color w:val="111111"/>
          <w:sz w:val="28"/>
          <w:sz w:val="28"/>
          <w:szCs w:val="28"/>
          <w:rtl w:val="true"/>
          <w:lang w:bidi="fa-IR"/>
        </w:rPr>
        <w:t xml:space="preserve">الباء من موضعها فتزاد على فعللّ </w:t>
      </w:r>
      <w:r>
        <w:rPr>
          <w:rStyle w:val="FootnoteAnchor"/>
          <w:rtl w:val="true"/>
        </w:rPr>
        <w:footnoteReference w:id="2254"/>
      </w:r>
      <w:r>
        <w:rPr>
          <w:rFonts w:ascii="IRNazanin" w:hAnsi="IRNazanin" w:eastAsia="IRNazanin"/>
          <w:color w:val="111111"/>
          <w:sz w:val="28"/>
          <w:sz w:val="28"/>
          <w:szCs w:val="28"/>
          <w:rtl w:val="true"/>
          <w:lang w:bidi="fa-IR"/>
        </w:rPr>
        <w:t xml:space="preserve">نحو قرشبّ وهو المسنّ من الرجال ، وعلى فعللّ </w:t>
      </w:r>
      <w:r>
        <w:rPr>
          <w:rStyle w:val="FootnoteAnchor"/>
          <w:rtl w:val="true"/>
        </w:rPr>
        <w:footnoteReference w:id="2255"/>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طرطبّ وهو الثدي العظيم ، وأمّا الزيادتان في الرباعي فعلى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مفترقتين ومجتمعتين</w:t>
      </w:r>
      <w:r>
        <w:rPr>
          <w:rFonts w:eastAsia="Amiri" w:cs="Amiri" w:ascii="Amiri" w:hAnsi="Amiri"/>
          <w:color w:val="111111"/>
          <w:sz w:val="28"/>
          <w:szCs w:val="28"/>
          <w:rtl w:val="true"/>
          <w:lang w:bidi="ar-SA"/>
        </w:rPr>
        <w:t>.</w:t>
      </w:r>
    </w:p>
    <w:p>
      <w:pPr>
        <w:pStyle w:val="Heading5"/>
        <w:numPr>
          <w:ilvl w:val="4"/>
          <w:numId w:val="1"/>
        </w:numPr>
        <w:rPr/>
      </w:pPr>
      <w:bookmarkStart w:id="773" w:name="__RefHeading___Toc717092_996550957"/>
      <w:bookmarkStart w:id="774" w:name="_Toc287"/>
      <w:bookmarkEnd w:id="773"/>
      <w:r>
        <w:rPr>
          <w:rtl w:val="true"/>
        </w:rPr>
        <w:t>ذكر الزيادتين المفترقتين</w:t>
      </w:r>
      <w:bookmarkEnd w:id="774"/>
    </w:p>
    <w:p>
      <w:pPr>
        <w:pStyle w:val="BookText"/>
        <w:rPr/>
      </w:pPr>
      <w:r>
        <w:rPr>
          <w:rStyle w:val="FootnoteAnchor"/>
          <w:rtl w:val="true"/>
        </w:rPr>
        <w:footnoteReference w:id="22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وتقعان في الرباعي على أوجه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تقع الأولى بين العين واللّام الأولى ، وتقع الثانية أخيرا بعد اللّام الثانية بحيث تفصل </w:t>
      </w:r>
      <w:r>
        <w:rPr>
          <w:rStyle w:val="FootnoteAnchor"/>
          <w:rtl w:val="true"/>
        </w:rPr>
        <w:footnoteReference w:id="2257"/>
      </w:r>
      <w:r>
        <w:rPr>
          <w:rFonts w:ascii="Amiri" w:hAnsi="Amiri" w:eastAsia="Amiri" w:cs="Amiri"/>
          <w:color w:val="111111"/>
          <w:sz w:val="28"/>
          <w:sz w:val="28"/>
          <w:szCs w:val="28"/>
          <w:rtl w:val="true"/>
          <w:lang w:bidi="ar-SA"/>
        </w:rPr>
        <w:t xml:space="preserve">اللّامان بين الزيادتين ، فمن ذلك أن تكون الأولى واوا والثانية ألفا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حبوكرى من أسماء الداهية على فعوللى </w:t>
      </w:r>
      <w:r>
        <w:rPr>
          <w:rStyle w:val="FootnoteAnchor"/>
          <w:rtl w:val="true"/>
        </w:rPr>
        <w:footnoteReference w:id="2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تقع الأولى بين الفاء والعين ، والثانية بين اللّامين بحيث تفصل العين واللّام الأولى بين الزيادتين ، فمنه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الأولى ياء والثانية واوا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خيتعور وهو كلّ شيء لا يدوم على حالة واحدة كالسّراب ووزنه فيعلول </w:t>
      </w:r>
      <w:r>
        <w:rPr>
          <w:rStyle w:val="FootnoteAnchor"/>
          <w:rtl w:val="true"/>
        </w:rPr>
        <w:footnoteReference w:id="2259"/>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الأولى نونا والثانية واوا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منجنون </w:t>
      </w:r>
      <w:r>
        <w:rPr>
          <w:rStyle w:val="FootnoteAnchor"/>
          <w:rtl w:val="true"/>
        </w:rPr>
        <w:footnoteReference w:id="2260"/>
      </w:r>
      <w:r>
        <w:rPr>
          <w:rFonts w:ascii="IRNazanin" w:hAnsi="IRNazanin" w:eastAsia="IRNazanin"/>
          <w:color w:val="111111"/>
          <w:sz w:val="28"/>
          <w:sz w:val="28"/>
          <w:szCs w:val="28"/>
          <w:rtl w:val="true"/>
          <w:lang w:bidi="fa-IR"/>
        </w:rPr>
        <w:t xml:space="preserve">ووزنه فنعلول </w:t>
      </w:r>
      <w:r>
        <w:rPr>
          <w:rStyle w:val="FootnoteAnchor"/>
          <w:rtl w:val="true"/>
        </w:rPr>
        <w:footnoteReference w:id="2261"/>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تقع الأولى بين العين واللّام ، والثانية بين اللّامين بحيث تصير اللّام الأولى فاصلة بين الزيادتين ، فمنه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الأولى ألفا والثانية ياء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كنابيل </w:t>
      </w:r>
      <w:r>
        <w:rPr>
          <w:rStyle w:val="FootnoteAnchor"/>
          <w:rtl w:val="true"/>
        </w:rPr>
        <w:footnoteReference w:id="2262"/>
      </w:r>
      <w:bookmarkStart w:id="775" w:name="pg14482_156371"/>
    </w:p>
    <w:p>
      <w:pPr>
        <w:pStyle w:val="BookText"/>
        <w:rPr/>
      </w:pPr>
      <w:bookmarkEnd w:id="775"/>
      <w:r>
        <w:rPr>
          <w:rFonts w:ascii="Amiri" w:hAnsi="Amiri" w:eastAsia="Amiri" w:cs="Amiri"/>
          <w:color w:val="111111"/>
          <w:sz w:val="28"/>
          <w:sz w:val="28"/>
          <w:szCs w:val="28"/>
          <w:rtl w:val="true"/>
          <w:lang w:bidi="ar-SA"/>
        </w:rPr>
        <w:t xml:space="preserve">على وزن فعاليل ، وهو من أسماء الأرض ، ومنه أن تكون الأولى نونا والثانية ألفا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جحنبار </w:t>
      </w:r>
      <w:r>
        <w:rPr>
          <w:rStyle w:val="FootnoteAnchor"/>
          <w:rtl w:val="true"/>
        </w:rPr>
        <w:footnoteReference w:id="2263"/>
      </w:r>
      <w:r>
        <w:rPr>
          <w:rFonts w:ascii="Amiri" w:hAnsi="Amiri" w:eastAsia="Amiri" w:cs="Amiri"/>
          <w:color w:val="111111"/>
          <w:sz w:val="28"/>
          <w:sz w:val="28"/>
          <w:szCs w:val="28"/>
          <w:rtl w:val="true"/>
          <w:lang w:bidi="ar-SA"/>
        </w:rPr>
        <w:t>وهو القصير على وزن فعنلال</w:t>
      </w:r>
      <w:r>
        <w:rPr>
          <w:rFonts w:eastAsia="Amiri" w:cs="Amiri" w:ascii="Amiri" w:hAnsi="Amiri"/>
          <w:color w:val="111111"/>
          <w:sz w:val="28"/>
          <w:szCs w:val="28"/>
          <w:rtl w:val="true"/>
          <w:lang w:bidi="ar-SA"/>
        </w:rPr>
        <w:t>.</w:t>
      </w:r>
    </w:p>
    <w:p>
      <w:pPr>
        <w:pStyle w:val="Heading5"/>
        <w:numPr>
          <w:ilvl w:val="4"/>
          <w:numId w:val="1"/>
        </w:numPr>
        <w:rPr/>
      </w:pPr>
      <w:bookmarkStart w:id="776" w:name="__RefHeading___Toc717094_996550957"/>
      <w:bookmarkStart w:id="777" w:name="_Toc288"/>
      <w:bookmarkEnd w:id="776"/>
      <w:r>
        <w:rPr>
          <w:rtl w:val="true"/>
        </w:rPr>
        <w:t>ذكر الزيادتين المجتمعتين</w:t>
      </w:r>
      <w:bookmarkEnd w:id="777"/>
    </w:p>
    <w:p>
      <w:pPr>
        <w:pStyle w:val="BookText"/>
        <w:rPr/>
      </w:pPr>
      <w:r>
        <w:rPr>
          <w:rStyle w:val="FootnoteAnchor"/>
          <w:rtl w:val="true"/>
        </w:rPr>
        <w:footnoteReference w:id="22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وتقعان في الرباعي على أوجه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تقعا مجتمعتين بين اللّامين ، فمنه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الأولى واوا والثانية ياء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قندويل وهو الجمل </w:t>
      </w:r>
      <w:r>
        <w:rPr>
          <w:rStyle w:val="FootnoteAnchor"/>
          <w:rtl w:val="true"/>
        </w:rPr>
        <w:footnoteReference w:id="2265"/>
      </w:r>
      <w:r>
        <w:rPr>
          <w:rFonts w:ascii="Amiri" w:hAnsi="Amiri" w:eastAsia="Amiri" w:cs="Amiri"/>
          <w:color w:val="111111"/>
          <w:sz w:val="28"/>
          <w:sz w:val="28"/>
          <w:szCs w:val="28"/>
          <w:rtl w:val="true"/>
          <w:lang w:bidi="ar-SA"/>
        </w:rPr>
        <w:t xml:space="preserve">العظيم الرأس ووزن فعلويل </w:t>
      </w:r>
      <w:r>
        <w:rPr>
          <w:rStyle w:val="FootnoteAnchor"/>
          <w:rtl w:val="true"/>
        </w:rPr>
        <w:footnoteReference w:id="2266"/>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تقعا طرفا بعد اللّام الثانية ، فمنه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الأولى واوا والثانية هاء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قمحدوة وهي خلف الرأس ووزنها فعلّوة </w:t>
      </w:r>
      <w:r>
        <w:rPr>
          <w:rStyle w:val="FootnoteAnchor"/>
          <w:rtl w:val="true"/>
        </w:rPr>
        <w:footnoteReference w:id="2267"/>
      </w:r>
      <w:r>
        <w:rPr>
          <w:rFonts w:ascii="Amiri" w:hAnsi="Amiri" w:eastAsia="Amiri" w:cs="Amiri"/>
          <w:color w:val="111111"/>
          <w:sz w:val="28"/>
          <w:sz w:val="28"/>
          <w:szCs w:val="28"/>
          <w:rtl w:val="true"/>
          <w:lang w:bidi="ar-SA"/>
        </w:rPr>
        <w:t xml:space="preserve">وزعم الجوهري أنّ الميم هي الزائدة </w:t>
      </w:r>
      <w:r>
        <w:rPr>
          <w:rStyle w:val="FootnoteAnchor"/>
          <w:rtl w:val="true"/>
        </w:rPr>
        <w:footnoteReference w:id="2268"/>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الأولى ياء والثانية هاء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سلحفية </w:t>
      </w:r>
      <w:r>
        <w:rPr>
          <w:rStyle w:val="FootnoteAnchor"/>
          <w:rtl w:val="true"/>
        </w:rPr>
        <w:footnoteReference w:id="2269"/>
      </w:r>
      <w:r>
        <w:rPr>
          <w:rFonts w:ascii="Amiri" w:hAnsi="Amiri" w:eastAsia="Amiri" w:cs="Amiri"/>
          <w:color w:val="111111"/>
          <w:sz w:val="28"/>
          <w:sz w:val="28"/>
          <w:szCs w:val="28"/>
          <w:rtl w:val="true"/>
          <w:lang w:bidi="ar-SA"/>
        </w:rPr>
        <w:t xml:space="preserve">،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الأولى واوا والثانية تاء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عنكبوت ووزنه فعللوت </w:t>
      </w:r>
      <w:r>
        <w:rPr>
          <w:rStyle w:val="FootnoteAnchor"/>
          <w:rtl w:val="true"/>
        </w:rPr>
        <w:footnoteReference w:id="2270"/>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الأولى ياء والثانية لاما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عرطليل </w:t>
      </w:r>
      <w:r>
        <w:rPr>
          <w:rStyle w:val="FootnoteAnchor"/>
          <w:rtl w:val="true"/>
        </w:rPr>
        <w:footnoteReference w:id="2271"/>
      </w:r>
      <w:r>
        <w:rPr>
          <w:rFonts w:ascii="Amiri" w:hAnsi="Amiri" w:eastAsia="Amiri" w:cs="Amiri"/>
          <w:color w:val="111111"/>
          <w:sz w:val="28"/>
          <w:sz w:val="28"/>
          <w:szCs w:val="28"/>
          <w:rtl w:val="true"/>
          <w:lang w:bidi="ar-SA"/>
        </w:rPr>
        <w:t xml:space="preserve">وهو الطويل والزائد الياء واللّام الأخيرة لأنّها مضاعفة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التأنيث الممدودة وألف المدّ قبلها على فعللاء </w:t>
      </w:r>
      <w:r>
        <w:rPr>
          <w:rStyle w:val="FootnoteAnchor"/>
          <w:rtl w:val="true"/>
        </w:rPr>
        <w:footnoteReference w:id="2272"/>
      </w:r>
      <w:r>
        <w:rPr>
          <w:rFonts w:ascii="Amiri" w:hAnsi="Amiri" w:eastAsia="Amiri" w:cs="Amiri"/>
          <w:color w:val="111111"/>
          <w:sz w:val="28"/>
          <w:sz w:val="28"/>
          <w:szCs w:val="28"/>
          <w:rtl w:val="true"/>
          <w:lang w:bidi="ar-SA"/>
        </w:rPr>
        <w:t xml:space="preserve">بالفتح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عقرباء وهي </w:t>
      </w:r>
      <w:r>
        <w:rPr>
          <w:rStyle w:val="FootnoteAnchor"/>
          <w:rtl w:val="true"/>
        </w:rPr>
        <w:footnoteReference w:id="2273"/>
      </w:r>
      <w:r>
        <w:rPr>
          <w:rFonts w:ascii="IRNazanin" w:hAnsi="IRNazanin" w:eastAsia="IRNazanin"/>
          <w:color w:val="111111"/>
          <w:sz w:val="28"/>
          <w:sz w:val="28"/>
          <w:szCs w:val="28"/>
          <w:rtl w:val="true"/>
          <w:lang w:bidi="fa-IR"/>
        </w:rPr>
        <w:t xml:space="preserve">اسم بلد </w:t>
      </w:r>
      <w:r>
        <w:rPr>
          <w:rStyle w:val="FootnoteAnchor"/>
          <w:rtl w:val="true"/>
        </w:rPr>
        <w:footnoteReference w:id="2274"/>
      </w:r>
      <w:r>
        <w:rPr>
          <w:rFonts w:ascii="Amiri" w:hAnsi="Amiri" w:eastAsia="Amiri" w:cs="Amiri"/>
          <w:color w:val="111111"/>
          <w:sz w:val="28"/>
          <w:sz w:val="28"/>
          <w:szCs w:val="28"/>
          <w:rtl w:val="true"/>
          <w:lang w:bidi="ar-SA"/>
        </w:rPr>
        <w:t xml:space="preserve">وعلى فعللاء بالكسر </w:t>
      </w:r>
      <w:r>
        <w:rPr>
          <w:rStyle w:val="FootnoteAnchor"/>
          <w:rtl w:val="true"/>
        </w:rPr>
        <w:footnoteReference w:id="2275"/>
      </w:r>
      <w:bookmarkStart w:id="778" w:name="pg14482_156372"/>
    </w:p>
    <w:p>
      <w:pPr>
        <w:pStyle w:val="BookText"/>
        <w:rPr/>
      </w:pPr>
      <w:bookmarkEnd w:id="778"/>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هندباء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الأولى ألفا والثانية نونا ، على فعللان </w:t>
      </w:r>
      <w:r>
        <w:rPr>
          <w:rStyle w:val="FootnoteAnchor"/>
          <w:rtl w:val="true"/>
        </w:rPr>
        <w:footnoteReference w:id="2276"/>
      </w:r>
      <w:r>
        <w:rPr>
          <w:rFonts w:ascii="Amiri" w:hAnsi="Amiri" w:eastAsia="Amiri" w:cs="Amiri"/>
          <w:color w:val="111111"/>
          <w:sz w:val="28"/>
          <w:sz w:val="28"/>
          <w:szCs w:val="28"/>
          <w:rtl w:val="true"/>
          <w:lang w:bidi="ar-SA"/>
        </w:rPr>
        <w:t xml:space="preserve">بالفتح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شعشعان وهو الطويل وعلى فعللان بالضمّ </w:t>
      </w:r>
      <w:r>
        <w:rPr>
          <w:rStyle w:val="FootnoteAnchor"/>
          <w:rtl w:val="true"/>
        </w:rPr>
        <w:footnoteReference w:id="2277"/>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عقربان </w:t>
      </w:r>
      <w:r>
        <w:rPr>
          <w:rStyle w:val="FootnoteAnchor"/>
          <w:rtl w:val="true"/>
        </w:rPr>
        <w:footnoteReference w:id="2278"/>
      </w:r>
      <w:r>
        <w:rPr>
          <w:rFonts w:ascii="Amiri" w:hAnsi="Amiri" w:eastAsia="Amiri" w:cs="Amiri"/>
          <w:color w:val="111111"/>
          <w:sz w:val="28"/>
          <w:sz w:val="28"/>
          <w:szCs w:val="28"/>
          <w:rtl w:val="true"/>
          <w:lang w:bidi="ar-SA"/>
        </w:rPr>
        <w:t xml:space="preserve">في الاسم ، وقردمان في الصفة وهو القباء </w:t>
      </w:r>
      <w:r>
        <w:rPr>
          <w:rStyle w:val="FootnoteAnchor"/>
          <w:rtl w:val="true"/>
        </w:rPr>
        <w:footnoteReference w:id="2279"/>
      </w:r>
      <w:r>
        <w:rPr>
          <w:rFonts w:ascii="Amiri" w:hAnsi="Amiri" w:eastAsia="Amiri" w:cs="Amiri"/>
          <w:color w:val="111111"/>
          <w:sz w:val="28"/>
          <w:sz w:val="28"/>
          <w:szCs w:val="28"/>
          <w:rtl w:val="true"/>
          <w:lang w:bidi="ar-SA"/>
        </w:rPr>
        <w:t xml:space="preserve">المحشوّ كالكبر </w:t>
      </w:r>
      <w:r>
        <w:rPr>
          <w:rStyle w:val="FootnoteAnchor"/>
          <w:rtl w:val="true"/>
        </w:rPr>
        <w:footnoteReference w:id="2280"/>
      </w:r>
      <w:r>
        <w:rPr>
          <w:rFonts w:ascii="Amiri" w:hAnsi="Amiri" w:eastAsia="Amiri" w:cs="Amiri"/>
          <w:color w:val="111111"/>
          <w:sz w:val="28"/>
          <w:sz w:val="28"/>
          <w:szCs w:val="28"/>
          <w:rtl w:val="true"/>
          <w:lang w:bidi="ar-SA"/>
        </w:rPr>
        <w:t xml:space="preserve">وعلى فعللان بالكسر </w:t>
      </w:r>
      <w:r>
        <w:rPr>
          <w:rStyle w:val="FootnoteAnchor"/>
          <w:rtl w:val="true"/>
        </w:rPr>
        <w:footnoteReference w:id="2281"/>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حندمان اسم قبيلة </w:t>
      </w:r>
      <w:r>
        <w:rPr>
          <w:rStyle w:val="FootnoteAnchor"/>
          <w:rtl w:val="true"/>
        </w:rPr>
        <w:footnoteReference w:id="2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تقع الزيادتان بين اللّامين ، فمنه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الأولى ميما مدغما فيها والثانية ألفا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طرمّاح </w:t>
      </w:r>
      <w:r>
        <w:rPr>
          <w:rStyle w:val="FootnoteAnchor"/>
          <w:rtl w:val="true"/>
        </w:rPr>
        <w:footnoteReference w:id="2283"/>
      </w:r>
      <w:r>
        <w:rPr>
          <w:rFonts w:ascii="Amiri" w:hAnsi="Amiri" w:eastAsia="Amiri" w:cs="Amiri"/>
          <w:color w:val="111111"/>
          <w:sz w:val="28"/>
          <w:sz w:val="28"/>
          <w:szCs w:val="28"/>
          <w:rtl w:val="true"/>
          <w:lang w:bidi="ar-SA"/>
        </w:rPr>
        <w:t xml:space="preserve">على فعلّال </w:t>
      </w:r>
      <w:r>
        <w:rPr>
          <w:rStyle w:val="FootnoteAnchor"/>
          <w:rtl w:val="true"/>
        </w:rPr>
        <w:footnoteReference w:id="2284"/>
      </w:r>
      <w:r>
        <w:rPr>
          <w:rFonts w:ascii="Amiri" w:hAnsi="Amiri" w:eastAsia="Amiri" w:cs="Amiri"/>
          <w:color w:val="111111"/>
          <w:sz w:val="28"/>
          <w:sz w:val="28"/>
          <w:szCs w:val="28"/>
          <w:rtl w:val="true"/>
          <w:lang w:bidi="ar-SA"/>
        </w:rPr>
        <w:t>الزيادة الأولى هي الميم المدغم فيها لأنّها مضاعفة والثانية الألف</w:t>
      </w:r>
      <w:r>
        <w:rPr>
          <w:rFonts w:eastAsia="Amiri" w:cs="Amiri" w:ascii="Amiri" w:hAnsi="Amiri"/>
          <w:color w:val="111111"/>
          <w:sz w:val="28"/>
          <w:szCs w:val="28"/>
          <w:rtl w:val="true"/>
          <w:lang w:bidi="ar-SA"/>
        </w:rPr>
        <w:t>.</w:t>
      </w:r>
    </w:p>
    <w:p>
      <w:pPr>
        <w:pStyle w:val="Heading5"/>
        <w:numPr>
          <w:ilvl w:val="4"/>
          <w:numId w:val="1"/>
        </w:numPr>
        <w:rPr/>
      </w:pPr>
      <w:bookmarkStart w:id="779" w:name="__RefHeading___Toc717096_996550957"/>
      <w:bookmarkStart w:id="780" w:name="_Toc289"/>
      <w:bookmarkEnd w:id="779"/>
      <w:r>
        <w:rPr>
          <w:rtl w:val="true"/>
        </w:rPr>
        <w:t>ذكر الزيادات الثلاث في الرباعي</w:t>
      </w:r>
      <w:bookmarkEnd w:id="780"/>
    </w:p>
    <w:p>
      <w:pPr>
        <w:pStyle w:val="BookText"/>
        <w:rPr/>
      </w:pPr>
      <w:r>
        <w:rPr>
          <w:rStyle w:val="FootnoteAnchor"/>
          <w:rtl w:val="true"/>
        </w:rPr>
        <w:footnoteReference w:id="22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غاية زيادة الرباعي وتقعن فيه على أوجه </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تقع فيه واحدة بين العين واللّام وثنتان آخرا فمنه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الأولى واوا والأخيرتان ألفا ونونا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عبوثران </w:t>
      </w:r>
      <w:r>
        <w:rPr>
          <w:rStyle w:val="FootnoteAnchor"/>
          <w:rtl w:val="true"/>
        </w:rPr>
        <w:footnoteReference w:id="2286"/>
      </w:r>
      <w:r>
        <w:rPr>
          <w:rFonts w:ascii="IRNazanin" w:hAnsi="IRNazanin" w:eastAsia="IRNazanin"/>
          <w:color w:val="111111"/>
          <w:sz w:val="28"/>
          <w:sz w:val="28"/>
          <w:szCs w:val="28"/>
          <w:rtl w:val="true"/>
          <w:lang w:bidi="fa-IR"/>
        </w:rPr>
        <w:t xml:space="preserve">على فعوللان </w:t>
      </w:r>
      <w:r>
        <w:rPr>
          <w:rStyle w:val="FootnoteAnchor"/>
          <w:rtl w:val="true"/>
        </w:rPr>
        <w:footnoteReference w:id="2287"/>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الأولى ياء والأخريان ألفا ونونا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عبيثران لغة في عبوثران </w:t>
      </w:r>
      <w:r>
        <w:rPr>
          <w:rStyle w:val="FootnoteAnchor"/>
          <w:rtl w:val="true"/>
        </w:rPr>
        <w:footnoteReference w:id="2288"/>
      </w:r>
      <w:r>
        <w:rPr>
          <w:rFonts w:ascii="IRNazanin" w:hAnsi="IRNazanin" w:eastAsia="IRNazanin"/>
          <w:color w:val="111111"/>
          <w:sz w:val="28"/>
          <w:sz w:val="28"/>
          <w:szCs w:val="28"/>
          <w:rtl w:val="true"/>
          <w:lang w:bidi="fa-IR"/>
        </w:rPr>
        <w:t xml:space="preserve">ونحو </w:t>
      </w:r>
      <w:bookmarkStart w:id="781" w:name="pg14482_156373"/>
    </w:p>
    <w:p>
      <w:pPr>
        <w:pStyle w:val="BookText"/>
        <w:rPr/>
      </w:pPr>
      <w:bookmarkEnd w:id="781"/>
      <w:r>
        <w:rPr>
          <w:rFonts w:ascii="Amiri" w:hAnsi="Amiri" w:eastAsia="Amiri" w:cs="Amiri"/>
          <w:color w:val="111111"/>
          <w:sz w:val="28"/>
          <w:sz w:val="28"/>
          <w:szCs w:val="28"/>
          <w:rtl w:val="true"/>
          <w:lang w:bidi="ar-SA"/>
        </w:rPr>
        <w:t xml:space="preserve">عريقصان ، اسم نبت على فعيللان </w:t>
      </w:r>
      <w:r>
        <w:rPr>
          <w:rStyle w:val="FootnoteAnchor"/>
          <w:rtl w:val="true"/>
        </w:rPr>
        <w:footnoteReference w:id="2289"/>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الأولى ألفا والأخيرتان ألفا وهمزة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جخادباء على فعاللاء </w:t>
      </w:r>
      <w:r>
        <w:rPr>
          <w:rStyle w:val="FootnoteAnchor"/>
          <w:rtl w:val="true"/>
        </w:rPr>
        <w:footnoteReference w:id="2290"/>
      </w:r>
      <w:r>
        <w:rPr>
          <w:rFonts w:ascii="IRNazanin" w:hAnsi="IRNazanin" w:eastAsia="IRNazanin"/>
          <w:color w:val="111111"/>
          <w:sz w:val="28"/>
          <w:sz w:val="28"/>
          <w:szCs w:val="28"/>
          <w:rtl w:val="true"/>
          <w:lang w:bidi="fa-IR"/>
        </w:rPr>
        <w:t xml:space="preserve">وهو ضرب من الجراد </w:t>
      </w:r>
      <w:r>
        <w:rPr>
          <w:rStyle w:val="FootnoteAnchor"/>
          <w:rtl w:val="true"/>
        </w:rPr>
        <w:footnoteReference w:id="2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الأولى بين اللّامين والأخريان آخرا ، فمنه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الأولى ألفا والأخريان ألفا وهمزة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برناساء وهو النّاس على فعلالاء </w:t>
      </w:r>
      <w:r>
        <w:rPr>
          <w:rStyle w:val="FootnoteAnchor"/>
          <w:rtl w:val="true"/>
        </w:rPr>
        <w:footnoteReference w:id="2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تقع الثلاث مجتمعات في الآخر ، فمنه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الأولى باء والثانية ألفا والثالثة نونا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عقربّان بتشديد الباء لغة في عقربان المخفّف ووزن عقربّان فعللّان </w:t>
      </w:r>
      <w:r>
        <w:rPr>
          <w:rStyle w:val="FootnoteAnchor"/>
          <w:rtl w:val="true"/>
        </w:rPr>
        <w:footnoteReference w:id="2293"/>
      </w:r>
      <w:r>
        <w:rPr>
          <w:rFonts w:ascii="Amiri" w:hAnsi="Amiri" w:eastAsia="Amiri" w:cs="Amiri"/>
          <w:color w:val="111111"/>
          <w:sz w:val="28"/>
          <w:sz w:val="28"/>
          <w:szCs w:val="28"/>
          <w:rtl w:val="true"/>
          <w:lang w:bidi="ar-SA"/>
        </w:rPr>
        <w:t>بضمّ الفاء وسكون العين وضمّ اللّام الأولى وتضعيف اللّام الثانية ، وزوائده الباء الثانية للتضعيف والألف والنون</w:t>
      </w:r>
      <w:r>
        <w:rPr>
          <w:rFonts w:eastAsia="Amiri" w:cs="Amiri" w:ascii="Amiri" w:hAnsi="Amiri"/>
          <w:color w:val="111111"/>
          <w:sz w:val="28"/>
          <w:szCs w:val="28"/>
          <w:rtl w:val="true"/>
          <w:lang w:bidi="ar-SA"/>
        </w:rPr>
        <w:t>.</w:t>
      </w:r>
    </w:p>
    <w:p>
      <w:pPr>
        <w:pStyle w:val="Heading5"/>
        <w:numPr>
          <w:ilvl w:val="4"/>
          <w:numId w:val="1"/>
        </w:numPr>
        <w:rPr/>
      </w:pPr>
      <w:bookmarkStart w:id="782" w:name="__RefHeading___Toc717098_996550957"/>
      <w:bookmarkStart w:id="783" w:name="_Toc290"/>
      <w:bookmarkEnd w:id="782"/>
      <w:r>
        <w:rPr>
          <w:rtl w:val="true"/>
        </w:rPr>
        <w:t>ذكر أبنية الاسم الخماسي المزيد فيه</w:t>
      </w:r>
      <w:bookmarkEnd w:id="783"/>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2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تكون </w:t>
      </w:r>
      <w:r>
        <w:rPr>
          <w:rStyle w:val="FootnoteAnchor"/>
          <w:rtl w:val="true"/>
        </w:rPr>
        <w:footnoteReference w:id="2295"/>
      </w:r>
      <w:r>
        <w:rPr>
          <w:rFonts w:ascii="Amiri" w:hAnsi="Amiri" w:eastAsia="Amiri" w:cs="Amiri"/>
          <w:color w:val="111111"/>
          <w:sz w:val="28"/>
          <w:sz w:val="28"/>
          <w:szCs w:val="28"/>
          <w:rtl w:val="true"/>
          <w:lang w:bidi="ar-SA"/>
        </w:rPr>
        <w:t xml:space="preserve">زيادته إلّا واحدة ، إمّا ياء أو واوا أو ألفا ومحلّها بين اللّام الثانية والثّالثة ، أمّا الياء فجاءت في مثالين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خندريس </w:t>
      </w:r>
      <w:r>
        <w:rPr>
          <w:rStyle w:val="FootnoteAnchor"/>
          <w:rtl w:val="true"/>
        </w:rPr>
        <w:footnoteReference w:id="2296"/>
      </w:r>
      <w:r>
        <w:rPr>
          <w:rFonts w:ascii="Amiri" w:hAnsi="Amiri" w:eastAsia="Amiri" w:cs="Amiri"/>
          <w:color w:val="111111"/>
          <w:sz w:val="28"/>
          <w:sz w:val="28"/>
          <w:szCs w:val="28"/>
          <w:rtl w:val="true"/>
          <w:lang w:bidi="ar-SA"/>
        </w:rPr>
        <w:t xml:space="preserve">على فعلليل </w:t>
      </w:r>
      <w:r>
        <w:rPr>
          <w:rStyle w:val="FootnoteAnchor"/>
          <w:rtl w:val="true"/>
        </w:rPr>
        <w:footnoteReference w:id="2297"/>
      </w:r>
      <w:r>
        <w:rPr>
          <w:rFonts w:ascii="Amiri" w:hAnsi="Amiri" w:eastAsia="Amiri" w:cs="Amiri"/>
          <w:color w:val="111111"/>
          <w:sz w:val="28"/>
          <w:sz w:val="28"/>
          <w:szCs w:val="28"/>
          <w:rtl w:val="true"/>
          <w:lang w:bidi="ar-SA"/>
        </w:rPr>
        <w:t xml:space="preserve">وخزعبيل وهو الأباطيل على فعلّيل </w:t>
      </w:r>
      <w:r>
        <w:rPr>
          <w:rStyle w:val="FootnoteAnchor"/>
          <w:rtl w:val="true"/>
        </w:rPr>
        <w:footnoteReference w:id="2298"/>
      </w:r>
      <w:r>
        <w:rPr>
          <w:rFonts w:ascii="Amiri" w:hAnsi="Amiri" w:eastAsia="Amiri" w:cs="Amiri"/>
          <w:color w:val="111111"/>
          <w:sz w:val="28"/>
          <w:sz w:val="28"/>
          <w:szCs w:val="28"/>
          <w:rtl w:val="true"/>
          <w:lang w:bidi="ar-SA"/>
        </w:rPr>
        <w:t xml:space="preserve">وأمّا الواو ففي مثالين أيضا عضرفوط على فعللول </w:t>
      </w:r>
      <w:r>
        <w:rPr>
          <w:rStyle w:val="FootnoteAnchor"/>
          <w:rtl w:val="true"/>
        </w:rPr>
        <w:footnoteReference w:id="2299"/>
      </w:r>
      <w:r>
        <w:rPr>
          <w:rFonts w:ascii="Amiri" w:hAnsi="Amiri" w:eastAsia="Amiri" w:cs="Amiri"/>
          <w:color w:val="111111"/>
          <w:sz w:val="28"/>
          <w:sz w:val="28"/>
          <w:szCs w:val="28"/>
          <w:rtl w:val="true"/>
          <w:lang w:bidi="ar-SA"/>
        </w:rPr>
        <w:t xml:space="preserve">وهو ذكر العظاء ، ويستعور اسم بلد بالحجاز </w:t>
      </w:r>
      <w:r>
        <w:rPr>
          <w:rStyle w:val="FootnoteAnchor"/>
          <w:rtl w:val="true"/>
        </w:rPr>
        <w:footnoteReference w:id="2300"/>
      </w:r>
      <w:r>
        <w:rPr>
          <w:rFonts w:ascii="Amiri" w:hAnsi="Amiri" w:eastAsia="Amiri" w:cs="Amiri"/>
          <w:color w:val="111111"/>
          <w:sz w:val="28"/>
          <w:sz w:val="28"/>
          <w:szCs w:val="28"/>
          <w:rtl w:val="true"/>
          <w:lang w:bidi="ar-SA"/>
        </w:rPr>
        <w:t xml:space="preserve">وهو بوزن عضرفوط وحكموا بأصالة ياء يستعور لكونه غير جار على الفعل ، لأنّ الزّيادة لا تلحق أوّل بنات الأربعة إلّا أن </w:t>
      </w:r>
    </w:p>
    <w:p>
      <w:pPr>
        <w:pStyle w:val="BookText"/>
        <w:rPr/>
      </w:pPr>
      <w:r>
        <w:rPr>
          <w:rFonts w:ascii="Amiri" w:hAnsi="Amiri" w:eastAsia="Amiri" w:cs="Amiri"/>
          <w:color w:val="111111"/>
          <w:sz w:val="28"/>
          <w:sz w:val="28"/>
          <w:szCs w:val="28"/>
          <w:rtl w:val="true"/>
          <w:lang w:bidi="ar-SA"/>
        </w:rPr>
        <w:t xml:space="preserve">يكون جاريا على الفعل فتعيّنت الواو للزيادة ، ومثلهما زنة قرطبوس </w:t>
      </w:r>
      <w:r>
        <w:rPr>
          <w:rStyle w:val="FootnoteAnchor"/>
          <w:rtl w:val="true"/>
        </w:rPr>
        <w:footnoteReference w:id="2301"/>
      </w:r>
      <w:r>
        <w:rPr>
          <w:rFonts w:ascii="IRNazanin" w:hAnsi="IRNazanin" w:eastAsia="IRNazanin"/>
          <w:color w:val="111111"/>
          <w:sz w:val="28"/>
          <w:sz w:val="28"/>
          <w:szCs w:val="28"/>
          <w:rtl w:val="true"/>
          <w:lang w:bidi="fa-IR"/>
        </w:rPr>
        <w:t xml:space="preserve">وأمّا الألف فنحو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قبعثرى ووزنه فعلّلى </w:t>
      </w:r>
      <w:r>
        <w:rPr>
          <w:rStyle w:val="FootnoteAnchor"/>
          <w:rtl w:val="true"/>
        </w:rPr>
        <w:footnoteReference w:id="2302"/>
      </w:r>
      <w:r>
        <w:rPr>
          <w:rFonts w:ascii="Amiri" w:hAnsi="Amiri" w:eastAsia="Amiri" w:cs="Amiri"/>
          <w:color w:val="111111"/>
          <w:sz w:val="28"/>
          <w:sz w:val="28"/>
          <w:szCs w:val="28"/>
          <w:rtl w:val="true"/>
          <w:lang w:bidi="ar-SA"/>
        </w:rPr>
        <w:t>وهو الجمل الضخم الكثير الوبر ، وزيدت الألف آخرة لتكثير الكلمة وليست للتأنيث لأنه سمع منوّنا ، ولا للإلحاق لأنّه ليس في الأصول ما هو على هذه العدة ليلحق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قسم الاسم ولله الحمد والمنّة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بعونه تعالى ، تم الجزء الأول من كتاب الكناش</w:t>
      </w:r>
    </w:p>
    <w:p>
      <w:pPr>
        <w:pStyle w:val="BookText"/>
        <w:rPr/>
      </w:pPr>
      <w:r>
        <w:rPr>
          <w:rFonts w:ascii="Amiri" w:hAnsi="Amiri" w:eastAsia="Amiri" w:cs="Amiri"/>
          <w:color w:val="111111"/>
          <w:sz w:val="28"/>
          <w:sz w:val="28"/>
          <w:szCs w:val="28"/>
          <w:rtl w:val="true"/>
          <w:lang w:bidi="ar-SA"/>
        </w:rPr>
        <w:t>ويليه الجزء الثاني وأوله</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الثاني في الفعل</w:t>
      </w:r>
      <w:r>
        <w:rPr>
          <w:rFonts w:eastAsia="Amiri" w:cs="Amiri" w:ascii="Amiri" w:hAnsi="Amiri"/>
          <w:color w:val="111111"/>
          <w:sz w:val="28"/>
          <w:szCs w:val="28"/>
          <w:rtl w:val="true"/>
          <w:lang w:bidi="ar-SA"/>
        </w:rPr>
        <w:t>]</w:t>
      </w:r>
      <w:r>
        <w:rPr>
          <w:rStyle w:val="FootnoteAnchor"/>
          <w:rtl w:val="true"/>
        </w:rPr>
        <w:footnoteReference w:id="2303"/>
      </w:r>
      <w:bookmarkStart w:id="784" w:name="pg14482_156375"/>
    </w:p>
    <w:p>
      <w:pPr>
        <w:pStyle w:val="Heading2"/>
        <w:numPr>
          <w:ilvl w:val="1"/>
          <w:numId w:val="1"/>
        </w:numPr>
        <w:rPr/>
      </w:pPr>
      <w:bookmarkStart w:id="785" w:name="__RefHeading___Toc717100_996550957"/>
      <w:bookmarkStart w:id="786" w:name="_Toc291"/>
      <w:bookmarkEnd w:id="784"/>
      <w:bookmarkEnd w:id="785"/>
      <w:r>
        <w:rPr>
          <w:rtl w:val="true"/>
        </w:rPr>
        <w:t>فهرس موضوعات الجزء الأول</w:t>
      </w:r>
      <w:bookmarkEnd w:id="786"/>
    </w:p>
    <w:p>
      <w:pPr>
        <w:pStyle w:val="Heading3"/>
        <w:numPr>
          <w:ilvl w:val="2"/>
          <w:numId w:val="1"/>
        </w:numPr>
        <w:rPr/>
      </w:pPr>
      <w:bookmarkStart w:id="787" w:name="__RefHeading___Toc717102_996550957"/>
      <w:bookmarkStart w:id="788" w:name="_Toc292"/>
      <w:bookmarkEnd w:id="787"/>
      <w:r>
        <w:rPr>
          <w:rtl w:val="true"/>
        </w:rPr>
        <w:t>اشارة</w:t>
      </w:r>
      <w:bookmarkEnd w:id="788"/>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الرمز </w:t>
      </w:r>
      <w:r>
        <w:rPr>
          <w:rStyle w:val="FootnoteAnchor"/>
          <w:rtl w:val="true"/>
        </w:rPr>
        <w:footnoteReference w:id="2304"/>
      </w:r>
    </w:p>
    <w:p>
      <w:pPr>
        <w:pStyle w:val="BookText"/>
        <w:rPr/>
      </w:pPr>
      <w:r>
        <w:rPr>
          <w:rFonts w:ascii="Amiri" w:hAnsi="Amiri" w:eastAsia="Amiri" w:cs="Amiri"/>
          <w:color w:val="111111"/>
          <w:sz w:val="28"/>
          <w:sz w:val="28"/>
          <w:szCs w:val="28"/>
          <w:rtl w:val="true"/>
          <w:lang w:bidi="ar-SA"/>
        </w:rPr>
        <w:t>المقدمة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الباب الأول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الدراسة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108</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9" w:name="__RefHeading___Toc717104_996550957"/>
      <w:bookmarkStart w:id="790" w:name="_Toc293"/>
      <w:bookmarkEnd w:id="789"/>
      <w:r>
        <w:rPr>
          <w:rtl w:val="true"/>
        </w:rPr>
        <w:t>القسم الأول</w:t>
      </w:r>
      <w:bookmarkEnd w:id="790"/>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المؤلف وأسرته وإمارته على مدينة</w:t>
      </w:r>
    </w:p>
    <w:p>
      <w:pPr>
        <w:pStyle w:val="BookText"/>
        <w:rPr/>
      </w:pPr>
      <w:r>
        <w:rPr>
          <w:rFonts w:ascii="Amiri" w:hAnsi="Amiri" w:eastAsia="Amiri" w:cs="Amiri"/>
          <w:color w:val="111111"/>
          <w:sz w:val="28"/>
          <w:sz w:val="28"/>
          <w:szCs w:val="28"/>
          <w:rtl w:val="true"/>
          <w:lang w:bidi="ar-SA"/>
        </w:rPr>
        <w:t>حماة</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حياته العلمية</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الفصل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مصنفاته وشعره</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 أبي الفداء في الكناش</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الفصل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شواهده ومصادره</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 أبي الفداء النحوي وموقفه من</w:t>
      </w:r>
    </w:p>
    <w:p>
      <w:pPr>
        <w:pStyle w:val="BookText"/>
        <w:rPr/>
      </w:pPr>
      <w:r>
        <w:rPr>
          <w:rFonts w:ascii="Amiri" w:hAnsi="Amiri" w:eastAsia="Amiri" w:cs="Amiri"/>
          <w:color w:val="111111"/>
          <w:sz w:val="28"/>
          <w:sz w:val="28"/>
          <w:szCs w:val="28"/>
          <w:rtl w:val="true"/>
          <w:lang w:bidi="ar-SA"/>
        </w:rPr>
        <w:t>النحاة</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56</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1" w:name="__RefHeading___Toc717106_996550957"/>
      <w:bookmarkStart w:id="792" w:name="_Toc294"/>
      <w:bookmarkEnd w:id="791"/>
      <w:r>
        <w:rPr>
          <w:rtl w:val="true"/>
        </w:rPr>
        <w:t>القسم الثاني</w:t>
      </w:r>
      <w:bookmarkEnd w:id="792"/>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التعريف بعنوان الكتاب</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توثيق نسبة الكتاب</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النسخة</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 التحقيق</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قطر ، والنخبة المتميزة من</w:t>
      </w:r>
    </w:p>
    <w:p>
      <w:pPr>
        <w:pStyle w:val="BookText"/>
        <w:rPr/>
      </w:pPr>
      <w:r>
        <w:rPr>
          <w:rFonts w:ascii="Amiri" w:hAnsi="Amiri" w:eastAsia="Amiri" w:cs="Amiri"/>
          <w:color w:val="111111"/>
          <w:sz w:val="28"/>
          <w:sz w:val="28"/>
          <w:szCs w:val="28"/>
          <w:rtl w:val="true"/>
          <w:lang w:bidi="ar-SA"/>
        </w:rPr>
        <w:t>السّرّاق</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الباب الثاني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النص المحقق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خطبة الكتاب</w:t>
      </w:r>
    </w:p>
    <w:p>
      <w:pPr>
        <w:pStyle w:val="BookText"/>
        <w:rPr/>
      </w:pPr>
      <w:r>
        <w:rPr>
          <w:rFonts w:eastAsia="Times New Roman" w:cs="Times New Roman" w:ascii="Times New Roman" w:hAnsi="Times New Roman"/>
          <w:color w:val="111111"/>
          <w:sz w:val="28"/>
          <w:szCs w:val="28"/>
          <w:lang w:val="en-US" w:bidi="en-US"/>
        </w:rPr>
        <w:t>113</w:t>
      </w:r>
    </w:p>
    <w:p>
      <w:pPr>
        <w:pStyle w:val="BookText"/>
        <w:rPr/>
      </w:pPr>
      <w:r>
        <w:rPr>
          <w:rFonts w:ascii="Amiri" w:hAnsi="Amiri" w:eastAsia="Amiri" w:cs="Amiri"/>
          <w:color w:val="111111"/>
          <w:sz w:val="28"/>
          <w:sz w:val="28"/>
          <w:szCs w:val="28"/>
          <w:rtl w:val="true"/>
          <w:lang w:bidi="ar-SA"/>
        </w:rPr>
        <w:t xml:space="preserve">الكتاب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النحو</w:t>
      </w:r>
    </w:p>
    <w:p>
      <w:pPr>
        <w:pStyle w:val="BookText"/>
        <w:rPr/>
      </w:pPr>
      <w:r>
        <w:rPr>
          <w:rFonts w:eastAsia="Times New Roman" w:cs="Times New Roman" w:ascii="Times New Roman" w:hAnsi="Times New Roman"/>
          <w:color w:val="111111"/>
          <w:sz w:val="28"/>
          <w:szCs w:val="28"/>
          <w:lang w:val="en-US" w:bidi="en-US"/>
        </w:rPr>
        <w:t>114</w:t>
      </w:r>
    </w:p>
    <w:p>
      <w:pPr>
        <w:pStyle w:val="BookText"/>
        <w:rPr/>
      </w:pPr>
      <w:r>
        <w:rPr>
          <w:rFonts w:ascii="Amiri" w:hAnsi="Amiri" w:eastAsia="Amiri" w:cs="Amiri"/>
          <w:color w:val="111111"/>
          <w:sz w:val="28"/>
          <w:sz w:val="28"/>
          <w:szCs w:val="28"/>
          <w:rtl w:val="true"/>
          <w:lang w:bidi="ar-SA"/>
        </w:rPr>
        <w:t>ذكر الكلمة وأنواعها</w:t>
      </w:r>
    </w:p>
    <w:p>
      <w:pPr>
        <w:pStyle w:val="BookText"/>
        <w:rPr/>
      </w:pPr>
      <w:r>
        <w:rPr>
          <w:rFonts w:eastAsia="Times New Roman" w:cs="Times New Roman" w:ascii="Times New Roman" w:hAnsi="Times New Roman"/>
          <w:color w:val="111111"/>
          <w:sz w:val="28"/>
          <w:szCs w:val="28"/>
          <w:lang w:val="en-US" w:bidi="en-US"/>
        </w:rPr>
        <w:t>114</w:t>
      </w:r>
    </w:p>
    <w:p>
      <w:pPr>
        <w:pStyle w:val="BookText"/>
        <w:rPr/>
      </w:pP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ذكر الكلام</w:t>
      </w:r>
    </w:p>
    <w:p>
      <w:pPr>
        <w:pStyle w:val="BookText"/>
        <w:rPr/>
      </w:pPr>
      <w:r>
        <w:rPr>
          <w:rFonts w:eastAsia="Times New Roman" w:cs="Times New Roman" w:ascii="Times New Roman" w:hAnsi="Times New Roman"/>
          <w:color w:val="111111"/>
          <w:sz w:val="28"/>
          <w:szCs w:val="28"/>
          <w:lang w:val="en-US" w:bidi="en-US"/>
        </w:rPr>
        <w:t>115</w:t>
      </w:r>
    </w:p>
    <w:p>
      <w:pPr>
        <w:pStyle w:val="BookText"/>
        <w:rPr/>
      </w:pP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القسم الأول في الاسم</w:t>
      </w:r>
    </w:p>
    <w:p>
      <w:pPr>
        <w:pStyle w:val="BookText"/>
        <w:rPr/>
      </w:pPr>
      <w:r>
        <w:rPr>
          <w:rFonts w:eastAsia="Times New Roman" w:cs="Times New Roman" w:ascii="Times New Roman" w:hAnsi="Times New Roman"/>
          <w:color w:val="111111"/>
          <w:sz w:val="28"/>
          <w:szCs w:val="28"/>
          <w:lang w:val="en-US" w:bidi="en-US"/>
        </w:rPr>
        <w:t>116</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 </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الرمز</w:t>
      </w:r>
    </w:p>
    <w:p>
      <w:pPr>
        <w:pStyle w:val="BookText"/>
        <w:rPr/>
      </w:pPr>
      <w:r>
        <w:rPr>
          <w:rFonts w:ascii="Amiri" w:hAnsi="Amiri" w:eastAsia="Amiri" w:cs="Amiri"/>
          <w:color w:val="111111"/>
          <w:sz w:val="28"/>
          <w:sz w:val="28"/>
          <w:szCs w:val="28"/>
          <w:rtl w:val="true"/>
          <w:lang w:bidi="ar-SA"/>
        </w:rPr>
        <w:t>ذكر تقسيم آخر للاسم</w:t>
      </w:r>
    </w:p>
    <w:p>
      <w:pPr>
        <w:pStyle w:val="BookText"/>
        <w:rPr/>
      </w:pPr>
      <w:r>
        <w:rPr>
          <w:rFonts w:eastAsia="Times New Roman" w:cs="Times New Roman" w:ascii="Times New Roman" w:hAnsi="Times New Roman"/>
          <w:color w:val="111111"/>
          <w:sz w:val="28"/>
          <w:szCs w:val="28"/>
          <w:lang w:val="en-US" w:bidi="en-US"/>
        </w:rPr>
        <w:t>117</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ذكر تقسيم آخر للمعرب</w:t>
      </w:r>
    </w:p>
    <w:p>
      <w:pPr>
        <w:pStyle w:val="BookText"/>
        <w:rPr/>
      </w:pPr>
      <w:r>
        <w:rPr>
          <w:rFonts w:eastAsia="Times New Roman" w:cs="Times New Roman" w:ascii="Times New Roman" w:hAnsi="Times New Roman"/>
          <w:color w:val="111111"/>
          <w:sz w:val="28"/>
          <w:szCs w:val="28"/>
          <w:lang w:val="en-US" w:bidi="en-US"/>
        </w:rPr>
        <w:t>119</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ذكر إعراب الاسم المفرد والجمع المكسر المنصرفين</w:t>
      </w:r>
    </w:p>
    <w:p>
      <w:pPr>
        <w:pStyle w:val="BookText"/>
        <w:rPr/>
      </w:pPr>
      <w:r>
        <w:rPr>
          <w:rFonts w:eastAsia="Times New Roman" w:cs="Times New Roman" w:ascii="Times New Roman" w:hAnsi="Times New Roman"/>
          <w:color w:val="111111"/>
          <w:sz w:val="28"/>
          <w:szCs w:val="28"/>
          <w:lang w:val="en-US" w:bidi="en-US"/>
        </w:rPr>
        <w:t>119</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ذكر إعراب جمع المؤنث الصحيح</w:t>
      </w:r>
    </w:p>
    <w:p>
      <w:pPr>
        <w:pStyle w:val="BookText"/>
        <w:rPr/>
      </w:pPr>
      <w:r>
        <w:rPr>
          <w:rFonts w:eastAsia="Times New Roman" w:cs="Times New Roman" w:ascii="Times New Roman" w:hAnsi="Times New Roman"/>
          <w:color w:val="111111"/>
          <w:sz w:val="28"/>
          <w:szCs w:val="28"/>
          <w:lang w:val="en-US" w:bidi="en-US"/>
        </w:rPr>
        <w:t>119</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ذكر إعراب الاسم الغير المنصرف</w:t>
      </w:r>
    </w:p>
    <w:p>
      <w:pPr>
        <w:pStyle w:val="BookText"/>
        <w:rPr/>
      </w:pPr>
      <w:r>
        <w:rPr>
          <w:rFonts w:eastAsia="Times New Roman" w:cs="Times New Roman" w:ascii="Times New Roman" w:hAnsi="Times New Roman"/>
          <w:color w:val="111111"/>
          <w:sz w:val="28"/>
          <w:szCs w:val="28"/>
          <w:lang w:val="en-US" w:bidi="en-US"/>
        </w:rPr>
        <w:t>119</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ذكر إعراب الأسماء الستة</w:t>
      </w:r>
    </w:p>
    <w:p>
      <w:pPr>
        <w:pStyle w:val="BookText"/>
        <w:rPr/>
      </w:pPr>
      <w:r>
        <w:rPr>
          <w:rFonts w:eastAsia="Times New Roman" w:cs="Times New Roman" w:ascii="Times New Roman" w:hAnsi="Times New Roman"/>
          <w:color w:val="111111"/>
          <w:sz w:val="28"/>
          <w:szCs w:val="28"/>
          <w:lang w:val="en-US" w:bidi="en-US"/>
        </w:rPr>
        <w:t>120</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ذكر إعراب المثنى</w:t>
      </w:r>
    </w:p>
    <w:p>
      <w:pPr>
        <w:pStyle w:val="BookText"/>
        <w:rPr/>
      </w:pPr>
      <w:r>
        <w:rPr>
          <w:rFonts w:eastAsia="Times New Roman" w:cs="Times New Roman" w:ascii="Times New Roman" w:hAnsi="Times New Roman"/>
          <w:color w:val="111111"/>
          <w:sz w:val="28"/>
          <w:szCs w:val="28"/>
          <w:lang w:val="en-US" w:bidi="en-US"/>
        </w:rPr>
        <w:t>120</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ذكر إعراب الجمع السالم</w:t>
      </w:r>
    </w:p>
    <w:p>
      <w:pPr>
        <w:pStyle w:val="BookText"/>
        <w:rPr/>
      </w:pPr>
      <w:r>
        <w:rPr>
          <w:rFonts w:eastAsia="Times New Roman" w:cs="Times New Roman" w:ascii="Times New Roman" w:hAnsi="Times New Roman"/>
          <w:color w:val="111111"/>
          <w:sz w:val="28"/>
          <w:szCs w:val="28"/>
          <w:lang w:val="en-US" w:bidi="en-US"/>
        </w:rPr>
        <w:t>121</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ذكر الإعراب التقديري</w:t>
      </w:r>
    </w:p>
    <w:p>
      <w:pPr>
        <w:pStyle w:val="BookText"/>
        <w:rPr/>
      </w:pPr>
      <w:r>
        <w:rPr>
          <w:rFonts w:eastAsia="Times New Roman" w:cs="Times New Roman" w:ascii="Times New Roman" w:hAnsi="Times New Roman"/>
          <w:color w:val="111111"/>
          <w:sz w:val="28"/>
          <w:szCs w:val="28"/>
          <w:lang w:val="en-US" w:bidi="en-US"/>
        </w:rPr>
        <w:t>121</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ذكر ما لا ينصرف</w:t>
      </w:r>
    </w:p>
    <w:p>
      <w:pPr>
        <w:pStyle w:val="BookText"/>
        <w:rPr/>
      </w:pPr>
      <w:r>
        <w:rPr>
          <w:rFonts w:eastAsia="Times New Roman" w:cs="Times New Roman" w:ascii="Times New Roman" w:hAnsi="Times New Roman"/>
          <w:color w:val="111111"/>
          <w:sz w:val="28"/>
          <w:szCs w:val="28"/>
          <w:lang w:val="en-US" w:bidi="en-US"/>
        </w:rPr>
        <w:t>122</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ذكر العدل</w:t>
      </w:r>
    </w:p>
    <w:p>
      <w:pPr>
        <w:pStyle w:val="BookText"/>
        <w:rPr/>
      </w:pPr>
      <w:r>
        <w:rPr>
          <w:rFonts w:eastAsia="Times New Roman" w:cs="Times New Roman" w:ascii="Times New Roman" w:hAnsi="Times New Roman"/>
          <w:color w:val="111111"/>
          <w:sz w:val="28"/>
          <w:szCs w:val="28"/>
          <w:lang w:val="en-US" w:bidi="en-US"/>
        </w:rPr>
        <w:t>124</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ذكر التأنيث</w:t>
      </w:r>
    </w:p>
    <w:p>
      <w:pPr>
        <w:pStyle w:val="BookText"/>
        <w:rPr/>
      </w:pPr>
      <w:r>
        <w:rPr>
          <w:rFonts w:eastAsia="Times New Roman" w:cs="Times New Roman" w:ascii="Times New Roman" w:hAnsi="Times New Roman"/>
          <w:color w:val="111111"/>
          <w:sz w:val="28"/>
          <w:szCs w:val="28"/>
          <w:lang w:val="en-US" w:bidi="en-US"/>
        </w:rPr>
        <w:t>125</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ذكر الجمع</w:t>
      </w:r>
    </w:p>
    <w:p>
      <w:pPr>
        <w:pStyle w:val="BookText"/>
        <w:rPr/>
      </w:pPr>
      <w:r>
        <w:rPr>
          <w:rFonts w:eastAsia="Times New Roman" w:cs="Times New Roman" w:ascii="Times New Roman" w:hAnsi="Times New Roman"/>
          <w:color w:val="111111"/>
          <w:sz w:val="28"/>
          <w:szCs w:val="28"/>
          <w:lang w:val="en-US" w:bidi="en-US"/>
        </w:rPr>
        <w:t>127</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ذكر المعرفة</w:t>
      </w:r>
    </w:p>
    <w:p>
      <w:pPr>
        <w:pStyle w:val="BookText"/>
        <w:rPr/>
      </w:pPr>
      <w:r>
        <w:rPr>
          <w:rFonts w:eastAsia="Times New Roman" w:cs="Times New Roman" w:ascii="Times New Roman" w:hAnsi="Times New Roman"/>
          <w:color w:val="111111"/>
          <w:sz w:val="28"/>
          <w:szCs w:val="28"/>
          <w:lang w:val="en-US" w:bidi="en-US"/>
        </w:rPr>
        <w:t>129</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ذكر العجمة</w:t>
      </w:r>
    </w:p>
    <w:p>
      <w:pPr>
        <w:pStyle w:val="BookText"/>
        <w:rPr/>
      </w:pPr>
      <w:r>
        <w:rPr>
          <w:rFonts w:eastAsia="Times New Roman" w:cs="Times New Roman" w:ascii="Times New Roman" w:hAnsi="Times New Roman"/>
          <w:color w:val="111111"/>
          <w:sz w:val="28"/>
          <w:szCs w:val="28"/>
          <w:lang w:val="en-US" w:bidi="en-US"/>
        </w:rPr>
        <w:t>129</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ذكر وزن الفعل</w:t>
      </w:r>
    </w:p>
    <w:p>
      <w:pPr>
        <w:pStyle w:val="BookText"/>
        <w:rPr/>
      </w:pPr>
      <w:r>
        <w:rPr>
          <w:rFonts w:eastAsia="Times New Roman" w:cs="Times New Roman" w:ascii="Times New Roman" w:hAnsi="Times New Roman"/>
          <w:color w:val="111111"/>
          <w:sz w:val="28"/>
          <w:szCs w:val="28"/>
          <w:lang w:val="en-US" w:bidi="en-US"/>
        </w:rPr>
        <w:t>130</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ذكر الوصف</w:t>
      </w:r>
    </w:p>
    <w:p>
      <w:pPr>
        <w:pStyle w:val="BookText"/>
        <w:rPr/>
      </w:pPr>
      <w:r>
        <w:rPr>
          <w:rFonts w:eastAsia="Times New Roman" w:cs="Times New Roman" w:ascii="Times New Roman" w:hAnsi="Times New Roman"/>
          <w:color w:val="111111"/>
          <w:sz w:val="28"/>
          <w:szCs w:val="28"/>
          <w:lang w:val="en-US" w:bidi="en-US"/>
        </w:rPr>
        <w:t>131</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ذكر الألف والنون</w:t>
      </w:r>
    </w:p>
    <w:p>
      <w:pPr>
        <w:pStyle w:val="BookText"/>
        <w:rPr/>
      </w:pPr>
      <w:r>
        <w:rPr>
          <w:rFonts w:eastAsia="Times New Roman" w:cs="Times New Roman" w:ascii="Times New Roman" w:hAnsi="Times New Roman"/>
          <w:color w:val="111111"/>
          <w:sz w:val="28"/>
          <w:szCs w:val="28"/>
          <w:lang w:val="en-US" w:bidi="en-US"/>
        </w:rPr>
        <w:t>132</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ذكر التركيب</w:t>
      </w:r>
    </w:p>
    <w:p>
      <w:pPr>
        <w:pStyle w:val="BookText"/>
        <w:rPr/>
      </w:pPr>
      <w:r>
        <w:rPr>
          <w:rFonts w:eastAsia="Times New Roman" w:cs="Times New Roman" w:ascii="Times New Roman" w:hAnsi="Times New Roman"/>
          <w:color w:val="111111"/>
          <w:sz w:val="28"/>
          <w:szCs w:val="28"/>
          <w:lang w:val="en-US" w:bidi="en-US"/>
        </w:rPr>
        <w:t>132</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ذكر بقية الكلام على ما لا ينصرف</w:t>
      </w:r>
    </w:p>
    <w:p>
      <w:pPr>
        <w:pStyle w:val="BookText"/>
        <w:rPr/>
      </w:pPr>
      <w:r>
        <w:rPr>
          <w:rFonts w:eastAsia="Times New Roman" w:cs="Times New Roman" w:ascii="Times New Roman" w:hAnsi="Times New Roman"/>
          <w:color w:val="111111"/>
          <w:sz w:val="28"/>
          <w:szCs w:val="28"/>
          <w:lang w:val="en-US" w:bidi="en-US"/>
        </w:rPr>
        <w:t>133</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ذكر المرفوعات</w:t>
      </w:r>
    </w:p>
    <w:p>
      <w:pPr>
        <w:pStyle w:val="BookText"/>
        <w:rPr/>
      </w:pPr>
      <w:r>
        <w:rPr>
          <w:rFonts w:eastAsia="Times New Roman" w:cs="Times New Roman" w:ascii="Times New Roman" w:hAnsi="Times New Roman"/>
          <w:color w:val="111111"/>
          <w:sz w:val="28"/>
          <w:szCs w:val="28"/>
          <w:lang w:val="en-US" w:bidi="en-US"/>
        </w:rPr>
        <w:t>134</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ذكر الفاعل</w:t>
      </w:r>
    </w:p>
    <w:p>
      <w:pPr>
        <w:pStyle w:val="BookText"/>
        <w:rPr/>
      </w:pPr>
      <w:r>
        <w:rPr>
          <w:rFonts w:eastAsia="Times New Roman" w:cs="Times New Roman" w:ascii="Times New Roman" w:hAnsi="Times New Roman"/>
          <w:color w:val="111111"/>
          <w:sz w:val="28"/>
          <w:szCs w:val="28"/>
          <w:lang w:val="en-US" w:bidi="en-US"/>
        </w:rPr>
        <w:t>134</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ذكر وجوب تقديم الفاعل</w:t>
      </w:r>
    </w:p>
    <w:p>
      <w:pPr>
        <w:pStyle w:val="BookText"/>
        <w:rPr/>
      </w:pPr>
      <w:r>
        <w:rPr>
          <w:rFonts w:eastAsia="Times New Roman" w:cs="Times New Roman" w:ascii="Times New Roman" w:hAnsi="Times New Roman"/>
          <w:color w:val="111111"/>
          <w:sz w:val="28"/>
          <w:szCs w:val="28"/>
          <w:lang w:val="en-US" w:bidi="en-US"/>
        </w:rPr>
        <w:t>135</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ذكر وجوب تقديم المفعول</w:t>
      </w:r>
    </w:p>
    <w:p>
      <w:pPr>
        <w:pStyle w:val="BookText"/>
        <w:rPr/>
      </w:pPr>
      <w:r>
        <w:rPr>
          <w:rFonts w:eastAsia="Times New Roman" w:cs="Times New Roman" w:ascii="Times New Roman" w:hAnsi="Times New Roman"/>
          <w:color w:val="111111"/>
          <w:sz w:val="28"/>
          <w:szCs w:val="28"/>
          <w:lang w:val="en-US" w:bidi="en-US"/>
        </w:rPr>
        <w:t>135</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ذكر حذف الفعل جوازا ووجوبا</w:t>
      </w:r>
    </w:p>
    <w:p>
      <w:pPr>
        <w:pStyle w:val="BookText"/>
        <w:rPr/>
      </w:pPr>
      <w:r>
        <w:rPr>
          <w:rFonts w:eastAsia="Times New Roman" w:cs="Times New Roman" w:ascii="Times New Roman" w:hAnsi="Times New Roman"/>
          <w:color w:val="111111"/>
          <w:sz w:val="28"/>
          <w:szCs w:val="28"/>
          <w:lang w:val="en-US" w:bidi="en-US"/>
        </w:rPr>
        <w:t>136</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ذكر تنازع الفعلين</w:t>
      </w:r>
    </w:p>
    <w:p>
      <w:pPr>
        <w:pStyle w:val="BookText"/>
        <w:rPr/>
      </w:pPr>
      <w:r>
        <w:rPr>
          <w:rFonts w:eastAsia="Times New Roman" w:cs="Times New Roman" w:ascii="Times New Roman" w:hAnsi="Times New Roman"/>
          <w:color w:val="111111"/>
          <w:sz w:val="28"/>
          <w:szCs w:val="28"/>
          <w:lang w:val="en-US" w:bidi="en-US"/>
        </w:rPr>
        <w:t>137</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ذكر مفعول ما لم يسم فاعله</w:t>
      </w:r>
    </w:p>
    <w:p>
      <w:pPr>
        <w:pStyle w:val="BookText"/>
        <w:rPr/>
      </w:pPr>
      <w:r>
        <w:rPr>
          <w:rFonts w:eastAsia="Times New Roman" w:cs="Times New Roman" w:ascii="Times New Roman" w:hAnsi="Times New Roman"/>
          <w:color w:val="111111"/>
          <w:sz w:val="28"/>
          <w:szCs w:val="28"/>
          <w:lang w:val="en-US" w:bidi="en-US"/>
        </w:rPr>
        <w:t>138</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ذكر المبتدأ</w:t>
      </w:r>
    </w:p>
    <w:p>
      <w:pPr>
        <w:pStyle w:val="BookText"/>
        <w:rPr/>
      </w:pPr>
      <w:r>
        <w:rPr>
          <w:rFonts w:eastAsia="Times New Roman" w:cs="Times New Roman" w:ascii="Times New Roman" w:hAnsi="Times New Roman"/>
          <w:color w:val="111111"/>
          <w:sz w:val="28"/>
          <w:szCs w:val="28"/>
          <w:lang w:val="en-US" w:bidi="en-US"/>
        </w:rPr>
        <w:t>140</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ذكر الخبر</w:t>
      </w:r>
    </w:p>
    <w:p>
      <w:pPr>
        <w:pStyle w:val="BookText"/>
        <w:rPr/>
      </w:pPr>
      <w:r>
        <w:rPr>
          <w:rFonts w:eastAsia="Times New Roman" w:cs="Times New Roman" w:ascii="Times New Roman" w:hAnsi="Times New Roman"/>
          <w:color w:val="111111"/>
          <w:sz w:val="28"/>
          <w:szCs w:val="28"/>
          <w:lang w:val="en-US" w:bidi="en-US"/>
        </w:rPr>
        <w:t>142</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ذكر أن أصل المبتدأ التقديم</w:t>
      </w:r>
    </w:p>
    <w:p>
      <w:pPr>
        <w:pStyle w:val="BookText"/>
        <w:rPr/>
      </w:pPr>
      <w:r>
        <w:rPr>
          <w:rFonts w:eastAsia="Times New Roman" w:cs="Times New Roman" w:ascii="Times New Roman" w:hAnsi="Times New Roman"/>
          <w:color w:val="111111"/>
          <w:sz w:val="28"/>
          <w:szCs w:val="28"/>
          <w:lang w:val="en-US" w:bidi="en-US"/>
        </w:rPr>
        <w:t>143</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ذكر وجوب تقديم المبتدأ</w:t>
      </w:r>
    </w:p>
    <w:p>
      <w:pPr>
        <w:pStyle w:val="BookText"/>
        <w:rPr/>
      </w:pPr>
      <w:r>
        <w:rPr>
          <w:rFonts w:eastAsia="Times New Roman" w:cs="Times New Roman" w:ascii="Times New Roman" w:hAnsi="Times New Roman"/>
          <w:color w:val="111111"/>
          <w:sz w:val="28"/>
          <w:szCs w:val="28"/>
          <w:lang w:val="en-US" w:bidi="en-US"/>
        </w:rPr>
        <w:t>143</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 </w:t>
      </w:r>
      <w:bookmarkStart w:id="793" w:name="pg14482_156377"/>
    </w:p>
    <w:p>
      <w:pPr>
        <w:pStyle w:val="BookText"/>
        <w:rPr/>
      </w:pPr>
      <w:bookmarkEnd w:id="793"/>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الرمز</w:t>
      </w:r>
    </w:p>
    <w:p>
      <w:pPr>
        <w:pStyle w:val="BookText"/>
        <w:rPr/>
      </w:pPr>
      <w:r>
        <w:rPr>
          <w:rFonts w:ascii="Amiri" w:hAnsi="Amiri" w:eastAsia="Amiri" w:cs="Amiri"/>
          <w:color w:val="111111"/>
          <w:sz w:val="28"/>
          <w:sz w:val="28"/>
          <w:szCs w:val="28"/>
          <w:rtl w:val="true"/>
          <w:lang w:bidi="ar-SA"/>
        </w:rPr>
        <w:t>ذكر وجوب تقديم الخبر</w:t>
      </w:r>
    </w:p>
    <w:p>
      <w:pPr>
        <w:pStyle w:val="BookText"/>
        <w:rPr/>
      </w:pPr>
      <w:r>
        <w:rPr>
          <w:rFonts w:eastAsia="Times New Roman" w:cs="Times New Roman" w:ascii="Times New Roman" w:hAnsi="Times New Roman"/>
          <w:color w:val="111111"/>
          <w:sz w:val="28"/>
          <w:szCs w:val="28"/>
          <w:lang w:val="en-US" w:bidi="en-US"/>
        </w:rPr>
        <w:t>144</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ذكر الابتداء بالنكرة</w:t>
      </w:r>
    </w:p>
    <w:p>
      <w:pPr>
        <w:pStyle w:val="BookText"/>
        <w:rPr/>
      </w:pPr>
      <w:r>
        <w:rPr>
          <w:rFonts w:eastAsia="Times New Roman" w:cs="Times New Roman" w:ascii="Times New Roman" w:hAnsi="Times New Roman"/>
          <w:color w:val="111111"/>
          <w:sz w:val="28"/>
          <w:szCs w:val="28"/>
          <w:lang w:val="en-US" w:bidi="en-US"/>
        </w:rPr>
        <w:t>144</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ذكر الجملة الخبرية</w:t>
      </w:r>
    </w:p>
    <w:p>
      <w:pPr>
        <w:pStyle w:val="BookText"/>
        <w:rPr/>
      </w:pPr>
      <w:r>
        <w:rPr>
          <w:rFonts w:eastAsia="Times New Roman" w:cs="Times New Roman" w:ascii="Times New Roman" w:hAnsi="Times New Roman"/>
          <w:color w:val="111111"/>
          <w:sz w:val="28"/>
          <w:szCs w:val="28"/>
          <w:lang w:val="en-US" w:bidi="en-US"/>
        </w:rPr>
        <w:t>146</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ذكر أمور مشتركة بين المبتدأ والخبر</w:t>
      </w:r>
    </w:p>
    <w:p>
      <w:pPr>
        <w:pStyle w:val="BookText"/>
        <w:rPr/>
      </w:pPr>
      <w:r>
        <w:rPr>
          <w:rFonts w:eastAsia="Times New Roman" w:cs="Times New Roman" w:ascii="Times New Roman" w:hAnsi="Times New Roman"/>
          <w:color w:val="111111"/>
          <w:sz w:val="28"/>
          <w:szCs w:val="28"/>
          <w:lang w:val="en-US" w:bidi="en-US"/>
        </w:rPr>
        <w:t>148</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ذكر جواز حذف المبتدأ والخبر</w:t>
      </w:r>
    </w:p>
    <w:p>
      <w:pPr>
        <w:pStyle w:val="BookText"/>
        <w:rPr/>
      </w:pPr>
      <w:r>
        <w:rPr>
          <w:rFonts w:eastAsia="Times New Roman" w:cs="Times New Roman" w:ascii="Times New Roman" w:hAnsi="Times New Roman"/>
          <w:color w:val="111111"/>
          <w:sz w:val="28"/>
          <w:szCs w:val="28"/>
          <w:lang w:val="en-US" w:bidi="en-US"/>
        </w:rPr>
        <w:t>150</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ذكر وجوب حذف الخبر</w:t>
      </w:r>
    </w:p>
    <w:p>
      <w:pPr>
        <w:pStyle w:val="BookText"/>
        <w:rPr/>
      </w:pPr>
      <w:r>
        <w:rPr>
          <w:rFonts w:eastAsia="Times New Roman" w:cs="Times New Roman" w:ascii="Times New Roman" w:hAnsi="Times New Roman"/>
          <w:color w:val="111111"/>
          <w:sz w:val="28"/>
          <w:szCs w:val="28"/>
          <w:lang w:val="en-US" w:bidi="en-US"/>
        </w:rPr>
        <w:t>150</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ذكر وجوب حذف المبتدأ</w:t>
      </w:r>
    </w:p>
    <w:p>
      <w:pPr>
        <w:pStyle w:val="BookText"/>
        <w:rPr/>
      </w:pPr>
      <w:r>
        <w:rPr>
          <w:rFonts w:eastAsia="Times New Roman" w:cs="Times New Roman" w:ascii="Times New Roman" w:hAnsi="Times New Roman"/>
          <w:color w:val="111111"/>
          <w:sz w:val="28"/>
          <w:szCs w:val="28"/>
          <w:lang w:val="en-US" w:bidi="en-US"/>
        </w:rPr>
        <w:t>151</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ذكر تعدد الخبر</w:t>
      </w:r>
    </w:p>
    <w:p>
      <w:pPr>
        <w:pStyle w:val="BookText"/>
        <w:rPr/>
      </w:pPr>
      <w:r>
        <w:rPr>
          <w:rFonts w:eastAsia="Times New Roman" w:cs="Times New Roman" w:ascii="Times New Roman" w:hAnsi="Times New Roman"/>
          <w:color w:val="111111"/>
          <w:sz w:val="28"/>
          <w:szCs w:val="28"/>
          <w:lang w:val="en-US" w:bidi="en-US"/>
        </w:rPr>
        <w:t>150</w:t>
      </w:r>
    </w:p>
    <w:p>
      <w:pPr>
        <w:pStyle w:val="BookText"/>
        <w:rPr/>
      </w:pP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ذكر خبر إن</w:t>
      </w:r>
    </w:p>
    <w:p>
      <w:pPr>
        <w:pStyle w:val="BookText"/>
        <w:rPr/>
      </w:pPr>
      <w:r>
        <w:rPr>
          <w:rFonts w:eastAsia="Times New Roman" w:cs="Times New Roman" w:ascii="Times New Roman" w:hAnsi="Times New Roman"/>
          <w:color w:val="111111"/>
          <w:sz w:val="28"/>
          <w:szCs w:val="28"/>
          <w:lang w:val="en-US" w:bidi="en-US"/>
        </w:rPr>
        <w:t>152</w:t>
      </w:r>
    </w:p>
    <w:p>
      <w:pPr>
        <w:pStyle w:val="BookText"/>
        <w:rPr/>
      </w:pP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ذكر خبر لا التي لنفي الجنس</w:t>
      </w:r>
    </w:p>
    <w:p>
      <w:pPr>
        <w:pStyle w:val="BookText"/>
        <w:rPr/>
      </w:pPr>
      <w:r>
        <w:rPr>
          <w:rFonts w:eastAsia="Times New Roman" w:cs="Times New Roman" w:ascii="Times New Roman" w:hAnsi="Times New Roman"/>
          <w:color w:val="111111"/>
          <w:sz w:val="28"/>
          <w:szCs w:val="28"/>
          <w:lang w:val="en-US" w:bidi="en-US"/>
        </w:rPr>
        <w:t>152</w:t>
      </w:r>
    </w:p>
    <w:p>
      <w:pPr>
        <w:pStyle w:val="BookText"/>
        <w:rPr/>
      </w:pP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ذكر اسم ما ولا المشبهتين بليس</w:t>
      </w:r>
    </w:p>
    <w:p>
      <w:pPr>
        <w:pStyle w:val="BookText"/>
        <w:rPr/>
      </w:pPr>
      <w:r>
        <w:rPr>
          <w:rFonts w:eastAsia="Times New Roman" w:cs="Times New Roman" w:ascii="Times New Roman" w:hAnsi="Times New Roman"/>
          <w:color w:val="111111"/>
          <w:sz w:val="28"/>
          <w:szCs w:val="28"/>
          <w:lang w:val="en-US" w:bidi="en-US"/>
        </w:rPr>
        <w:t>154</w:t>
      </w:r>
    </w:p>
    <w:p>
      <w:pPr>
        <w:pStyle w:val="BookText"/>
        <w:rPr/>
      </w:pPr>
      <w:r>
        <w:rPr>
          <w:rFonts w:ascii="IRNazanin" w:hAnsi="IRNazanin" w:eastAsia="IRNazanin"/>
          <w:color w:val="111111"/>
          <w:sz w:val="28"/>
          <w:sz w:val="28"/>
          <w:szCs w:val="28"/>
          <w:rtl w:val="true"/>
          <w:lang w:bidi="fa-IR"/>
        </w:rPr>
        <w:t>م</w:t>
      </w:r>
    </w:p>
    <w:p>
      <w:pPr>
        <w:pStyle w:val="Heading3"/>
        <w:numPr>
          <w:ilvl w:val="2"/>
          <w:numId w:val="1"/>
        </w:numPr>
        <w:rPr/>
      </w:pPr>
      <w:bookmarkStart w:id="794" w:name="__RefHeading___Toc717108_996550957"/>
      <w:bookmarkStart w:id="795" w:name="_Toc295"/>
      <w:bookmarkEnd w:id="794"/>
      <w:r>
        <w:rPr>
          <w:rtl w:val="true"/>
        </w:rPr>
        <w:t>ذكر المنصوبات</w:t>
      </w:r>
      <w:bookmarkEnd w:id="795"/>
    </w:p>
    <w:p>
      <w:pPr>
        <w:pStyle w:val="BookText"/>
        <w:rPr/>
      </w:pPr>
      <w:r>
        <w:rPr>
          <w:rFonts w:eastAsia="Times New Roman" w:cs="Times New Roman" w:ascii="Times New Roman" w:hAnsi="Times New Roman"/>
          <w:color w:val="111111"/>
          <w:sz w:val="28"/>
          <w:szCs w:val="28"/>
          <w:lang w:val="en-US" w:bidi="en-US"/>
        </w:rPr>
        <w:t>154</w:t>
      </w:r>
    </w:p>
    <w:p>
      <w:pPr>
        <w:pStyle w:val="BookText"/>
        <w:rPr/>
      </w:pP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ذكر المفعول المطلق</w:t>
      </w:r>
    </w:p>
    <w:p>
      <w:pPr>
        <w:pStyle w:val="BookText"/>
        <w:rPr/>
      </w:pPr>
      <w:r>
        <w:rPr>
          <w:rFonts w:eastAsia="Times New Roman" w:cs="Times New Roman" w:ascii="Times New Roman" w:hAnsi="Times New Roman"/>
          <w:color w:val="111111"/>
          <w:sz w:val="28"/>
          <w:szCs w:val="28"/>
          <w:lang w:val="en-US" w:bidi="en-US"/>
        </w:rPr>
        <w:t>155</w:t>
      </w:r>
    </w:p>
    <w:p>
      <w:pPr>
        <w:pStyle w:val="BookText"/>
        <w:rPr/>
      </w:pP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ذكر جواز حذف الفعل</w:t>
      </w:r>
    </w:p>
    <w:p>
      <w:pPr>
        <w:pStyle w:val="BookText"/>
        <w:rPr/>
      </w:pPr>
      <w:r>
        <w:rPr>
          <w:rFonts w:eastAsia="Times New Roman" w:cs="Times New Roman" w:ascii="Times New Roman" w:hAnsi="Times New Roman"/>
          <w:color w:val="111111"/>
          <w:sz w:val="28"/>
          <w:szCs w:val="28"/>
          <w:lang w:val="en-US" w:bidi="en-US"/>
        </w:rPr>
        <w:t>156</w:t>
      </w:r>
    </w:p>
    <w:p>
      <w:pPr>
        <w:pStyle w:val="BookText"/>
        <w:rPr/>
      </w:pP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ذكر وجوب حذف الفعل</w:t>
      </w:r>
    </w:p>
    <w:p>
      <w:pPr>
        <w:pStyle w:val="BookText"/>
        <w:rPr/>
      </w:pPr>
      <w:r>
        <w:rPr>
          <w:rFonts w:eastAsia="Times New Roman" w:cs="Times New Roman" w:ascii="Times New Roman" w:hAnsi="Times New Roman"/>
          <w:color w:val="111111"/>
          <w:sz w:val="28"/>
          <w:szCs w:val="28"/>
          <w:lang w:val="en-US" w:bidi="en-US"/>
        </w:rPr>
        <w:t>156</w:t>
      </w:r>
    </w:p>
    <w:p>
      <w:pPr>
        <w:pStyle w:val="BookText"/>
        <w:rPr/>
      </w:pP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ذكر المفعول به</w:t>
      </w:r>
    </w:p>
    <w:p>
      <w:pPr>
        <w:pStyle w:val="BookText"/>
        <w:rPr/>
      </w:pPr>
      <w:r>
        <w:rPr>
          <w:rFonts w:eastAsia="Times New Roman" w:cs="Times New Roman" w:ascii="Times New Roman" w:hAnsi="Times New Roman"/>
          <w:color w:val="111111"/>
          <w:sz w:val="28"/>
          <w:szCs w:val="28"/>
          <w:lang w:val="en-US" w:bidi="en-US"/>
        </w:rPr>
        <w:t>160</w:t>
      </w:r>
    </w:p>
    <w:p>
      <w:pPr>
        <w:pStyle w:val="BookText"/>
        <w:rPr/>
      </w:pP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ذكر ما يجب حذفه من الأفعال</w:t>
      </w:r>
    </w:p>
    <w:p>
      <w:pPr>
        <w:pStyle w:val="BookText"/>
        <w:rPr/>
      </w:pPr>
      <w:r>
        <w:rPr>
          <w:rFonts w:eastAsia="Times New Roman" w:cs="Times New Roman" w:ascii="Times New Roman" w:hAnsi="Times New Roman"/>
          <w:color w:val="111111"/>
          <w:sz w:val="28"/>
          <w:szCs w:val="28"/>
          <w:lang w:val="en-US" w:bidi="en-US"/>
        </w:rPr>
        <w:t>160</w:t>
      </w:r>
    </w:p>
    <w:p>
      <w:pPr>
        <w:pStyle w:val="BookText"/>
        <w:rPr/>
      </w:pP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ذكر السماعي</w:t>
      </w:r>
    </w:p>
    <w:p>
      <w:pPr>
        <w:pStyle w:val="BookText"/>
        <w:rPr/>
      </w:pPr>
      <w:r>
        <w:rPr>
          <w:rFonts w:eastAsia="Times New Roman" w:cs="Times New Roman" w:ascii="Times New Roman" w:hAnsi="Times New Roman"/>
          <w:color w:val="111111"/>
          <w:sz w:val="28"/>
          <w:szCs w:val="28"/>
          <w:lang w:val="en-US" w:bidi="en-US"/>
        </w:rPr>
        <w:t>161</w:t>
      </w:r>
    </w:p>
    <w:p>
      <w:pPr>
        <w:pStyle w:val="BookText"/>
        <w:rPr/>
      </w:pP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ذكر المنادى</w:t>
      </w:r>
    </w:p>
    <w:p>
      <w:pPr>
        <w:pStyle w:val="BookText"/>
        <w:rPr/>
      </w:pPr>
      <w:r>
        <w:rPr>
          <w:rFonts w:eastAsia="Times New Roman" w:cs="Times New Roman" w:ascii="Times New Roman" w:hAnsi="Times New Roman"/>
          <w:color w:val="111111"/>
          <w:sz w:val="28"/>
          <w:szCs w:val="28"/>
          <w:lang w:val="en-US" w:bidi="en-US"/>
        </w:rPr>
        <w:t>161</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ذكر إعراب توابع المنادى</w:t>
      </w:r>
    </w:p>
    <w:p>
      <w:pPr>
        <w:pStyle w:val="BookText"/>
        <w:rPr/>
      </w:pPr>
      <w:r>
        <w:rPr>
          <w:rFonts w:eastAsia="Times New Roman" w:cs="Times New Roman" w:ascii="Times New Roman" w:hAnsi="Times New Roman"/>
          <w:color w:val="111111"/>
          <w:sz w:val="28"/>
          <w:szCs w:val="28"/>
          <w:lang w:val="en-US" w:bidi="en-US"/>
        </w:rPr>
        <w:t>163</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ذكر المنادى المعرف باللام</w:t>
      </w:r>
    </w:p>
    <w:p>
      <w:pPr>
        <w:pStyle w:val="BookText"/>
        <w:rPr/>
      </w:pPr>
      <w:r>
        <w:rPr>
          <w:rFonts w:eastAsia="Times New Roman" w:cs="Times New Roman" w:ascii="Times New Roman" w:hAnsi="Times New Roman"/>
          <w:color w:val="111111"/>
          <w:sz w:val="28"/>
          <w:szCs w:val="28"/>
          <w:lang w:val="en-US" w:bidi="en-US"/>
        </w:rPr>
        <w:t>165</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ذكر بقية الكلام عن المنادى</w:t>
      </w:r>
    </w:p>
    <w:p>
      <w:pPr>
        <w:pStyle w:val="BookText"/>
        <w:rPr/>
      </w:pPr>
      <w:r>
        <w:rPr>
          <w:rFonts w:eastAsia="Times New Roman" w:cs="Times New Roman" w:ascii="Times New Roman" w:hAnsi="Times New Roman"/>
          <w:color w:val="111111"/>
          <w:sz w:val="28"/>
          <w:szCs w:val="28"/>
          <w:lang w:val="en-US" w:bidi="en-US"/>
        </w:rPr>
        <w:t>166</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ذكر الترخيم</w:t>
      </w:r>
    </w:p>
    <w:p>
      <w:pPr>
        <w:pStyle w:val="BookText"/>
        <w:rPr/>
      </w:pPr>
      <w:r>
        <w:rPr>
          <w:rFonts w:eastAsia="Times New Roman" w:cs="Times New Roman" w:ascii="Times New Roman" w:hAnsi="Times New Roman"/>
          <w:color w:val="111111"/>
          <w:sz w:val="28"/>
          <w:szCs w:val="28"/>
          <w:lang w:val="en-US" w:bidi="en-US"/>
        </w:rPr>
        <w:t>168</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ذكر المندوب</w:t>
      </w:r>
    </w:p>
    <w:p>
      <w:pPr>
        <w:pStyle w:val="BookText"/>
        <w:rPr/>
      </w:pPr>
      <w:r>
        <w:rPr>
          <w:rFonts w:eastAsia="Times New Roman" w:cs="Times New Roman" w:ascii="Times New Roman" w:hAnsi="Times New Roman"/>
          <w:color w:val="111111"/>
          <w:sz w:val="28"/>
          <w:szCs w:val="28"/>
          <w:lang w:val="en-US" w:bidi="en-US"/>
        </w:rPr>
        <w:t>170</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ذكر المفعول به الذي أضمر عامله على شريطة التفسير</w:t>
      </w:r>
    </w:p>
    <w:p>
      <w:pPr>
        <w:pStyle w:val="BookText"/>
        <w:rPr/>
      </w:pPr>
      <w:r>
        <w:rPr>
          <w:rFonts w:eastAsia="Times New Roman" w:cs="Times New Roman" w:ascii="Times New Roman" w:hAnsi="Times New Roman"/>
          <w:color w:val="111111"/>
          <w:sz w:val="28"/>
          <w:szCs w:val="28"/>
          <w:lang w:val="en-US" w:bidi="en-US"/>
        </w:rPr>
        <w:t>172</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ذكر التحذير</w:t>
      </w:r>
    </w:p>
    <w:p>
      <w:pPr>
        <w:pStyle w:val="BookText"/>
        <w:rPr/>
      </w:pPr>
      <w:r>
        <w:rPr>
          <w:rFonts w:eastAsia="Times New Roman" w:cs="Times New Roman" w:ascii="Times New Roman" w:hAnsi="Times New Roman"/>
          <w:color w:val="111111"/>
          <w:sz w:val="28"/>
          <w:szCs w:val="28"/>
          <w:lang w:val="en-US" w:bidi="en-US"/>
        </w:rPr>
        <w:t>176</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ذكر المفعول فيه</w:t>
      </w:r>
    </w:p>
    <w:p>
      <w:pPr>
        <w:pStyle w:val="BookText"/>
        <w:rPr/>
      </w:pPr>
      <w:r>
        <w:rPr>
          <w:rFonts w:eastAsia="Times New Roman" w:cs="Times New Roman" w:ascii="Times New Roman" w:hAnsi="Times New Roman"/>
          <w:color w:val="111111"/>
          <w:sz w:val="28"/>
          <w:szCs w:val="28"/>
          <w:lang w:val="en-US" w:bidi="en-US"/>
        </w:rPr>
        <w:t>177</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ذكر المفعول له</w:t>
      </w:r>
    </w:p>
    <w:p>
      <w:pPr>
        <w:pStyle w:val="BookText"/>
        <w:rPr/>
      </w:pPr>
      <w:r>
        <w:rPr>
          <w:rFonts w:eastAsia="Times New Roman" w:cs="Times New Roman" w:ascii="Times New Roman" w:hAnsi="Times New Roman"/>
          <w:color w:val="111111"/>
          <w:sz w:val="28"/>
          <w:szCs w:val="28"/>
          <w:lang w:val="en-US" w:bidi="en-US"/>
        </w:rPr>
        <w:t>179</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ذكر المفعول معه</w:t>
      </w:r>
    </w:p>
    <w:p>
      <w:pPr>
        <w:pStyle w:val="BookText"/>
        <w:rPr/>
      </w:pPr>
      <w:r>
        <w:rPr>
          <w:rFonts w:eastAsia="Times New Roman" w:cs="Times New Roman" w:ascii="Times New Roman" w:hAnsi="Times New Roman"/>
          <w:color w:val="111111"/>
          <w:sz w:val="28"/>
          <w:szCs w:val="28"/>
          <w:lang w:val="en-US" w:bidi="en-US"/>
        </w:rPr>
        <w:t>179</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ذكر الحال</w:t>
      </w:r>
    </w:p>
    <w:p>
      <w:pPr>
        <w:pStyle w:val="BookText"/>
        <w:rPr/>
      </w:pPr>
      <w:r>
        <w:rPr>
          <w:rFonts w:eastAsia="Times New Roman" w:cs="Times New Roman" w:ascii="Times New Roman" w:hAnsi="Times New Roman"/>
          <w:color w:val="111111"/>
          <w:sz w:val="28"/>
          <w:szCs w:val="28"/>
          <w:lang w:val="en-US" w:bidi="en-US"/>
        </w:rPr>
        <w:t>182</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ذكر التمييز</w:t>
      </w:r>
    </w:p>
    <w:p>
      <w:pPr>
        <w:pStyle w:val="BookText"/>
        <w:rPr/>
      </w:pPr>
      <w:r>
        <w:rPr>
          <w:rFonts w:eastAsia="Times New Roman" w:cs="Times New Roman" w:ascii="Times New Roman" w:hAnsi="Times New Roman"/>
          <w:color w:val="111111"/>
          <w:sz w:val="28"/>
          <w:szCs w:val="28"/>
          <w:lang w:val="en-US" w:bidi="en-US"/>
        </w:rPr>
        <w:t>187</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 </w:t>
      </w:r>
      <w:bookmarkStart w:id="796" w:name="pg14482_156378"/>
    </w:p>
    <w:p>
      <w:pPr>
        <w:pStyle w:val="BookText"/>
        <w:rPr/>
      </w:pPr>
      <w:bookmarkEnd w:id="796"/>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الرمز</w:t>
      </w:r>
    </w:p>
    <w:p>
      <w:pPr>
        <w:pStyle w:val="BookText"/>
        <w:rPr/>
      </w:pPr>
      <w:r>
        <w:rPr>
          <w:rFonts w:ascii="Amiri" w:hAnsi="Amiri" w:eastAsia="Amiri" w:cs="Amiri"/>
          <w:color w:val="111111"/>
          <w:sz w:val="28"/>
          <w:sz w:val="28"/>
          <w:szCs w:val="28"/>
          <w:rtl w:val="true"/>
          <w:lang w:bidi="ar-SA"/>
        </w:rPr>
        <w:t>ذكر تمييز الذات المذكورة التي هي مقدار</w:t>
      </w:r>
    </w:p>
    <w:p>
      <w:pPr>
        <w:pStyle w:val="BookText"/>
        <w:rPr/>
      </w:pPr>
      <w:r>
        <w:rPr>
          <w:rFonts w:eastAsia="Times New Roman" w:cs="Times New Roman" w:ascii="Times New Roman" w:hAnsi="Times New Roman"/>
          <w:color w:val="111111"/>
          <w:sz w:val="28"/>
          <w:szCs w:val="28"/>
          <w:lang w:val="en-US" w:bidi="en-US"/>
        </w:rPr>
        <w:t>189</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ذكر تمييز الذات التي هي غير مقدار</w:t>
      </w:r>
    </w:p>
    <w:p>
      <w:pPr>
        <w:pStyle w:val="BookText"/>
        <w:rPr/>
      </w:pPr>
      <w:r>
        <w:rPr>
          <w:rFonts w:eastAsia="Times New Roman" w:cs="Times New Roman" w:ascii="Times New Roman" w:hAnsi="Times New Roman"/>
          <w:color w:val="111111"/>
          <w:sz w:val="28"/>
          <w:szCs w:val="28"/>
          <w:lang w:val="en-US" w:bidi="en-US"/>
        </w:rPr>
        <w:t>191</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ذكر تمييز الذات المقدرة</w:t>
      </w:r>
    </w:p>
    <w:p>
      <w:pPr>
        <w:pStyle w:val="BookText"/>
        <w:rPr/>
      </w:pPr>
      <w:r>
        <w:rPr>
          <w:rFonts w:eastAsia="Times New Roman" w:cs="Times New Roman" w:ascii="Times New Roman" w:hAnsi="Times New Roman"/>
          <w:color w:val="111111"/>
          <w:sz w:val="28"/>
          <w:szCs w:val="28"/>
          <w:lang w:val="en-US" w:bidi="en-US"/>
        </w:rPr>
        <w:t>191</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ذكر الاستثناء</w:t>
      </w:r>
    </w:p>
    <w:p>
      <w:pPr>
        <w:pStyle w:val="BookText"/>
        <w:rPr/>
      </w:pPr>
      <w:r>
        <w:rPr>
          <w:rFonts w:eastAsia="Times New Roman" w:cs="Times New Roman" w:ascii="Times New Roman" w:hAnsi="Times New Roman"/>
          <w:color w:val="111111"/>
          <w:sz w:val="28"/>
          <w:szCs w:val="28"/>
          <w:lang w:val="en-US" w:bidi="en-US"/>
        </w:rPr>
        <w:t>195</w:t>
      </w:r>
    </w:p>
    <w:p>
      <w:pPr>
        <w:pStyle w:val="BookText"/>
        <w:rPr/>
      </w:pPr>
      <w:r>
        <w:rPr>
          <w:rFonts w:ascii="Amiri" w:hAnsi="Amiri" w:eastAsia="Amiri" w:cs="Amiri"/>
          <w:color w:val="111111"/>
          <w:sz w:val="28"/>
          <w:sz w:val="28"/>
          <w:szCs w:val="28"/>
          <w:rtl w:val="true"/>
          <w:lang w:bidi="ar-SA"/>
        </w:rPr>
        <w:t>ك</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تعقب الاستثناء جملا بالواو</w:t>
      </w:r>
    </w:p>
    <w:p>
      <w:pPr>
        <w:pStyle w:val="BookText"/>
        <w:rPr/>
      </w:pPr>
      <w:r>
        <w:rPr>
          <w:rFonts w:eastAsia="Times New Roman" w:cs="Times New Roman" w:ascii="Times New Roman" w:hAnsi="Times New Roman"/>
          <w:color w:val="111111"/>
          <w:sz w:val="28"/>
          <w:szCs w:val="28"/>
          <w:lang w:val="en-US" w:bidi="en-US"/>
        </w:rPr>
        <w:t>195</w:t>
      </w:r>
    </w:p>
    <w:p>
      <w:pPr>
        <w:pStyle w:val="BookText"/>
        <w:rPr/>
      </w:pPr>
      <w:r>
        <w:rPr>
          <w:rFonts w:ascii="Amiri" w:hAnsi="Amiri" w:eastAsia="Amiri" w:cs="Amiri"/>
          <w:color w:val="111111"/>
          <w:sz w:val="28"/>
          <w:sz w:val="28"/>
          <w:szCs w:val="28"/>
          <w:rtl w:val="true"/>
          <w:lang w:bidi="ar-SA"/>
        </w:rPr>
        <w:t>ذكر وجوب نصب المستثنى</w:t>
      </w:r>
    </w:p>
    <w:p>
      <w:pPr>
        <w:pStyle w:val="BookText"/>
        <w:rPr/>
      </w:pPr>
      <w:r>
        <w:rPr>
          <w:rFonts w:eastAsia="Times New Roman" w:cs="Times New Roman" w:ascii="Times New Roman" w:hAnsi="Times New Roman"/>
          <w:color w:val="111111"/>
          <w:sz w:val="28"/>
          <w:szCs w:val="28"/>
          <w:lang w:val="en-US" w:bidi="en-US"/>
        </w:rPr>
        <w:t>195</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ذكر جواز نصب المستثنى</w:t>
      </w:r>
    </w:p>
    <w:p>
      <w:pPr>
        <w:pStyle w:val="BookText"/>
        <w:rPr/>
      </w:pPr>
      <w:r>
        <w:rPr>
          <w:rFonts w:eastAsia="Times New Roman" w:cs="Times New Roman" w:ascii="Times New Roman" w:hAnsi="Times New Roman"/>
          <w:color w:val="111111"/>
          <w:sz w:val="28"/>
          <w:szCs w:val="28"/>
          <w:lang w:val="en-US" w:bidi="en-US"/>
        </w:rPr>
        <w:t>197</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ذكر الاستثناء المفرغ</w:t>
      </w:r>
    </w:p>
    <w:p>
      <w:pPr>
        <w:pStyle w:val="BookText"/>
        <w:rPr/>
      </w:pPr>
      <w:r>
        <w:rPr>
          <w:rFonts w:eastAsia="Times New Roman" w:cs="Times New Roman" w:ascii="Times New Roman" w:hAnsi="Times New Roman"/>
          <w:color w:val="111111"/>
          <w:sz w:val="28"/>
          <w:szCs w:val="28"/>
          <w:lang w:val="en-US" w:bidi="en-US"/>
        </w:rPr>
        <w:t>198</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ذكر البدل على المحل</w:t>
      </w:r>
    </w:p>
    <w:p>
      <w:pPr>
        <w:pStyle w:val="BookText"/>
        <w:rPr/>
      </w:pPr>
      <w:r>
        <w:rPr>
          <w:rFonts w:eastAsia="Times New Roman" w:cs="Times New Roman" w:ascii="Times New Roman" w:hAnsi="Times New Roman"/>
          <w:color w:val="111111"/>
          <w:sz w:val="28"/>
          <w:szCs w:val="28"/>
          <w:lang w:val="en-US" w:bidi="en-US"/>
        </w:rPr>
        <w:t>198</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ذكر إعراب غير</w:t>
      </w:r>
    </w:p>
    <w:p>
      <w:pPr>
        <w:pStyle w:val="BookText"/>
        <w:rPr/>
      </w:pPr>
      <w:r>
        <w:rPr>
          <w:rFonts w:eastAsia="Times New Roman" w:cs="Times New Roman" w:ascii="Times New Roman" w:hAnsi="Times New Roman"/>
          <w:color w:val="111111"/>
          <w:sz w:val="28"/>
          <w:szCs w:val="28"/>
          <w:lang w:val="en-US" w:bidi="en-US"/>
        </w:rPr>
        <w:t>203</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ذكر خبر كان وأخواتها</w:t>
      </w:r>
    </w:p>
    <w:p>
      <w:pPr>
        <w:pStyle w:val="BookText"/>
        <w:rPr/>
      </w:pPr>
      <w:r>
        <w:rPr>
          <w:rFonts w:eastAsia="Times New Roman" w:cs="Times New Roman" w:ascii="Times New Roman" w:hAnsi="Times New Roman"/>
          <w:color w:val="111111"/>
          <w:sz w:val="28"/>
          <w:szCs w:val="28"/>
          <w:lang w:val="en-US" w:bidi="en-US"/>
        </w:rPr>
        <w:t>204</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ذكر اسم إن وأخواتها</w:t>
      </w:r>
    </w:p>
    <w:p>
      <w:pPr>
        <w:pStyle w:val="BookText"/>
        <w:rPr/>
      </w:pPr>
      <w:r>
        <w:rPr>
          <w:rFonts w:eastAsia="Times New Roman" w:cs="Times New Roman" w:ascii="Times New Roman" w:hAnsi="Times New Roman"/>
          <w:color w:val="111111"/>
          <w:sz w:val="28"/>
          <w:szCs w:val="28"/>
          <w:lang w:val="en-US" w:bidi="en-US"/>
        </w:rPr>
        <w:t>205</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ذكر منصوب لا التي لنفي الجنس</w:t>
      </w:r>
    </w:p>
    <w:p>
      <w:pPr>
        <w:pStyle w:val="BookText"/>
        <w:rPr/>
      </w:pPr>
      <w:r>
        <w:rPr>
          <w:rFonts w:eastAsia="Times New Roman" w:cs="Times New Roman" w:ascii="Times New Roman" w:hAnsi="Times New Roman"/>
          <w:color w:val="111111"/>
          <w:sz w:val="28"/>
          <w:szCs w:val="28"/>
          <w:lang w:val="en-US" w:bidi="en-US"/>
        </w:rPr>
        <w:t>206</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ذكر خبر ما ولا المشبهتين بليس</w:t>
      </w:r>
    </w:p>
    <w:p>
      <w:pPr>
        <w:pStyle w:val="BookText"/>
        <w:rPr/>
      </w:pPr>
      <w:r>
        <w:rPr>
          <w:rFonts w:eastAsia="Times New Roman" w:cs="Times New Roman" w:ascii="Times New Roman" w:hAnsi="Times New Roman"/>
          <w:color w:val="111111"/>
          <w:sz w:val="28"/>
          <w:szCs w:val="28"/>
          <w:lang w:val="en-US" w:bidi="en-US"/>
        </w:rPr>
        <w:t>212</w:t>
      </w:r>
    </w:p>
    <w:p>
      <w:pPr>
        <w:pStyle w:val="BookText"/>
        <w:rPr/>
      </w:pPr>
      <w:r>
        <w:rPr>
          <w:rFonts w:ascii="Amiri" w:hAnsi="Amiri" w:eastAsia="Amiri" w:cs="Amiri"/>
          <w:color w:val="111111"/>
          <w:sz w:val="28"/>
          <w:sz w:val="28"/>
          <w:szCs w:val="28"/>
          <w:rtl w:val="true"/>
          <w:lang w:bidi="ar-SA"/>
        </w:rPr>
        <w:t>ك</w:t>
      </w:r>
    </w:p>
    <w:p>
      <w:pPr>
        <w:pStyle w:val="Heading3"/>
        <w:numPr>
          <w:ilvl w:val="2"/>
          <w:numId w:val="1"/>
        </w:numPr>
        <w:rPr/>
      </w:pPr>
      <w:bookmarkStart w:id="797" w:name="__RefHeading___Toc717110_996550957"/>
      <w:bookmarkStart w:id="798" w:name="_Toc296"/>
      <w:bookmarkEnd w:id="797"/>
      <w:r>
        <w:rPr>
          <w:rtl w:val="true"/>
        </w:rPr>
        <w:t>ذكر المجرورات</w:t>
      </w:r>
      <w:bookmarkEnd w:id="798"/>
    </w:p>
    <w:p>
      <w:pPr>
        <w:pStyle w:val="BookText"/>
        <w:rPr/>
      </w:pPr>
      <w:r>
        <w:rPr>
          <w:rFonts w:eastAsia="Times New Roman" w:cs="Times New Roman" w:ascii="Times New Roman" w:hAnsi="Times New Roman"/>
          <w:color w:val="111111"/>
          <w:sz w:val="28"/>
          <w:szCs w:val="28"/>
          <w:lang w:val="en-US" w:bidi="en-US"/>
        </w:rPr>
        <w:t>213</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ذكر الإضافة المعنوية</w:t>
      </w:r>
    </w:p>
    <w:p>
      <w:pPr>
        <w:pStyle w:val="BookText"/>
        <w:rPr/>
      </w:pPr>
      <w:r>
        <w:rPr>
          <w:rFonts w:eastAsia="Times New Roman" w:cs="Times New Roman" w:ascii="Times New Roman" w:hAnsi="Times New Roman"/>
          <w:color w:val="111111"/>
          <w:sz w:val="28"/>
          <w:szCs w:val="28"/>
          <w:lang w:val="en-US" w:bidi="en-US"/>
        </w:rPr>
        <w:t>214</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ذكر الإضافة اللفظية</w:t>
      </w:r>
    </w:p>
    <w:p>
      <w:pPr>
        <w:pStyle w:val="BookText"/>
        <w:rPr/>
      </w:pPr>
      <w:r>
        <w:rPr>
          <w:rFonts w:eastAsia="Times New Roman" w:cs="Times New Roman" w:ascii="Times New Roman" w:hAnsi="Times New Roman"/>
          <w:color w:val="111111"/>
          <w:sz w:val="28"/>
          <w:szCs w:val="28"/>
          <w:lang w:val="en-US" w:bidi="en-US"/>
        </w:rPr>
        <w:t>215</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ذكر ما تمتنع إضافته</w:t>
      </w:r>
    </w:p>
    <w:p>
      <w:pPr>
        <w:pStyle w:val="BookText"/>
        <w:rPr/>
      </w:pPr>
      <w:r>
        <w:rPr>
          <w:rFonts w:eastAsia="Times New Roman" w:cs="Times New Roman" w:ascii="Times New Roman" w:hAnsi="Times New Roman"/>
          <w:color w:val="111111"/>
          <w:sz w:val="28"/>
          <w:szCs w:val="28"/>
          <w:lang w:val="en-US" w:bidi="en-US"/>
        </w:rPr>
        <w:t>217</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ذكر إضافة الاسم الصحيح والملحق به</w:t>
      </w:r>
    </w:p>
    <w:p>
      <w:pPr>
        <w:pStyle w:val="BookText"/>
        <w:rPr/>
      </w:pPr>
      <w:r>
        <w:rPr>
          <w:rFonts w:eastAsia="Times New Roman" w:cs="Times New Roman" w:ascii="Times New Roman" w:hAnsi="Times New Roman"/>
          <w:color w:val="111111"/>
          <w:sz w:val="28"/>
          <w:szCs w:val="28"/>
          <w:lang w:val="en-US" w:bidi="en-US"/>
        </w:rPr>
        <w:t>218</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ذكر إضافة المقصور والمنقوص</w:t>
      </w:r>
    </w:p>
    <w:p>
      <w:pPr>
        <w:pStyle w:val="BookText"/>
        <w:rPr/>
      </w:pPr>
      <w:r>
        <w:rPr>
          <w:rFonts w:eastAsia="Times New Roman" w:cs="Times New Roman" w:ascii="Times New Roman" w:hAnsi="Times New Roman"/>
          <w:color w:val="111111"/>
          <w:sz w:val="28"/>
          <w:szCs w:val="28"/>
          <w:lang w:val="en-US" w:bidi="en-US"/>
        </w:rPr>
        <w:t>219</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ذكر بقية الكلام على الإضافة</w:t>
      </w:r>
    </w:p>
    <w:p>
      <w:pPr>
        <w:pStyle w:val="BookText"/>
        <w:rPr/>
      </w:pPr>
      <w:r>
        <w:rPr>
          <w:rFonts w:eastAsia="Times New Roman" w:cs="Times New Roman" w:ascii="Times New Roman" w:hAnsi="Times New Roman"/>
          <w:color w:val="111111"/>
          <w:sz w:val="28"/>
          <w:szCs w:val="28"/>
          <w:lang w:val="en-US" w:bidi="en-US"/>
        </w:rPr>
        <w:t>222</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ذكر التوابع</w:t>
      </w:r>
    </w:p>
    <w:p>
      <w:pPr>
        <w:pStyle w:val="BookText"/>
        <w:rPr/>
      </w:pPr>
      <w:r>
        <w:rPr>
          <w:rFonts w:eastAsia="Times New Roman" w:cs="Times New Roman" w:ascii="Times New Roman" w:hAnsi="Times New Roman"/>
          <w:color w:val="111111"/>
          <w:sz w:val="28"/>
          <w:szCs w:val="28"/>
          <w:lang w:val="en-US" w:bidi="en-US"/>
        </w:rPr>
        <w:t>223</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ذكر النعت</w:t>
      </w:r>
    </w:p>
    <w:p>
      <w:pPr>
        <w:pStyle w:val="BookText"/>
        <w:rPr/>
      </w:pPr>
      <w:r>
        <w:rPr>
          <w:rFonts w:eastAsia="Times New Roman" w:cs="Times New Roman" w:ascii="Times New Roman" w:hAnsi="Times New Roman"/>
          <w:color w:val="111111"/>
          <w:sz w:val="28"/>
          <w:szCs w:val="28"/>
          <w:lang w:val="en-US" w:bidi="en-US"/>
        </w:rPr>
        <w:t>224</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والنظر في الوصف على أربعة ضروب</w:t>
      </w:r>
    </w:p>
    <w:p>
      <w:pPr>
        <w:pStyle w:val="BookText"/>
        <w:rPr/>
      </w:pPr>
      <w:r>
        <w:rPr>
          <w:rFonts w:eastAsia="Times New Roman" w:cs="Times New Roman" w:ascii="Times New Roman" w:hAnsi="Times New Roman"/>
          <w:color w:val="111111"/>
          <w:sz w:val="28"/>
          <w:szCs w:val="28"/>
          <w:lang w:val="en-US" w:bidi="en-US"/>
        </w:rPr>
        <w:t>227</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المصدر يقع صفة</w:t>
      </w:r>
    </w:p>
    <w:p>
      <w:pPr>
        <w:pStyle w:val="BookText"/>
        <w:rPr/>
      </w:pPr>
      <w:r>
        <w:rPr>
          <w:rFonts w:eastAsia="Times New Roman" w:cs="Times New Roman" w:ascii="Times New Roman" w:hAnsi="Times New Roman"/>
          <w:color w:val="111111"/>
          <w:sz w:val="28"/>
          <w:szCs w:val="28"/>
          <w:lang w:val="en-US" w:bidi="en-US"/>
        </w:rPr>
        <w:t>228</w:t>
      </w:r>
    </w:p>
    <w:p>
      <w:pPr>
        <w:pStyle w:val="BookText"/>
        <w:rPr/>
      </w:pP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ذكر العطف</w:t>
      </w:r>
    </w:p>
    <w:p>
      <w:pPr>
        <w:pStyle w:val="BookText"/>
        <w:rPr/>
      </w:pPr>
      <w:r>
        <w:rPr>
          <w:rFonts w:eastAsia="Times New Roman" w:cs="Times New Roman" w:ascii="Times New Roman" w:hAnsi="Times New Roman"/>
          <w:color w:val="111111"/>
          <w:sz w:val="28"/>
          <w:szCs w:val="28"/>
          <w:lang w:val="en-US" w:bidi="en-US"/>
        </w:rPr>
        <w:t>229</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ذكر التأكيد</w:t>
      </w:r>
    </w:p>
    <w:p>
      <w:pPr>
        <w:pStyle w:val="BookText"/>
        <w:rPr/>
      </w:pPr>
      <w:r>
        <w:rPr>
          <w:rFonts w:eastAsia="Times New Roman" w:cs="Times New Roman" w:ascii="Times New Roman" w:hAnsi="Times New Roman"/>
          <w:color w:val="111111"/>
          <w:sz w:val="28"/>
          <w:szCs w:val="28"/>
          <w:lang w:val="en-US" w:bidi="en-US"/>
        </w:rPr>
        <w:t>232</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ذكر البدل</w:t>
      </w:r>
    </w:p>
    <w:p>
      <w:pPr>
        <w:pStyle w:val="BookText"/>
        <w:rPr/>
      </w:pPr>
      <w:r>
        <w:rPr>
          <w:rFonts w:eastAsia="Times New Roman" w:cs="Times New Roman" w:ascii="Times New Roman" w:hAnsi="Times New Roman"/>
          <w:color w:val="111111"/>
          <w:sz w:val="28"/>
          <w:szCs w:val="28"/>
          <w:lang w:val="en-US" w:bidi="en-US"/>
        </w:rPr>
        <w:t>235</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ذكر عطف البيان</w:t>
      </w:r>
    </w:p>
    <w:p>
      <w:pPr>
        <w:pStyle w:val="BookText"/>
        <w:rPr/>
      </w:pPr>
      <w:r>
        <w:rPr>
          <w:rFonts w:eastAsia="Times New Roman" w:cs="Times New Roman" w:ascii="Times New Roman" w:hAnsi="Times New Roman"/>
          <w:color w:val="111111"/>
          <w:sz w:val="28"/>
          <w:szCs w:val="28"/>
          <w:lang w:val="en-US" w:bidi="en-US"/>
        </w:rPr>
        <w:t>239</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ذكر المبني</w:t>
      </w:r>
    </w:p>
    <w:p>
      <w:pPr>
        <w:pStyle w:val="BookText"/>
        <w:rPr/>
      </w:pPr>
      <w:r>
        <w:rPr>
          <w:rFonts w:eastAsia="Times New Roman" w:cs="Times New Roman" w:ascii="Times New Roman" w:hAnsi="Times New Roman"/>
          <w:color w:val="111111"/>
          <w:sz w:val="28"/>
          <w:szCs w:val="28"/>
          <w:lang w:val="en-US" w:bidi="en-US"/>
        </w:rPr>
        <w:t>240</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ذكر المضمرات</w:t>
      </w:r>
    </w:p>
    <w:p>
      <w:pPr>
        <w:pStyle w:val="BookText"/>
        <w:rPr/>
      </w:pPr>
      <w:r>
        <w:rPr>
          <w:rFonts w:eastAsia="Times New Roman" w:cs="Times New Roman" w:ascii="Times New Roman" w:hAnsi="Times New Roman"/>
          <w:color w:val="111111"/>
          <w:sz w:val="28"/>
          <w:szCs w:val="28"/>
          <w:lang w:val="en-US" w:bidi="en-US"/>
        </w:rPr>
        <w:t>240</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 </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الرمز</w:t>
      </w:r>
    </w:p>
    <w:p>
      <w:pPr>
        <w:pStyle w:val="BookText"/>
        <w:rPr/>
      </w:pPr>
      <w:r>
        <w:rPr>
          <w:rFonts w:ascii="Amiri" w:hAnsi="Amiri" w:eastAsia="Amiri" w:cs="Amiri"/>
          <w:color w:val="111111"/>
          <w:sz w:val="28"/>
          <w:sz w:val="28"/>
          <w:szCs w:val="28"/>
          <w:rtl w:val="true"/>
          <w:lang w:bidi="ar-SA"/>
        </w:rPr>
        <w:t>ذكر تقسيم المضمر</w:t>
      </w:r>
    </w:p>
    <w:p>
      <w:pPr>
        <w:pStyle w:val="BookText"/>
        <w:rPr/>
      </w:pPr>
      <w:r>
        <w:rPr>
          <w:rFonts w:eastAsia="Times New Roman" w:cs="Times New Roman" w:ascii="Times New Roman" w:hAnsi="Times New Roman"/>
          <w:color w:val="111111"/>
          <w:sz w:val="28"/>
          <w:szCs w:val="28"/>
          <w:lang w:val="en-US" w:bidi="en-US"/>
        </w:rPr>
        <w:t>242</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ذكر الضمير المرفوع المتصل</w:t>
      </w:r>
    </w:p>
    <w:p>
      <w:pPr>
        <w:pStyle w:val="BookText"/>
        <w:rPr/>
      </w:pPr>
      <w:r>
        <w:rPr>
          <w:rFonts w:eastAsia="Times New Roman" w:cs="Times New Roman" w:ascii="Times New Roman" w:hAnsi="Times New Roman"/>
          <w:color w:val="111111"/>
          <w:sz w:val="28"/>
          <w:szCs w:val="28"/>
          <w:lang w:val="en-US" w:bidi="en-US"/>
        </w:rPr>
        <w:t>242</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ذكر الضمير المرفوع المنفصل</w:t>
      </w:r>
    </w:p>
    <w:p>
      <w:pPr>
        <w:pStyle w:val="BookText"/>
        <w:rPr/>
      </w:pPr>
      <w:r>
        <w:rPr>
          <w:rFonts w:eastAsia="Times New Roman" w:cs="Times New Roman" w:ascii="Times New Roman" w:hAnsi="Times New Roman"/>
          <w:color w:val="111111"/>
          <w:sz w:val="28"/>
          <w:szCs w:val="28"/>
          <w:lang w:val="en-US" w:bidi="en-US"/>
        </w:rPr>
        <w:t>243</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ذكر المنصوب المتصل</w:t>
      </w:r>
    </w:p>
    <w:p>
      <w:pPr>
        <w:pStyle w:val="BookText"/>
        <w:rPr/>
      </w:pPr>
      <w:r>
        <w:rPr>
          <w:rFonts w:eastAsia="Times New Roman" w:cs="Times New Roman" w:ascii="Times New Roman" w:hAnsi="Times New Roman"/>
          <w:color w:val="111111"/>
          <w:sz w:val="28"/>
          <w:szCs w:val="28"/>
          <w:lang w:val="en-US" w:bidi="en-US"/>
        </w:rPr>
        <w:t>244</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ذكر المنصوب المنفصل</w:t>
      </w:r>
    </w:p>
    <w:p>
      <w:pPr>
        <w:pStyle w:val="BookText"/>
        <w:rPr/>
      </w:pPr>
      <w:r>
        <w:rPr>
          <w:rFonts w:eastAsia="Times New Roman" w:cs="Times New Roman" w:ascii="Times New Roman" w:hAnsi="Times New Roman"/>
          <w:color w:val="111111"/>
          <w:sz w:val="28"/>
          <w:szCs w:val="28"/>
          <w:lang w:val="en-US" w:bidi="en-US"/>
        </w:rPr>
        <w:t>244</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ذكر الضمير المجرور</w:t>
      </w:r>
    </w:p>
    <w:p>
      <w:pPr>
        <w:pStyle w:val="BookText"/>
        <w:rPr/>
      </w:pPr>
      <w:r>
        <w:rPr>
          <w:rFonts w:eastAsia="Times New Roman" w:cs="Times New Roman" w:ascii="Times New Roman" w:hAnsi="Times New Roman"/>
          <w:color w:val="111111"/>
          <w:sz w:val="28"/>
          <w:szCs w:val="28"/>
          <w:lang w:val="en-US" w:bidi="en-US"/>
        </w:rPr>
        <w:t>245</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ذكر الضمير المستتر</w:t>
      </w:r>
    </w:p>
    <w:p>
      <w:pPr>
        <w:pStyle w:val="BookText"/>
        <w:rPr/>
      </w:pPr>
      <w:r>
        <w:rPr>
          <w:rFonts w:eastAsia="Times New Roman" w:cs="Times New Roman" w:ascii="Times New Roman" w:hAnsi="Times New Roman"/>
          <w:color w:val="111111"/>
          <w:sz w:val="28"/>
          <w:szCs w:val="28"/>
          <w:lang w:val="en-US" w:bidi="en-US"/>
        </w:rPr>
        <w:t>249</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ذكر أحكام الضمير المنفصل</w:t>
      </w:r>
    </w:p>
    <w:p>
      <w:pPr>
        <w:pStyle w:val="BookText"/>
        <w:rPr/>
      </w:pPr>
      <w:r>
        <w:rPr>
          <w:rFonts w:eastAsia="Times New Roman" w:cs="Times New Roman" w:ascii="Times New Roman" w:hAnsi="Times New Roman"/>
          <w:color w:val="111111"/>
          <w:sz w:val="28"/>
          <w:szCs w:val="28"/>
          <w:lang w:val="en-US" w:bidi="en-US"/>
        </w:rPr>
        <w:t>250</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ذكر الضمائر التي يجوز فيها الاتصال والانفصال</w:t>
      </w:r>
    </w:p>
    <w:p>
      <w:pPr>
        <w:pStyle w:val="BookText"/>
        <w:rPr/>
      </w:pPr>
      <w:r>
        <w:rPr>
          <w:rFonts w:eastAsia="Times New Roman" w:cs="Times New Roman" w:ascii="Times New Roman" w:hAnsi="Times New Roman"/>
          <w:color w:val="111111"/>
          <w:sz w:val="28"/>
          <w:szCs w:val="28"/>
          <w:lang w:val="en-US" w:bidi="en-US"/>
        </w:rPr>
        <w:t>251</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ذكر المضمر الواقع بعد عسى</w:t>
      </w:r>
    </w:p>
    <w:p>
      <w:pPr>
        <w:pStyle w:val="BookText"/>
        <w:rPr/>
      </w:pPr>
      <w:r>
        <w:rPr>
          <w:rFonts w:eastAsia="Times New Roman" w:cs="Times New Roman" w:ascii="Times New Roman" w:hAnsi="Times New Roman"/>
          <w:color w:val="111111"/>
          <w:sz w:val="28"/>
          <w:szCs w:val="28"/>
          <w:lang w:val="en-US" w:bidi="en-US"/>
        </w:rPr>
        <w:t>253</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ذكر نون الوقاية</w:t>
      </w:r>
    </w:p>
    <w:p>
      <w:pPr>
        <w:pStyle w:val="BookText"/>
        <w:rPr/>
      </w:pPr>
      <w:r>
        <w:rPr>
          <w:rFonts w:eastAsia="Times New Roman" w:cs="Times New Roman" w:ascii="Times New Roman" w:hAnsi="Times New Roman"/>
          <w:color w:val="111111"/>
          <w:sz w:val="28"/>
          <w:szCs w:val="28"/>
          <w:lang w:val="en-US" w:bidi="en-US"/>
        </w:rPr>
        <w:t>256</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ذكر الفصل</w:t>
      </w:r>
    </w:p>
    <w:p>
      <w:pPr>
        <w:pStyle w:val="BookText"/>
        <w:rPr/>
      </w:pPr>
      <w:r>
        <w:rPr>
          <w:rFonts w:eastAsia="Times New Roman" w:cs="Times New Roman" w:ascii="Times New Roman" w:hAnsi="Times New Roman"/>
          <w:color w:val="111111"/>
          <w:sz w:val="28"/>
          <w:szCs w:val="28"/>
          <w:lang w:val="en-US" w:bidi="en-US"/>
        </w:rPr>
        <w:t>257</w:t>
      </w:r>
    </w:p>
    <w:p>
      <w:pPr>
        <w:pStyle w:val="BookText"/>
        <w:rPr/>
      </w:pPr>
      <w:r>
        <w:rPr>
          <w:rFonts w:ascii="Amiri" w:hAnsi="Amiri" w:eastAsia="Amiri" w:cs="Amiri"/>
          <w:color w:val="111111"/>
          <w:sz w:val="28"/>
          <w:sz w:val="28"/>
          <w:szCs w:val="28"/>
          <w:rtl w:val="true"/>
          <w:lang w:bidi="ar-SA"/>
        </w:rPr>
        <w:t>ذكر ضمير الشأن</w:t>
      </w:r>
    </w:p>
    <w:p>
      <w:pPr>
        <w:pStyle w:val="BookText"/>
        <w:rPr/>
      </w:pPr>
      <w:r>
        <w:rPr>
          <w:rFonts w:eastAsia="Times New Roman" w:cs="Times New Roman" w:ascii="Times New Roman" w:hAnsi="Times New Roman"/>
          <w:color w:val="111111"/>
          <w:sz w:val="28"/>
          <w:szCs w:val="28"/>
          <w:lang w:val="en-US" w:bidi="en-US"/>
        </w:rPr>
        <w:t>259</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ذكر أسماء الإشارة</w:t>
      </w:r>
    </w:p>
    <w:p>
      <w:pPr>
        <w:pStyle w:val="BookText"/>
        <w:rPr/>
      </w:pPr>
      <w:r>
        <w:rPr>
          <w:rFonts w:eastAsia="Times New Roman" w:cs="Times New Roman" w:ascii="Times New Roman" w:hAnsi="Times New Roman"/>
          <w:color w:val="111111"/>
          <w:sz w:val="28"/>
          <w:szCs w:val="28"/>
          <w:lang w:val="en-US" w:bidi="en-US"/>
        </w:rPr>
        <w:t>261</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ذكر الموصولات</w:t>
      </w:r>
    </w:p>
    <w:p>
      <w:pPr>
        <w:pStyle w:val="BookText"/>
        <w:rPr/>
      </w:pPr>
      <w:r>
        <w:rPr>
          <w:rFonts w:eastAsia="Times New Roman" w:cs="Times New Roman" w:ascii="Times New Roman" w:hAnsi="Times New Roman"/>
          <w:color w:val="111111"/>
          <w:sz w:val="28"/>
          <w:szCs w:val="28"/>
          <w:lang w:val="en-US" w:bidi="en-US"/>
        </w:rPr>
        <w:t>264</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ذكر تعدد الموصولات</w:t>
      </w:r>
    </w:p>
    <w:p>
      <w:pPr>
        <w:pStyle w:val="BookText"/>
        <w:rPr/>
      </w:pPr>
      <w:r>
        <w:rPr>
          <w:rFonts w:eastAsia="Times New Roman" w:cs="Times New Roman" w:ascii="Times New Roman" w:hAnsi="Times New Roman"/>
          <w:color w:val="111111"/>
          <w:sz w:val="28"/>
          <w:szCs w:val="28"/>
          <w:lang w:val="en-US" w:bidi="en-US"/>
        </w:rPr>
        <w:t>265</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ذكر الإخبار بالذي وبابها</w:t>
      </w:r>
    </w:p>
    <w:p>
      <w:pPr>
        <w:pStyle w:val="BookText"/>
        <w:rPr/>
      </w:pPr>
      <w:r>
        <w:rPr>
          <w:rFonts w:eastAsia="Times New Roman" w:cs="Times New Roman" w:ascii="Times New Roman" w:hAnsi="Times New Roman"/>
          <w:color w:val="111111"/>
          <w:sz w:val="28"/>
          <w:szCs w:val="28"/>
          <w:lang w:val="en-US" w:bidi="en-US"/>
        </w:rPr>
        <w:t>266</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ذكر أنواع ما</w:t>
      </w:r>
    </w:p>
    <w:p>
      <w:pPr>
        <w:pStyle w:val="BookText"/>
        <w:rPr/>
      </w:pPr>
      <w:r>
        <w:rPr>
          <w:rFonts w:eastAsia="Times New Roman" w:cs="Times New Roman" w:ascii="Times New Roman" w:hAnsi="Times New Roman"/>
          <w:color w:val="111111"/>
          <w:sz w:val="28"/>
          <w:szCs w:val="28"/>
          <w:lang w:val="en-US" w:bidi="en-US"/>
        </w:rPr>
        <w:t>269</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ذكر أنواع من</w:t>
      </w:r>
    </w:p>
    <w:p>
      <w:pPr>
        <w:pStyle w:val="BookText"/>
        <w:rPr/>
      </w:pPr>
      <w:r>
        <w:rPr>
          <w:rFonts w:eastAsia="Times New Roman" w:cs="Times New Roman" w:ascii="Times New Roman" w:hAnsi="Times New Roman"/>
          <w:color w:val="111111"/>
          <w:sz w:val="28"/>
          <w:szCs w:val="28"/>
          <w:lang w:val="en-US" w:bidi="en-US"/>
        </w:rPr>
        <w:t>271</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ذكر أنواع أي وأية</w:t>
      </w:r>
    </w:p>
    <w:p>
      <w:pPr>
        <w:pStyle w:val="BookText"/>
        <w:rPr/>
      </w:pPr>
      <w:r>
        <w:rPr>
          <w:rFonts w:eastAsia="Times New Roman" w:cs="Times New Roman" w:ascii="Times New Roman" w:hAnsi="Times New Roman"/>
          <w:color w:val="111111"/>
          <w:sz w:val="28"/>
          <w:szCs w:val="28"/>
          <w:lang w:val="en-US" w:bidi="en-US"/>
        </w:rPr>
        <w:t>272</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ذكر ما ذا</w:t>
      </w:r>
    </w:p>
    <w:p>
      <w:pPr>
        <w:pStyle w:val="BookText"/>
        <w:rPr/>
      </w:pPr>
      <w:r>
        <w:rPr>
          <w:rFonts w:eastAsia="Times New Roman" w:cs="Times New Roman" w:ascii="Times New Roman" w:hAnsi="Times New Roman"/>
          <w:color w:val="111111"/>
          <w:sz w:val="28"/>
          <w:szCs w:val="28"/>
          <w:lang w:val="en-US" w:bidi="en-US"/>
        </w:rPr>
        <w:t>273</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ذكر أسماء الأفعال</w:t>
      </w:r>
    </w:p>
    <w:p>
      <w:pPr>
        <w:pStyle w:val="BookText"/>
        <w:rPr/>
      </w:pPr>
      <w:r>
        <w:rPr>
          <w:rFonts w:eastAsia="Times New Roman" w:cs="Times New Roman" w:ascii="Times New Roman" w:hAnsi="Times New Roman"/>
          <w:color w:val="111111"/>
          <w:sz w:val="28"/>
          <w:szCs w:val="28"/>
          <w:lang w:val="en-US" w:bidi="en-US"/>
        </w:rPr>
        <w:t>273</w:t>
      </w:r>
    </w:p>
    <w:p>
      <w:pPr>
        <w:pStyle w:val="BookText"/>
        <w:rPr/>
      </w:pPr>
      <w:r>
        <w:rPr>
          <w:rFonts w:ascii="Amiri" w:hAnsi="Amiri" w:eastAsia="Amiri" w:cs="Amiri"/>
          <w:color w:val="111111"/>
          <w:sz w:val="28"/>
          <w:sz w:val="28"/>
          <w:szCs w:val="28"/>
          <w:rtl w:val="true"/>
          <w:lang w:bidi="ar-SA"/>
        </w:rPr>
        <w:t>ك</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أسماء الأفعال تنقسم إلى مرتجل ومشتق ومنقول</w:t>
      </w:r>
    </w:p>
    <w:p>
      <w:pPr>
        <w:pStyle w:val="BookText"/>
        <w:rPr/>
      </w:pPr>
      <w:r>
        <w:rPr>
          <w:rFonts w:eastAsia="Times New Roman" w:cs="Times New Roman" w:ascii="Times New Roman" w:hAnsi="Times New Roman"/>
          <w:color w:val="111111"/>
          <w:sz w:val="28"/>
          <w:szCs w:val="28"/>
          <w:lang w:val="en-US" w:bidi="en-US"/>
        </w:rPr>
        <w:t>275</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ومذهب سيبويه أن كلّ فعل ثلاثي يبنى منه فعال</w:t>
      </w:r>
    </w:p>
    <w:p>
      <w:pPr>
        <w:pStyle w:val="BookText"/>
        <w:rPr/>
      </w:pPr>
      <w:r>
        <w:rPr>
          <w:rFonts w:ascii="IRNazanin" w:hAnsi="IRNazanin" w:eastAsia="IRNazanin"/>
          <w:color w:val="111111"/>
          <w:sz w:val="28"/>
          <w:sz w:val="28"/>
          <w:szCs w:val="28"/>
          <w:rtl w:val="true"/>
          <w:lang w:bidi="fa-IR"/>
        </w:rPr>
        <w:t>بمعنى أفعل</w:t>
      </w:r>
    </w:p>
    <w:p>
      <w:pPr>
        <w:pStyle w:val="BookText"/>
        <w:rPr/>
      </w:pPr>
      <w:r>
        <w:rPr>
          <w:rFonts w:eastAsia="Times New Roman" w:cs="Times New Roman" w:ascii="Times New Roman" w:hAnsi="Times New Roman"/>
          <w:color w:val="111111"/>
          <w:sz w:val="28"/>
          <w:szCs w:val="28"/>
          <w:lang w:val="en-US" w:bidi="en-US"/>
        </w:rPr>
        <w:t>275</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أسماء الأفعال ها بمعنى خذ</w:t>
      </w:r>
    </w:p>
    <w:p>
      <w:pPr>
        <w:pStyle w:val="BookText"/>
        <w:rPr/>
      </w:pPr>
      <w:r>
        <w:rPr>
          <w:rFonts w:eastAsia="Times New Roman" w:cs="Times New Roman" w:ascii="Times New Roman" w:hAnsi="Times New Roman"/>
          <w:color w:val="111111"/>
          <w:sz w:val="28"/>
          <w:szCs w:val="28"/>
          <w:lang w:val="en-US" w:bidi="en-US"/>
        </w:rPr>
        <w:t>276</w:t>
      </w:r>
    </w:p>
    <w:p>
      <w:pPr>
        <w:pStyle w:val="BookText"/>
        <w:rPr/>
      </w:pP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المبنيات ما يوافق فعال في الصيغة</w:t>
      </w:r>
    </w:p>
    <w:p>
      <w:pPr>
        <w:pStyle w:val="BookText"/>
        <w:rPr/>
      </w:pPr>
      <w:r>
        <w:rPr>
          <w:rFonts w:eastAsia="Times New Roman" w:cs="Times New Roman" w:ascii="Times New Roman" w:hAnsi="Times New Roman"/>
          <w:color w:val="111111"/>
          <w:sz w:val="28"/>
          <w:szCs w:val="28"/>
          <w:lang w:val="en-US" w:bidi="en-US"/>
        </w:rPr>
        <w:t>277</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ذكر الأصوات</w:t>
      </w:r>
    </w:p>
    <w:p>
      <w:pPr>
        <w:pStyle w:val="BookText"/>
        <w:rPr/>
      </w:pPr>
      <w:r>
        <w:rPr>
          <w:rFonts w:eastAsia="Times New Roman" w:cs="Times New Roman" w:ascii="Times New Roman" w:hAnsi="Times New Roman"/>
          <w:color w:val="111111"/>
          <w:sz w:val="28"/>
          <w:szCs w:val="28"/>
          <w:lang w:val="en-US" w:bidi="en-US"/>
        </w:rPr>
        <w:t>279</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ذكر المركبات</w:t>
      </w:r>
    </w:p>
    <w:p>
      <w:pPr>
        <w:pStyle w:val="BookText"/>
        <w:rPr/>
      </w:pPr>
      <w:r>
        <w:rPr>
          <w:rFonts w:eastAsia="Times New Roman" w:cs="Times New Roman" w:ascii="Times New Roman" w:hAnsi="Times New Roman"/>
          <w:color w:val="111111"/>
          <w:sz w:val="28"/>
          <w:szCs w:val="28"/>
          <w:lang w:val="en-US" w:bidi="en-US"/>
        </w:rPr>
        <w:t>279</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ذكر الكنايات المبنيات</w:t>
      </w:r>
    </w:p>
    <w:p>
      <w:pPr>
        <w:pStyle w:val="BookText"/>
        <w:rPr/>
      </w:pPr>
      <w:r>
        <w:rPr>
          <w:rFonts w:eastAsia="Times New Roman" w:cs="Times New Roman" w:ascii="Times New Roman" w:hAnsi="Times New Roman"/>
          <w:color w:val="111111"/>
          <w:sz w:val="28"/>
          <w:szCs w:val="28"/>
          <w:lang w:val="en-US" w:bidi="en-US"/>
        </w:rPr>
        <w:t>281</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ذكر الظروف المبنية</w:t>
      </w:r>
    </w:p>
    <w:p>
      <w:pPr>
        <w:pStyle w:val="BookText"/>
        <w:rPr/>
      </w:pPr>
      <w:r>
        <w:rPr>
          <w:rFonts w:eastAsia="Times New Roman" w:cs="Times New Roman" w:ascii="Times New Roman" w:hAnsi="Times New Roman"/>
          <w:color w:val="111111"/>
          <w:sz w:val="28"/>
          <w:szCs w:val="28"/>
          <w:lang w:val="en-US" w:bidi="en-US"/>
        </w:rPr>
        <w:t>285</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ذكر اسم الجنس</w:t>
      </w:r>
    </w:p>
    <w:p>
      <w:pPr>
        <w:pStyle w:val="BookText"/>
        <w:rPr/>
      </w:pPr>
      <w:r>
        <w:rPr>
          <w:rFonts w:eastAsia="Times New Roman" w:cs="Times New Roman" w:ascii="Times New Roman" w:hAnsi="Times New Roman"/>
          <w:color w:val="111111"/>
          <w:sz w:val="28"/>
          <w:szCs w:val="28"/>
          <w:lang w:val="en-US" w:bidi="en-US"/>
        </w:rPr>
        <w:t>292</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 </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الرمز</w:t>
      </w:r>
    </w:p>
    <w:p>
      <w:pPr>
        <w:pStyle w:val="BookText"/>
        <w:rPr/>
      </w:pPr>
      <w:r>
        <w:rPr>
          <w:rFonts w:ascii="Amiri" w:hAnsi="Amiri" w:eastAsia="Amiri" w:cs="Amiri"/>
          <w:color w:val="111111"/>
          <w:sz w:val="28"/>
          <w:sz w:val="28"/>
          <w:szCs w:val="28"/>
          <w:rtl w:val="true"/>
          <w:lang w:bidi="ar-SA"/>
        </w:rPr>
        <w:t>ذكر المعرفة</w:t>
      </w:r>
    </w:p>
    <w:p>
      <w:pPr>
        <w:pStyle w:val="BookText"/>
        <w:rPr/>
      </w:pPr>
      <w:r>
        <w:rPr>
          <w:rFonts w:eastAsia="Times New Roman" w:cs="Times New Roman" w:ascii="Times New Roman" w:hAnsi="Times New Roman"/>
          <w:color w:val="111111"/>
          <w:sz w:val="28"/>
          <w:szCs w:val="28"/>
          <w:lang w:val="en-US" w:bidi="en-US"/>
        </w:rPr>
        <w:t>293</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ذكر النكرة</w:t>
      </w:r>
    </w:p>
    <w:p>
      <w:pPr>
        <w:pStyle w:val="BookText"/>
        <w:rPr/>
      </w:pPr>
      <w:r>
        <w:rPr>
          <w:rFonts w:eastAsia="Times New Roman" w:cs="Times New Roman" w:ascii="Times New Roman" w:hAnsi="Times New Roman"/>
          <w:color w:val="111111"/>
          <w:sz w:val="28"/>
          <w:szCs w:val="28"/>
          <w:lang w:val="en-US" w:bidi="en-US"/>
        </w:rPr>
        <w:t>300</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ذكر اسم العدد</w:t>
      </w:r>
    </w:p>
    <w:p>
      <w:pPr>
        <w:pStyle w:val="BookText"/>
        <w:rPr/>
      </w:pPr>
      <w:r>
        <w:rPr>
          <w:rFonts w:eastAsia="Times New Roman" w:cs="Times New Roman" w:ascii="Times New Roman" w:hAnsi="Times New Roman"/>
          <w:color w:val="111111"/>
          <w:sz w:val="28"/>
          <w:szCs w:val="28"/>
          <w:lang w:val="en-US" w:bidi="en-US"/>
        </w:rPr>
        <w:t>301</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ذكر تمييز الثلاثة إلى العشرة</w:t>
      </w:r>
    </w:p>
    <w:p>
      <w:pPr>
        <w:pStyle w:val="BookText"/>
        <w:rPr/>
      </w:pPr>
      <w:r>
        <w:rPr>
          <w:rFonts w:eastAsia="Times New Roman" w:cs="Times New Roman" w:ascii="Times New Roman" w:hAnsi="Times New Roman"/>
          <w:color w:val="111111"/>
          <w:sz w:val="28"/>
          <w:szCs w:val="28"/>
          <w:lang w:val="en-US" w:bidi="en-US"/>
        </w:rPr>
        <w:t>303</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ذكر تمييز أحد عشر إلى تسعة وتسعين</w:t>
      </w:r>
    </w:p>
    <w:p>
      <w:pPr>
        <w:pStyle w:val="BookText"/>
        <w:rPr/>
      </w:pPr>
      <w:r>
        <w:rPr>
          <w:rFonts w:eastAsia="Times New Roman" w:cs="Times New Roman" w:ascii="Times New Roman" w:hAnsi="Times New Roman"/>
          <w:color w:val="111111"/>
          <w:sz w:val="28"/>
          <w:szCs w:val="28"/>
          <w:lang w:val="en-US" w:bidi="en-US"/>
        </w:rPr>
        <w:t>304</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ذكر تمييز المائة وما فوقها</w:t>
      </w:r>
    </w:p>
    <w:p>
      <w:pPr>
        <w:pStyle w:val="BookText"/>
        <w:rPr/>
      </w:pPr>
      <w:r>
        <w:rPr>
          <w:rFonts w:eastAsia="Times New Roman" w:cs="Times New Roman" w:ascii="Times New Roman" w:hAnsi="Times New Roman"/>
          <w:color w:val="111111"/>
          <w:sz w:val="28"/>
          <w:szCs w:val="28"/>
          <w:lang w:val="en-US" w:bidi="en-US"/>
        </w:rPr>
        <w:t>304</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ذكر ما لا يميز وغير ذلك</w:t>
      </w:r>
    </w:p>
    <w:p>
      <w:pPr>
        <w:pStyle w:val="BookText"/>
        <w:rPr/>
      </w:pPr>
      <w:r>
        <w:rPr>
          <w:rFonts w:eastAsia="Times New Roman" w:cs="Times New Roman" w:ascii="Times New Roman" w:hAnsi="Times New Roman"/>
          <w:color w:val="111111"/>
          <w:sz w:val="28"/>
          <w:szCs w:val="28"/>
          <w:lang w:val="en-US" w:bidi="en-US"/>
        </w:rPr>
        <w:t>304</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ذكر التصيير والحال</w:t>
      </w:r>
    </w:p>
    <w:p>
      <w:pPr>
        <w:pStyle w:val="BookText"/>
        <w:rPr/>
      </w:pPr>
      <w:r>
        <w:rPr>
          <w:rFonts w:eastAsia="Times New Roman" w:cs="Times New Roman" w:ascii="Times New Roman" w:hAnsi="Times New Roman"/>
          <w:color w:val="111111"/>
          <w:sz w:val="28"/>
          <w:szCs w:val="28"/>
          <w:lang w:val="en-US" w:bidi="en-US"/>
        </w:rPr>
        <w:t>305</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ذكر تعريف الأعداد</w:t>
      </w:r>
    </w:p>
    <w:p>
      <w:pPr>
        <w:pStyle w:val="BookText"/>
        <w:rPr/>
      </w:pPr>
      <w:r>
        <w:rPr>
          <w:rFonts w:eastAsia="Times New Roman" w:cs="Times New Roman" w:ascii="Times New Roman" w:hAnsi="Times New Roman"/>
          <w:color w:val="111111"/>
          <w:sz w:val="28"/>
          <w:szCs w:val="28"/>
          <w:lang w:val="en-US" w:bidi="en-US"/>
        </w:rPr>
        <w:t>306</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ذكر المذكر والمؤنث</w:t>
      </w:r>
    </w:p>
    <w:p>
      <w:pPr>
        <w:pStyle w:val="BookText"/>
        <w:rPr/>
      </w:pPr>
      <w:r>
        <w:rPr>
          <w:rFonts w:eastAsia="Times New Roman" w:cs="Times New Roman" w:ascii="Times New Roman" w:hAnsi="Times New Roman"/>
          <w:color w:val="111111"/>
          <w:sz w:val="28"/>
          <w:szCs w:val="28"/>
          <w:lang w:val="en-US" w:bidi="en-US"/>
        </w:rPr>
        <w:t>307</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ذكر التثنية</w:t>
      </w:r>
    </w:p>
    <w:p>
      <w:pPr>
        <w:pStyle w:val="BookText"/>
        <w:rPr/>
      </w:pPr>
      <w:r>
        <w:rPr>
          <w:rFonts w:eastAsia="Times New Roman" w:cs="Times New Roman" w:ascii="Times New Roman" w:hAnsi="Times New Roman"/>
          <w:color w:val="111111"/>
          <w:sz w:val="28"/>
          <w:szCs w:val="28"/>
          <w:lang w:val="en-US" w:bidi="en-US"/>
        </w:rPr>
        <w:t>310</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ذكر تثنية الملحق بالصحيح والمقصور والممدود</w:t>
      </w:r>
    </w:p>
    <w:p>
      <w:pPr>
        <w:pStyle w:val="BookText"/>
        <w:rPr/>
      </w:pPr>
      <w:r>
        <w:rPr>
          <w:rFonts w:eastAsia="Times New Roman" w:cs="Times New Roman" w:ascii="Times New Roman" w:hAnsi="Times New Roman"/>
          <w:color w:val="111111"/>
          <w:sz w:val="28"/>
          <w:szCs w:val="28"/>
          <w:lang w:val="en-US" w:bidi="en-US"/>
        </w:rPr>
        <w:t>311</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ذكر الجمع</w:t>
      </w:r>
    </w:p>
    <w:p>
      <w:pPr>
        <w:pStyle w:val="BookText"/>
        <w:rPr/>
      </w:pPr>
      <w:r>
        <w:rPr>
          <w:rFonts w:eastAsia="Times New Roman" w:cs="Times New Roman" w:ascii="Times New Roman" w:hAnsi="Times New Roman"/>
          <w:color w:val="111111"/>
          <w:sz w:val="28"/>
          <w:szCs w:val="28"/>
          <w:lang w:val="en-US" w:bidi="en-US"/>
        </w:rPr>
        <w:t>313</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ذكر جمع المذكر السالم</w:t>
      </w:r>
    </w:p>
    <w:p>
      <w:pPr>
        <w:pStyle w:val="BookText"/>
        <w:rPr/>
      </w:pPr>
      <w:r>
        <w:rPr>
          <w:rFonts w:eastAsia="Times New Roman" w:cs="Times New Roman" w:ascii="Times New Roman" w:hAnsi="Times New Roman"/>
          <w:color w:val="111111"/>
          <w:sz w:val="28"/>
          <w:szCs w:val="28"/>
          <w:lang w:val="en-US" w:bidi="en-US"/>
        </w:rPr>
        <w:t>315</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ذكر جمع التكسير</w:t>
      </w:r>
    </w:p>
    <w:p>
      <w:pPr>
        <w:pStyle w:val="BookText"/>
        <w:rPr/>
      </w:pPr>
      <w:r>
        <w:rPr>
          <w:rFonts w:eastAsia="Times New Roman" w:cs="Times New Roman" w:ascii="Times New Roman" w:hAnsi="Times New Roman"/>
          <w:color w:val="111111"/>
          <w:sz w:val="28"/>
          <w:szCs w:val="28"/>
          <w:lang w:val="en-US" w:bidi="en-US"/>
        </w:rPr>
        <w:t>318</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ذكر الأسماء المتصلة بالأفعال</w:t>
      </w:r>
    </w:p>
    <w:p>
      <w:pPr>
        <w:pStyle w:val="BookText"/>
        <w:rPr/>
      </w:pPr>
      <w:r>
        <w:rPr>
          <w:rFonts w:eastAsia="Times New Roman" w:cs="Times New Roman" w:ascii="Times New Roman" w:hAnsi="Times New Roman"/>
          <w:color w:val="111111"/>
          <w:sz w:val="28"/>
          <w:szCs w:val="28"/>
          <w:lang w:val="en-US" w:bidi="en-US"/>
        </w:rPr>
        <w:t>319</w:t>
      </w:r>
    </w:p>
    <w:p>
      <w:pPr>
        <w:pStyle w:val="BookText"/>
        <w:rPr/>
      </w:pPr>
      <w:r>
        <w:rPr>
          <w:rFonts w:ascii="Amiri" w:hAnsi="Amiri" w:eastAsia="Amiri" w:cs="Amiri"/>
          <w:color w:val="111111"/>
          <w:sz w:val="28"/>
          <w:sz w:val="28"/>
          <w:szCs w:val="28"/>
          <w:rtl w:val="true"/>
          <w:lang w:bidi="ar-SA"/>
        </w:rPr>
        <w:t>ذكر المصدر</w:t>
      </w:r>
    </w:p>
    <w:p>
      <w:pPr>
        <w:pStyle w:val="BookText"/>
        <w:rPr/>
      </w:pPr>
      <w:r>
        <w:rPr>
          <w:rFonts w:eastAsia="Times New Roman" w:cs="Times New Roman" w:ascii="Times New Roman" w:hAnsi="Times New Roman"/>
          <w:color w:val="111111"/>
          <w:sz w:val="28"/>
          <w:szCs w:val="28"/>
          <w:lang w:val="en-US" w:bidi="en-US"/>
        </w:rPr>
        <w:t>319</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ذكر اسم الفاعل</w:t>
      </w:r>
    </w:p>
    <w:p>
      <w:pPr>
        <w:pStyle w:val="BookText"/>
        <w:rPr/>
      </w:pPr>
      <w:r>
        <w:rPr>
          <w:rFonts w:eastAsia="Times New Roman" w:cs="Times New Roman" w:ascii="Times New Roman" w:hAnsi="Times New Roman"/>
          <w:color w:val="111111"/>
          <w:sz w:val="28"/>
          <w:szCs w:val="28"/>
          <w:lang w:val="en-US" w:bidi="en-US"/>
        </w:rPr>
        <w:t>326</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ذكر اسم الفاعل من الفعل الثلاثي</w:t>
      </w:r>
    </w:p>
    <w:p>
      <w:pPr>
        <w:pStyle w:val="BookText"/>
        <w:rPr/>
      </w:pPr>
      <w:r>
        <w:rPr>
          <w:rFonts w:eastAsia="Times New Roman" w:cs="Times New Roman" w:ascii="Times New Roman" w:hAnsi="Times New Roman"/>
          <w:color w:val="111111"/>
          <w:sz w:val="28"/>
          <w:szCs w:val="28"/>
          <w:lang w:val="en-US" w:bidi="en-US"/>
        </w:rPr>
        <w:t>327</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ذكر اسم الفاعل من غير الثلاثي</w:t>
      </w:r>
    </w:p>
    <w:p>
      <w:pPr>
        <w:pStyle w:val="BookText"/>
        <w:rPr/>
      </w:pPr>
      <w:r>
        <w:rPr>
          <w:rFonts w:eastAsia="Times New Roman" w:cs="Times New Roman" w:ascii="Times New Roman" w:hAnsi="Times New Roman"/>
          <w:color w:val="111111"/>
          <w:sz w:val="28"/>
          <w:szCs w:val="28"/>
          <w:lang w:val="en-US" w:bidi="en-US"/>
        </w:rPr>
        <w:t>327</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ذكر عمل اسم الفاعل</w:t>
      </w:r>
    </w:p>
    <w:p>
      <w:pPr>
        <w:pStyle w:val="BookText"/>
        <w:rPr/>
      </w:pPr>
      <w:r>
        <w:rPr>
          <w:rFonts w:eastAsia="Times New Roman" w:cs="Times New Roman" w:ascii="Times New Roman" w:hAnsi="Times New Roman"/>
          <w:color w:val="111111"/>
          <w:sz w:val="28"/>
          <w:szCs w:val="28"/>
          <w:lang w:val="en-US" w:bidi="en-US"/>
        </w:rPr>
        <w:t>327</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ذكر أبنية المبالغة</w:t>
      </w:r>
    </w:p>
    <w:p>
      <w:pPr>
        <w:pStyle w:val="BookText"/>
        <w:rPr/>
      </w:pPr>
      <w:r>
        <w:rPr>
          <w:rFonts w:eastAsia="Times New Roman" w:cs="Times New Roman" w:ascii="Times New Roman" w:hAnsi="Times New Roman"/>
          <w:color w:val="111111"/>
          <w:sz w:val="28"/>
          <w:szCs w:val="28"/>
          <w:lang w:val="en-US" w:bidi="en-US"/>
        </w:rPr>
        <w:t>330</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ذكر اسم المفعول</w:t>
      </w:r>
    </w:p>
    <w:p>
      <w:pPr>
        <w:pStyle w:val="BookText"/>
        <w:rPr/>
      </w:pPr>
      <w:r>
        <w:rPr>
          <w:rFonts w:eastAsia="Times New Roman" w:cs="Times New Roman" w:ascii="Times New Roman" w:hAnsi="Times New Roman"/>
          <w:color w:val="111111"/>
          <w:sz w:val="28"/>
          <w:szCs w:val="28"/>
          <w:lang w:val="en-US" w:bidi="en-US"/>
        </w:rPr>
        <w:t>331</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ذكر الصفة المشبهة</w:t>
      </w:r>
    </w:p>
    <w:p>
      <w:pPr>
        <w:pStyle w:val="BookText"/>
        <w:rPr/>
      </w:pPr>
      <w:r>
        <w:rPr>
          <w:rFonts w:eastAsia="Times New Roman" w:cs="Times New Roman" w:ascii="Times New Roman" w:hAnsi="Times New Roman"/>
          <w:color w:val="111111"/>
          <w:sz w:val="28"/>
          <w:szCs w:val="28"/>
          <w:lang w:val="en-US" w:bidi="en-US"/>
        </w:rPr>
        <w:t>333</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ذكر التشابه والاختلاف بين الصفة المشبهة واسم</w:t>
      </w:r>
    </w:p>
    <w:p>
      <w:pPr>
        <w:pStyle w:val="BookText"/>
        <w:rPr/>
      </w:pPr>
      <w:r>
        <w:rPr>
          <w:rFonts w:ascii="IRNazanin" w:hAnsi="IRNazanin" w:eastAsia="IRNazanin"/>
          <w:color w:val="111111"/>
          <w:sz w:val="28"/>
          <w:sz w:val="28"/>
          <w:szCs w:val="28"/>
          <w:rtl w:val="true"/>
          <w:lang w:bidi="fa-IR"/>
        </w:rPr>
        <w:t>الفاعل</w:t>
      </w:r>
    </w:p>
    <w:p>
      <w:pPr>
        <w:pStyle w:val="BookText"/>
        <w:rPr/>
      </w:pPr>
      <w:r>
        <w:rPr>
          <w:rFonts w:eastAsia="Times New Roman" w:cs="Times New Roman" w:ascii="Times New Roman" w:hAnsi="Times New Roman"/>
          <w:color w:val="111111"/>
          <w:sz w:val="28"/>
          <w:szCs w:val="28"/>
          <w:lang w:val="en-US" w:bidi="en-US"/>
        </w:rPr>
        <w:t>334</w:t>
      </w:r>
    </w:p>
    <w:p>
      <w:pPr>
        <w:pStyle w:val="BookText"/>
        <w:rPr/>
      </w:pPr>
      <w:r>
        <w:rPr>
          <w:rFonts w:ascii="Amiri" w:hAnsi="Amiri" w:eastAsia="Amiri" w:cs="Amiri"/>
          <w:color w:val="111111"/>
          <w:sz w:val="28"/>
          <w:sz w:val="28"/>
          <w:szCs w:val="28"/>
          <w:rtl w:val="true"/>
          <w:lang w:bidi="ar-SA"/>
        </w:rPr>
        <w:t>ذكر مسائلها الثماني عشرة</w:t>
      </w:r>
    </w:p>
    <w:p>
      <w:pPr>
        <w:pStyle w:val="BookText"/>
        <w:rPr/>
      </w:pPr>
      <w:r>
        <w:rPr>
          <w:rFonts w:eastAsia="Times New Roman" w:cs="Times New Roman" w:ascii="Times New Roman" w:hAnsi="Times New Roman"/>
          <w:color w:val="111111"/>
          <w:sz w:val="28"/>
          <w:szCs w:val="28"/>
          <w:lang w:val="en-US" w:bidi="en-US"/>
        </w:rPr>
        <w:t>335</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ذكر الرافع والناصب والجار لمعمول الصفة المشبهة</w:t>
      </w:r>
    </w:p>
    <w:p>
      <w:pPr>
        <w:pStyle w:val="BookText"/>
        <w:rPr/>
      </w:pPr>
      <w:r>
        <w:rPr>
          <w:rFonts w:eastAsia="Times New Roman" w:cs="Times New Roman" w:ascii="Times New Roman" w:hAnsi="Times New Roman"/>
          <w:color w:val="111111"/>
          <w:sz w:val="28"/>
          <w:szCs w:val="28"/>
          <w:lang w:val="en-US" w:bidi="en-US"/>
        </w:rPr>
        <w:t>338</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ذكر الصفة التي فيها ضمير أو ضميران أو لا ضمير</w:t>
      </w:r>
    </w:p>
    <w:p>
      <w:pPr>
        <w:pStyle w:val="BookText"/>
        <w:rPr/>
      </w:pPr>
      <w:r>
        <w:rPr>
          <w:rFonts w:ascii="Amiri" w:hAnsi="Amiri" w:eastAsia="Amiri" w:cs="Amiri"/>
          <w:color w:val="111111"/>
          <w:sz w:val="28"/>
          <w:sz w:val="28"/>
          <w:szCs w:val="28"/>
          <w:rtl w:val="true"/>
          <w:lang w:bidi="ar-SA"/>
        </w:rPr>
        <w:t>فيها أصلا</w:t>
      </w:r>
    </w:p>
    <w:p>
      <w:pPr>
        <w:pStyle w:val="BookText"/>
        <w:rPr/>
      </w:pPr>
      <w:r>
        <w:rPr>
          <w:rFonts w:eastAsia="Times New Roman" w:cs="Times New Roman" w:ascii="Times New Roman" w:hAnsi="Times New Roman"/>
          <w:color w:val="111111"/>
          <w:sz w:val="28"/>
          <w:szCs w:val="28"/>
          <w:lang w:val="en-US" w:bidi="en-US"/>
        </w:rPr>
        <w:t>338</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ذكر اسم التفضيل</w:t>
      </w:r>
    </w:p>
    <w:p>
      <w:pPr>
        <w:pStyle w:val="BookText"/>
        <w:rPr/>
      </w:pPr>
      <w:r>
        <w:rPr>
          <w:rFonts w:eastAsia="Times New Roman" w:cs="Times New Roman" w:ascii="Times New Roman" w:hAnsi="Times New Roman"/>
          <w:color w:val="111111"/>
          <w:sz w:val="28"/>
          <w:szCs w:val="28"/>
          <w:lang w:val="en-US" w:bidi="en-US"/>
        </w:rPr>
        <w:t>339</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ذكر بناء أفعل التفضيل</w:t>
      </w:r>
    </w:p>
    <w:p>
      <w:pPr>
        <w:pStyle w:val="BookText"/>
        <w:rPr/>
      </w:pPr>
      <w:r>
        <w:rPr>
          <w:rFonts w:eastAsia="Times New Roman" w:cs="Times New Roman" w:ascii="Times New Roman" w:hAnsi="Times New Roman"/>
          <w:color w:val="111111"/>
          <w:sz w:val="28"/>
          <w:szCs w:val="28"/>
          <w:lang w:val="en-US" w:bidi="en-US"/>
        </w:rPr>
        <w:t>340</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ذكر كيفية استعماله من الزائد على الثلاثي ومن</w:t>
      </w:r>
    </w:p>
    <w:p>
      <w:pPr>
        <w:pStyle w:val="BookText"/>
        <w:rPr/>
      </w:pPr>
      <w:r>
        <w:rPr>
          <w:rFonts w:ascii="Amiri" w:hAnsi="Amiri" w:eastAsia="Amiri" w:cs="Amiri"/>
          <w:color w:val="111111"/>
          <w:sz w:val="28"/>
          <w:sz w:val="28"/>
          <w:szCs w:val="28"/>
          <w:rtl w:val="true"/>
          <w:lang w:bidi="ar-SA"/>
        </w:rPr>
        <w:t>الألوان والعيوب</w:t>
      </w:r>
    </w:p>
    <w:p>
      <w:pPr>
        <w:pStyle w:val="BookText"/>
        <w:rPr/>
      </w:pPr>
      <w:r>
        <w:rPr>
          <w:rFonts w:eastAsia="Times New Roman" w:cs="Times New Roman" w:ascii="Times New Roman" w:hAnsi="Times New Roman"/>
          <w:color w:val="111111"/>
          <w:sz w:val="28"/>
          <w:szCs w:val="28"/>
          <w:lang w:val="en-US" w:bidi="en-US"/>
        </w:rPr>
        <w:t>341</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 </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الرمز</w:t>
      </w:r>
    </w:p>
    <w:p>
      <w:pPr>
        <w:pStyle w:val="BookText"/>
        <w:rPr/>
      </w:pPr>
      <w:r>
        <w:rPr>
          <w:rFonts w:ascii="Amiri" w:hAnsi="Amiri" w:eastAsia="Amiri" w:cs="Amiri"/>
          <w:color w:val="111111"/>
          <w:sz w:val="28"/>
          <w:sz w:val="28"/>
          <w:szCs w:val="28"/>
          <w:rtl w:val="true"/>
          <w:lang w:bidi="ar-SA"/>
        </w:rPr>
        <w:t>ذكر استعماله للفاعل والمفعول</w:t>
      </w:r>
    </w:p>
    <w:p>
      <w:pPr>
        <w:pStyle w:val="BookText"/>
        <w:rPr/>
      </w:pPr>
      <w:r>
        <w:rPr>
          <w:rFonts w:eastAsia="Times New Roman" w:cs="Times New Roman" w:ascii="Times New Roman" w:hAnsi="Times New Roman"/>
          <w:color w:val="111111"/>
          <w:sz w:val="28"/>
          <w:szCs w:val="28"/>
          <w:lang w:val="en-US" w:bidi="en-US"/>
        </w:rPr>
        <w:t>342</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ذكر الأمور الثلاثة التي لا يستعمل أفعل إلا بأحدها</w:t>
      </w:r>
    </w:p>
    <w:p>
      <w:pPr>
        <w:pStyle w:val="BookText"/>
        <w:rPr/>
      </w:pPr>
      <w:r>
        <w:rPr>
          <w:rFonts w:eastAsia="Times New Roman" w:cs="Times New Roman" w:ascii="Times New Roman" w:hAnsi="Times New Roman"/>
          <w:color w:val="111111"/>
          <w:sz w:val="28"/>
          <w:szCs w:val="28"/>
          <w:lang w:val="en-US" w:bidi="en-US"/>
        </w:rPr>
        <w:t>342</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ذكر أفعل المستعمل بمن</w:t>
      </w:r>
    </w:p>
    <w:p>
      <w:pPr>
        <w:pStyle w:val="BookText"/>
        <w:rPr/>
      </w:pPr>
      <w:r>
        <w:rPr>
          <w:rFonts w:eastAsia="Times New Roman" w:cs="Times New Roman" w:ascii="Times New Roman" w:hAnsi="Times New Roman"/>
          <w:color w:val="111111"/>
          <w:sz w:val="28"/>
          <w:szCs w:val="28"/>
          <w:lang w:val="en-US" w:bidi="en-US"/>
        </w:rPr>
        <w:t>347</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ذكر عمل أفعل التفضيل</w:t>
      </w:r>
    </w:p>
    <w:p>
      <w:pPr>
        <w:pStyle w:val="BookText"/>
        <w:rPr/>
      </w:pPr>
      <w:r>
        <w:rPr>
          <w:rFonts w:eastAsia="Times New Roman" w:cs="Times New Roman" w:ascii="Times New Roman" w:hAnsi="Times New Roman"/>
          <w:color w:val="111111"/>
          <w:sz w:val="28"/>
          <w:szCs w:val="28"/>
          <w:lang w:val="en-US" w:bidi="en-US"/>
        </w:rPr>
        <w:t>347</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ذكر اسم الزمان والمكان</w:t>
      </w:r>
    </w:p>
    <w:p>
      <w:pPr>
        <w:pStyle w:val="BookText"/>
        <w:rPr/>
      </w:pPr>
      <w:r>
        <w:rPr>
          <w:rFonts w:eastAsia="Times New Roman" w:cs="Times New Roman" w:ascii="Times New Roman" w:hAnsi="Times New Roman"/>
          <w:color w:val="111111"/>
          <w:sz w:val="28"/>
          <w:szCs w:val="28"/>
          <w:lang w:val="en-US" w:bidi="en-US"/>
        </w:rPr>
        <w:t>349</w:t>
      </w:r>
    </w:p>
    <w:p>
      <w:pPr>
        <w:pStyle w:val="BookText"/>
        <w:rPr/>
      </w:pP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ذكر مفعل من معتل الفاء</w:t>
      </w:r>
    </w:p>
    <w:p>
      <w:pPr>
        <w:pStyle w:val="BookText"/>
        <w:rPr/>
      </w:pPr>
      <w:r>
        <w:rPr>
          <w:rFonts w:eastAsia="Times New Roman" w:cs="Times New Roman" w:ascii="Times New Roman" w:hAnsi="Times New Roman"/>
          <w:color w:val="111111"/>
          <w:sz w:val="28"/>
          <w:szCs w:val="28"/>
          <w:lang w:val="en-US" w:bidi="en-US"/>
        </w:rPr>
        <w:t>351</w:t>
      </w:r>
    </w:p>
    <w:p>
      <w:pPr>
        <w:pStyle w:val="BookText"/>
        <w:rPr/>
      </w:pP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ذكر مفعل من معتل اللام</w:t>
      </w:r>
    </w:p>
    <w:p>
      <w:pPr>
        <w:pStyle w:val="BookText"/>
        <w:rPr/>
      </w:pPr>
      <w:r>
        <w:rPr>
          <w:rFonts w:eastAsia="Times New Roman" w:cs="Times New Roman" w:ascii="Times New Roman" w:hAnsi="Times New Roman"/>
          <w:color w:val="111111"/>
          <w:sz w:val="28"/>
          <w:szCs w:val="28"/>
          <w:lang w:val="en-US" w:bidi="en-US"/>
        </w:rPr>
        <w:t>352</w:t>
      </w:r>
    </w:p>
    <w:p>
      <w:pPr>
        <w:pStyle w:val="BookText"/>
        <w:rPr/>
      </w:pP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تدخل تاء التأنيث على بعض أسماء المكان</w:t>
      </w:r>
    </w:p>
    <w:p>
      <w:pPr>
        <w:pStyle w:val="BookText"/>
        <w:rPr/>
      </w:pPr>
      <w:r>
        <w:rPr>
          <w:rFonts w:eastAsia="Times New Roman" w:cs="Times New Roman" w:ascii="Times New Roman" w:hAnsi="Times New Roman"/>
          <w:color w:val="111111"/>
          <w:sz w:val="28"/>
          <w:szCs w:val="28"/>
          <w:lang w:val="en-US" w:bidi="en-US"/>
        </w:rPr>
        <w:t>352</w:t>
      </w:r>
    </w:p>
    <w:p>
      <w:pPr>
        <w:pStyle w:val="BookText"/>
        <w:rPr/>
      </w:pP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ذكر اسم الزمان والمكان من الزائد على الثلاثي</w:t>
      </w:r>
    </w:p>
    <w:p>
      <w:pPr>
        <w:pStyle w:val="BookText"/>
        <w:rPr/>
      </w:pPr>
      <w:r>
        <w:rPr>
          <w:rFonts w:eastAsia="Times New Roman" w:cs="Times New Roman" w:ascii="Times New Roman" w:hAnsi="Times New Roman"/>
          <w:color w:val="111111"/>
          <w:sz w:val="28"/>
          <w:szCs w:val="28"/>
          <w:lang w:val="en-US" w:bidi="en-US"/>
        </w:rPr>
        <w:t>353</w:t>
      </w:r>
    </w:p>
    <w:p>
      <w:pPr>
        <w:pStyle w:val="BookText"/>
        <w:rPr/>
      </w:pP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ذكر ما جاء فيه مفعلة</w:t>
      </w:r>
    </w:p>
    <w:p>
      <w:pPr>
        <w:pStyle w:val="BookText"/>
        <w:rPr/>
      </w:pPr>
      <w:r>
        <w:rPr>
          <w:rFonts w:eastAsia="Times New Roman" w:cs="Times New Roman" w:ascii="Times New Roman" w:hAnsi="Times New Roman"/>
          <w:color w:val="111111"/>
          <w:sz w:val="28"/>
          <w:szCs w:val="28"/>
          <w:lang w:val="en-US" w:bidi="en-US"/>
        </w:rPr>
        <w:t>353</w:t>
      </w:r>
    </w:p>
    <w:p>
      <w:pPr>
        <w:pStyle w:val="BookText"/>
        <w:rPr/>
      </w:pP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ذكر اسم الآلة</w:t>
      </w:r>
    </w:p>
    <w:p>
      <w:pPr>
        <w:pStyle w:val="BookText"/>
        <w:rPr/>
      </w:pPr>
      <w:r>
        <w:rPr>
          <w:rFonts w:eastAsia="Times New Roman" w:cs="Times New Roman" w:ascii="Times New Roman" w:hAnsi="Times New Roman"/>
          <w:color w:val="111111"/>
          <w:sz w:val="28"/>
          <w:szCs w:val="28"/>
          <w:lang w:val="en-US" w:bidi="en-US"/>
        </w:rPr>
        <w:t>354</w:t>
      </w:r>
    </w:p>
    <w:p>
      <w:pPr>
        <w:pStyle w:val="BookText"/>
        <w:rPr/>
      </w:pP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ذكر المصغر</w:t>
      </w:r>
    </w:p>
    <w:p>
      <w:pPr>
        <w:pStyle w:val="BookText"/>
        <w:rPr/>
      </w:pPr>
      <w:r>
        <w:rPr>
          <w:rFonts w:eastAsia="Times New Roman" w:cs="Times New Roman" w:ascii="Times New Roman" w:hAnsi="Times New Roman"/>
          <w:color w:val="111111"/>
          <w:sz w:val="28"/>
          <w:szCs w:val="28"/>
          <w:lang w:val="en-US" w:bidi="en-US"/>
        </w:rPr>
        <w:t>356</w:t>
      </w:r>
    </w:p>
    <w:p>
      <w:pPr>
        <w:pStyle w:val="BookText"/>
        <w:rPr/>
      </w:pPr>
      <w:r>
        <w:rPr>
          <w:rFonts w:ascii="IRNazanin" w:hAnsi="IRNazanin" w:eastAsia="IRNazanin"/>
          <w:color w:val="111111"/>
          <w:sz w:val="28"/>
          <w:sz w:val="28"/>
          <w:szCs w:val="28"/>
          <w:rtl w:val="true"/>
          <w:lang w:bidi="fa-IR"/>
        </w:rPr>
        <w:t>ش</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اسم على حرفين فإن التصغير يرده إلى أصله</w:t>
      </w:r>
    </w:p>
    <w:p>
      <w:pPr>
        <w:pStyle w:val="BookText"/>
        <w:rPr/>
      </w:pPr>
      <w:r>
        <w:rPr>
          <w:rFonts w:eastAsia="Times New Roman" w:cs="Times New Roman" w:ascii="Times New Roman" w:hAnsi="Times New Roman"/>
          <w:color w:val="111111"/>
          <w:sz w:val="28"/>
          <w:szCs w:val="28"/>
          <w:lang w:val="en-US" w:bidi="en-US"/>
        </w:rPr>
        <w:t>356</w:t>
      </w:r>
    </w:p>
    <w:p>
      <w:pPr>
        <w:pStyle w:val="BookText"/>
        <w:rPr/>
      </w:pP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صغرت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واسم</w:t>
      </w:r>
    </w:p>
    <w:p>
      <w:pPr>
        <w:pStyle w:val="BookText"/>
        <w:rPr/>
      </w:pPr>
      <w:r>
        <w:rPr>
          <w:rFonts w:eastAsia="Times New Roman" w:cs="Times New Roman" w:ascii="Times New Roman" w:hAnsi="Times New Roman"/>
          <w:color w:val="111111"/>
          <w:sz w:val="28"/>
          <w:szCs w:val="28"/>
          <w:lang w:val="en-US" w:bidi="en-US"/>
        </w:rPr>
        <w:t>357</w:t>
      </w:r>
    </w:p>
    <w:p>
      <w:pPr>
        <w:pStyle w:val="BookText"/>
        <w:rPr/>
      </w:pP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اسم فيه حرف بدل من حرف آخر</w:t>
      </w:r>
    </w:p>
    <w:p>
      <w:pPr>
        <w:pStyle w:val="BookText"/>
        <w:rPr/>
      </w:pPr>
      <w:r>
        <w:rPr>
          <w:rFonts w:eastAsia="Times New Roman" w:cs="Times New Roman" w:ascii="Times New Roman" w:hAnsi="Times New Roman"/>
          <w:color w:val="111111"/>
          <w:sz w:val="28"/>
          <w:szCs w:val="28"/>
          <w:lang w:val="en-US" w:bidi="en-US"/>
        </w:rPr>
        <w:t>358</w:t>
      </w:r>
    </w:p>
    <w:p>
      <w:pPr>
        <w:pStyle w:val="BookText"/>
        <w:rPr/>
      </w:pP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صغر ما ثالثه واو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أسود</w:t>
      </w:r>
    </w:p>
    <w:p>
      <w:pPr>
        <w:pStyle w:val="BookText"/>
        <w:rPr/>
      </w:pPr>
      <w:r>
        <w:rPr>
          <w:rFonts w:eastAsia="Times New Roman" w:cs="Times New Roman" w:ascii="Times New Roman" w:hAnsi="Times New Roman"/>
          <w:color w:val="111111"/>
          <w:sz w:val="28"/>
          <w:szCs w:val="28"/>
          <w:lang w:val="en-US" w:bidi="en-US"/>
        </w:rPr>
        <w:t>359</w:t>
      </w:r>
    </w:p>
    <w:p>
      <w:pPr>
        <w:pStyle w:val="BookText"/>
        <w:rPr/>
      </w:pP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في الاسم تاء التأنيث فهي إما ظاهرة</w:t>
      </w:r>
    </w:p>
    <w:p>
      <w:pPr>
        <w:pStyle w:val="BookText"/>
        <w:rPr/>
      </w:pPr>
      <w:r>
        <w:rPr>
          <w:rFonts w:ascii="Amiri" w:hAnsi="Amiri" w:eastAsia="Amiri" w:cs="Amiri"/>
          <w:color w:val="111111"/>
          <w:sz w:val="28"/>
          <w:sz w:val="28"/>
          <w:szCs w:val="28"/>
          <w:rtl w:val="true"/>
          <w:lang w:bidi="ar-SA"/>
        </w:rPr>
        <w:t>وإما مقدرة</w:t>
      </w:r>
    </w:p>
    <w:p>
      <w:pPr>
        <w:pStyle w:val="BookText"/>
        <w:rPr/>
      </w:pPr>
      <w:r>
        <w:rPr>
          <w:rFonts w:eastAsia="Times New Roman" w:cs="Times New Roman" w:ascii="Times New Roman" w:hAnsi="Times New Roman"/>
          <w:color w:val="111111"/>
          <w:sz w:val="28"/>
          <w:szCs w:val="28"/>
          <w:lang w:val="en-US" w:bidi="en-US"/>
        </w:rPr>
        <w:t>360</w:t>
      </w:r>
    </w:p>
    <w:p>
      <w:pPr>
        <w:pStyle w:val="BookText"/>
        <w:rPr/>
      </w:pP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صغرت ما رابعه حرف زائد من حروف المد</w:t>
      </w:r>
    </w:p>
    <w:p>
      <w:pPr>
        <w:pStyle w:val="BookText"/>
        <w:rPr/>
      </w:pPr>
      <w:r>
        <w:rPr>
          <w:rFonts w:ascii="Amiri" w:hAnsi="Amiri" w:eastAsia="Amiri" w:cs="Amiri"/>
          <w:color w:val="111111"/>
          <w:sz w:val="28"/>
          <w:sz w:val="28"/>
          <w:szCs w:val="28"/>
          <w:rtl w:val="true"/>
          <w:lang w:bidi="ar-SA"/>
        </w:rPr>
        <w:t>واللين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w:t>
      </w:r>
    </w:p>
    <w:p>
      <w:pPr>
        <w:pStyle w:val="BookText"/>
        <w:rPr/>
      </w:pPr>
      <w:r>
        <w:rPr>
          <w:rFonts w:eastAsia="Times New Roman" w:cs="Times New Roman" w:ascii="Times New Roman" w:hAnsi="Times New Roman"/>
          <w:color w:val="111111"/>
          <w:sz w:val="28"/>
          <w:szCs w:val="28"/>
          <w:lang w:val="en-US" w:bidi="en-US"/>
        </w:rPr>
        <w:t>360</w:t>
      </w:r>
    </w:p>
    <w:p>
      <w:pPr>
        <w:pStyle w:val="BookText"/>
        <w:rPr/>
      </w:pP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صغرت ما فيه ثلاثة أصول وزيادتان</w:t>
      </w:r>
    </w:p>
    <w:p>
      <w:pPr>
        <w:pStyle w:val="BookText"/>
        <w:rPr/>
      </w:pPr>
      <w:r>
        <w:rPr>
          <w:rFonts w:eastAsia="Times New Roman" w:cs="Times New Roman" w:ascii="Times New Roman" w:hAnsi="Times New Roman"/>
          <w:color w:val="111111"/>
          <w:sz w:val="28"/>
          <w:szCs w:val="28"/>
          <w:lang w:val="en-US" w:bidi="en-US"/>
        </w:rPr>
        <w:t>361</w:t>
      </w:r>
    </w:p>
    <w:p>
      <w:pPr>
        <w:pStyle w:val="BookText"/>
        <w:rPr/>
      </w:pP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والزيادة إن كانت رابعة ألفا أو واوا أو ياء</w:t>
      </w:r>
    </w:p>
    <w:p>
      <w:pPr>
        <w:pStyle w:val="BookText"/>
        <w:rPr/>
      </w:pPr>
      <w:r>
        <w:rPr>
          <w:rFonts w:ascii="IRNazanin" w:hAnsi="IRNazanin" w:eastAsia="IRNazanin"/>
          <w:color w:val="111111"/>
          <w:sz w:val="28"/>
          <w:sz w:val="28"/>
          <w:szCs w:val="28"/>
          <w:rtl w:val="true"/>
          <w:lang w:bidi="fa-IR"/>
        </w:rPr>
        <w:t>ثبتت ولم تحذف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361</w:t>
      </w:r>
    </w:p>
    <w:p>
      <w:pPr>
        <w:pStyle w:val="BookText"/>
        <w:rPr/>
      </w:pP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 القلة يصغر على بنائه</w:t>
      </w:r>
    </w:p>
    <w:p>
      <w:pPr>
        <w:pStyle w:val="BookText"/>
        <w:rPr/>
      </w:pPr>
      <w:r>
        <w:rPr>
          <w:rFonts w:eastAsia="Times New Roman" w:cs="Times New Roman" w:ascii="Times New Roman" w:hAnsi="Times New Roman"/>
          <w:color w:val="111111"/>
          <w:sz w:val="28"/>
          <w:szCs w:val="28"/>
          <w:lang w:val="en-US" w:bidi="en-US"/>
        </w:rPr>
        <w:t>362</w:t>
      </w:r>
    </w:p>
    <w:p>
      <w:pPr>
        <w:pStyle w:val="BookText"/>
        <w:rPr/>
      </w:pP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وتصغير الفعل ليس بقياس</w:t>
      </w:r>
    </w:p>
    <w:p>
      <w:pPr>
        <w:pStyle w:val="BookText"/>
        <w:rPr/>
      </w:pPr>
      <w:r>
        <w:rPr>
          <w:rFonts w:eastAsia="Times New Roman" w:cs="Times New Roman" w:ascii="Times New Roman" w:hAnsi="Times New Roman"/>
          <w:color w:val="111111"/>
          <w:sz w:val="28"/>
          <w:szCs w:val="28"/>
          <w:lang w:val="en-US" w:bidi="en-US"/>
        </w:rPr>
        <w:t>363</w:t>
      </w:r>
    </w:p>
    <w:p>
      <w:pPr>
        <w:pStyle w:val="BookText"/>
        <w:rPr/>
      </w:pP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والأسماء المركبة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بعلبك</w:t>
      </w:r>
    </w:p>
    <w:p>
      <w:pPr>
        <w:pStyle w:val="BookText"/>
        <w:rPr/>
      </w:pPr>
      <w:r>
        <w:rPr>
          <w:rFonts w:eastAsia="Times New Roman" w:cs="Times New Roman" w:ascii="Times New Roman" w:hAnsi="Times New Roman"/>
          <w:color w:val="111111"/>
          <w:sz w:val="28"/>
          <w:szCs w:val="28"/>
          <w:lang w:val="en-US" w:bidi="en-US"/>
        </w:rPr>
        <w:t>363</w:t>
      </w:r>
    </w:p>
    <w:p>
      <w:pPr>
        <w:pStyle w:val="BookText"/>
        <w:rPr/>
      </w:pP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وتصغير الترخيم</w:t>
      </w:r>
    </w:p>
    <w:p>
      <w:pPr>
        <w:pStyle w:val="BookText"/>
        <w:rPr/>
      </w:pPr>
      <w:r>
        <w:rPr>
          <w:rFonts w:eastAsia="Times New Roman" w:cs="Times New Roman" w:ascii="Times New Roman" w:hAnsi="Times New Roman"/>
          <w:color w:val="111111"/>
          <w:sz w:val="28"/>
          <w:szCs w:val="28"/>
          <w:lang w:val="en-US" w:bidi="en-US"/>
        </w:rPr>
        <w:t>363</w:t>
      </w:r>
    </w:p>
    <w:p>
      <w:pPr>
        <w:pStyle w:val="BookText"/>
        <w:rPr/>
      </w:pP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تصغير الغير المتمكن فمنه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الأسماء</w:t>
      </w:r>
    </w:p>
    <w:p>
      <w:pPr>
        <w:pStyle w:val="BookText"/>
        <w:rPr/>
      </w:pPr>
      <w:r>
        <w:rPr>
          <w:rFonts w:ascii="Amiri" w:hAnsi="Amiri" w:eastAsia="Amiri" w:cs="Amiri"/>
          <w:color w:val="111111"/>
          <w:sz w:val="28"/>
          <w:sz w:val="28"/>
          <w:szCs w:val="28"/>
          <w:rtl w:val="true"/>
          <w:lang w:bidi="ar-SA"/>
        </w:rPr>
        <w:t>المبهمة</w:t>
      </w:r>
    </w:p>
    <w:p>
      <w:pPr>
        <w:pStyle w:val="BookText"/>
        <w:rPr/>
      </w:pPr>
      <w:r>
        <w:rPr>
          <w:rFonts w:eastAsia="Times New Roman" w:cs="Times New Roman" w:ascii="Times New Roman" w:hAnsi="Times New Roman"/>
          <w:color w:val="111111"/>
          <w:sz w:val="28"/>
          <w:szCs w:val="28"/>
          <w:lang w:val="en-US" w:bidi="en-US"/>
        </w:rPr>
        <w:t>363</w:t>
      </w:r>
    </w:p>
    <w:p>
      <w:pPr>
        <w:pStyle w:val="BookText"/>
        <w:rPr/>
      </w:pP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ذكر المنسوب</w:t>
      </w:r>
    </w:p>
    <w:p>
      <w:pPr>
        <w:pStyle w:val="BookText"/>
        <w:rPr/>
      </w:pPr>
      <w:r>
        <w:rPr>
          <w:rFonts w:eastAsia="Times New Roman" w:cs="Times New Roman" w:ascii="Times New Roman" w:hAnsi="Times New Roman"/>
          <w:color w:val="111111"/>
          <w:sz w:val="28"/>
          <w:szCs w:val="28"/>
          <w:lang w:val="en-US" w:bidi="en-US"/>
        </w:rPr>
        <w:t>365</w:t>
      </w:r>
    </w:p>
    <w:p>
      <w:pPr>
        <w:pStyle w:val="BookText"/>
        <w:rPr/>
      </w:pP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نسبت إلى ثلاثي مكسور العين</w:t>
      </w:r>
    </w:p>
    <w:p>
      <w:pPr>
        <w:pStyle w:val="BookText"/>
        <w:rPr/>
      </w:pPr>
      <w:r>
        <w:rPr>
          <w:rFonts w:eastAsia="Times New Roman" w:cs="Times New Roman" w:ascii="Times New Roman" w:hAnsi="Times New Roman"/>
          <w:color w:val="111111"/>
          <w:sz w:val="28"/>
          <w:szCs w:val="28"/>
          <w:lang w:val="en-US" w:bidi="en-US"/>
        </w:rPr>
        <w:t>366</w:t>
      </w:r>
    </w:p>
    <w:p>
      <w:pPr>
        <w:pStyle w:val="BookText"/>
        <w:rPr/>
      </w:pP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وينسب إلى فعيلة بفتح الفاء وكسر العين نحو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حنيفة</w:t>
      </w:r>
    </w:p>
    <w:p>
      <w:pPr>
        <w:pStyle w:val="BookText"/>
        <w:rPr/>
      </w:pPr>
      <w:r>
        <w:rPr>
          <w:rFonts w:eastAsia="Times New Roman" w:cs="Times New Roman" w:ascii="Times New Roman" w:hAnsi="Times New Roman"/>
          <w:color w:val="111111"/>
          <w:sz w:val="28"/>
          <w:szCs w:val="28"/>
          <w:lang w:val="en-US" w:bidi="en-US"/>
        </w:rPr>
        <w:t>366</w:t>
      </w:r>
    </w:p>
    <w:p>
      <w:pPr>
        <w:pStyle w:val="BookText"/>
        <w:rPr/>
      </w:pP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نسبت إلى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أسيّد وسيد</w:t>
      </w:r>
    </w:p>
    <w:p>
      <w:pPr>
        <w:pStyle w:val="BookText"/>
        <w:rPr/>
      </w:pPr>
      <w:r>
        <w:rPr>
          <w:rFonts w:eastAsia="Times New Roman" w:cs="Times New Roman" w:ascii="Times New Roman" w:hAnsi="Times New Roman"/>
          <w:color w:val="111111"/>
          <w:sz w:val="28"/>
          <w:szCs w:val="28"/>
          <w:lang w:val="en-US" w:bidi="en-US"/>
        </w:rPr>
        <w:t>367</w:t>
      </w:r>
    </w:p>
    <w:p>
      <w:pPr>
        <w:pStyle w:val="BookText"/>
        <w:rPr/>
      </w:pP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نسبت إلى ما في آخره ألف</w:t>
      </w:r>
    </w:p>
    <w:p>
      <w:pPr>
        <w:pStyle w:val="BookText"/>
        <w:rPr/>
      </w:pPr>
      <w:r>
        <w:rPr>
          <w:rFonts w:eastAsia="Times New Roman" w:cs="Times New Roman" w:ascii="Times New Roman" w:hAnsi="Times New Roman"/>
          <w:color w:val="111111"/>
          <w:sz w:val="28"/>
          <w:szCs w:val="28"/>
          <w:lang w:val="en-US" w:bidi="en-US"/>
        </w:rPr>
        <w:t>368</w:t>
      </w:r>
    </w:p>
    <w:p>
      <w:pPr>
        <w:pStyle w:val="BookText"/>
        <w:rPr/>
      </w:pP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آخر الاسم ياء قبلها كسرة</w:t>
      </w:r>
    </w:p>
    <w:p>
      <w:pPr>
        <w:pStyle w:val="BookText"/>
        <w:rPr/>
      </w:pPr>
      <w:r>
        <w:rPr>
          <w:rFonts w:eastAsia="Times New Roman" w:cs="Times New Roman" w:ascii="Times New Roman" w:hAnsi="Times New Roman"/>
          <w:color w:val="111111"/>
          <w:sz w:val="28"/>
          <w:szCs w:val="28"/>
          <w:lang w:val="en-US" w:bidi="en-US"/>
        </w:rPr>
        <w:t>368</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 </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الرمز</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آخر الاسم واوا أو ياء قبلها ساكن</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 وظبي</w:t>
      </w:r>
    </w:p>
    <w:p>
      <w:pPr>
        <w:pStyle w:val="BookText"/>
        <w:rPr/>
      </w:pPr>
      <w:r>
        <w:rPr>
          <w:rFonts w:eastAsia="Times New Roman" w:cs="Times New Roman" w:ascii="Times New Roman" w:hAnsi="Times New Roman"/>
          <w:color w:val="111111"/>
          <w:sz w:val="28"/>
          <w:szCs w:val="28"/>
          <w:lang w:val="en-US" w:bidi="en-US"/>
        </w:rPr>
        <w:t>369</w:t>
      </w:r>
    </w:p>
    <w:p>
      <w:pPr>
        <w:pStyle w:val="BookText"/>
        <w:rPr/>
      </w:pP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نسبت إلى منسوب</w:t>
      </w:r>
    </w:p>
    <w:p>
      <w:pPr>
        <w:pStyle w:val="BookText"/>
        <w:rPr/>
      </w:pPr>
      <w:r>
        <w:rPr>
          <w:rFonts w:eastAsia="Times New Roman" w:cs="Times New Roman" w:ascii="Times New Roman" w:hAnsi="Times New Roman"/>
          <w:color w:val="111111"/>
          <w:sz w:val="28"/>
          <w:szCs w:val="28"/>
          <w:lang w:val="en-US" w:bidi="en-US"/>
        </w:rPr>
        <w:t>370</w:t>
      </w:r>
    </w:p>
    <w:p>
      <w:pPr>
        <w:pStyle w:val="BookText"/>
        <w:rPr/>
      </w:pP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 آخره ألف ممدودة</w:t>
      </w:r>
    </w:p>
    <w:p>
      <w:pPr>
        <w:pStyle w:val="BookText"/>
        <w:rPr/>
      </w:pPr>
      <w:r>
        <w:rPr>
          <w:rFonts w:eastAsia="Times New Roman" w:cs="Times New Roman" w:ascii="Times New Roman" w:hAnsi="Times New Roman"/>
          <w:color w:val="111111"/>
          <w:sz w:val="28"/>
          <w:szCs w:val="28"/>
          <w:lang w:val="en-US" w:bidi="en-US"/>
        </w:rPr>
        <w:t>370</w:t>
      </w:r>
    </w:p>
    <w:p>
      <w:pPr>
        <w:pStyle w:val="BookText"/>
        <w:rPr/>
      </w:pP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نسب إلى اسم على حرفين وكان متحرك الوسط</w:t>
      </w:r>
    </w:p>
    <w:p>
      <w:pPr>
        <w:pStyle w:val="BookText"/>
        <w:rPr/>
      </w:pPr>
      <w:r>
        <w:rPr>
          <w:rFonts w:ascii="Amiri" w:hAnsi="Amiri" w:eastAsia="Amiri" w:cs="Amiri"/>
          <w:color w:val="111111"/>
          <w:sz w:val="28"/>
          <w:sz w:val="28"/>
          <w:szCs w:val="28"/>
          <w:rtl w:val="true"/>
          <w:lang w:bidi="ar-SA"/>
        </w:rPr>
        <w:t>كأب وأخ</w:t>
      </w:r>
    </w:p>
    <w:p>
      <w:pPr>
        <w:pStyle w:val="BookText"/>
        <w:rPr/>
      </w:pPr>
      <w:r>
        <w:rPr>
          <w:rFonts w:eastAsia="Times New Roman" w:cs="Times New Roman" w:ascii="Times New Roman" w:hAnsi="Times New Roman"/>
          <w:color w:val="111111"/>
          <w:sz w:val="28"/>
          <w:szCs w:val="28"/>
          <w:lang w:val="en-US" w:bidi="en-US"/>
        </w:rPr>
        <w:t>371</w:t>
      </w:r>
    </w:p>
    <w:p>
      <w:pPr>
        <w:pStyle w:val="BookText"/>
        <w:rPr/>
      </w:pP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نسبت إلى بنت وأخت</w:t>
      </w:r>
    </w:p>
    <w:p>
      <w:pPr>
        <w:pStyle w:val="BookText"/>
        <w:rPr/>
      </w:pPr>
      <w:r>
        <w:rPr>
          <w:rFonts w:eastAsia="Times New Roman" w:cs="Times New Roman" w:ascii="Times New Roman" w:hAnsi="Times New Roman"/>
          <w:color w:val="111111"/>
          <w:sz w:val="28"/>
          <w:szCs w:val="28"/>
          <w:lang w:val="en-US" w:bidi="en-US"/>
        </w:rPr>
        <w:t>373</w:t>
      </w:r>
    </w:p>
    <w:p>
      <w:pPr>
        <w:pStyle w:val="BookText"/>
        <w:rPr/>
      </w:pP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وينسب إلى الصدر من الأسماء المركبة</w:t>
      </w:r>
    </w:p>
    <w:p>
      <w:pPr>
        <w:pStyle w:val="BookText"/>
        <w:rPr/>
      </w:pPr>
      <w:r>
        <w:rPr>
          <w:rFonts w:eastAsia="Times New Roman" w:cs="Times New Roman" w:ascii="Times New Roman" w:hAnsi="Times New Roman"/>
          <w:color w:val="111111"/>
          <w:sz w:val="28"/>
          <w:szCs w:val="28"/>
          <w:lang w:val="en-US" w:bidi="en-US"/>
        </w:rPr>
        <w:t>373</w:t>
      </w:r>
    </w:p>
    <w:p>
      <w:pPr>
        <w:pStyle w:val="BookText"/>
        <w:rPr/>
      </w:pP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نسبت إلى اسم مضاف كابن الزبير</w:t>
      </w:r>
    </w:p>
    <w:p>
      <w:pPr>
        <w:pStyle w:val="BookText"/>
        <w:rPr/>
      </w:pPr>
      <w:r>
        <w:rPr>
          <w:rFonts w:eastAsia="Times New Roman" w:cs="Times New Roman" w:ascii="Times New Roman" w:hAnsi="Times New Roman"/>
          <w:color w:val="111111"/>
          <w:sz w:val="28"/>
          <w:szCs w:val="28"/>
          <w:lang w:val="en-US" w:bidi="en-US"/>
        </w:rPr>
        <w:t>374</w:t>
      </w:r>
    </w:p>
    <w:p>
      <w:pPr>
        <w:pStyle w:val="BookText"/>
        <w:rPr/>
      </w:pP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جاءت أسماء منسوبة خارجة عن القياس</w:t>
      </w:r>
    </w:p>
    <w:p>
      <w:pPr>
        <w:pStyle w:val="BookText"/>
        <w:rPr/>
      </w:pPr>
      <w:r>
        <w:rPr>
          <w:rFonts w:eastAsia="Times New Roman" w:cs="Times New Roman" w:ascii="Times New Roman" w:hAnsi="Times New Roman"/>
          <w:color w:val="111111"/>
          <w:sz w:val="28"/>
          <w:szCs w:val="28"/>
          <w:lang w:val="en-US" w:bidi="en-US"/>
        </w:rPr>
        <w:t>374</w:t>
      </w:r>
    </w:p>
    <w:p>
      <w:pPr>
        <w:pStyle w:val="BookText"/>
        <w:rPr/>
      </w:pP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يقوم مقام ياء النسب صيغتان فعال وفاعل</w:t>
      </w:r>
    </w:p>
    <w:p>
      <w:pPr>
        <w:pStyle w:val="BookText"/>
        <w:rPr/>
      </w:pPr>
      <w:r>
        <w:rPr>
          <w:rFonts w:eastAsia="Times New Roman" w:cs="Times New Roman" w:ascii="Times New Roman" w:hAnsi="Times New Roman"/>
          <w:color w:val="111111"/>
          <w:sz w:val="28"/>
          <w:szCs w:val="28"/>
          <w:lang w:val="en-US" w:bidi="en-US"/>
        </w:rPr>
        <w:t>375</w:t>
      </w:r>
    </w:p>
    <w:p>
      <w:pPr>
        <w:pStyle w:val="BookText"/>
        <w:rPr/>
      </w:pP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فصل في المقصور والممدود</w:t>
      </w:r>
    </w:p>
    <w:p>
      <w:pPr>
        <w:pStyle w:val="BookText"/>
        <w:rPr/>
      </w:pPr>
      <w:r>
        <w:rPr>
          <w:rFonts w:eastAsia="Times New Roman" w:cs="Times New Roman" w:ascii="Times New Roman" w:hAnsi="Times New Roman"/>
          <w:color w:val="111111"/>
          <w:sz w:val="28"/>
          <w:szCs w:val="28"/>
          <w:lang w:val="en-US" w:bidi="en-US"/>
        </w:rPr>
        <w:t>375</w:t>
      </w:r>
    </w:p>
    <w:p>
      <w:pPr>
        <w:pStyle w:val="BookText"/>
        <w:rPr/>
      </w:pP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فصل في الوزن</w:t>
      </w:r>
    </w:p>
    <w:p>
      <w:pPr>
        <w:pStyle w:val="BookText"/>
        <w:rPr/>
      </w:pPr>
      <w:r>
        <w:rPr>
          <w:rFonts w:eastAsia="Times New Roman" w:cs="Times New Roman" w:ascii="Times New Roman" w:hAnsi="Times New Roman"/>
          <w:color w:val="111111"/>
          <w:sz w:val="28"/>
          <w:szCs w:val="28"/>
          <w:lang w:val="en-US" w:bidi="en-US"/>
        </w:rPr>
        <w:t>379</w:t>
      </w:r>
    </w:p>
    <w:p>
      <w:pPr>
        <w:pStyle w:val="BookText"/>
        <w:rPr/>
      </w:pPr>
      <w:r>
        <w:rPr>
          <w:rFonts w:ascii="IRNazanin" w:hAnsi="IRNazanin" w:eastAsia="IRNazanin"/>
          <w:color w:val="111111"/>
          <w:sz w:val="28"/>
          <w:sz w:val="28"/>
          <w:szCs w:val="28"/>
          <w:rtl w:val="true"/>
          <w:lang w:bidi="fa-IR"/>
        </w:rPr>
        <w:t>ش</w:t>
      </w:r>
    </w:p>
    <w:p>
      <w:pPr>
        <w:pStyle w:val="BookText"/>
        <w:rPr/>
      </w:pPr>
      <w:r>
        <w:rPr>
          <w:rFonts w:ascii="Amiri" w:hAnsi="Amiri" w:eastAsia="Amiri" w:cs="Amiri"/>
          <w:color w:val="111111"/>
          <w:sz w:val="28"/>
          <w:sz w:val="28"/>
          <w:szCs w:val="28"/>
          <w:rtl w:val="true"/>
          <w:lang w:bidi="ar-SA"/>
        </w:rPr>
        <w:t>ذكر ما جاء فيه دليل على أنه لم يقصد به التكرار بل</w:t>
      </w:r>
    </w:p>
    <w:p>
      <w:pPr>
        <w:pStyle w:val="BookText"/>
        <w:rPr/>
      </w:pPr>
      <w:r>
        <w:rPr>
          <w:rFonts w:ascii="Amiri" w:hAnsi="Amiri" w:eastAsia="Amiri" w:cs="Amiri"/>
          <w:color w:val="111111"/>
          <w:sz w:val="28"/>
          <w:sz w:val="28"/>
          <w:szCs w:val="28"/>
          <w:rtl w:val="true"/>
          <w:lang w:bidi="ar-SA"/>
        </w:rPr>
        <w:t>زيد واتفق موافقة الزائد لما قبله</w:t>
      </w:r>
    </w:p>
    <w:p>
      <w:pPr>
        <w:pStyle w:val="BookText"/>
        <w:rPr/>
      </w:pPr>
      <w:r>
        <w:rPr>
          <w:rFonts w:eastAsia="Times New Roman" w:cs="Times New Roman" w:ascii="Times New Roman" w:hAnsi="Times New Roman"/>
          <w:color w:val="111111"/>
          <w:sz w:val="28"/>
          <w:szCs w:val="28"/>
          <w:lang w:val="en-US" w:bidi="en-US"/>
        </w:rPr>
        <w:t>381</w:t>
      </w:r>
    </w:p>
    <w:p>
      <w:pPr>
        <w:pStyle w:val="BookText"/>
        <w:rPr/>
      </w:pPr>
      <w:r>
        <w:rPr>
          <w:rFonts w:ascii="IRNazanin" w:hAnsi="IRNazanin" w:eastAsia="IRNazanin"/>
          <w:color w:val="111111"/>
          <w:sz w:val="28"/>
          <w:sz w:val="28"/>
          <w:szCs w:val="28"/>
          <w:rtl w:val="true"/>
          <w:lang w:bidi="fa-IR"/>
        </w:rPr>
        <w:t>ش</w:t>
      </w:r>
    </w:p>
    <w:p>
      <w:pPr>
        <w:pStyle w:val="BookText"/>
        <w:rPr/>
      </w:pPr>
      <w:r>
        <w:rPr>
          <w:rFonts w:ascii="Amiri" w:hAnsi="Amiri" w:eastAsia="Amiri" w:cs="Amiri"/>
          <w:color w:val="111111"/>
          <w:sz w:val="28"/>
          <w:sz w:val="28"/>
          <w:szCs w:val="28"/>
          <w:rtl w:val="true"/>
          <w:lang w:bidi="ar-SA"/>
        </w:rPr>
        <w:t>ذكر كيفية وزن الكلمة المقلوبة</w:t>
      </w:r>
    </w:p>
    <w:p>
      <w:pPr>
        <w:pStyle w:val="BookText"/>
        <w:rPr/>
      </w:pPr>
      <w:r>
        <w:rPr>
          <w:rFonts w:eastAsia="Times New Roman" w:cs="Times New Roman" w:ascii="Times New Roman" w:hAnsi="Times New Roman"/>
          <w:color w:val="111111"/>
          <w:sz w:val="28"/>
          <w:szCs w:val="28"/>
          <w:lang w:val="en-US" w:bidi="en-US"/>
        </w:rPr>
        <w:t>382</w:t>
      </w:r>
    </w:p>
    <w:p>
      <w:pPr>
        <w:pStyle w:val="BookText"/>
        <w:rPr/>
      </w:pPr>
      <w:r>
        <w:rPr>
          <w:rFonts w:ascii="IRNazanin" w:hAnsi="IRNazanin" w:eastAsia="IRNazanin"/>
          <w:color w:val="111111"/>
          <w:sz w:val="28"/>
          <w:sz w:val="28"/>
          <w:szCs w:val="28"/>
          <w:rtl w:val="true"/>
          <w:lang w:bidi="fa-IR"/>
        </w:rPr>
        <w:t>ش</w:t>
      </w:r>
    </w:p>
    <w:p>
      <w:pPr>
        <w:pStyle w:val="BookText"/>
        <w:rPr/>
      </w:pPr>
      <w:r>
        <w:rPr>
          <w:rFonts w:ascii="Amiri" w:hAnsi="Amiri" w:eastAsia="Amiri" w:cs="Amiri"/>
          <w:color w:val="111111"/>
          <w:sz w:val="28"/>
          <w:sz w:val="28"/>
          <w:szCs w:val="28"/>
          <w:rtl w:val="true"/>
          <w:lang w:bidi="ar-SA"/>
        </w:rPr>
        <w:t>ذكر ما يتعرف به القلب</w:t>
      </w:r>
    </w:p>
    <w:p>
      <w:pPr>
        <w:pStyle w:val="BookText"/>
        <w:rPr/>
      </w:pPr>
      <w:r>
        <w:rPr>
          <w:rFonts w:eastAsia="Times New Roman" w:cs="Times New Roman" w:ascii="Times New Roman" w:hAnsi="Times New Roman"/>
          <w:color w:val="111111"/>
          <w:sz w:val="28"/>
          <w:szCs w:val="28"/>
          <w:lang w:val="en-US" w:bidi="en-US"/>
        </w:rPr>
        <w:t>382</w:t>
      </w:r>
    </w:p>
    <w:p>
      <w:pPr>
        <w:pStyle w:val="BookText"/>
        <w:rPr/>
      </w:pPr>
      <w:r>
        <w:rPr>
          <w:rFonts w:ascii="IRNazanin" w:hAnsi="IRNazanin" w:eastAsia="IRNazanin"/>
          <w:color w:val="111111"/>
          <w:sz w:val="28"/>
          <w:sz w:val="28"/>
          <w:szCs w:val="28"/>
          <w:rtl w:val="true"/>
          <w:lang w:bidi="fa-IR"/>
        </w:rPr>
        <w:t>ش</w:t>
      </w:r>
    </w:p>
    <w:p>
      <w:pPr>
        <w:pStyle w:val="BookText"/>
        <w:rPr/>
      </w:pPr>
      <w:r>
        <w:rPr>
          <w:rFonts w:ascii="Amiri" w:hAnsi="Amiri" w:eastAsia="Amiri" w:cs="Amiri"/>
          <w:color w:val="111111"/>
          <w:sz w:val="28"/>
          <w:sz w:val="28"/>
          <w:szCs w:val="28"/>
          <w:rtl w:val="true"/>
          <w:lang w:bidi="ar-SA"/>
        </w:rPr>
        <w:t>ذكر كيفية وزن الكلمة المحذوفة</w:t>
      </w:r>
    </w:p>
    <w:p>
      <w:pPr>
        <w:pStyle w:val="BookText"/>
        <w:rPr/>
      </w:pPr>
      <w:r>
        <w:rPr>
          <w:rFonts w:eastAsia="Times New Roman" w:cs="Times New Roman" w:ascii="Times New Roman" w:hAnsi="Times New Roman"/>
          <w:color w:val="111111"/>
          <w:sz w:val="28"/>
          <w:szCs w:val="28"/>
          <w:lang w:val="en-US" w:bidi="en-US"/>
        </w:rPr>
        <w:t>384</w:t>
      </w:r>
    </w:p>
    <w:p>
      <w:pPr>
        <w:pStyle w:val="BookText"/>
        <w:rPr/>
      </w:pPr>
      <w:r>
        <w:rPr>
          <w:rFonts w:ascii="IRNazanin" w:hAnsi="IRNazanin" w:eastAsia="IRNazanin"/>
          <w:color w:val="111111"/>
          <w:sz w:val="28"/>
          <w:sz w:val="28"/>
          <w:szCs w:val="28"/>
          <w:rtl w:val="true"/>
          <w:lang w:bidi="fa-IR"/>
        </w:rPr>
        <w:t>ش</w:t>
      </w:r>
    </w:p>
    <w:p>
      <w:pPr>
        <w:pStyle w:val="BookText"/>
        <w:rPr/>
      </w:pPr>
      <w:r>
        <w:rPr>
          <w:rFonts w:ascii="Amiri" w:hAnsi="Amiri" w:eastAsia="Amiri" w:cs="Amiri"/>
          <w:color w:val="111111"/>
          <w:sz w:val="28"/>
          <w:sz w:val="28"/>
          <w:szCs w:val="28"/>
          <w:rtl w:val="true"/>
          <w:lang w:bidi="ar-SA"/>
        </w:rPr>
        <w:t>فصل في الأبنية</w:t>
      </w:r>
    </w:p>
    <w:p>
      <w:pPr>
        <w:pStyle w:val="BookText"/>
        <w:rPr/>
      </w:pPr>
      <w:r>
        <w:rPr>
          <w:rFonts w:eastAsia="Times New Roman" w:cs="Times New Roman" w:ascii="Times New Roman" w:hAnsi="Times New Roman"/>
          <w:color w:val="111111"/>
          <w:sz w:val="28"/>
          <w:szCs w:val="28"/>
          <w:lang w:val="en-US" w:bidi="en-US"/>
        </w:rPr>
        <w:t>385</w:t>
      </w:r>
    </w:p>
    <w:p>
      <w:pPr>
        <w:pStyle w:val="BookText"/>
        <w:rPr/>
      </w:pPr>
      <w:r>
        <w:rPr>
          <w:rFonts w:ascii="Amiri" w:hAnsi="Amiri" w:eastAsia="Amiri" w:cs="Amiri"/>
          <w:color w:val="111111"/>
          <w:sz w:val="28"/>
          <w:sz w:val="28"/>
          <w:szCs w:val="28"/>
          <w:rtl w:val="true"/>
          <w:lang w:bidi="ar-SA"/>
        </w:rPr>
        <w:t>ذكر تقسيم الأبنية الأصول</w:t>
      </w:r>
    </w:p>
    <w:p>
      <w:pPr>
        <w:pStyle w:val="BookText"/>
        <w:rPr/>
      </w:pPr>
      <w:r>
        <w:rPr>
          <w:rFonts w:eastAsia="Times New Roman" w:cs="Times New Roman" w:ascii="Times New Roman" w:hAnsi="Times New Roman"/>
          <w:color w:val="111111"/>
          <w:sz w:val="28"/>
          <w:szCs w:val="28"/>
          <w:lang w:val="en-US" w:bidi="en-US"/>
        </w:rPr>
        <w:t>385</w:t>
      </w:r>
    </w:p>
    <w:p>
      <w:pPr>
        <w:pStyle w:val="BookText"/>
        <w:rPr/>
      </w:pPr>
      <w:r>
        <w:rPr>
          <w:rFonts w:ascii="IRNazanin" w:hAnsi="IRNazanin" w:eastAsia="IRNazanin"/>
          <w:color w:val="111111"/>
          <w:sz w:val="28"/>
          <w:sz w:val="28"/>
          <w:szCs w:val="28"/>
          <w:rtl w:val="true"/>
          <w:lang w:bidi="fa-IR"/>
        </w:rPr>
        <w:t>ش</w:t>
      </w:r>
    </w:p>
    <w:p>
      <w:pPr>
        <w:pStyle w:val="BookText"/>
        <w:rPr/>
      </w:pPr>
      <w:r>
        <w:rPr>
          <w:rFonts w:ascii="Amiri" w:hAnsi="Amiri" w:eastAsia="Amiri" w:cs="Amiri"/>
          <w:color w:val="111111"/>
          <w:sz w:val="28"/>
          <w:sz w:val="28"/>
          <w:szCs w:val="28"/>
          <w:rtl w:val="true"/>
          <w:lang w:bidi="ar-SA"/>
        </w:rPr>
        <w:t>ذكر أبنية الاسم الثلاثي المجرد</w:t>
      </w:r>
    </w:p>
    <w:p>
      <w:pPr>
        <w:pStyle w:val="BookText"/>
        <w:rPr/>
      </w:pPr>
      <w:r>
        <w:rPr>
          <w:rFonts w:eastAsia="Times New Roman" w:cs="Times New Roman" w:ascii="Times New Roman" w:hAnsi="Times New Roman"/>
          <w:color w:val="111111"/>
          <w:sz w:val="28"/>
          <w:szCs w:val="28"/>
          <w:lang w:val="en-US" w:bidi="en-US"/>
        </w:rPr>
        <w:t>386</w:t>
      </w:r>
    </w:p>
    <w:p>
      <w:pPr>
        <w:pStyle w:val="BookText"/>
        <w:rPr/>
      </w:pPr>
      <w:r>
        <w:rPr>
          <w:rFonts w:ascii="IRNazanin" w:hAnsi="IRNazanin" w:eastAsia="IRNazanin"/>
          <w:color w:val="111111"/>
          <w:sz w:val="28"/>
          <w:sz w:val="28"/>
          <w:szCs w:val="28"/>
          <w:rtl w:val="true"/>
          <w:lang w:bidi="fa-IR"/>
        </w:rPr>
        <w:t>ش</w:t>
      </w:r>
    </w:p>
    <w:p>
      <w:pPr>
        <w:pStyle w:val="BookText"/>
        <w:rPr/>
      </w:pPr>
      <w:r>
        <w:rPr>
          <w:rFonts w:ascii="Amiri" w:hAnsi="Amiri" w:eastAsia="Amiri" w:cs="Amiri"/>
          <w:color w:val="111111"/>
          <w:sz w:val="28"/>
          <w:sz w:val="28"/>
          <w:szCs w:val="28"/>
          <w:rtl w:val="true"/>
          <w:lang w:bidi="ar-SA"/>
        </w:rPr>
        <w:t>ذكر أبنية الاسم الرباعي المجرد</w:t>
      </w:r>
    </w:p>
    <w:p>
      <w:pPr>
        <w:pStyle w:val="BookText"/>
        <w:rPr/>
      </w:pPr>
      <w:r>
        <w:rPr>
          <w:rFonts w:eastAsia="Times New Roman" w:cs="Times New Roman" w:ascii="Times New Roman" w:hAnsi="Times New Roman"/>
          <w:color w:val="111111"/>
          <w:sz w:val="28"/>
          <w:szCs w:val="28"/>
          <w:lang w:val="en-US" w:bidi="en-US"/>
        </w:rPr>
        <w:t>388</w:t>
      </w:r>
    </w:p>
    <w:p>
      <w:pPr>
        <w:pStyle w:val="BookText"/>
        <w:rPr/>
      </w:pPr>
      <w:r>
        <w:rPr>
          <w:rFonts w:ascii="IRNazanin" w:hAnsi="IRNazanin" w:eastAsia="IRNazanin"/>
          <w:color w:val="111111"/>
          <w:sz w:val="28"/>
          <w:sz w:val="28"/>
          <w:szCs w:val="28"/>
          <w:rtl w:val="true"/>
          <w:lang w:bidi="fa-IR"/>
        </w:rPr>
        <w:t>ش</w:t>
      </w:r>
    </w:p>
    <w:p>
      <w:pPr>
        <w:pStyle w:val="BookText"/>
        <w:rPr/>
      </w:pPr>
      <w:r>
        <w:rPr>
          <w:rFonts w:ascii="Amiri" w:hAnsi="Amiri" w:eastAsia="Amiri" w:cs="Amiri"/>
          <w:color w:val="111111"/>
          <w:sz w:val="28"/>
          <w:sz w:val="28"/>
          <w:szCs w:val="28"/>
          <w:rtl w:val="true"/>
          <w:lang w:bidi="ar-SA"/>
        </w:rPr>
        <w:t>ذكر أبنية الاسم الخماسي المجرد</w:t>
      </w:r>
    </w:p>
    <w:p>
      <w:pPr>
        <w:pStyle w:val="BookText"/>
        <w:rPr/>
      </w:pPr>
      <w:r>
        <w:rPr>
          <w:rFonts w:eastAsia="Times New Roman" w:cs="Times New Roman" w:ascii="Times New Roman" w:hAnsi="Times New Roman"/>
          <w:color w:val="111111"/>
          <w:sz w:val="28"/>
          <w:szCs w:val="28"/>
          <w:lang w:val="en-US" w:bidi="en-US"/>
        </w:rPr>
        <w:t>389</w:t>
      </w:r>
    </w:p>
    <w:p>
      <w:pPr>
        <w:pStyle w:val="BookText"/>
        <w:rPr/>
      </w:pPr>
      <w:r>
        <w:rPr>
          <w:rFonts w:ascii="IRNazanin" w:hAnsi="IRNazanin" w:eastAsia="IRNazanin"/>
          <w:color w:val="111111"/>
          <w:sz w:val="28"/>
          <w:sz w:val="28"/>
          <w:szCs w:val="28"/>
          <w:rtl w:val="true"/>
          <w:lang w:bidi="fa-IR"/>
        </w:rPr>
        <w:t>ش</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أبنية المزيد فيه</w:t>
      </w:r>
    </w:p>
    <w:p>
      <w:pPr>
        <w:pStyle w:val="BookText"/>
        <w:rPr/>
      </w:pPr>
      <w:r>
        <w:rPr>
          <w:rFonts w:eastAsia="Times New Roman" w:cs="Times New Roman" w:ascii="Times New Roman" w:hAnsi="Times New Roman"/>
          <w:color w:val="111111"/>
          <w:sz w:val="28"/>
          <w:szCs w:val="28"/>
          <w:lang w:val="en-US" w:bidi="en-US"/>
        </w:rPr>
        <w:t>389</w:t>
      </w:r>
    </w:p>
    <w:p>
      <w:pPr>
        <w:pStyle w:val="BookText"/>
        <w:rPr/>
      </w:pP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ذكر أبنية الاسم الثلاثي المزيد فيه</w:t>
      </w:r>
    </w:p>
    <w:p>
      <w:pPr>
        <w:pStyle w:val="BookText"/>
        <w:rPr/>
      </w:pPr>
      <w:r>
        <w:rPr>
          <w:rFonts w:eastAsia="Times New Roman" w:cs="Times New Roman" w:ascii="Times New Roman" w:hAnsi="Times New Roman"/>
          <w:color w:val="111111"/>
          <w:sz w:val="28"/>
          <w:szCs w:val="28"/>
          <w:lang w:val="en-US" w:bidi="en-US"/>
        </w:rPr>
        <w:t>390</w:t>
      </w:r>
    </w:p>
    <w:p>
      <w:pPr>
        <w:pStyle w:val="BookText"/>
        <w:rPr/>
      </w:pP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ذكر الزيادة الواحدة</w:t>
      </w:r>
    </w:p>
    <w:p>
      <w:pPr>
        <w:pStyle w:val="BookText"/>
        <w:rPr/>
      </w:pPr>
      <w:r>
        <w:rPr>
          <w:rFonts w:eastAsia="Times New Roman" w:cs="Times New Roman" w:ascii="Times New Roman" w:hAnsi="Times New Roman"/>
          <w:color w:val="111111"/>
          <w:sz w:val="28"/>
          <w:szCs w:val="28"/>
          <w:lang w:val="en-US" w:bidi="en-US"/>
        </w:rPr>
        <w:t>391</w:t>
      </w:r>
    </w:p>
    <w:p>
      <w:pPr>
        <w:pStyle w:val="BookText"/>
        <w:rPr/>
      </w:pP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ذكر الزيادتين المفترقتين</w:t>
      </w:r>
    </w:p>
    <w:p>
      <w:pPr>
        <w:pStyle w:val="BookText"/>
        <w:rPr/>
      </w:pPr>
      <w:r>
        <w:rPr>
          <w:rFonts w:eastAsia="Times New Roman" w:cs="Times New Roman" w:ascii="Times New Roman" w:hAnsi="Times New Roman"/>
          <w:color w:val="111111"/>
          <w:sz w:val="28"/>
          <w:szCs w:val="28"/>
          <w:lang w:val="en-US" w:bidi="en-US"/>
        </w:rPr>
        <w:t>392</w:t>
      </w:r>
    </w:p>
    <w:p>
      <w:pPr>
        <w:pStyle w:val="BookText"/>
        <w:rPr/>
      </w:pP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ذكر الزيادتين المجتمعتين</w:t>
      </w:r>
    </w:p>
    <w:p>
      <w:pPr>
        <w:pStyle w:val="BookText"/>
        <w:rPr/>
      </w:pPr>
      <w:r>
        <w:rPr>
          <w:rFonts w:eastAsia="Times New Roman" w:cs="Times New Roman" w:ascii="Times New Roman" w:hAnsi="Times New Roman"/>
          <w:color w:val="111111"/>
          <w:sz w:val="28"/>
          <w:szCs w:val="28"/>
          <w:lang w:val="en-US" w:bidi="en-US"/>
        </w:rPr>
        <w:t>395</w:t>
      </w:r>
    </w:p>
    <w:p>
      <w:pPr>
        <w:pStyle w:val="BookText"/>
        <w:rPr/>
      </w:pP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ذكر الزيادات الثلاث المفترقة</w:t>
      </w:r>
    </w:p>
    <w:p>
      <w:pPr>
        <w:pStyle w:val="BookText"/>
        <w:rPr/>
      </w:pPr>
      <w:r>
        <w:rPr>
          <w:rFonts w:eastAsia="Times New Roman" w:cs="Times New Roman" w:ascii="Times New Roman" w:hAnsi="Times New Roman"/>
          <w:color w:val="111111"/>
          <w:sz w:val="28"/>
          <w:szCs w:val="28"/>
          <w:lang w:val="en-US" w:bidi="en-US"/>
        </w:rPr>
        <w:t>397</w:t>
      </w:r>
    </w:p>
    <w:p>
      <w:pPr>
        <w:pStyle w:val="BookText"/>
        <w:rPr/>
      </w:pP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ذكر الزيادات الثلاث المجتمعة</w:t>
      </w:r>
    </w:p>
    <w:p>
      <w:pPr>
        <w:pStyle w:val="BookText"/>
        <w:rPr/>
      </w:pPr>
      <w:r>
        <w:rPr>
          <w:rFonts w:eastAsia="Times New Roman" w:cs="Times New Roman" w:ascii="Times New Roman" w:hAnsi="Times New Roman"/>
          <w:color w:val="111111"/>
          <w:sz w:val="28"/>
          <w:szCs w:val="28"/>
          <w:lang w:val="en-US" w:bidi="en-US"/>
        </w:rPr>
        <w:t>398</w:t>
      </w:r>
    </w:p>
    <w:p>
      <w:pPr>
        <w:pStyle w:val="BookText"/>
        <w:rPr/>
      </w:pP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ذكر الزيادات الثلاث على وجه تنفرد واحدة وتجتمع</w:t>
      </w:r>
    </w:p>
    <w:p>
      <w:pPr>
        <w:pStyle w:val="BookText"/>
        <w:rPr/>
      </w:pPr>
      <w:r>
        <w:rPr>
          <w:rFonts w:ascii="IRNazanin" w:hAnsi="IRNazanin" w:eastAsia="IRNazanin"/>
          <w:color w:val="111111"/>
          <w:sz w:val="28"/>
          <w:sz w:val="28"/>
          <w:szCs w:val="28"/>
          <w:rtl w:val="true"/>
          <w:lang w:bidi="fa-IR"/>
        </w:rPr>
        <w:t>اثنتان</w:t>
      </w:r>
    </w:p>
    <w:p>
      <w:pPr>
        <w:pStyle w:val="BookText"/>
        <w:rPr/>
      </w:pPr>
      <w:r>
        <w:rPr>
          <w:rFonts w:eastAsia="Times New Roman" w:cs="Times New Roman" w:ascii="Times New Roman" w:hAnsi="Times New Roman"/>
          <w:color w:val="111111"/>
          <w:sz w:val="28"/>
          <w:szCs w:val="28"/>
          <w:lang w:val="en-US" w:bidi="en-US"/>
        </w:rPr>
        <w:t>398</w:t>
      </w:r>
    </w:p>
    <w:p>
      <w:pPr>
        <w:pStyle w:val="BookText"/>
        <w:rPr/>
      </w:pP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ذكر الزيادات الأربع</w:t>
      </w:r>
    </w:p>
    <w:p>
      <w:pPr>
        <w:pStyle w:val="BookText"/>
        <w:rPr/>
      </w:pPr>
      <w:r>
        <w:rPr>
          <w:rFonts w:eastAsia="Times New Roman" w:cs="Times New Roman" w:ascii="Times New Roman" w:hAnsi="Times New Roman"/>
          <w:color w:val="111111"/>
          <w:sz w:val="28"/>
          <w:szCs w:val="28"/>
          <w:lang w:val="en-US" w:bidi="en-US"/>
        </w:rPr>
        <w:t>399</w:t>
      </w:r>
    </w:p>
    <w:p>
      <w:pPr>
        <w:pStyle w:val="BookText"/>
        <w:rPr/>
      </w:pP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ذكر أبنية الاسم الرباعي المزيد فيه</w:t>
      </w:r>
    </w:p>
    <w:p>
      <w:pPr>
        <w:pStyle w:val="BookText"/>
        <w:rPr/>
      </w:pPr>
      <w:r>
        <w:rPr>
          <w:rFonts w:eastAsia="Times New Roman" w:cs="Times New Roman" w:ascii="Times New Roman" w:hAnsi="Times New Roman"/>
          <w:color w:val="111111"/>
          <w:sz w:val="28"/>
          <w:szCs w:val="28"/>
          <w:lang w:val="en-US" w:bidi="en-US"/>
        </w:rPr>
        <w:t>399</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 </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الرمز</w:t>
      </w:r>
    </w:p>
    <w:p>
      <w:pPr>
        <w:pStyle w:val="BookText"/>
        <w:rPr/>
      </w:pPr>
      <w:r>
        <w:rPr>
          <w:rFonts w:ascii="Amiri" w:hAnsi="Amiri" w:eastAsia="Amiri" w:cs="Amiri"/>
          <w:color w:val="111111"/>
          <w:sz w:val="28"/>
          <w:sz w:val="28"/>
          <w:szCs w:val="28"/>
          <w:rtl w:val="true"/>
          <w:lang w:bidi="ar-SA"/>
        </w:rPr>
        <w:t>ذكر الزيادة الواحدة في الرباعي</w:t>
      </w:r>
    </w:p>
    <w:p>
      <w:pPr>
        <w:pStyle w:val="BookText"/>
        <w:rPr/>
      </w:pPr>
      <w:r>
        <w:rPr>
          <w:rFonts w:eastAsia="Times New Roman" w:cs="Times New Roman" w:ascii="Times New Roman" w:hAnsi="Times New Roman"/>
          <w:color w:val="111111"/>
          <w:sz w:val="28"/>
          <w:szCs w:val="28"/>
          <w:lang w:val="en-US" w:bidi="en-US"/>
        </w:rPr>
        <w:t>400</w:t>
      </w:r>
    </w:p>
    <w:p>
      <w:pPr>
        <w:pStyle w:val="BookText"/>
        <w:rPr/>
      </w:pP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ذكر الزيادتين المفترقتين</w:t>
      </w:r>
    </w:p>
    <w:p>
      <w:pPr>
        <w:pStyle w:val="BookText"/>
        <w:rPr/>
      </w:pPr>
      <w:r>
        <w:rPr>
          <w:rFonts w:eastAsia="Times New Roman" w:cs="Times New Roman" w:ascii="Times New Roman" w:hAnsi="Times New Roman"/>
          <w:color w:val="111111"/>
          <w:sz w:val="28"/>
          <w:szCs w:val="28"/>
          <w:lang w:val="en-US" w:bidi="en-US"/>
        </w:rPr>
        <w:t>402</w:t>
      </w:r>
    </w:p>
    <w:p>
      <w:pPr>
        <w:pStyle w:val="BookText"/>
        <w:rPr/>
      </w:pP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ذكر الزيادتين المجتمعتين</w:t>
      </w:r>
    </w:p>
    <w:p>
      <w:pPr>
        <w:pStyle w:val="BookText"/>
        <w:rPr/>
      </w:pPr>
      <w:r>
        <w:rPr>
          <w:rFonts w:eastAsia="Times New Roman" w:cs="Times New Roman" w:ascii="Times New Roman" w:hAnsi="Times New Roman"/>
          <w:color w:val="111111"/>
          <w:sz w:val="28"/>
          <w:szCs w:val="28"/>
          <w:lang w:val="en-US" w:bidi="en-US"/>
        </w:rPr>
        <w:t>403</w:t>
      </w:r>
    </w:p>
    <w:p>
      <w:pPr>
        <w:pStyle w:val="BookText"/>
        <w:rPr/>
      </w:pP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ذكر الزيادات الثلاث في الرباعي</w:t>
      </w:r>
    </w:p>
    <w:p>
      <w:pPr>
        <w:pStyle w:val="BookText"/>
        <w:rPr/>
      </w:pPr>
      <w:r>
        <w:rPr>
          <w:rFonts w:eastAsia="Times New Roman" w:cs="Times New Roman" w:ascii="Times New Roman" w:hAnsi="Times New Roman"/>
          <w:color w:val="111111"/>
          <w:sz w:val="28"/>
          <w:szCs w:val="28"/>
          <w:lang w:val="en-US" w:bidi="en-US"/>
        </w:rPr>
        <w:t>404</w:t>
      </w:r>
    </w:p>
    <w:p>
      <w:pPr>
        <w:pStyle w:val="BookText"/>
        <w:rPr/>
      </w:pP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ذكر أبنية الاسم الخماسي المزيد فيه</w:t>
      </w:r>
    </w:p>
    <w:p>
      <w:pPr>
        <w:pStyle w:val="BookText"/>
        <w:rPr/>
      </w:pPr>
      <w:r>
        <w:rPr>
          <w:rFonts w:eastAsia="Times New Roman" w:cs="Times New Roman" w:ascii="Times New Roman" w:hAnsi="Times New Roman"/>
          <w:color w:val="111111"/>
          <w:sz w:val="28"/>
          <w:szCs w:val="28"/>
          <w:lang w:val="en-US" w:bidi="en-US"/>
        </w:rPr>
        <w:t>405</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 </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99" w:name="pg14482_156385"/>
      <w:bookmarkStart w:id="800" w:name="pg14482_156385"/>
      <w:bookmarkEnd w:id="800"/>
    </w:p>
    <w:p>
      <w:pPr>
        <w:pStyle w:val="Heading2"/>
        <w:numPr>
          <w:ilvl w:val="1"/>
          <w:numId w:val="1"/>
        </w:numPr>
        <w:rPr/>
      </w:pPr>
      <w:bookmarkStart w:id="801" w:name="pg14482_156385"/>
      <w:bookmarkStart w:id="802" w:name="__RefHeading___Toc717112_996550957"/>
      <w:bookmarkStart w:id="803" w:name="_Toc297"/>
      <w:bookmarkEnd w:id="801"/>
      <w:bookmarkEnd w:id="802"/>
      <w:r>
        <w:rPr>
          <w:rtl w:val="true"/>
        </w:rPr>
        <w:t>تصویبات</w:t>
      </w:r>
      <w:bookmarkEnd w:id="803"/>
    </w:p>
    <w:p>
      <w:pPr>
        <w:pStyle w:val="BookText"/>
        <w:rPr/>
      </w:pPr>
      <w:r>
        <w:rPr>
          <w:rFonts w:ascii="Amiri" w:hAnsi="Amiri" w:eastAsia="Amiri" w:cs="Amiri"/>
          <w:color w:val="111111"/>
          <w:sz w:val="28"/>
          <w:sz w:val="28"/>
          <w:szCs w:val="28"/>
          <w:rtl w:val="true"/>
          <w:lang w:bidi="ar-SA"/>
        </w:rPr>
        <w:t>الصورة</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641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446"/>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44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449"/>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450"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45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5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تناولت هذه الدراسة في رسالتي التي نلت بها درجة الماجستير وكان موضوعها المقصور والممدود في اللغة العربية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المختصر في أخبار البشر ، لأبي الفداء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وتتمة المختصر ، لابن الوردي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والوافي بالوفيات ، للصفدي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وفوات الوفيات ، للكتبي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وطبقات الشافعية ، للسبكي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وطبقات الشافعية ، للإسنوي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 لابن كثير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والدرر الكامنة لابن حجر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والمنهل الصافي لابن تغري بردي ، مخطوط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وكتاب السلوك ، للمقريزي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الخلفاء ، للسيوطي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وشذرات الذهب ، لابن العماد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الظنون ، لحاجي خليفة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وإيضاح المكنون ، للبغدادي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والبدر الطالع ، للشوكاني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والأعلام ، للزركلي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ودائرة المعارف الإسلامية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ومعجم الأطباء لأحمد عيسى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ومعجم المؤلفين لعمر رضا كحالة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المؤرخ الجغرافي أبو الفداء صاحب حماة في ذكرى مرور سبعمائة عام على ولادته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 مشتمل على عدد من البحوث العلمية الخاصة بأبي الفداء وعلومه ، وسيأتي ذكرها في مواضعها</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المختصر لابن الوردي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وشذرات الذهب لابن العماد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المختصر لابن الوردي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 الوهبية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التذييل المطبوع مع كتاب المختصر المنقول من تاريخ ابن الوردي المذكور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وطبقات الشافعية للسبكي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ودائرة المعارف الإسلامية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ولمعرفة معاركه التي خاضها منذ كان صغيرا حتى وفاته انظر المختصر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أبو الفداء وتاريخه للدكتور عبد العزيز الدوري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ومذكرات أبي الفداء للدكتور نقولا زيادة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الفداء ملكا وعالما للأستاذ قدري الكيلاني وكامل شحادة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الفداء والبيئة للدكتور سهيل زكار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ضمن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المؤرخ الجغرافي أبو الفداء صاحب حماة ، المجلس الأعلى لرعاية الفنون والآداب والعلوم الاجتماعية سوريا</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والدرر الكامنة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والمنهل الصافي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والبدر الطالع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لابن تغري بردي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 الطالع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والدرر الكامنة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والنجوم الزاهرة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السلوك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والدرر الكامنة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 للسبكي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وطبقات الشافعية للإسنوي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والمنهل الصافي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 والبدر الطالع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وشذرات الذهب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 لابن كثير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ودفن في مسجده الذي بناه سنة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كما وجد مكتوبا على محيط ضريحه وسمي هذا المسجد بجامع أبي الفداء وكان يسمى أيضا بجامع الدهشة لجمال بنائه وروعة موقعه اللذين كانا يدهشان الناظر المتأمل إليه ، وتطلق العامة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الحيات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لتشابك ثمانية أضلاع في كل عضادتي شبابيك حرمه المطلة على نهر العاصي على شكل الأفاعي ، وقد أقيم هذا المسجد فوق التربة المظفرية التي دفن فيها جد البيت التقوي الملك المظفر الأول تقي الدين عمر بن شاهنشاه بن أيوب المتوفى سنة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من بحث أبو الفداء ملكا وعالما للأستاذ قدري الكيلاني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ابن نباته ،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والوافي بالوفيات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 للإسنوي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الكامنة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وعلم الهيئة هو علم يبحث عن أحوال الأجرام السماوية وعلاقة بعضها ببعض وما لها من تأثير في الأرض ، المعجم الوجيز ، هيأ</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 للإسنوي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منهج أبي الفداء في البحث للدكتور حسن الساعاتي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والمؤرخ أبو الفداء ونزعته العلمية للدكتور كامل عياد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 الفداء للدكتور عبد الرحمن حميدة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وحماة في عصر أبي الفداء للأستاذ إحسان العظم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ضمن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المؤرخ الجغرافي أبو الفداء صاحب حماة</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المنهل الصافي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المختصر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يفيد أن أبا الفداء قد اعتمد على الأغاني حين ترجم لبعض الشعراء في المختصر فقد نص على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زهير بن خباب الكلبي قد ذكره صاحب الأغاني وأورد له شعرا وكذا معقر بن حمار البارقي</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الكامنة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 ، للإسنوي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ومعجم الأطباء ، لأحمد عيسى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قصة علاجه للملك المظفر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واعتنى أيضا بذكر الشعراء وأخبارهم ، وسرد كثيرا من أشعارهم منسوبة إليهم ، وكان كثيرا ما يصدر المقطوعات الشعرية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قصيدة مشهورة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ذاكرا أحيانا عدد أبياتها ، مما يدل على معرفته بها إن لم يكن حافظا لها ، وقد أفاد من الشعر أحيانا لتوثيق بعض الحقائق التاريخية وذكر في أكثر من موضع ما يفيد اعتماده على الأغاني وعلى 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لذلك كله المختصر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تراجم لسيبويه والفراء وقطرب والأصمعي وابن السكيت ، والمبرد ، والأزهري ، وابن فارس وأبي علي الفارسي ، والأعلم الشنتمري والحريري والزمخشري ، والجزولي والشلوبين وابن الحاجب في المختصر على التوالي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تنظر الصفحة الأولى من النص المحقق</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فصل مؤلفاته الآتي</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 الوفيات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 للصفدي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والدرر الكامنة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النبلاء ، للطباخ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 ، للإسنوي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والمنهل الصافي ، لابن تغري بردي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الكامنة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قصائد المديح التي نظمها ابن نباتة لأبي الفداء في الديوان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شخصية أبي الفداء في شعر ابن نباتة وصفي الدين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للأستاذ وليد قنباز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 لابن العماد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 ، للإسنوي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لابن كثير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والمنهل الصافي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 والبدر الطالع للشوكاني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الظنون لحاجي خليفة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الظنون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ترجمات الكتاب وطبعاته في تاريخ آداب اللغة العربية لجورجي زيدان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والمستشرقون لنجيب العفيفي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الظنون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إلى سنة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إحدى وثمانين وسبعمائة وهي كروضة ابن الشحنة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 الأستاذ قدري الكيلاني قد صوب التاريخ على نحو ما أثبتناه ولست أدري على أي مصدر اعتمد الأستاذ قدري في تصويبه ، وإذا سلمنا لصاحب الكشف تأريخه ، فذا يدعو إلى الشك في نسبة الكتاب إلى أبي الفداء المتوفى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وانظر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الفداء ملكا وعالما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لقدري الكيلاني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المنهل الصافي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وشذرات الذهب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طبعات الكتاب وترجماته في تاريخ آداب اللغة العربية لجورجي زيدان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والمستشرقون ، للعفيفي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الظنون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آداب اللغة العربية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الوردي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والدرر الكامنة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الظنون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 الوفيات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الوردي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الظنون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المخطوطات العربية في مكتبات تركيا للدكتور رمضان ششن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أبي الفداء في البحث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الأدب العربي لبروكلمان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ونوادر المخطوطات العربية للدكتور رمضان ششن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الظنون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وجعلها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طارق الجنابي في كتابه ابن الحاجب النحوي وآثاره ومذهبه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شروح الكافية ، والصواب فيما أثبتناه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الظنون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وفوات الوفيات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والمنهل الصافي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حماة ، للصابوني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تقويم البلدان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ومنهج أبي الفداء في البحث ، للساعاتي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هدية العارفين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والأعلام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الفداء ملكا وعالما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هدية العارفين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الظنون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السلوك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وشذرات الذهب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الكامنة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أبياتا أخرى نسبت له في المنهل الصافي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والنجوم الزاهرة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وفوات الوفيات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للصفدي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فوات الوفيات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هذا الموشح ومات في بقية السنة رحمه‌الله تعالى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المنهل الصافي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الكناش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إلى ذلك في الكناش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فهرس الموضوعات ليتضح منه ذلك</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الكناش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الكناش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صدر هذه الدائرة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يسبق إليها ، وانظر دائرة الضمائر في الكناش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ودائرة الصفة المشبهة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الكناش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الكناش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طه</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النجم</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البلد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المزمل</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الكناش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الكناش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الكناش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هود</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الكناش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الآيتين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المعارج</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الكناش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الكناش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الفهارس التي أعددناها في آخر الكتاب ليتضح لك منها أماكن الشواهد جميعها</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الجاثية</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الكناش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يونس</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الكناش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المعارج</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الذاريات</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الكناش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الكافرون</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الكناش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الكناش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الكناش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الكناش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الكناش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الكناش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الكناش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الكناش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الكناش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الكناش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الكناش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الكناش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الكناش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الكناش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تنظر الفهارس العامة</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آثرنا الإيجاز والاختصار في هذا الفصل والاكتفاء ببيان المعالم العامة لنزعته النحوية</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الكناش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الكناش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الكناش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الكناش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الكناش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الإنصاف ، للأنباري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الكافية للرضي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الكناش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الإنصاف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الإنصاف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وتسهيل الفوائد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التصريح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الكناش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الكناش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أيضا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الكناش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الإنصاف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الكناش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الإنصاف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وهمع الهوامع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مزيدا من العلل النحوية 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الكناش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والكتاب ، لسيبويه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والإنصاف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الكناش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الإنصاف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لابن يعيش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الكناش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والإنصاف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الأحقاف</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الزمر</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الكناش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ورصف المباني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والمغني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الكناش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والإنصاف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وهمع الهوامع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الكناش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الإنصاف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الكافية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الكناش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الإنصاف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الكناش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والإنصاف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الكافية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وهمع الهوامع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الأشموني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ص</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الكناش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والكتاب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والهمع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الكناش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والإنصاف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الكناش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الكناش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الإنصاف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الأشموني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التصريح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ابن عقيل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الكناش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الكافية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الكناش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الكتاب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الكناش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والكتاب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الكناش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والكتاب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الكناش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التزمنا بما ذكره أبو الفداء والحق أن رأي سيبويه هو رأي الخليل ، ومعلوم أن كثيرا من آراء سيبويه هي آراء الخليل ، وانظر الكناش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والمقتضب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والمفصل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الكناش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والكتاب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والمقتضب ، للمبرد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والمنصف ، لابن جني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الكناش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والكتاب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والمقتضب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والمنصف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الكناش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الكناش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الكناش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والمنصف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الكناش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والكتاب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والمقتضب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والإنصاف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الكناش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والكتاب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والمقتضب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الكناش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والكتاب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والمقتضب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الكناش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والكتاب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الكناش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والكتاب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الكناش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والكتاب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والمقتضب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الكناش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والكتاب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والمقتضب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والخصائص ، لابن جني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الكناش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والكتاب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والمقتضب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الكناش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الكافية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وهمع الهوامع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الكناش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والمغني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التصريح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والهمع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الكناش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والكتاب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الكافية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الكناش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الكناش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والأصول لابن السراج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الكافية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والهمع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الكناش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الكافية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ورصف المباني للمالقي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التصريح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الكناش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الكناش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الكناش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الأشموني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وهو ظاهر كلام الفارسي بعد تقريره أنه للسيرافي</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الكناش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والمزهر ، للسيوطي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الكناش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والخصائص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خاصة في قسم المشترك ، وانظر فهرس الموضوعات</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الكناش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التسهيل لابن المالك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الأشموني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الكناش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وإيضاح المفصل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الكناش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الكناش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وإيضاح المفصل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الكناش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الكناش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الكناش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الكناش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فثمة نقول من شرح المفصل تصرف فيها أبو الفداء</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الكتب التي وقفنا على نصوص منها في الكناش</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أمثلة لذلك في الكناش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النور</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الكناش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وإيضاح المفصل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وثمة نصوص كثيرة من إيضاح المفصل ، انظرها في الكناش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لابن الحاجب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الكناش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الكناش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التسهيل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الكناش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الكناش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الكافية ، للنيلي ، الورقة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الأشموني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الكناش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الكافية ، للنيلي ، الورقة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 شرح التصريح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وحاشية الصبان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الكناش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والوافية في شرح الكافية ، للاستراباذي ، الورقة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الكناش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الشافية ، للاستراباذي ، الورقة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مثلا فهرس مخطوطات دار الكتب الظاهرية ، لأسماء حمصي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وقائمة حصر المخطوطات العربية بدار الكتب والوثائق القومية المصرية المخطوطات المبدوءة بحرف الكاف ، مايو </w:t>
      </w:r>
      <w:r>
        <w:rPr>
          <w:rFonts w:eastAsia="IRNazanin" w:cs="IRNazanin"/>
          <w:b w:val="false"/>
          <w:bCs w:val="false"/>
          <w:i w:val="false"/>
          <w:iCs w:val="false"/>
          <w:color w:val="333333"/>
          <w:sz w:val="20"/>
          <w:szCs w:val="20"/>
        </w:rPr>
        <w:t>1974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والكشافات التحليلية للمجلدات الخمسة الأولى لمجلة المورد العراقية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القاموس المحيط وتاج العروس كنش ومراده أن بعض معاني كنس يفيد الجمع ولذا قالوا لمتعبد اليهود كنيس ولمتعبد النصارى كنيسة لأنهم يجتمعون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 والمصباح المنير كنس</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ورقة كتبها بخط يده رحمه‌الله تعالى رحمة واسعة</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حاشية الخصائص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 ، وتاج العروس ، كنش</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الألفاظ الدخيلة في اللغة العربية مع ذكر أصلها بحروفه ، لطوبيا العنيسي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الكناش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المفيد أن نشير إلى أن تعدد الفنون ليس سمة عامة تتسم بها كتب الكناش ، فقد يكون الكناش مقصورا على الطب فقط أو على الأدب أو على فن من الفنون المتعددة ، وحديثنا هنا عن كناش أبي الفداء وسماته تلك التي ألفيناها في كناشه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على سبيل المثال كناش المحاسني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المحاسني المتوفى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في دار الكتب المصرية تحت رقم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أدب تيمور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وكناشة في الطب لم يعلم مؤلفها ، تحت رقم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طلعت</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الكناش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الكناش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الكناش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الكناش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الكناش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الكناش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الكناش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إطلاق الكناشات على الأصول يمثل مرحلة من مراحل اتساع دلالة الكناش ، ولعل الأصل فيه أن يطلق على الدفتر الذي تقيد فيه الشوارد والفوائد ثم صار يطلق على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رأينا دلالته عند أبي الفداء متسعة على نحو ما نشرحه</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أبي الفداء في البحث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ومنهج أبي الفداء في البحث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تقويم البلدان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ومنهج أبي الفداء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أبي الفداء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أبي الفداء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أبي الفداء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أبي الفداء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حصر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الساعاتي منهج البحث عند أبي الفداء بأربعة قواعد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تقويم البلدان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ومنهج أبي الفداء في البحث ، للدكتور حسن الساعاتي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حماة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الوافي بالوفيات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وفوات الوفيات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والمنهل الصافي لابن تغري بردي ، الورقة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 وشذرات الذهب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وإيضاح المكنون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والأعلام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آداب اللغة العربية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حماة ، للصابوني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ومعجم المؤلفين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المخطوطة ، الورقة أو</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المختصر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وتقويم البلدان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الكناش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فهرستي المختصر في أخبار البشر وتقويم البلدان</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 الوفيات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كشف الظنون ، لحاجي خليفة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الأولى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مطبعة العالم دار سعادات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والحق أن الفصل بين نصوص المفصل ، ونصوص الكافية والشافية ، فيه صعوبة في كثير من الأحايين للمشابهة بينها ، لذا فالإحالة إلى أحدها في بعض المواضع ليس قطعيا ، والمهم أننا حاولنا بما لمسنا من تشابه بين النصوص أن نميز بين هذه النصوص لما في ذلك من خدمة للكناش وللقارىء أيضا</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الرياض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10338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الأحد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جمادى الآخرة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والأدلة كاملة مفصلة تراها في موسوعة السرقات ، والحق أنه ما كان بودي أن أنشر هذه الأدلة المقتضبة في صدر هذا الكتاب لو لا أمران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صوبنا الآن كل الأخطاء التي ذكرت في هذه الأدلة</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العبارة بنصها في الرسالة المخطوطة ، وقد جرى تغييرها إلى ما يشبهها في الصفحتين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لاقتضاء السياق ذلك نتيجة توسعنا في بيان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الكناش</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كان الأمر في الرسالة المخطوطة</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يخفى على المتخصصين علاقة كتاب الحلل بجمل الزجاجي</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لص يضرب به المثل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ألص من شظاظ</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أسرد أخطاءهم كلها لضيق المقام ، واكتفيت ببعض الأمثلة الموجزة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الأخطاء بعضها يعود إلى سرعة نشلهم من الرسالة وبعضها الآخر يرجع إلى إرادة التمويه على السرقة ولو أدى ذلك كله إلى تشويه العمل العلمي</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ألغت إحدى الجامعات عقد أحد هؤلاء السّرّاق عام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بعد أن كونت لجنة علمية أكدت على حصول السرقة بعد أن درست على مدى سنة الأدلة والردود وطابقتها على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الرسالة والمخطوط والكتاب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فالشكر للمسؤولين في تلك الجامعة لنصرتهم الحقّ ، وكشفهم الأعيب المبطلين ولله الحمد والمنة</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في الأصل</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في الأصل</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في الأصل</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في علم العربية ، للزمخشري ، دار الجيل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والكافية ، لابن الحاجب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مجموع مهمات المتون</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الصبوح شرب الغداة ، والغبوق شرب العشي ، اللسان ، صبح وغبق</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الوافية ، لابن الحاجب ، تحقيق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موسى العليلي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 لابن يعيش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في علل النحو ، للزجاجي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التعريفات للجرجاني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ماهية الشيء ما به الشيء هو هو ، والماهية الاعتبارية هي التي لا وجود لها إلا في عقل المعتبر ما دام معتبرا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التعريفات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التصريح ومعه حاشية ياسين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المفصل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والكلام هو المركب من كلمتين أسندت إحداهما إلى الأخرى</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الوافية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الحاجب على الكافية ، رسالة دكتوراه ، جامعة الأزهر ، تحقيق الدكتور جمال مخيمر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والفعل والحرف بعيد</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في شرح الوافية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معنى قول النحويين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يتأتى الكلام إلا من اسمين أو من فعل واسم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شرح المفصل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الكافية ، للرضي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والمغني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في الأصل</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الكافية ، لابن الحاجب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التعريفات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التعريفات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اللسان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القرء يصلح للحيض والطهر</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التعريفات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التعريفات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التعريفات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والخصائص لابن جني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ومفتاح العلوم للسكاكي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وإرشاد والفحول للشوكاني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التعريفات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وإرشاد الفحول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في الأصل</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في شرح الوافية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كقولك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 ، باء ، تا ، ثا ، وكقولك واحد</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والنقل منه</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والنقل منه باختصار ، وانظر شرح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التصريح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الكافية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الأشموني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 وقيل عن ذلك بأنه لحن ، لأنّ أل لا تدخل على غير إلّا في كلام المولدين ، انظر ما قيل عنها في درة الغواص للحريري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الخواص ، لابن منظور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وحاشية الصبان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وحاشية ياسين على شرح التصريح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في الأصل</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المقتضب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الكافية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التصريح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وهمع الهوامع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الأشموني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الكافية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في شرح الوافية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القياس ، والفصيح إجراؤه مجرى المثنى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ثم يتصل الكلام متشابها</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في الأصل</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الوافية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المقتضب ،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الكافية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الأشموني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أقف على تعريف لابن الحاجب للاسم المنقوص ، أثبت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الخفيفة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الهمع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ما آخره ياء خفيفة لازمة تلو كسرة ، وانظر حدّ المنقوص في الكتاب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والمقتضب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الوافية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الكافية ، لابن الحاجب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والتسهيل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الكافية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ابن عقيل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التصريح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الكافية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وهمع الهوامع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في الأصل</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يسير</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في الأصل</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في الأصل</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في الأصل</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في الأصل</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الكافية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الكافية ، لابن الحاجب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والنقل منه مع تصرف يسير وانظر الكتاب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الكافية ، للرضي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شطر بيت لم أقف على قائله ولا تتمته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منه معناه</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مذهب البصريين ، انظر الإنصاف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وبعدها في شرح الكافية لابن الحاجب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مذهب الصحيح</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في شرح الكافية ، لابن الحاجب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كان مستغنيا فهو 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زيادة عما في شرح الوافية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والمشابهة تامة</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في جواز صرف ما لا ينصرف للضرورة ، الكتاب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والمقتضب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والإنصاف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الكافية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الآيتين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الإنسان ، وقواريرا في الأصل مع الثانية ، بلا ألف ، وهما في الرسم القرآني بألف ، ونصهما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ويطاف عليهم بآنية من فضة وأكواب كانت قواريرا ، قواريرا من فضة قدروها تقديرا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قرأنا نافع وأبو بكر والكسائي بالتنوين فيهما ، وقرأ ابن كثير بالتنوين في الأول ، وبغير تنوين في الثاني ، وقرأ الباقون بغير تنوين فيهما ، وكلهم وقف على الأول بألف ، إلا حمزة فإنه وقف عليه بغير ألف ، ووقف نافع وأبو بكر وهشام والكسائي على الثاني بألف ، ووقف الباقون بغير ألف ، الكشف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السبعة لابن مجاهد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والإتحاف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الإنسان ونصها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اعتدنا للكافرين سلاسلا وأغلالا وسعيرا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ومراد المصنف أن التناسب قسمان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تناسب لكلمات منصرفة انضمّ إليها غير منصرف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سلاسلا وأغلالا وسعيرا ، وتناسب لرؤوس الآي كقواريرا الأول فإنه رأس آية فنوّن ليناسب بقيّة رؤوس الآي في التنوين أو بد له وهو الألف في الوقف ، وأما قواريرا الثاني فنوّن ليشاكل قواريرا الأول حاشية الصبان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الكشف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الكشف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الكسائي أن بعض العرب يصرفون كل ما لا ينصرف إلا أفعل منك قال الأخفش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سمعنا من العرب من يصرف هذا ويصرف جميع ما لا ينصرف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شرح الأشموني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شرح الوافية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صرفه جائز مطلقا من غير تناسب وليس بسديد ، لأنه لم يأت صرفه في السّعة إلا مع التناسب المذكور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الإنصاف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في شرح الكافية لابن الحاجب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عشار ومعشر ثم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أصحها أنه لم يثبت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شرح الوافية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والصحيح أنه لا يتعدى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ذلك إلى 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خلافهم حول هذه المسألة في شرح المفصل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الكافية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الأشموني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في الأصل</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في الأصل</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بلدة بأرض فارس ، معجم البلدان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اللسان ، موه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موضع يذكر ويؤنث</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بفارس ، قريبة من شيراز والعجم تسميها 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الكافية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التصريح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مشهور بين دمشق وحلب ، معجم البلدان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مشهورة بخراسان ، معجم البلدان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الكافية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للذكر والأنثى من الضباع ، وسميت بذلك لسعة بطنها وعظمه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 ، حضجر</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خلافهم حول ذلك في الكتاب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الكافية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الكتاب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والمقتضب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الكافية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بشر عمرو بن عثمان ،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النحوي المشهور توفي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الفهرست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والبغية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الخليل بن أحمد بن عبد الرحمن الفراهيدي الأزدي ، لا يخفى على مشتغل بعلوم العربية ، توفي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انظر ترجمته في الفهرست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ونزهة الألباء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ووفيات الأعيان لابن خلكان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والبغية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يزيد الثمالي من أعلام النحويين المعروفين توفي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الفهرست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ومعجم الأدباء للحموي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في الأصل</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المقتضب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للتوسع في ذلك ارجع إلى شرح المفصل،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الكافية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الأشموني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المفصل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إلّا ما اعتل آخره نحو جوار فإنّه في الرفع والجر كقاض</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بن حبيب ، من أكابر النحويين ، تفرد ببعض المذاهب والأقيسة توفي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انظر ترجمته في الفهرست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ونزهة الألباء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بن أوس الأنصاري ، عالم في اللغة والنحو ، صاحب كتاب النوادر في اللغة ، توفي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انظر ترجمته في الفهرست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ونزهة الألباء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وغاية النهاية لابن الجزري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علي بن حمزة ، إمام الكوفيين في النحو واللغة ، وأحد القراء السبعة المشهورين ، توفي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وقيل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ترجمته في الفهرست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ونزهة الألباء ،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وإنباه الرواة ، للقفطي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وغاية الهاية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وطبقات المفسرين للداوودي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لغة لبعض العرب وانظر شرح الوافية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الأشموني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همام بن غالب بن صعصعة المجاشعي ، شاعر مشهور ، توفي سنة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انظر ترجمته في طبقات فحول الشعراء لابن سلام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ومعجم الشعراء للمرزباني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والأعلام للزركلي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ديوانه ، وقد روي منسوبا له في الكتاب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والمقتضب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الكافية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الشواهد للعيني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للبغدادي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بن أبي إسحاق الحضرمي النحوي البصري أخذ القراءة عرضا على يحيى بن يعمر ونصر بن عاصم ، وروى عنه القراءة عيسى بن عمر ، وأبو عمرو بن العلاء ، توفي سنة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أخباره في الفهرست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وغاية النهاية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كالأخفش ، وانظر شرح التصريح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في الأصل</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التصريح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في الأصل</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كسقر ولظى وشتر ، وانظر شرح التصريح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والهمع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 يصبغ به فارسي معرّب ، الجمهرة بقم ، والمعرب للجواليقي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في الأصل</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اليعملة من الإبل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النجيبة المعتملة المطبوعة على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 ، عمل</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 أخذ فلانا أفكل إذا أخذته رعدة فارتعد من برد أو خوف وهو ينصرف فإن سمّيت به رجلا لم تصرفه في المعرفة للتعريف ووزن الفعل ، وصرفته في النّكرة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 ، فكل</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المفصل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أن لا يغل</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العظيم من الحيّات وفيه سواد ، وهي من الصفة الغالبة ، حتى استعمل استعمال الأسماء وجمع جمعها</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في الأصل ، وتوضيحها من شرح الوافية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والنقل منه ، وانظر شرح المفصل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التصريح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والأشموني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الكافية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والهمع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الكافية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سعيد بن مسعدة مولى بني مجاشع ، قرأ النحو على سيبويه وكان معتزليا عالما بالكلام والجدل والعروض صنّف الأوسط في النحو وتفسير معاني القرآن ، اختلف حول سنة وفاته فقيل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وقيل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وقيل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انظر ترجمته في الفهرست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ونزهة الألباء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وإنباه الرواة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ووفيات الأعيان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رأي الأخفش مفصّلا في شرح المفصل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الكافية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والمقتضب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الوافية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كالسيرافي والزجاج والزجاجي ، وانظر الكتاب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والمقتضب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والهمع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هو أعجبني ، وشطب الناسخ على أولها</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فزيد</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جوزه الأخفش وابن جني ، وجعلاه قياسا ، انظر الخصائص لابن جني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وهمع الهوامع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والتشابه بينهما واضح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شرح المفصل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الكافية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الوافية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فيهما معا وانتفت القرائن المعنوية</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الكتاب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الكافية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التصريح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والأشموني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شرح التصريح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لعمرو بن معديكرب ، ورد منسوبا له في الكتاب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ديوان الحماسة ، للمرزوقي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شواهد المغني ، للسيوطي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أنه ينسب للفرزدق أيضا وليس في ديوانه ، وورد من غيره نسبة في شرح المفصل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ولسان العرب ، قطر ، ومغنى اللبيب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صرع</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الكافية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والتشابه تام ، وانظر شرح التصريح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الآيتين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النور ونصهما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بيوت أذن الله أن ترفع ويذكر فيها اسمه يسبّح له فيها بالغدوّ والآصال ، رجال لا تلهيهم تجارة ولا بيع عن ذكر الله وإقام الصّلاة وإيتاء الزّكاة يخافون يوما تتقلّب فيه القلوب والأبصار</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قرأ أبو بكر وابن عامر بفتح الباء على ما لم يسمّ فاعله 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يقوم مقام الفاعل ثم فسّر من هو الذي يسبّح له بقوله ؛ رجال لا تلهيهم ، كأنه لمّا قيل يسبّح له فيها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هو الذي يسبّح فقيل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صفتهم كذا وكذا ، ويجوز أن يرتفع رجال بالابتداء والخبر في بيوت فيوقف على الآصال في القول الأول ولا يوقف عليه في هذا القول الثاني ، وقرأ الباقون بكسر الباء ، بنوا الفعل للفاعل وهو الرجال فارتفعوا بفعلهم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الكشف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والنشر في القراءات العشر ، لابن الجزري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واتحاف فضلاء البشر ، للدمياطي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والفعل الواجب حذفه أن يفسر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شرح الوافية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والواجب أن يجيء تفسيرا لفعل بعد حذفه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ساق الآية ، ونصّ أبي الفداء بعد حذفنا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أوضح</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شرح الكافية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وتسهيل الفوائد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الكافية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للتوسع في ذلك ارجع إلى الكتاب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والإنصاف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يحيى بن زياد أبو زكريا ، أعلم النحويين الكوفيين بعد الكسائي ، توفي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انظر ترجمته في الفهرست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ونزهة الألباء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والبلغة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والبغية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التصريح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همع الهوامع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الأشموني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شرح الوافية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اختصره أبو الفداء هنا ، وانظر لهذه المسائل تسهيل الفوائد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الكافية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التصريح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الأشموني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والهمع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يزيد بن القعقاع المخزومي المدني إمام أهل المدينة في القراءة وأحد القرّاء العشرة قرأ على ابن عبّاس وأبي هريرة وروى عنه القراءة نافع بن أبي نعيم توفي سنة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انظر ترجمته في الفهرست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وغاية النهاية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والنشر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رويم نافع بن عبد الرّحمن بن أبي نعيم الليثيّ مولاهم المدني ، أصله من أصبهان قرأ على سبعين من التابعين منهم أبو جعفر المدنيّ وقد انتهت إليه رياسة الإقراء بالمدينة فأقرأ بها أكثر من سبعين سنة توفي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انظر ترجمته في الفهرست ، انظر ترجمته في الفهرست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وغاية النهاية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والنشر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بالياء وضمها وفتح الراء على قراءة أبي جعفر ، وقرأ الباقون بالنون وضمها وكسر الراء</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ومما قالوا إنّ كلابا منصوب بولدت ، ونصب جرو كلب على النداء على الذم وحينئذ يخلو الفعل من مفعول به فحسن إقامة المصدر مقام الفاعل ، ويكون التقدير فلو ولدت قفيرة الكلاب يا جرو كلب لسبّ السّبّ بذلك ، وحمله بعضهم على الشذوذ من إقامة المصدر مقام الفاعل مع وجود المفعول به وهو الكلاب ، انظر الخصائص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وخزانة الأدب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جني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من أقبح الضرورة ومثله لا يعتد به أصلا بل لا يثبت إلا محتقرا شاذا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شرح الوافية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وجوابهم أنه خارج عن القياس واستعمال الفصحاء</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الفجر</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شرح الكافية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والتشابه تام مع تقديم وتأخير</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وبعدها في الكافية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قائم الزيدان ، وأقائم الزيدان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في حد المبتدأ الكتاب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والمفصل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وتسهيل الفوائد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الكافية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وهمع الهوامع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الأشموني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تسمع ، وأن تسمع ، وهو مثل يضرب لمن خبره خير من مرآه ، انظره في جمهرة الأمثال للعسكري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وفصل المقال ، للبكري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والمستقصى للزمخشري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همع الهوامع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ابن عقيل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لغة طيء أو أزد شنوءة أو بلحارت ، المغني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وتسهيل الفوائد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ابن عقيل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الأشموني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القائلين بذلك قد اعتمدوا على ما قاله ابن مالك في شرح التسهيل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واحترزت بكون المرفوع مغنيا من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أقائم أبوه زيد ، فإن الفاعل فيه منفصل مرتفع بوصف سابق إلا أنه غير مغن إذ لا يحسن السكوت عليه فليس مما نحن فيه بل زيد مبتدأ وقائم خبر مقدم وأبوه مرتفع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المساعد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في الأصل</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في الأصل</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عثمان بن عمر بن أبي بكر بن يونس المعروف بابن الحاجب الكردي الأصل ، الإسنائي المولد ، برع في الفقه المالكي ، والقراءات والعربية والأصول توفي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انظر ترجمته في وفيات الأعيان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والبلغة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والبغية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وشذرات الذهب ، لابن العماد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 قال في الكافية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قام رجل قاعد غلمانه ، وضعف قاعدون غلمانه</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في الأصل</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شرح المفصل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الكافية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 وفي الكافية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كان الخبر فعلا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شرح الوافية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ومنها أن يكون الخبر فعلا له</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في شرح الوافية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 المتقدم مبتدأ ، هو المستقيم لأنه الأصل فلا حاجة إلى تقدير تقديم وتأخير من غير 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المغني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التصريح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وهمع الهوامع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وحاشية الصبان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وهم يكرهون مثل ذلك فأوجبوا تقديم الخبر ليصح دخول إن كقولك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في ظني أنك مسافر ونحوه وهذا قول الأكثرين</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إذا كان المبتدأ ضمير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شرح الوافية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شرح الكافية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التصريح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الأشموني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والمقتضب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وتسهيل الفوائد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لنصيب بن رباح الأكبر مولى بني مروان ، نسب له في شرح ديوان الحماسة للمرزوقي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الشواهد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التصريح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 من غير نسبة في عمدة الحافظ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ابن عقيل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الأشموني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لحسّان بن ثابت ورد في ديوانه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برواية كأن خبيئة ، وروي البيت منسوبا له في كل من الكتاب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والمقتضب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برواية كأن سلافة ، والمحتسب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والحلل في شرح أبيات الجمل ، للبطليوسي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ولسان العرب ، سبأ ، ومغنى اللبيب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وشرح شواهد المغني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السيوطي في همعه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غير نسبة برواية كأن سلافة ورواه جميعهم وكأن مكان ورب ، السبيئة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الخمر ، بيت رأس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لقريتين في كل واحدة منهما كروم كثيرة إحداهما بالبيت المقدس ، والأخرى من نواحي حلب معجم البلدان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والمقتضب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يضرب عند ظهور أمارات الشرّ ومخايله انظر المستقصى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الأمثال للميداني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تحقيق محمد محيي الدين عبد الحميد ، وانظر حاشية الصبان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المقتضب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انظره في موطأ الإمام مالك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وسنن أبي داود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وسنن النسائي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وسنن ابن ماجه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فؤاد عبد الباقي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شرح الجامع الصغير للمناوي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شرح المفصل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الكافية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التصريح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وهمع الهوامع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الأشموني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وحاشية الحضري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العلوم للسكاكي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الخلاف حول جواز مجيء الجملة الخبرية إنشائية في تسهيل الفوائد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الكافية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وحاشية الصبان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الإخلاص</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الأعراف ، على أن ذلك مبتدأ ثان ، وخير خبره</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منوان تثنية منا ، وهو الذي يكال به السمن وغيره ، وقيل الذي يوزن به رطلان ، والجمع أمناء مثل سبب وأسباب ، وفي لغة تميم منّ بالتشديد والجمع أمنان والتثنية منّان على لفظه المصباح المنير منا</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 بالضم ، القمح ، الواحدة برة ، والكر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كيل معروف والجمع أكرار مثل قفل وأقفال ، وهو ستون قفيزا ، والقفيز ثمانية مكاكيك والمكوك صاع ونصف ، المصباح المنير برر ، وكرر</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ويجوز أن يكون حالا من الضمير الذي في الخبر ، والعامل فيه الخبر أي البر الكركائن بستين كائنا منه ، انظر شرح الكافية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التصريح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الأشموني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جرى أبو الفداء وراء البصريين في مذهبهم القائل إن العامل هو الفعل ، وذهب الكوفيون إلى أن الظرف ينتصب على الخلاف ، الإنصاف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الكافية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وهمع الهوامع</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مالك ، المساعد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في شرح الوافية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والصحيح الأول</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في الأصل</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في الأصل</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فالدرهم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يستقيم بها الكلام</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والمقتضب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الكافية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وهمع الهوامع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وبعدها في شرح الوافية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يستقيم أن يكون شيء الواحد إنشائيا خبريا وانظر شرح الكافية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والهمع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في شرح الوافية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خبرها ليس إنشائيا فلا منافاة بين الجزاء وبينه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شرح المفصل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والمغني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الأحقاف</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الجمعة</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للنمر بن تولب ورد منسوبا له في الكتاب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وأمالي ابن الشجري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الشواهد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شواهد المغني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وخزانة الأدب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غير نسبة في المقتضب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ومغنى اللبيب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ابن عقيل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الأشموني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لا تجزعي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تحزني ، والمنفس اسم فاعل من أنفس لغة في نفس بضم الفاء نفاسة والمراد به المال النفيس ، والإهلاك ، الفناء</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 ابن يعيش وابن هشام وصاحب الخزانة على أن سيبويه لا يثبت زيادة الفاء في الخبر وقد زيدت في هذا البيت للضرورة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الكتاب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والمغني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وخزانة الأدب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وفي شرح الوافية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إذا التي للمفاجأة</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لكونها دالة على الوجود ، ولا تحصل المفاجأة إلا بعد الوجود ويرى المبرد أنها ظرف وليست حرفا ، انظر شرح الوافية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المقتضب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الكافية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والمغني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والإنصاف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الكافية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التصريح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وصناعته وتجارته ، القاموس المحيط صنع</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يسير</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يذكر هذا المبحث صاحب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صاحب الكافية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من مباحث متفرقة</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النساء ، وأولها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ويقولون طاعة</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الصبان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لرؤبة بن العجّاج ديوانه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 منسوبا له في شرح الشواهد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شواهد ، ابن عقيل ، للجرجاوي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وفتح الجليل ، للعدوي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غير نسبة في الكتاب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وأمالي بن الشجري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والإنصاف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ولسان العرب ، بتت وشرح ابن عقيل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الأشموني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وهمع الهوامع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 كساء غليظ مهلهل ، مربّع أخضر ، والقيظ شدة الحرّ</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همع الهوامع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شرح المفصل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الكافية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ومنهم ابن جني في اللمع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مالك في شرح التسهيل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عقيل في شرح الألفية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ما ذكره ابن الحاجب في شرح الكافية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مفضلا تمثيله في الكافية ،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غلام رجل ظريف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تمثيل النحويين بلا رجل ظريف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والنحويون يمثلون في هذا الموضع بقولهم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رجل ظريف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يحسن في التمثيل لأمرين </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شرح المفصل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وتسهيل الفوائد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الكافية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التصريح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الأشموني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يوسف</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بالمجادلة</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لسعد بن مالك القيسيّ ورد منسوبا له في الكتاب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والحلل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وأمالي ابن الشجري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شواهد ، المغني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الشواهد ، للعيني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وخزانة الأدب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غير نسبة في المقتضب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والإنصاف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الكافية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ورصف المباني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ومغنى اللبيب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وهمع الهوامع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الأشموني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أعرض والضمير في نيرانها يرجع إلى الحرب</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في الأصل</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التصريح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في الأصل</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في شرح الوافية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وجاز حذف قدمت لدلالة القرينة الحالية عليه</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في الأصل</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والتشابه تام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شرح المفصل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والهمع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يسير</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التصريح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محمد</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وفي شرح الوافية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ذكرت هذه الآثار</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والتشابه تام</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 غير تشبيهي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شرح التصريح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موضع الفعل المقدر ، شرح الوافية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ولذا يسميه النحويون توكيدا لنفسه ، شرح الكافية ، لابن الحاجب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إسحاق إبراهيم بن السري بن سهل ، كان من أكابر أهل العربية ، حسن العقيدة ، جميل الطريقة صنّف مصنفات كثيرة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المعاني في القرآن وكتاب الفرق بين المؤنث والمذكر وغير ذلك ، توفي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الفهرست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ونزهة الألباء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وإنباه الرواة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وبغية الوعاة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والأعلام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رأي الزجاج في شرح المفصل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الكافية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أشار إلى جواز ذلك سيبويه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أجدّك لا تفعل كذا وكذا ، كأنه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أحقّا لا تفعل كذا وكذا</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شرح المفصل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الملك ، وفي الأصل فارجع</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طرفة بن العبد ، كان من أشعر الناس ومن أحدث الشعراء سنّا ، وأقلهم عمرا قتل وهو ابن عشرين سنة انظر أخباره في طبقات فحول الشعراء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ومعجم الشعراء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والبيت ورد في ديوانه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 منسوبا له في الكتاب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التصريح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وهمع الهوامع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 غير نسبة في المقتضب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الحلل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وأبو منذر كنية عمرو بن هند</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 ألب</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لسحيم عبد بني الحسحاس ، ورد في ديوانه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ونسب له في الكتاب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الحلل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التصريح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وخزانة الأدب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غير نسبة في مجالس ثعلب ، القسم الأول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والخصائص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وهمع الهوامع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وكثير ممن روى البيت رواه مكسور الروي ويروى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لذا البرد لابس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ففيه إقواء انظر حاشية الكتاب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الثوب من أي شيء كان وشقّ البرد ، معناه أنّ العرب كانوا يقولون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المتحابين إذا شقّ كلّ واحد منهما برد صاحبه دامت مودّتهما</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الهذّوالهذذ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سرعة القطع ، وسرعة القراءة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ضربا هذا ذيك أي هذّا بعد هذّ ، يعني قطعا بعد قطع</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المفصل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الوافية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يستقيم بها الكلام</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شذور الذهب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وعزاه ابن هشام في شرح القطر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الحاجب</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أمر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الأصل</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ما ذهب إليه الخليل وسيبويه ، ومذهب الكسائي وأبي عبيدة هو خبر ليكن محذوفة ، ومذهب الفراء انتهاء خيرا لكم فهو نعت لمصدر محذوف دل عليه الفعل انتهوا ، انظر لذلك الكتاب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ومجاز القرآن لأبي عبيدة ومعاني القرآن للفراء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وإعراب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للزجاج ، القسم الأول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والبيان للأنباري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والبحر المحيط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وأنوار التنزيل للبيضاوي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وفتح القدير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يوسف</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في شرح الوافية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حيث اللفظ والمعنى أما اللفظ فلكونه مفردا وأما المعنى فلأن المنادى في المعنى لا ينفك </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الإنصاف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وهمع الهوامع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الحسن بن محمد بن شرفشاه العلوي الاستراباذي السيد ركن الدين كان عالما بالحكمة والعربيّة وتكلّم في أصول الفقه ودرّس بالمدرسة النوريّة ثم السلطانيّة وشرح مقدمة ابن الحاجب بثلاثة شروح ؛ الكبير ، والمتوسط والصغير وشرح الشافية في التصريف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انظر ترجمته في المختصر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وبغية الوعاة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في الوافية في شرح الكافية المسمى بالشرح المتوسط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والمراد بالمفرد ما لم يكن مضافا ومشابها له ولا 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الوافية ، المخطوطة ، الورقة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إبراهيم بن الحسين بن عبيد الله بن إبراهيم بن ثابت الطائي ، تقي الدين النيلي شارح الكافية ، من أهل القرن السابع ، لم تذكر كتب التراجم شيئا عنه سوى ما ذكرناه أنظر بغية الرعاة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ومفتاح السعادة ، ومصباح السيادة ، لطاش كبرى زاده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الأدب العربي ، لكارل بروكلمان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التصريح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المغرب</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الصّعق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 الصوت ، والصّعق الكلابي اسمه خويلد أحد فرسان العرب سمّي بذلك لأنه أصابته صاعقة ، وهي صفة تقع على كلّ من أصابه الصّعق ، ولكنه غلب عليه حتى صار بمنزلة زيد وعمر علما كالنجم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 صعق</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المقتضب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الكافية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والمقتضب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التصريح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الأشموني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زبان بن العلاء أحد القرّاء السبعة المشهورين ، كان إمام أهل البصرة في القراءات والنحو واللغة قرأ على سعيد بن جبير ، وأخذ عنه أبو عبيدة ، والأصمعيّ توفي سنة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انظر ترجمته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والبلغة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وبغية الوعاة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يونس وعيسى بن عمر والجرمي ، شرح المفصل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في الأصل</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التصريح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الأشموني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وهمع الهوامع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وحاشية الصبان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والزجاج كما في شرح الكافية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والمازني هو أبو عثمان بكر بن محمّد بن بقيّة من أهل البصرة أخذ عن أبي عبيدة والأصمعيّ وأخذ عنه المبرّد ، له تصانيف كثيرة أشهرها كتاب التصريف الذي شرحه ابن جني ، وكتاب ما تلحن فيه العامة ، وكتاب العروض ، توفي سنة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انظر ترجمته في الفهرست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ونزهة الألباء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وإنباه الرواة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الأشموني ومعه حاشية الصبان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الجاحظ في البيان والتبيين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 اللّحانين الأشراف ابن ضحيان الأزدي ، وكان يقرأ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يا أيّها الكافرين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فقيل له في ذلك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القراءة في ذلك ولكنّي لا أجلّ أمر الكفرة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هشام في شرح شذور الذهب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أن أورد القراءة وهذا إن ثبت فهو من الشذوذ بمكان</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الكافرون</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الكتاب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والمقتضب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لرؤبة بن العجاج وبعده </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لم يعرف قائله وعجزه </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مذهب البصريين ، الهمع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مذهب الكوفيين وبعض البصريين ، شرح الكافية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التصريح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لجرير بن عطيّة يهجو عمر بن لجأ التيمي ، ورد في ديوانه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برواية لا يوقعنّكم مكان لا يلقينكم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منسوبا له في الكتاب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والمقتضب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والخصائص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الحلل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الشواهد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البيت من غير نسبة في الكافية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ومعنى اللبيب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ابن عقيل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الأشموني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سوّة والسوأة الفعلة القبيحة</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العنكبوت ونصها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عبادي الذين آمنوا إن أرضي واسعة فإياي فاعبدون</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قراءة نافع وابن كثير وابن عامر وعاصم وأبي جعفر ، الكشف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والنشر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والاتحاف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الزخرف ، وقد قرأها أبو بكر بالفتح ويقف بالياء ، وأسكنها نافع وأبو عمرو وابن عامر ، ويقفون بالياء ، وحذفها الباقون في الوصل والوقف ، الكشف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والنشر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والاتحاف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يالإضافة ، وفي حاشية الأصل وقرئت يا عباد وهي قراءة حمزة والكسائي وابن كثير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المصادر السابقة</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لم يعرف قائلهما ، وردا في الخصائص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وأمالي القالي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ورواية الثاني في الأمالي </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حاشية الأصل</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الكافية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هود ونصها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بني اركب معنا ولا تكن من الكافرين</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الأشموني ومعه حاشية الصبان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قرأ عاصم بفتح الياء والتشديد ، والباقون بكسر الياء والتشديد وقرأ ابن كثير بإسكان الياء والتخفيف في لقمان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بني لا تشرك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والنشر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والاتحاف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الحاجب في الكافية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وترخيم المنادى جائز ، وفي غيره ضرورة ، وهو حذف في آخره تخفيفا ، وشرطه أن لا يكون مضافا ولا مستغاثا ولا مندوبا ولا 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شرح الكافية للرضي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يقل ولا مندوبا ، لأن المندوب عنده ليس بمنادى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سقط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مندوبا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شرح الكافية لابن الحاجب أيضا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لذي الرّمة ، ورد في ديوانه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ونسب له في الكتاب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برواية مساعفة مكان تساعفنا ، والنوادر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وأمالي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تسمى ميّا ومية ، فلا شاهد عندئذ في البيت</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وا جعفراه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يستقيم التمثيل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مراده أن المندوب لا يرخم أيضا</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وذهب الكسائي والفراء إلى جوازه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وبعض العرب يرخمها بحذف عجزها ، شرح الكافية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التصريح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وهمع الهوامع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لا لزيد</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شرح الوافية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بتصرف يسير وانظر الإنصاف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الزئدتان معا ، شرح الكافية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همع الهوامع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الأشموني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الكافية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 اللسان كرا</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شرح المفصل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الكافية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وا غلامك والتصويب من الكافية وانظر شرح التصريح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الأشموني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 وفي شرح الوافية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فألحقت الكاف المكسورة ياء لذلك</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شرح المفصل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وجوز الكوفيون ندبة غير المعروف وشذذه البصريون شرح الكافية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وأيده الكوفيون ، الكتاب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يوسف</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يضرب هذا المثل في استحكام الغرض من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انظره في جمهرة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والمستقصى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 للخسيس يتكلم في مجلس فيه من هو أرفع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انظره في جمهرة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والمستقصى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الكتاب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هذا بكثير ولا بقوي</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ونصها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يسجدوا لله الذي يخرج الخبء في السموات والأرض ويعلم ما تخفون وما تعلنون</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بهمزة مفتوحة ، وتخفيف 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والباقون بالهمزة وتشديد 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والنشر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والإتحاف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الإنصاف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الناصب له عند الكسائي والفراء ، الفعل بعده ، الإنصاف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التصريح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زيادة يستقيم بها الكلام والمراد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تتقدم هذه الجملة جملة فعلية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ومما يقبح بعده ابتداء الأسماء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وحيث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عبد الله تلقاه فأكرمه ، وحيث زيدا تجده فأكرمه وانظر شرح التصريح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الأشموني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والنقل منه</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التصريح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وهمع الهوامع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الوافية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ويختار الرفع إذا فقدت قرائن النصب كقولك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ضربته </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الكافية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ويستوي الرفع والنصب ، الكثير منه مطموس</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عقيل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والمغني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وحاشية الصبان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التصريح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أحمد بن عبد الغفار الفارسي ، نحوي 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الفهرست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ونزهة الألباء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ذلك كله في شرح المفصل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الكافية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التفعيل</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الكافية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الوافية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سعيد الحسن بن عبد الله المرزبان السيرافي ، صنف تصانيف كثيرة أشهرها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كتاب سيبويه توفي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انظر ترجمته في الفهرست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وإنباه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والبلغة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وإلى ذلك ذهب ابن السراج أيضا ، شرح الكافية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مقام القاعد</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وتسهيل الفوائد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القمر</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يجوز جعل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ناصبا لكل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شرح الوافية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الكافية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التصريح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الأشموني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وطىء الشيء يطؤه وطئا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داسه ، اللسان ، وطأ</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الكافية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الأعراف</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المبهم من الزمان ما دل على زمن غير مقدر كحين ، والمعين ما له نهاية تحصره سواء كان معرفة أو نكرة كيوم وليلة وشهر ، والمبهم من المكان هو الذي لا صورة له ، ولا حدود معينة ،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أمام ووراء ، أما المعين فهو الذي له صورة وحدود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الدار والمسجد ، انظر شرح المفصل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الكافية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الأشموني ، ومعه حاشية الصبان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وهمع الهوامع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وأمام ، وفي شرح الوافية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وأكثر المتقدمين فسروه بالجهات الست وما في معناها 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 وتحت وأمام ووراء</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همع الهوامع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وحذفت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تخفيفا شرح الكافية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الكتاب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صالح بن إسحاق أبو عمر الجرميّ ، كان فقيها عالما بالنحو واللغة دينا ورعا حسن المذهب ، أخذ عن الأخفش ويونس وحدّث عن المبرّد وله من التصانيف كتاب الأبنية وغريب سيبويه توفي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الفهرست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ووفيات الأعيان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وبغية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المقتضب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الكافية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ولسان العرب ، دخل</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 قام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واليوم سرت فيه ، شرح الوافية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اليوم سرت فيه ، وهلّا اليوم سرت فيه شرح الوافية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انتقل أبو الفداء إلى المفصل ، قال الزمخشري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يجعل المصدر حينا لسعة الكلام فيقال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ذلك مقدم الحاج وخفوق النجم وخلافة فلان وصلاة العصر</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في الأصل وانظر شرح المفصل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التصريح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في الأصل</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خرجت اليوم لمخاطبتك زيدا أمس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شرح الكافية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الإنصاف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وتسهيل الفوائد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التصريح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وهمع الهوامع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الأشموني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تسهيل الفوائد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فلذلك</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آراءهم في ذلك ، في الهمع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لم يعرف قائله وقد ورد في الكتاب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ومجالس ثعلب القسم الأول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الشواهد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وهمع الهوامع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الأشموني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التصريح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تسهيل الفوائد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الأشموني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الفتح ، عثمان بن جني ، من أحذق أهل الأدب وأعلمهم بالنحو والتصريف ، له تصانيف كثيرة توفي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الفهرست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ونزهة الألباء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وبغية الوعاة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الزمخشري في المفصل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 الحال بالمفعول من حيث إنها فضلة مثله ، جاءت بعد مضي الجملة ، ولها بالظرف شبه خاص من حيث إنها مفعول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يتحدث ابن الحاجب عن هذين الشبهين في شرح الكافية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في شرح الوافية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هود</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والمسألة حولها تفصيل انظره في شرح الوافية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الكافية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الأشموني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عقيل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قال السيوطي في همع الهوامع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جوّز يونس والبغداديون تعريفها مطلقا ، وقال الكوفيون إذا كان في الحال معنى الشّرط جاز أن يأتي على صورة المعرفة وهي مع ذلك نكرة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المحسن أفضل منه المسيء</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الكافية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مثل قولك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ضربت زيدا الراكب ، شرح الوافية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الشيخ ياسين في حاشيته على شرح التصريح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التزم تنكير الحال لئلا يتوهم الصفة التابعة إن كان لمنصوب كضربت اللصّ المكتوف ، والمقطوعة إن كان لمرفوع أو مخفوض كجاء زيد الراكب ومررت بزيد الراكب</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لبيد بن ربيعة العامري كان فارسا شاعرا شجاعا مسلما قدم على رسول الله صلى‌الله‌عليه‌وسلم في وفد بني كلاب فأسلموا جميعا ثم قدم الكوفة ومات بها في أول خلافة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طبقات فحول الشعراء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والشعر والشعراء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والبيت ورد في ديوانه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برواية فأوردها في مكان فأرسلها ، وروي منسوبا له في الكتاب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وأمالي ابن الشجري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الكافية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التصريح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البيت من غير نسبة في المقتضب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والإنصاف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ابن عقيل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وهمع الهوامع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التصريح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وزعم يونس أن وحده بمنزلة عنده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منتصب على الظرفية المكانية ، وانظر شرح الأشموني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صدر بيت لكثير عزة ، وعجزه </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عمروا</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التصريح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هود</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الأشموني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شرح الأشموني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خلافهم حول ذلك في شرح الكافية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وتسهيل الفوائد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الأشموني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التصريح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وهمع الهوامع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في الأصل</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في شرح الوافية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منعوه لأن الحال فيه معنى الوصفية فكرهوا أن يقدموها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الهمع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الكافية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الأشموني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وهمع الهوامع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يعيش في شرح المفصل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فإن أراد أنه شاذ من جهة القياس فليس بصحيح لوجود رابطة في الجملة الحالية وهو الضمير في فوه وإن أراد أنه قليل من جهة الاستعمال فقريب لأنّ استعمال الواو في هذا الكلام أكثر لأنّها أدلّ على الغرض واظهر في تعليق ما بعدها بما قبلها </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الزمر</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إعراب القرآن المنسوب للزجاج القسم الثاني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واستغني عن الواو لمكان الضمير في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وجوههم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التبيان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الغاشية</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وعمدة الحافظ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لأنها تقرب الماضي من الحال والأخفش والكوفيون غير الفراء لم يوجبوها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المفصل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الكافية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الأشموني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ابن عقيل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 ابن الحاجب في شرح الوافية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 الفارسي بأدلة كثيرة وانتهى إلى القول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ومن يقل إنّ العامل في بسرا هذا ، فهذا يقول الهذيان وفي إيضاح المفصل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آراءهم في العامل ومنها رأي الفارسي ثم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وذهب آخرون إلى أن العامل في بسرا أطيب ، وهذا هو الصحيح ، والقول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للفارسي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محض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راح يسوق أدلة تؤيد كون العامل هو أطيب ، منها ما ذكره أبو الفداء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وللتوسع في هذه المسألة انظر الكتاب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والمقتضب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الكافية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وعمدة الحافظ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التصريح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الأشموني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إيضاح ابن الحاجب المخطوط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شرح الأشموني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وجزآها معرفتان جامدان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الهمع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ولا دراهم ، وانظر شرح الوافية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الكافية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التمييز ، الهمع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عمدة الحافظ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الكافية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التصريح على التوضيح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وهمع الهوامع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لخرنق بنت هفان القيسيّة أخت طرفة بن العبد لأمه ، وقد روي البيت منسوبا لها في الكتاب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والمحتسب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الحلل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والإنصاف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الكافية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التصريح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وهمع الهوامع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وخزانة الأدب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العيني في شرح الشواهد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غير نسبة ، وعند بعضهم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النازلون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 النازلين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المعترك ، موضع القتال ، معاقد الأزر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عفّة فروجهم تريد أنهم لا يعقدون مآزرهم على فروج زانية</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على إسقاط الجار أي في نفسه ، وفي رأيه ، وفي ظهره ، انظر تسهيل الفوائد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الكافية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وهمع الهوامع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لرشيد أو راشد بن شهاب اليشكري ، روي منسوبا له في المفضليات ، للضبي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التصريح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الشواهد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من غير نسبة في كتاب الحلل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وعمدة الحافظ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وهمع الهوامع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الأشموني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ويروى وجوهنا مكان جلادنا وصددت مكان رضيت وقيس مكان بكر</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وأل في النفس زائدة ، الهمع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شرح المفصل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الكافية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وينقسم</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ابن عقيل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القفيز من المكاييل ، وهو ثمانية مكاكيك عند أهل العراق ، وهو من الأرض قدر مائة وأربع وأربعين ذراعا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مكيال تتواضع الناس عليه ، والجمع أقفزة وقفزان ، والمكّوك مكيال لأهل العراق أيضا ، وجمعه مكاكيك ، ومكاكي على البدل كراهية التضعيف وهو صاع ونصف ، لسان العرب ، قفز ومكك</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الرضي في شرح الكافية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 جنسا وقصدت الأنواع فثن ، إن أردت التثنية ، واجمع إن قصدت الجمع ، وإلا فأفرد</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تسهيل الفوائد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وهمع الهوامع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التصريح ومعه حاشية ياسين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مريم</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الأزهري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حواشي ابن هشام ما نصه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وكون فارسا من مميز النسبة إنما يتمشى إذا كان الضمير المضاف إليه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معلوم المرجع ، أما إذا كان مجهوله ، كان من مميز الاسم لا من مميز النسبة لأن الضمير مبهم فيحتاج إلى ما يميزه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الكتاب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والمقتضب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الكافية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لا</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وكذلك</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الكافية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وهمع الهوامع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تميز</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همع الهوامع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والمقتضب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وبعدها في شرح الوافية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ذكرناه من المعنى يلزمه ، لأن معنى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طاب زيد علما في الأصل طاب علم زيد ، فقصدوا إلى الإبهام ثم التفسير لذلك الغرض ، فإذا قدم فات الغرض المذكور كما تقدم في المفرد سواء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في هذه المسألة المقتضب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والإنصاف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وتسهيل الفوائد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وهمع الهوامع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وهمع الهوامع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وحول المسألة خمسة آراء </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الكافية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للكميت بن زيد الأسدي ، انظرها شمياته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وورد منسوبا له في الإنصاف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التصريح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غير نسبة في المقتضب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ابن عقيل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الأشموني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عجزه </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الإنصاف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التصريح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لعامر بن الحارث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جران العود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ديوانه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وروايته </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تسهيل الفوائد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الأشموني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كالأخفش والفراء ، الهمع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أكثر النحويين ذكروا هذه المفاعيل في باب الإستثناء ، انظر المفصل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وإيضاح المفصل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وتسهيل الفوائد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ابن عقيل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الأشموني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ثعلب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يكون بدلا ، والأول مخالف للثاني في النفي والإيجاب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الكافية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هذه الردود في شرح المفصل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الكافية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التصريح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الكافية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تسهيل الفوائد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والمغني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التصريح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الأشموني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الكافية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الكافية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المفصل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وحكى أبو عثمان المازني عن أبي زيد قال سمعت أعرابيا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المقتضب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والإنصاف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والهمع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مذهب الجمهور أيضا ، شرح التصريح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وهم الكوفيون إذ أجازوا خروجها عن الظرفية والتصرف فيها رفعا ونصبا وجرا كغير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التسهيل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الكافية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والمغني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التصريح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للفند الزماني ، شهل بن شيبان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منسوبا له في ديوان الحماسة للمرزوقي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وأمالي القالي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الشواهد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التصريح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وخزانة الأدب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 من غير نسبة في شرح الكافية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ابن عقيل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وهمع الهوامع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الأشموني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أي من قوله ومما يذكر إلى قوله فيما بعد أكرمه الناس سيما 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حاشية الأصل المكتوب بجوارها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علامة الإلحاق في المتن</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وممن عدّ لا سيما من أدوات الاستثناء الكوفيون وجماعة من البصريين كالأخفش وأبي حاتم والنحاس الهمع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الكافية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والهمع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 سوا ، والمغني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آراءهم حولها في الهمع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وتسهيل الفوائد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والمغني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وحاشية الصبان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والنحو الوافي لعباس حسن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امرؤ القيس بن حجر بن عمرو الكندي من فحول الشعراء الجاهليين ، انظر أخباره المشهورة في طبقات فحول الشعراء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والشعر والشعراء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والبيت في ديوانه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منسوبا له في شرح المفصل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الكافية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شواهد المغني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البيت من غير نسبة في مغني اللبيب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الأشموني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التصريح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وهمع الهوامع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ورواية الديوان </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بنجد وقيل بغمر ذي كندة معجم البلدان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حيان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يحذف لا من لا سيما لأنه لم يسمع إلا في كلام المولدين همع الهوامع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شرح الأشموني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المثبت من حاشية الأصل</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التصريح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إذا</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الكافية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الأنبياء</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والمقتضب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والمغني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التصريح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الأشموني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في الأصل</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والمغني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وحاشية الصبان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الأنبياء</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الوافية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لعمرو بن معديكرب ، وقيل لحضرمي بن عامر الأسدي ، روي منسوبا لعمرو في الكتاب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والكامل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والممتع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واللسان ، إلا ، ورواه السيوطي في شرح شواهد المغني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منسوبا لحضرمي بن عامر وسجل الخلاف حوله صاحب الخزانة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البيت من غير نسبة في المقتضب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والإنصاف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الكافية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ورصف المباني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والمغني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والهمع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الأشموني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نجمان قريبان من القطب لا يفترقان</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انظرهما في شرح الوافية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ونسبهما النحويون لابن الحاجب أيضا ، انظر شرح الكافية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والهمع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الأشموني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الأنبياء</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ابن عقيل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التصريح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الأشموني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والمقاصد الحسنة للسخاوي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تمييز الطيب من الخبيث للشيباني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وهل هو حديث أم لا؟ انظر لذلك السير الحثيث للدكتور محمود فجال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الكافية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الوافية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الكافية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المقتضب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ابن عقيل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المقتضب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الكافية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التصريح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تسهيل الفوائد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التصريح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ورسالة الملائكة للمعري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الكافية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وأبو حسن هو علي بن أبي طالب رضي‌الله‌عنه</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الكافية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الوافية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وتسهيل الفوائد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الكافية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التصريح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اختلف حول قائله ،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لأنس بن العباس بن مرداس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لأبي عامر جد العباس بن مرداس ، ورد البيت منسوبا لأنس في الكتاب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شواهد المغني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شواهد ابن عقيل ، للجرجاوي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 البيت من غير نسبة في الكتاب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شذور الذهب ، لابن هشام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ومغني اللبيب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ابن عقيل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وهمع الهوامع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الأشموني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وسجل الخلاف العيني في شرح الشواهد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والأزهري في شرح التصريح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ويروى </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همع الهوامع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وصدره </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الأشموني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شرح الكافية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نضعف هذا الوجه بل هو مثل الوجه الثالث والرابع سواء في حصول التكرير</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صدر بيت لحسان بن ثابت ، وعجزه </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التصريح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لعمرو بن قنعاس المرادي المذحجي وقد رواه السيوطي في شرح شواهد المغني منسوبا له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وورد البيت من غير نسبة في الكتاب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والنوادر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الكافية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ولسان العرب ، حصل ، ومغني اللبيب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الشواهد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الأشموني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التي تحصّل تراب المعدن</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مذهب الخليل وسيبويه ، قال في الكتاب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وسألت الخليل رحمه‌الله عن قوله </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في الأصل</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وما بعد</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وعجزه </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يكرر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يكررها ، وفي شرح الوافية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بالتاء</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والمقتضب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الكافية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والنقل منه بتصرف يسير</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الكتاب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وإنما يريد لا بأس عليك ، ولا شيء عليك ولكنه حذف لكثرة استعمالهم إياه ، وانظر شرح المفصل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الكافية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الأشموني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يوسف ، وحاش لله ، سقطت من الأصل</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ويقرؤون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هذا بشر ، القطر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في الأصل</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الشرط جار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الكافية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فروة بن مسيك ورد منسوبا له في الكتاب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المغني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وخزانة الأدب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 من غير نسبة في المقتضب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والمصنف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والمحتسب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والخصائص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الكافية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ورصف المباني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والمغني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وهمع الهوامع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في الأصل</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في الأصل مشطوب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والمجرورات</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النبأ</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احترازا وانظر قوله بعد </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والتقدير</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وتسهيل الفوائد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تسهيل الفوائد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سبأ</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همع الهوامع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التصريح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في شرح الوافية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يأت إلا في لغة ضعيفة على خلاف القياس واستعمال الفصحاء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خلافهم حول هذه المسألة في الكتاب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والمقتضب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ومجالس ثعلب القسم الثاني ،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والإنصاف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الكافية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والهمع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غيلان بن عقبة ، أحد عشاق العرب المشهورين انظر أخباره في طبقات فحول الشعراء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والشعر والشعراء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والبيت في ديوانه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 منسوبا له في المقتضب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والحلل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 من غير نسبة في المقتضب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وهمع الهوامع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الأشموني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وروي يدفع مكان يكشف ، والعنا والبكا مكان العمى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الأثافي </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تسهيل الفوائد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هو</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تسهيل الفوائد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همع الهوامع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من إضافة المصدر إلى فاعله ، والثاني من إضافته إلى المفعول</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التصريح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يعدها في الأصل مشطوب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هذا عارض ممطرنا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شرح المفصل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الكافية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في الأصل</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أجاب الرضي عن ذلك ناقلا رأي ابن الحاجب في هذه المسألة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قوله لأن لام التعريف دخلتها بعد الحكم بإضافتها ، فإنّه رجم بالغيب ومن أين له ذلك؟ ونحن لا نحكم إلّا بالظاهر فإنّه وإن أمكن ما قال ، إلّا أنّا نرى اللام سابقة حسا على الإضافة ، والإضافة في الظاهر إنّما أتت بعد الحكم بذهاب التنوين بسبب اللام فكيف ينسب حذف التنوين إلى الإضافة بلا دليل قاطع ولا ظاهر مرجّح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وهمع الهوامع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شرح الوافية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وأجاب عنه بأن هذا مشبه بالحسن الوجه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نصبوا الوجه تشبيها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بالضارب الرجل خفضوا الرجل تشبيها بالمختار في الحسن الوجه</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شرح الكافية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الثوب الخلق البالي وجمعه سحوق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 ، سحق</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الخلق من الثياب وجمعه جرود ، اللسان ، جرد</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في شرح الوافية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كلا منها سبب لاجتماع الناس</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والنقل منه بتصرف وانظر هذه المسألة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إضافة الصفة إلى الموصوف ، والموصوف إلى الصفة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الانصاف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الكافية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والهمع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شرح الكافية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والإنصاف أن مثله كثير لا يمكن دفعه</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الكافية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أعجمي معرب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 ، بخت</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 وظبي</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التصريح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الوافية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نحو عصا ورحى ومسمّى ومعلى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عصاي ورحاي ومسماي ومعلاي</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طه</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خويلد بن خالد بن هذيل الشاعر المشهور ، انظر أخباره في طبقات فحول الشعراء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ومعجم الشعراء ، للمرزباني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والبيت من قصيدة مشهورة في ديوان الهذليين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منسوبا له في المفضليات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والمحتسب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وأمالي ابن الشجري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الشواهد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التصريح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غير نسبة في شرح ابن عقيل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وهمع الهوامع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الأشموني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هذه الكلمة هواي بألف المقصور وياء المتكلم ، فقلبت ألف المقصور ياء ثم أدغمت في ياء المتكلّم ، والهوى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تهواه النفس وترغب فيه ، وأعنقوا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سارعوا مأخوذ من الأعناق وهو كالعنق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السير فيه سرعة ، فتخرموا بالبناء للمجهول أي استؤصلوا وأفنتهم المنية</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همع الهوامع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التصريح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في الأصل مشطوب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فسقطت النون</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يريد ابن الحاجب ، ولم أقف على قوله هذا فيما بين يدي من كتبه انظر إيضاح المفصل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الوافية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الكافية ، لابن الحاجب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أمالي ابن الشجري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وتسهيل الفوائد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الكافية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وهمع الهوامع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عجز بيت لمؤرج السلمي ، وصدره </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لم أهتد إلى قائله</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السيوطي في الهمع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والمختار جوازها أي إضافتها إلى ضمير كما يفهم من كلام أبي حيان ، أن الجمهور عليه ، خلافا للكسائي والنحاس والزبيدي والمتأخرين في منعهم ذلك إلا في الشعر</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يعرف قائله ، انظره في شرح المفصل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ولسان العرب ذو ، والمقاصد الحسنة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وهمع الهوامع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شرح المفصل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شرح المفصل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الزمخشري في مفصله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تخلو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الإضافة المعنوية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الأمر العام من أن تكون بمعنى اللام كقولك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 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بمعنى من كقولك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خاتم فضة</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المفصل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يذهب بالظرف عن أن يقدّر فيه معنى في اتساعا فيجري لذلك مجرى المفعول به فيقال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سرته يوم الجمعة ، ويضاف إليه كقولك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سارق الليلة أهل الدار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شرح المفصل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الرجز لا يعرف له قائل ولا تتمة انظره في الكتاب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وأمالي ابن الشجري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وخزانة الأدب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المفصل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وكلّ اسم معرفة يتعرّف به ما أضيف إليه إضافة معنويّة إلا أسماء توغلت في إبهامها فهي نكرات وإن أضيفت إلى المعارف وهي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ومثل وشبه ذلك ولذلك وصفت بها النكرات فقيل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مررت برجل غيرك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إلا إذا شهر المضاف بمغايرة المضاف إليه كقوله عزوجل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المغضوب عليهم ، أو بمماثلته</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الفاتحة</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التصريح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التصريح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مذهب سيبويه ، وعند الزجاج هو معنى اللام ، وبحرف مقدر ناب عن المضاف عند ابن الباذش</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الأشموني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متعلقه 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متن الكافية المطبوع ، ولا في شرح الوافية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المقتضب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الكافية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النعت مصطلح كوفي ، والصفة بصري ، وذهب بعضهم إلى أن النعت يكون بالحلية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طويل وقصير ، والصفة تكون بالأفعال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ضارب وخارج ، شرح المفصل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وحاشية الصبان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وحاشية الخضري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المقتضب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رأي ابن الحاجب وجمع من المحققين حاشية الصبان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إيضاح المفصل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الحاقة</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والمغني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شرح الأشموني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للعجاج ورد في ملحقات ديوانه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برواية يختلط ، وورد منسوبا له في أمالي الزجاجي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وأمالي ابن الشجري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الشواهد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التصريح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وخزانة الأدب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 الرجز من غير نسبة في المحتسب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والإنصاف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والمقرب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ومغني اللبيب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ويروى جن مكان جاء ، واختلط مكان المختلط ، وضيح مكان مذق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كناية عن انتشاره واتساعه ، المذق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 الممزوج بالماء شبهه بالذئب لاتفاق لونهما لأن فيه غبرة وكدرة</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الإنصاف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الكافية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لحاق علامتي التثنية والجمع في الفعل المسند إلى الظاهر المثنى والمجموع ضعيف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التصريح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جمهور النحويين إلى أنّ المضمرات أخصّ المعارف ثم العلم ثم المبهم ، وما أضيف إلى معرفة من المعارف فحكمه حكم ذلك المضاف إليه في التعريف ثم ما فيه الألف واللام ، وذهب قوم إلى أن المبهم أعرف المعارف ، وذهب قوم آخرون إلى أنّ أعرف المعارف العلم ثمّ المضمر ثم المبهم ثم ما عرّف بالألف واللام ، وما أضيف إلى معرفة فحكمه حكم ذلك المضاف إليه في التعريف انظر الإنصاف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وتسهيل الفوائد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الكافية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في الأصل</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الأبيض عام لا يخص نوعا دون آخر كالإنسان والفرس بخلاف هذا العالم فإن العالم مختص بنوع من الحيوان ، فكأنك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الرجل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المفصل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ويوصف بالمصادر كقولهم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عدل وصوم وفطر وزور</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أن</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التصريح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الإنصاف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وتسهيل الفوائد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الأنعام</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الأنصاف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وتسهيل الفوائد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حمزة بن حبيب بن عمارة الزّيّات أحد القرّاء السبعة أخذ القراءة عن سليمان الأعمش وطلحة بن مصرف وصارت إليه الإمامة بعد عاصم والأعمش له من الكتب كتاب قراءة حمزة وكتاب الفرائض ، توفي سنة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انظر ترجمته في الفهرست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ووفيات الأعيان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وغاية النهاية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التهذيب ، لابن حجر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والنشر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العطف على الهاء في به وذلك مذهب الكوفيين ، وقرأ الباقون بالنصب عطفا على لفظ الجلالة على معنى واتقوا الأرحام أن تقطعوها ، أو على به كقولك مررت به وزيدا الكشف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والبحر المحيط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والإتحاف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يعيش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ذكره القراءة ما نصه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فإن أكثر النحويين قد ضعف هذه القراءة نظرا إلى العطف على المضمر المخفوض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القول غير مرضي لأنه قد رواها إمام ثقة ولا سبيل إلى رد نقل الثقة مع أنه قد قرأتها جماعة من غير السبعة كابن مسعود ، وابن عباس ، والأعمش والحسن البصري ، وإذا صحت الرواية لم يكن سبيل إلى ردها ، وتحتمل وجهين آخرين غير العطف ، أحدهما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تكون الواو واو القسم وهم يقسمون بالأرحام ويعظمونها وجاء التنزيل على مقتضى استعمالهم ويكون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كان عليكم رقيبا ، جواب القسم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والوجه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يكون اعتقد أن قبله باء ثانية حتى كأنه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وبالأرحام ، ثم حذف الباء لتقدم ذكرها ، وقد كثر عنهم حذف حرف الجر ، وانظر الخصائص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الكافية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عجز بيت لقائل مجهول ، وصدره </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والنقل منه</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الجاثية</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وقرأ الباقون بالرفع ، السبعة لابن مجاهد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والكشف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معاني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وإعراب القرآن المنسوب للزجاج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الثالث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والتبيان للعكبري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مختلف حول قائله فقد نسب لأبي داؤد الأيادي في الكتاب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الشواهد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شواهد المغني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ونسب لعدي بن زيد في الكامل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 من غير نسبة في أمالي ابن الشجري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والإنصاف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ومغني اللبيب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الأشموني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مثل يضرب في موضع التهمة وفي اختلاف أخلاق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المثل في الكتاب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والمقتضب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والمستقصى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وفرائد اللآل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وتمر معطوفة على شحمة</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لأنهما خبران لها انظر شرح المفصل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شرح الوافية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ذلك ما نصه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فإنا نقطع بأن المراد من آيات الأول غير المراد من الثاني وكذلك الثالث إذ المعنى أن في كل واحد مما ذكر آيات ، فكيف يستقيم أن يؤول بالتأكيد</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وبعدها في شرح الوافية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بعيد</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الحسن محمد بن أحمد بن كيسان ، كان نحويا فاضلا خلط بين المذهبين وأخذ عن الفريقين له من الكتب كتاب المهذب في النحو ، وكتاب القراءات وكتاب المقصور والممدود توفي سنة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الفهرست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ونزهة الألباء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وإنباه الرواة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وهمع الهوامع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التصريح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وهمع الهوامع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الأشموني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الكافية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الأشموني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الإكليل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 عصابة مزيّنة بالجواهر والجمع أكاليل ، ويسمّى التاج إكليلا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يكلّ كلالا وكلالة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 ، كلل</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الوافية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الإنصاف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ابن عقيل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وهمع الهوامع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يوم وليلة وشهر وانظر شرح الوافية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لم يعرف قائله ورد في الإنصاف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وأسرار العربية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والمقرب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الكافية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ابن عقيل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الشواهد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وهمع الهوامع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الأشموني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وخزانة الأدب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صوّتت ، والبكرة ، للبئر</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إن البيت مجهول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شاذ قليل في بابه وإنّ الرواية الصحيحة يوما أجمع بلا تنوين أراد يومي أجمع ، فالألف بدل من ياء الإضافة ، وقيل هو بدل أو نعت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الإنصاف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والهمع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غير توسط حرف العطف ، سقط من متن الكافية ، ولم يرد في إيضاح المفصل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في شرح الوافية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في شرح الكافية ، لابن الحاجب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شرح ابن عقيل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وشذور الذهب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إيضاح المفصل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البدل تابع مقصود بالذكر ، وذكر المتبوع قبله للتوطئة والتمهيد ،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الحد إنما يكون شاملا لغير بدل الغلط إذ بدل الغلط لم يذكر ما قبله لتوطئة ولا لتمهيد فإن قصدت دخوله في الحد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المتبوع وليس هو المقصود</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الأشموني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الآيتين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الفاتحة</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الآيتين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الصافات</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الآيتين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العلق</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الآيتين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الشورى</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الزيج فارسي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جدول يستدل به على حركات الكواكب ومواقعها ، تفسير الألفاظ الدخيلة ، للعنيسي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أنه صار يطلق على الدائرة</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جوّز أبو الفداء تبعا لابن الحاجب إبدال المضمر من الظاهر بدل كلّ ، وقد منع ابن مالك ذلك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والصحيح عندي أن يكون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زيدا إياه ، من وضع النحويين وليس بمسموع من كلام العرب لا نثرا ولا شعرا ولو سمع كان توكيدا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وفيما قاله نظر ؛ لأنّه لا يؤكّد القويّ بالضعيف وقد قالت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 هو الفاضل ، وجوّز النحويون في هو أن يكون بدلا وأن يكون مبتدأ وأن يكون فصلا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إيضاح المفصل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وتسهيل الفوائد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وشذور الذهب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للفرزدق ورد في ديوانه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برواية </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البدل للإيضاح ، والشيء لا يوضح بما هو أخفى منه ، فلا تحصل فائدة بدون الصفة انظر حاشية ياسين على مجيب الندا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العلق</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همع الهوامع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والزمخشري هو أبو القاسم محمود بن عمر من أهل خوارزم ، معتزلي مشهور ، توفي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نزهة الألباء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وإنباء الرواة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والبلغة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وجعله ابن الحاجب في الكافية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واجبا</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شمير بن الحارث الضبي ، ورد منسوبا له في النوادر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وخزامة الأدب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غير نسبة في المقرب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الكافية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الفرس إذا طلب العلف</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التصريح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كالأخفش والكوفيين ، شرح الكافية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والهمع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الكافية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تابع غير صفة يوضح متبوعه</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وحدوه</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وتسهيل الفوائد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لعبد الله بن كيسبه ، وبعده </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والمرار بن سعيد بن حبيب بن خالد الفقعسي للأسدي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 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أخباره في معجم الشعراء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منسوبا له في الكتاب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الشواهد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التصريح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وخزانة الأدب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 من غير نسبة في المقرب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الكافية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شذور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الأشموني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امتناع إضافة الوصف المقترن بأل إلى المعرفة</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مذهب الكوفيين ، وذهب غيرهم إلى المنع ، ويخصون عطف البيان بالمعارف انظر شرح الأشموني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التصريح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بالتاء وهي قراءة أبي بكر وحمزة والكسائي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النور</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الكافية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شرح المفصل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كالجرجاني وابن الخشاب ، شرح الأشموني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يوسف</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الكافية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الإخلاص</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تسهيل الفوائد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والمساعد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الأشموني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شرح المفصل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مشترك بين الواحد المذكر والمؤنث</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المثنى المذكر والمثنى المؤنث ، والمجموع المذكر والمؤنث</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مذهب البصريين وأصل أنا عندهم أن بفتح النون ، ولكون النون مفتوحة زيدت فيها الألف في الوقف لبيان الحركة كهاء السكت ولذلك تعاقبها فيقال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 وإذا وصلت حذفتها انظر شرح المفصل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الأشموني ومعه حاشية الصبان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مذهب الكوفيين واختاره ابن مالك في التسهيل واحتجّوا بإثبات الألف وصلا في لغة وقالوا إنّ الهاء في أنه بدل من الألف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المفصل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تسهيل الفوائد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وهمع الهوامع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الأشموني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ميمون بن قيس بن جندل يكنى أبا بصير ، شاعر جاهليّ أدرك الإسلام ولم يسلم انظر ترجمته في طبقات فحول الشعراء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والشعر والشعراء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ومعجم الشعراء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والبيت في ديوانه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برواية </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مذهب البصريين والكوفيون حكموا بأصالة التاء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الإنصاف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الأشموني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التصريح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وهمع الهوامع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الكتاب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ومنهم ابن كيسان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الإنصاف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الكافية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وهمع الهوامع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مذهب سيبويه والبصريين ونسب للأخفش ،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أسدّ الآراء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الإنصاف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الكافية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والهمع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صدر بيت للشماخ بن ضرار الغطفاني ورد في ديوانه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برواية </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صدر بيت للأعشى وعجزه </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الإسراء</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الأعراف</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يوسف</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التصريح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وحاشية الصبان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النيلي في شرح الكافية ، مخطوط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وسووا بين المذكّر والمؤنّث في هما ، وإنما جازت التسوية لأن هما إمّا أن يقع مبتدأ فيستغنى عن تأنيثه بتأنيث الخبر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 فعلا ، وهما فعلتا وإن كان فاعلا فيؤتى بعلامة التأنيث في الفعل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الرجلان ما ضربت إلّا هما والمرأتان ما ضربت إلّا هما فاعرفه</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شرح التصريح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في الأصل</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وشبهة الأخفش أن فاعل المضارع المفرد لا يبرز بل يفرق بين المذكر والمؤنث بالتاء أول الفعل في الغيبة ، ولما كان الخطاب بالتاء في الحالتين احتيج إلى الفرق ، فجعلت الياء علامة للمؤنث ، ورد زعمه بما ذكره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المفصل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والهمع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لا تتعين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شرح الوافية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الفاتحة</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وتسهيل الفوائد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الكافية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والنقل منه</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في الأصل</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الكافية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الحاشية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إيضاح ما في الأصل إذا وجدت ضميرين منصوبين أحدهما أعرف من الآخر فقدم الأعرف وجاز لك في الثاني الاتصال والانفصال وكذلك المجرور والمنصوب مثله</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يؤلمني ضربيك</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يشذذ سيبويه ذلك بل حكم عليها بالقلة ، قال بعد ذكره ذلك ما نصه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وهذا ليس بالكثير في كلامهم والأكثر في كلامهم أعطاه إياه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شرح المفصل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الوافية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لعمر بن أبي ربيعة وردا في ديوانه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غريبا مكان عريبا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 للعرجي وردا في ديوانه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برواية </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ظالم بن عمر كان من سادات التابعين وأعيانهم ، صحب عليّ بن أبي طالب وشهد معه وقعة صفّين ، قيل هو أول من وضع النحو وله شعر حسن توفي بالبصرة سنة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الشعر والشعراء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ومعجم الشعراء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ووفيات الأعيان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والبيتان وردا في ديوانه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 البيت الأول منسوبا له في الكتاب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 البيت الثاني منسوبا له في شرح المفصل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الشواهد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البيتان من غير نسبة في الإنصاف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وروي البيت الثاني من غير نسبة في المقتضب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الكافية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الأشموني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ويروى دع مكان ذر ومغنيا مكان مجزيا وأرضعته مكان غذته وأمه مكان أمها ، رأيت أخاها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الزبيب لأنهما تغذيان من شجرة واحدة</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الكافية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سبأ</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الإنصاف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ليزيد بن الحكم ، ورد منسوبا له في الكتاب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والأمالي للقالي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والخصائص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وأمالي ابن الشجري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الشواهد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وخزانة الأدب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البيت من غير نسبة في المنصف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والإنصاف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الكافية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ورصف المباني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وهمع الهوامع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الأشموني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وروي من قنّة مكان من قلّة</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عمر بن عبد الله بن أبي ربيعة المخزومي يكنى أبا الخطّاب شاعر غزلي مشهور انظر أخباره في الشعر والشعراء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والبيت ورد في ديوانه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برواية بعينيها مكان بكفيها وروي البيت من غير نسبة في أمالي ابن الشجري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الكافية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وهمع الهوامع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البغدادي في خزانة الأدب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منسوبا لعمر بن أبي ربيعة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إنه للعرجي أيضا ولم أجده في ديوانه</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خلافهم حول هذه التراكيب في الكتاب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والإنصاف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الكتاب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وأما قولهم عساك فالكاف منصوبة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والدليل على أنها منصوبة أنك إذا عنيت نفسك كانت علامتك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عمران بن حطان </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صدر بيت لمتمّم بن نويرة وعجزه </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لرؤبة بن العجاج ، ورد في ملحقات ديوانه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وبعده </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شرح التصريح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والمقتضب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الكافية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التصريح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لعمرو بن معد يكرب ورد منسوبا له في الكتاب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ولسان العرب مادة فلا ، وخزانة الأدب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غير نسبة في شرح ديوان الحماسة ، للمرزوقي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الكافية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ومغني اللبيب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في الأصل</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شرح المفصل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حذف نون الوقاية من لدن لا يجوز عند سيبويه والزجاج إلّا للضرورة وعند غيرهما الثبوت راجح وليس الحذف للضرورة لثبوته في القراءات السبع ، انظر الكتاب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الكافية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الكهف</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قرأ نافع وأبو بكر بالتخفيف وشدّده الباقون وكلّهم ضم الدال إلّا أبا بكر فإنه أسكنها وأشمّها الضمّ وحجة من شدّد أنه أدغم نون لدني في النون التي دخلت مع الياء ليسلم سكون نون لدن كما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وعني ، وحجّة من خفف أنه لم يأت بنون مع الياء لأنّه ضمير مخفوض كغلامي وداري فاتصلت الياء بنون لدن فكسرتها انظر الكشف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والتبيان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والنشر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وأجاز سيبويه حذفها في الشعر للضرورة الكتاب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الكافية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لم يعرف قائله ، وبعده </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سمّي فصلا عند البصريين لأنّه فصل بين المبتدأ والخبر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فصل بين الخبر والنّعت لأن الفصل به يوضّح كون الثاني خبرا لا تابعا ، والكوفيون يسمونه عمادا ، لأنّه يعتمد عليه في الفائدة إذ به يتبيّن أنّ الثّاني خبر لا تابع وبعض الكوفيين يسميه دعامة لأنّه يدعم به الكلام أي يقوّى به ويؤكّد ، والتأكيد من فوائد مجيئه وبعض المتقدمين سماه صفة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الإنصاف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والهمع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شرح الوافية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والمقتضب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الكافية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فاطر</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همع الهوامع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والإنصاف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الكتاب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ناس كثير من العرب وفي البحر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بنو تميم ، وانظر المقتضب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والنقل منه وانظر شرح المفصل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ويسميه الكوفيون الضمير المجهول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الكافية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طه</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والنقل منه بتصرف</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أهتد إلى قائله ولم أجده في المصادر التي بين يديّ</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للأخطل ورد في ديوانه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 منسوبا في الحلل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شواهد المغني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وخزانة الأدب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 البيت من غير نسبة في أمالي ابن الشجري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والمقرب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الكافية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ومغني اللبيب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والعمدة للقيرواني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وهمع الهوامع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هود ، قرأ الحرميان وأبو بكر وإن كلا بتخفيف إنّ ، وشدد الباقون ، وقرأ عاصم وحمزة وابن عامر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بالتشديد ، وخفف الباقون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الإتحاف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عجز بين للأعشى ، ورد في ديوانه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برواية </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المدلغة الحجازيين ، والقصر لغة التميميين وقيس وربيعة وأسد الهمع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التصريح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مذهب البصريين وقال الكوفيون هي زائدة ، انظر خلافهم حول ذلك في الإنصاف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الكافية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والهمع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يوسف</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النيلي في شرح الكافية ، المخطوط الورقة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ثقل عليك ذلك وهو مراعاة عدة أحوال المخاطبين فعليك باللغة التي نقلها الثقات ، وهو فتح الكاف على كلّ حال ، من غير إلحاق علامة تثنية ولا جمع ولا غيرهما بل تفرد وتذكّر على كل 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الأزهري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غير نسبة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الرأي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ودون هذا أن تفتح مطلقا ولا تلحقها علامة تثنية ولا 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شرح التصريح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وحاشية الصبان على شرح الأشموني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رأي ابن الحاجب قال في شرح الكافية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توهم بعض القاصرين أنه إعراب ، وإنما هي صيغ موضوعة للمرفوع والمنصوب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وإلى ذلك أشار الرضيّ أيضا فقال في شرح الكافية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وذان صيغة مرتجلة غير مبنية على واحده ولو بنيت عليه لقيل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ذيان ، فذان صيغة للرفع وذين صيغة أخرى لنصب والجر ، وانظر إيضاح المفصل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لغة بلحارث بن كعب ، وبطون من ربيعة وخثعم وزبيد وبني العنبر وبني الهجيم وبكر بن وائل وهمدان وعذرة ، شرح المفصل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وشذور الذهب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التصريح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طه قرأ نافع وابن عامر ، وأبو بكر وحمزة والكسائي بتشديد إن ، وهذان بالألف وتخفيف 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وقرأ ابن كثير بتخفيف إن وهذان بالألف مع تشديد النون ، وقرأ حفص كذلك إلا أنه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خفف نون هذان ، وقرأ أبو عمرو وحده إن بالتشديد وهذين بالياء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السبعة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والكشف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والإتحاف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شرح الكافية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الرفع متفق على جوازه ، وأما في النصب والجر فمنعه البصري وأجازه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الأشموني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تسهيل الفوائد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التصريح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الأشموني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الكافية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مغنى اللبيب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الكافية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الأشموني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قرأ نافع وابن عامر وحفص بالهاء ، والباقون بغير هاء الكشف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والاتحاف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المفصل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يحذف هذا الراجع إلا بمجموع ثلاث شرائط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أحدها ، أن يكون ضميرا منصوبا لا ضميرا مرفوعا ولا مجرورا ، لأن المفعول كالفضلة في الكلام والمستغنى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 يكون الراجع متصلا لا منفصلا لكثرة حروف المنفصل وأن يكون على حذفه دليل</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في الأصل مشطوب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نظر لجواز أن يكون المرفوع مبتدأ ويجوز حذفه عند طول الصلة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أنا بالذي قائل لك سوءا ولجواز حذف الجار والمجرور معا كقوله </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لغة قريش فيما حكاه أبو عمرو ، وانظر هذه اللغات في التسهيل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الكافية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التصريح ومعه حاشية الصبان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عجز بيت لسنان بن الفحل الطائي وصدره </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لقولك</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الكافية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شرح المفصل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شرح المفصل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وهمع الهوامع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صاحب الهمع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السراج وأبي حيان قولهما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الإخبار ليس بالذي ولا عن الاسم بل بالاسم عن الذي ، قال ابن السراج وذلك لأنّه في المعنى مخبر عنه ، قال أبو حيان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ويحتمل أنّ الباء بمعنى عن ، وعن بمعنى الباء كما تقول سألت عنه وسألت به فكأنه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 بهذا الاسم أي صيّره خبرا ، وقال غيره الباء هنا للسببيّة لا للتعديّة ، وكأنه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 بسبب الذي أي سبب جعلها مبتدأ</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الكافية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المقتضب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الكافية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يعيش في شرحه على المفصل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يجز ذلك لأنّ هذه الهاء عائدة إلى زيد ، ولو أخبرت عنه لنزعت هذا المضمر وجعلت مكانه ضميرا آخر يعود إلى الموصول ، وأخّرت الضمير الذي في ضربته إلى موضع الخبر وكنت تجعله منفصلا لتعذّر الإتيان بالمتصل ، ولو فعلت ذلك لأخليت المبتدأ الذي هو زيد من عائد عليه</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الكافية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في الأصل مشطوب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والمؤخر خبرا خارج عن الصلة والخبر والعائد يلزم فيهما وانظر شرح الوافية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انتهى نقل أبي الفداء منها عند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عائد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شرح الكافية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الشمس</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الجمعة</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طه</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يعيش في شرح المفصل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وهي غير موصولة ولا موصوفة ، وهي سؤال عن ذوات غير الأناسي وعن صفات الأناسي</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لأمية بن أبي الصلت ورد في ديوانه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 منسوبا له في الكتاب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والحيوان للجاحظ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ولسان العرب ، فرج ، وشرح الشواهد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شواهد المغني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وخزانة الأدب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 من غير نسبة في الكتاب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والمقتضب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والحلل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وأمالي ابن الشجري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والمغني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والهمع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الأشموني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لها</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ق</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سيبويه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ذكره الآية ما نصه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فرفعه على وجهين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شيء لديّ عتيد وعلى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بعلي شيخ ، وهي قراءة ابن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يعيش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عتيد خبر ثان أو صفة ثانية ، ويجوز أن تكون ما بمعنى الذي ولديّ بعده الصلة وهو خبر عن هذا ، وعتيد خبر ثان على حد هذا بعلي 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التبيان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والمغني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الحديث في صحيح الترمذي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الأمثال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وفصل المقال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ومختصر الجامع الصغير للمناوي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الخفاء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اللسان هون</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في الأصل</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لا يكون</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اختلف حول قائله فقيل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لحسان بن ثابت وليس في ديوانه ، وقيل لعبد الله بن رواحه وليس في ديوانه أيضا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لكعب بن مالك</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لسويد بن أبي كاهل وقد ورد منسوبا له في المفضليات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قلبه مكان صدره ، وأمالي ابن الشجري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شواهد المغني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البيت من غير نسبة في شرح المفصل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الكافية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ومغني اللبيب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شذور الذهب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وهمع الهوامع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الأشموني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والدليل على أن من في البيت نكرة دخول رب عليها ، ورب لا تجر إلا النكرات وقد وصفت بجملة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أنضجت</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النور ، وتتمتها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ومنهم من يمشي على رجلين ، ومنهم من يمشي على أربع </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الكافية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 وأية كمن وهي معربة وحدها إلا إذا حذف صدر صلتها ، والظاهر أنها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شرح الكافية لابن الحاجب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 وأية كما إلا في التمام ومثله في الأسرار الصافية للنجراني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مريم</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مريم</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وذهب الكوفيون ويونس والأخفش والزجاج إلى كونها معربة مطلقا وانظر شرح الكافية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التصريح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الكافية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الكافية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الأشموني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النحل</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النحل</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التبيان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ويقرأ أساطير بالنصب والتقدير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وذكرتم أساطير أو أنزل أساطير على الاستهزاء</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ولذلك</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التصريح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الكافية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مذهب بعض البصريين كما في شرح التصريح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إيضاح المفصل ، الورقة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الأسماء كلها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أعني أسماء الأفعال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 فيها هل لها موضع من الإعراب أو لا؟ فقال قوم لا موضع لها من الإعراب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غيرهم بل لها موضع من الإعراب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وموضعها عند هؤلاء رفع بالابتداء لأنه وما بعده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اسمان جرّدا عن العوامل اللفظيّة أسند أحدهما إلى الآخر كقولك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أقائم الزيدان وكونه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اسم الفعل واقعا موقع الفعل لا يمنع الإعراب ألا ترى إلى أقائم ، وإن كان واقعا موقع الفعل كيف حكم برفعه على الابتداء بتصرف وانظر إيضاح المفصل ، المطبوع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قول المازني كما في شرح التصريح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هو للفارسي كما في الأسرار الصافية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النيلي في شرح الكافية ، في الورقتين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وموضع هذه الأسماء نصب ؛ لأنّها عبارة عن لفظ فأشبهت المصادر النائبة عن الفعل يدلّ على ذلك أن رويدا إذا كان مصدرا معربا منصوبا ، فمعناه بمعنى رويد المبني ، وزعم بعضهم أنّ موضع هذه الأسماء رفع بالابتداء وقد سدّ فاعلها مسدّ الخبر نحو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أقائم أخواك والصحيح هو الأوّل</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التصريح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سيبويه في الكتاب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واعلم أن فعال جائزة من كل ما كان على بناء فعل أو فعل أو فعل ، ولا يجوز من أفعلت لأنا لم نسمعه من بنات الأربعة إلا أن تسمع شيئا فتجيزه فيما سمعت ولا تجاوزه فمن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قرقار وعرعار</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عدا الأخفش إذ أجاز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دحراج وقرطاس قياسا على قرقار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المفصل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الكافية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التصريح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قرقر البعير قرقرة هدر ، وذلك إذا هدل صوته ورجّع ، والاسم القرقار يقال بعير قرقار الصوت أي صافي الصوت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 ، قرر</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عرعار لعبة للصبيان بني على الكسر وهو معدول عن عرعرة 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قرقار من قرقرة ، والعرعرة لعبة للصبيان لأن الصبيّ إذا لم يجد أحدا رفع صوته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عرعار ، فإذا سمعوه خرجوا إليه فلعبوا تلك اللعبة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 ، عرعر</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لأبي النجم وعجزه </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للنابغة الذبياني ورد في ديوانه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يدعو بها ولدانهم عرعار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وصدر البيت </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المفصل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الأشموني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والصحيح ما قاله سيبويه ؛ لأنّه لو كان حكاية صوت لكان الصوت الثاني مثل الأول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غاق غاق فلما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عرعار وقرقار ، فخالف لفظ الأول لفظ الثاني علم أنه محمول على عرعر وقرقر</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الكتاب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وأما هلمّ فزعم أنها حكاية في اللغتين جميعا كأنها لمّ أدخلت عليها الهاء كما أدخلت ها على 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شرح المفصل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والتسهيل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الأشموني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يعيش في شرح المفصل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أنكر بعضهم ذلك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ضعيف من جهة المعنى إذ كانت هل للاستفهام ولا مدخل للاستفهام هاهنا ، والقول إن هل التي ركّبت مع أم ليست التي للاستفهام وإنما هي للزجر والحثّ</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الأنعام</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الأحزاب</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وحاشية الصبان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شرح المفصل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المقتضب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شرح المفصل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الكافية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عمرو بن العلاء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طلعت حضار والوزن وهما كوكبان يطلعان قبل سهيل فإذا طلع أحدهما ظنّ أنه سهيل للشبه ، اللسان ، حضر</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شذور الذهب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جوت جوت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الإبل إلى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 ، جوت</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الأشموني ، ومعه حاشية الصبان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منسوبا له في شرح المفصل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بصر ، وشرح الأشموني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وخزانة الأدب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غير نسبة في إصلاح المنطق لابن السكيت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ولسان العرب ، شيب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المتثلّم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الحوض المتهدم المتكسّر ، البصرة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حجارة رخوة فيها بياض ،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سلمة بفتح السين وكسر اللام وهي الحجر الرقيق</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 ، شيب</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الكتاب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الكافية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وضح المؤلف معنى المثل ، وانظره في جمهرة الأمثال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والمفصل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الكافية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واللسان ، حيض</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واللسان ، بيت ، وشرح الكافية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واللسان ، بين</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المستقصى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وفرائد اللآل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الكتاب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والمقتضب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الكافية ، للرضي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وجعل جار الله بادي بدا وأيدي سبا من باب معد يكرب ، وجعلها سيبويه من باب خمسة عشر ، وهو الأولى ، وانظر الكتاب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الكافية ، لابن الحاجب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والنقل منه</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 ، كنى وخلل</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ابن الحاجب نصّ على ذلك في شرح الكافية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ونسب إليه أيضا في الأسرار الصافية للنجراني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الكافية ، للرضي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الكافية ، لابن الحاجب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والنقل منه بتصرف 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شرح الكافية ، للرضي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وهمع الهوامع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الحسن علي بن محمد بن عبد الصمد السخاوي ولد في سخا سنة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وقرأ على الشاطبي ، ثم نزل دمشق وقرأ عليه خلق كثير ، كان بصيرا بالقراءات وعللها وإماما في النحو واللغة والتفسير عارفا بأصول الفقه له من التصانيف شرحان على المفصل ، وسفر السعادة وسفير الإفادة ، وشرح على الشاطبيّة مات سنة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انظر ترجمته في إنباه الرواة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وبغية الوعاة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وطبقات المفسرين ، للداوودي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الكافية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همع الهوامع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الكافية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الكافية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الأشموني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الأعراف</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السجدة</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معاني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الوافية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البيان ، للأنباري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وزعم الكوفيون بأنّ فاعل يهدى هو كم ، وذلك سهو ظاهر ؛ لأنّ كم لها صدر الكلام ولا يعمل فيها ما قبلها رفعا ولا نصبا ، وكم في موضع نصب بأهلكنا وهو مفعول مقدّم وتفسيره محذوف وتقديره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 قرية أهلكنا ، وحكى الأخفش أن بعض العرب يقدّم العامل على كم الخبريّة وردّ ابن هشام ذلك بأنها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لغة رديئة ولا يجوز تخريج كلام الله سبحانه على هذه اللغة وقرّر بأنّ الفاعل هو ضمير اسم الله سبحانه أو ضمير العلم أو الهدى المدلول عليه بالفعل ، أو جملة أهلكنا على القول بأن الفاعل يكون 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مغني اللبيب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وحاشية الصبان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الأشموني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جرير بن عطيّة ، يكنّى أبا حرزه من فحول شعراء الإسلام ومن أشد الناس هجاء وتشبيها ، مدح الحجاج ، وعبد الملك بن مروان ، وكانت بينه وبين الفرزدق مهاجاة ونقائض مشهورة توفي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الأشموني في شرحه على الألفيّة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الرفع فعلى أنه مبتدأ وإن كان نكرة ، لأنّها قد وصفت بلك ، وبفدعاء محذوفة ، مدلول عليها بالمذكورة كما حذفت لك من صفة خالة مدلولا عليها بلك الأولى ، والخبر قد حلبت ، ولا بدّ من تقدير قد حلبت أخرى لأنّ المخبر عنه حينئذ متعدد ، لفظا ومعنى ، نظير زينب وهند قامت ، وكم على هذا الوجه ظرف أو مصدر والتمييز محذوف أي كم وقت أو حلبة</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منسوبا لعبد الله بن يعرب في شرح الشواهد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وليزيد بن الصّعق في خزانة الأدب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 غير نسبة في شرح المفصل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الكافية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شذور الذهب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وهمع الهوامع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الأشموني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أبي عمرو الحميم مكان الفرات</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 في بني تميم من بني يربوع وطهية ، وبنو فقعس يخفضونها في موضع الخفض ، وينصبونها في موضع النصب ، واللغة العالية حيث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 حيث ، والمفصل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ذلك إلى الأخفش ، الهمع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لطرفة بن العبد ورد في ديوانه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 من غير نسبة في مجالس ثعلب القسم الأول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الكافية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والهمع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لم يعرف قائله وبعده </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افتقارها إلى الجملة بعدها المقتضي لبنائها ، فهي معربة حينئذ ونصبت إما على الظرفية أو على المفعولية ، إذا جعلت ترى من رؤية القلب ، وقيل هي مبنية دائما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الشواهد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غالبا ، لأن الكوفيين والأخفش أجازوا إضافتها إلى الجملة الاسمية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عقيل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الانشقاق</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مذهب ابن الحاجب في الآية ، قال في شرح الكافية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تقع لمجرد الظرفية كقوله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لأنك لو جعلتها للشرط وجب أن يكون جوابها ما دل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المقدر الإنشائي فيفسد المعنى إذ يصير القسم مقيدا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شرح الكافية للرضي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والمغني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الليل</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عند الأخفش حرف ، والمصنف جعلها ظرفا على مذهب الزجاج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رصف المباني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والمغني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الروم</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رصف المباني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الكافية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عجز بيت صدره </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الذاريات</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الكافية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وهمع الهوامع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الإنصاف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الكافية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ومغنى اللبيب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الرحمن بن إسحاق الزجاجي ، من النحويين المشهورين ، أصله من نهاوند ، وأقام في دمشق ، توفي سنة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انظر ترجمته في إنباه الرواة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ووفيات الأعيان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وبغية الوعاة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الجمل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وحروف الجزاء إن ومهما وحيثما وإذ ما وكيف وكيفما وأين وأينما وأي وأيان وما ومن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ذكره أبو الفداء هنا منقول من شرح الوافية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ورصف المباني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والمغني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المقتضب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والهمع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الهمع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لدن ولدى ، للمحقق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رأي ابن الحاجب في علة بنائها ، شرح الوافية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الكافية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في شرح الوافية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تشبيها لنونها بالتنوين لما رأوها تنزع عنها وتثبت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الكتاب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التصريح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شرح الكافية لابن الحاجب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نصب زيتا في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عندي رطل زيتا</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أهتد إلى قائله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رأيت أحدا ذكره في المصادر التي بين يديّ</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والنقل منه وشرح الكافية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والمغني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في شرح الكافية لابن الحاجب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ولو لا ذلك لم تبن كما لم تبن أبدا لما لم يقصد فيها هذا المعنى وانظر شرح الوافية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والمغني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انفرد أبو الفداء بالحديث عن أمس إذا لم يتحدث عنها ابن الحاجب في شرح الوافية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في شرح الكافية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انتقل في الكتابين بعد عوض إلى الحديث عن الظروف المضافة إلى الجملة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في أمس الكتاب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والهمع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قرأ نافع بالنصب والباقون بالرفع ، كتاب السبعة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والكشف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المعارج</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قرأ نافع والكسائي بفتح الميم ، والباقون بكسرها ، الكشف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والإتحاف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والبيان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الإنصاف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الذاريات</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قرأ أبو بكر وحمزة والكسائي مثل بالرفع ونصبه الباقون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السبعة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والكشف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والإتحاف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اختلف حول قائله فقد رواه سيبويه في الكتاب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لرجل من كنانة وروي منسوبا لأبي قيس بن رفاعة في شرح المفصل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شواهد المغني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وخزانة الأدب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البيت من غير نسبة في الكشف لمكي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وأمالي ابن الشجري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والإنصاف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والبيان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 وقل ، مغني اللبيب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التصريح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وهمع الهوامع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إيضاح المفصل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 مدخول فإن المعارف كلها غير العلم تدخل ، إذ تصلح للشيء ولكل ما أشبهه ، والصحيح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 علق على شيء لا بعينه</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الآيتين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المزمل</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مذهب سيبويه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والهمع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الهمع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قول صاحب البديع وغيره واختاره ابن الحاجب وصححه أبو حيان</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وهمع الهوامع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المفصل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ما علق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وفي الكافية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ما وضع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المفصل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وإيضاح المفصل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عجز بيت لامرىء القيس ورد في ديوانه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وصدره </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أطرقا موضع بالحجاز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ما استعجم ، للبكري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وقيل هو من نواحي مكة 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لأبي ذؤيب الهذليّ ورد في ديوان الهذليين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منسوبا له في المفصل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والحلل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الشواهد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الأشموني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غير نسبة</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التصريح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الصبان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عجز بيت للأعشى وصدره </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المفصل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والنقل منه مع اختلاف يسير وكذا ما يأتي</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يعني</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وإيضاح المفصل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وإيضاح المفصل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في إيضاح المفصل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ولو قيل إنه مبني لتضمنه معنى الألف واللام لم يبعد عن الصواب</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الآيتين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القمر</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المفصل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تسهيل الفوائد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وهمع الهوامع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المفصل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التسهيل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 للمذكر وهنة للمؤنث ، وذهب أبو عمرو إلى أنهما كنايتان عن علم ما لا يعقل ، وقال بعضهم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علم ما يعقل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الكافية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وهمع الهوامع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في إيضاح المفصل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وضعوها لموزوناتها أعلاما على طريق الإيجاز والاختصار ، وهي في الأعلام لموزوناتها بمنزلة باب أسامة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الخصائص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التسهيل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المقتضب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وهمع الهوامع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المفصل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منزل للقمر القاموس المحيط ، دبر</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أحد فرسان العرب سمّي بذلك لأنّه أصابته صاعقة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 بذلك لأنّ بني تميم ضربوه على رأسه فأموه فكان إذا سمع الصوت الشديد صعق فذهب عقله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لسان العرب ، صعق</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المفصل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وأنمار الشاة ، هؤلاء بنو نزار وكان أبوهم مات وخلف لهم تراثا ناطقا وصامتا فأتوا أفعى نجران حكيم الزمان ، فجعل القبة لحمراء ، والذهب لمضر ، والأفراس لربيعة والشاة لأنمار ، وأضيف كل واحد إلى ما حكم له به تعريفا له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الرجز لأبي النجم ، الفضل بن قدامة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منسوبا له في المفصل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غير نسبة في المقتضب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والمنصف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والإنصاف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ورصف المباني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ولسان العرب وبر ، والمغني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الإنصاف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التصريح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المقتضب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ومجيب الندا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لعدم وجود حاشية سفلى له ، حيث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لكلّ عدد حاشيتين سفلى وعليا ، والعدد عندهم هو ما ساوى نصف مجموع حاشيته القريبتين أو البعيدتين على السّواء كالاثنين ، فإنّ حاشيته السفلى واحدة والعليا ثلاثة ، ومجموع ذلك أربعة ، ونصف الأربعة اثنان وهو المطلوب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التصريح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الكافية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الكافية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وإضافته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ثلاثمائة وثلاثة آلاف</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الأنعام</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التصريح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الأشموني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لأنهم كرهوا توالي أربع متحركات فيما هو كالكلمة الواحدة مع امتزاجها بالنيف الذي في آخره فتحة فعدلوا من فتح وسطها إلى كسره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الكافية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الكتاب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الكتاب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الكافية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التصريح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صدر بيت للفرزدق وعجزه </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الكافية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الكافية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الكافية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التصريح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الأعراف</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الكافية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المجادلة</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وتسهيل الفوائد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التصريح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المقتضب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الكافية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شرح الوافية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والمقتضب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والإنصاف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 النحويون حول ذلك على ثلاثة آراء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ذكره أبو الفداء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مذهب البصريين أن تدخل أل التعريف على الاسم الأول ، فيقال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عندي الأحد عشر درهما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مذهب الكوفيين والأخفش ، أن تدخل أل التعريف على الاسمين الأولين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عندي الأحد العشر درهما ،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مذهب قوم من الكتّاب فهم يدخلون أل على الأسماء الثلاثة وهو فاسد ؛ لأنّ التمييز لا يكون إلّا نكرة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الأنصاف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المقتضب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 ، عنق</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ياسين على شرح التصريح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من الأعضاء مزدوجا فالغالب عليه التأنيث إلّا الحاجبين والمنخرين والخدّين فإنّها مذكرة والمرجع السّماع</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الشمس</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القيامة</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والنقل منه</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المقتضب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صدر بيت لجرير وعجزه </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لعامر بن جؤين الطائي ، ورد منسوبا له في الكتاب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التصريح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الشواهد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وخزانة الأدب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 من غير نسبة في الخصائص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والمحتسب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وأمالي ابن الشجري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الكافية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ومغني اللبيب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ابن عقيل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وهمع الهوامع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الأشموني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وروي في بعض المصادر إبقالها بالضم فلا شاهد فيه حينئذ</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التصريح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الأشموني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حق كل جمع أن يجوز فيه الوجهان إلّا أنّ سلامة نظم الواحد في جمعي التصحيح ، أوجبت التذكير في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 الزيدون ، والتأنيث في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قامت الهندات ، وخالف الكوفيون فجوّزوا فيهما الوجهين</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في الأصل</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غير واضحة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شرح الوافية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شرح الكافية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لمنظور بن مرثد الأسدي نسب له في الجمهرة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 من غير نسبة في أمالي ابن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الشجري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والمخصص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والمساعد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الكافية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ونسب لرؤبة في ملحقات ديوانه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الطيب ، ذبحت أي شققت وفتقت</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الرضي في شرح الكافية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يثنّى ويجمع غير المتفقين في اللفظ كالعمرين وذلك بعد أن يجعلا متفقي اللفظ بالتغليب ، بشرط تصاحبهما وتشابههما حتى كأنّهما شخص واحد كتماثل أبي بكر وعمر رضي‌الله‌عنهما ، فقالوا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العمران وكذا القمران والحسنان وينبغي أن يغلّب الأخفّ لفظا كما في العمرين لأنّ المراد بالتغليب التخفيف فيختار ما هو أبلغ في الخفّة ، وإن كان أحدهما مذكرا والآخر مؤنّثا لم ينظر إلى الخفة بل يغلّب المذكّر كالقمرين في الشمس والقمر</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خلافهم حول ذلك في شرح الكافية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والهمع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والمقتضب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قراء وامرأة قراءة ، وتقرأ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تفقه وتنسك ، اللسان ، قرأ</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والمقتضب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الأشموني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شرح الوافية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لتأبّط شرا ، ورد منسوبا له في شرح الحماسة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ولسان العرب ، خطط ، وشرح الشواهد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شواهد المغني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من غير نسبة في الخصائص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الكافية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ومغني اللبيب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وهمع الهوامع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الأشموني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وروي إسار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وإسار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وقد وضحه المصنف</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يوسف</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لم يعرف قائله ، ورد في المقتضب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والمنصف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وأمالي ابن الشجري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والمقرب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الكافية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الوطب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زق اللبن</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ابن الشجري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والمقرب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بتغيير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شرح الوافية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وبعدها في الشرح المذكور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كرجال لأنه دل على ثلاثة فصاعدا بحروف مفردة وهو رجل</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في الأصل مشطوب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ويخرج به نحو تمر وركب لأنّ آحادهما ليست مقصودة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مذكورة بعد</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في الأصل مشطوب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لأنها ليست مقصودة بحروف مفردها</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في شرح الوافية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والراكب ليس بجمع وإن وافق الركب في حروفه الوجهين الأولين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أبو حيان رأي الأخفش بأن العرب صغرتها على لفظها ولو كانت جموعا ردت في التصغير إلى مفرداتها ، ومما رد به على الكوفيين أيضا أن تمرا ونحوه لو كانت جموعا لم يجز وصفها بالمفرد وقد وصفت به في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إليه يصعد الكلم الطيب فاطر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همع الهوامع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 أكثر النحويين إلى كون هذا الضرب جمعا ، وذهب بعضهم إلى أنّه من أسماء الجموع ، وذهب آخرون إلى كونه اسما مفردا يذكر ويؤنث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همع الهوامع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ياسين على مجيب النداء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الحجرات</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فرس لمعاوية بن أبي سفيان القاموس المحيط ، لحق</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كجعفر ، فحل للنعمان بن المنذر القاموس المحيط ، شدقم</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وخالف الكوفيون في هذا الشرط فجوزوا جمع ذي التاء بالواو والنون 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الهمع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الأشموني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مراده ما ذكره ابن الحاجب في شرح الوافية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قال </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الحجر</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لالتبس بباب فعلان فعلانة ، شرح الوافية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الكافية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التصريح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وهمع الهوامع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الأشموني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تفصيل ذلك في الكتاب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وهمع الهوامع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الأشموني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ص</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واختلف في اطراد هذا والصحيح أنه لا يطرد وأنه مقصور على السماع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عقيل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للصمّة بن عبد الله القشيري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منصوبا له في شرح الشواهد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التصريح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غير نسبة في أمالي ابن الشجري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الكافية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ولسان العرب ، سني ، وشرح ابن عقيل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الأشموني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الكافية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المؤنث ما لحق آخره ألف وتاء</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مراده ما ذكره ابن الحاجب في شرح الوافية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والجمع المؤنث الصحيح ما في آخره تاء زائدة بعد ألف</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شرح الكافية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التصريح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وهمع الهوامع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انظره في النهاية ، لابن الأثير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وجامع الترمذي ، مع شرح تحفة الأحوذي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ومختصر شرح الجامع الصغير للمناوي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لسان العرب ، حضر ، ما نصه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وإنما جمعه هذا الجمع لأنه قد صار اسما لهذه البقول لا صفة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الشيخ ياسين في حاشيته على شرح التصريح عن الدنوشري قوله وإذا سمّي بذلك جمع مؤنث جمع بالألف والتاء لخروجه عن الوصفية وعلى ذلك الحديث وانظر شرح الكافية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التصريح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وهمع الهوامع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ينطلق ، وفي شرح الكافية ، لابن الحاجب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ويعني بالقلة أنه يطلق على العشرة فما دونها ظاهرا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شرح الوافية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فجمع القلة العشرة فما دونها ظاهرا وجمع الكثرة لما فوق ذلك</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ابن السراج أنه اسم جمع ، همع الهوامع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ونصه في شرح الكافية ، لابن الحاجب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يستعمل كل واحد منهما موضع أخيه على سبيل الاستعارة كقوله تعالى ثلاثة قروء في موضع أقراء وكقولك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رجال وإن لم يكن من لفظ القلة</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المقتضب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المقتضب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الكافية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التصريح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كلمة مطموسة ولعلها وزنا</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إلى ذلك ابن يعيش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جاء على فعلان بفتح الفاء ، قالوا لويته بدينه ليانا ، قال أبو العباس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فعلان بفتح الفاء لا يكون مصدرا إنما يجيء على فعلان ، وفعلان هذا كثير في المصادر نحو العرفان والوجدان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حكى أبو زيد عن بعض العرب لويته ليانا بالكسر وهو شاهد لما قلناه وانظر اللسان ، لوى</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الشافية للرضي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لسان العرب ، سرى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والسّراية سرى الليل ، وهو مصدر ، ويقلّ في المصادر أن تجيء على هذا البناء لأنه من أبنية الجمع</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الكتاب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والمقتضب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بزيادة الوضوء وفي شرح شافية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بزيادة الطهور وانظر المزهر للسيوطي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الشافية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الأصمعي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بغى الرجل حاجته أو ضالته يبغيها بغاء وبغية وبغاية إذا طلبها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 بغا</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والمقرب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الشافية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فبفتح التاء</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الشافية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الأشموني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 الصبان في حاشيته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الدماميني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ومذهب البصريين أنّ التّفعال بالفتح مصدر فعل المخفف جيء به كذلك للتكثير ، وقال الفرّاء وجماعة من الكوفيين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بأنه مصدر فعّل المضعف العين ، أما التفعال بكسر التاء فهو بمنزلة اسم المصدر</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وتسهيل الفوائد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الشافية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منها</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العذيوط والعذيوط الذي إذا أتى أهله أبدى أي سلح أو أكسل لسان العرب ، عذط</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المقتضب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الشافية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تنبيئة</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الأشموني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التصريح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واضحتين في الأصل</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اعلّوط بعيره اعلواطا إذا تعلق بعنقه وعلاه ، وجدّ به السير ، والاعلواط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ركوب الرأس والتقحم على الأمور بغير روية ، الصحاح واللسان ، علط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الكتاب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الشافية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صدر بيت لكعب بن مالك ورد في ديوانه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لمالك بن أبي كعب وعجز البيت </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في الكتاب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المعقول وانظر المخصص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والمزهر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وثمة ألفاظ أخرى انظرها في الكتاب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انظره في المقاصد الحسنة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تمييز الطيب من الخبيث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والمخصص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عبد العزيز بن مروان بن الحكم الأموي ، قيل عنه خامس الخلفاء الراشدين تشبيها له بهم روى عن أنس بن مالك وسعيد بن المسيب عددا من الأحاديث توفي سنة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انظر أخباره في تاريخ ابن خلدون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اليعقوبي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وطبقات الحفاظ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والأعلام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انظره في الصحاح واللسان ، ردد</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في الأصل مشطوب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يضمر في الصفة لأن الصفة تقتضي الموصوف فلو قدر خلوها من الضمير لما حصل ارتباطها بالموصوف ولا كذلك المصدر ، والاسم لا يلزم أن يكون مسندا إلى شيء ولا مفتقرا إلى موصوف فلا يحتاج إلى ضمير يربطه فلا يضمر فيه</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 ، صدر</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والتسهيل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الأشموني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الكافية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والهمع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وتسهيل الفوائد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الكافية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التصريح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الكافية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المقتضب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يقياس</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لا يكون</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الكتاب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والمقتضب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الكافية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والتسهيل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الكهف</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وبذلك رد النحاة رأي الكسائي المجيز إعمال اسم الفاعل وهو بمعنى المضيّ مستدلا بالآية الكريمة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الكافية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وقدر بعضهم الناصب فعلا لا وصفا ، شرح المفصل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في الأصل</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التصريح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وحاشية الصبان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رجل ، ولم يجز أبو الفداء في باب الحال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مجيء صاحب الحال نكرة تبعا لسيبويه ، وانظر الكتاب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وحاشية الصبان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فلوقوعه</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يعيش في شرح المفصل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أجاز أبو الحسن أن يعمل من غير اعتماد فتقول على مذهبه قائم زيد ، فيكون قائم مبتدأ وزيد مرفوع بفعله وقد سد مسدّ الخبر ، ولا ضمير في اسم الفاعل عنده لأنه قد رفع ظاهرا فلا يكون له فاعلان</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يعيش بن علي بن يعيش أبو البقاء ولد بحلب ، وقدم إلى دمشق وجالس الكندي ثم تصدّر بحلب للإقراء زمانا كان من كبار أئمة العربية ماهرا في النحو والتصريف صنف شرح المفصل وشرح تصريف ابن جني ومات بحلب سنة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بغية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قرأ الكوفيون وجعل من غير ألف وبنصب اللام من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وقرأ الباقون بالألف وكسر العين ورفع اللام وخفض الليل ، الكشف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والنشر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والاتحاف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في شرح الوافية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بأن ذلك يستعمل كثيرا فلو كان بمعنى المضي لوقع قطعا عاملا في الأول ولو وقع لنقل ، ولما لم يقع المنصوب إلّا الثاني ، ونصبه يجوز أن يكون بفعل مقدر وجب تقديره فيكون التقدير وجاعل الليل جعله سكنا</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الأنباري في البيان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قرأ جاعل الليل أضاف اسم الفاعل إلى الليل ويكون سكنا منصوب بتقدير فعل مقدر وتقديره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وجعل الليل سكنا ، والليل على قراءة من قرأ وجعل مفعول أول وسكنا مفعول ثان ، وللتوسع في ذلك انظر شرح المفصل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والتسهيل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الكافية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التصريح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وهمع الهوامع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الأشموني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الكافية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يوسف</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في الأصل</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شرح المفصل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والمقتضب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الكافية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اختلف حول قائله فقيل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لقيس بن الخطيم وقيل لعمرو بن امرىء القيس الخزرجي وقد ورد في ديوان قيس بن الخطيم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منسوبا له في الحلل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منسوبا لعمرو في الكتاب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والمقتضب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وخزانة الأدب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وسجل الخلاف حوله ابن منظور في اللسان ، وكف وروي البيت من غير نسبة في المنصف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والمحتسب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وهمع الهوامع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الأشموني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وروي من ورائنا مكان ورائهم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ووكف مكان نطف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العيب ، والوكف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العيب والإثم</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الكافية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الفاتحة</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سعده الله يسعده ، فهو مسعود والأكثر أن يتعدى بالهمزة فيقال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أسعده الله فهو مسعود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مسعد كأنهم استغنوا عنه بمسعود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الصحاح واللسان ، والمصباح المنير سعد</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لسان العرب ، مادة حبب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 نقيض البغض ، وأحبّه فهو محبّ وهو محبوب على غير قياس هذا الأكثر وقد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 على القياس</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ابن منظور في مادة حزن عن أبي عمرو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استعمال الفعل منه لغتان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تقول حزنني يحزنني حزنا فأنا محزون ، ويقولون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أحزنني فأنا محزن وهو محزن وانظر المصباح المنير ، حزن</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معلوم</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وتسهيل الفوائد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الكافية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التصريح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وهمع الهوامع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الأشموني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اختلف حول قائله فقيل هو للحارث بن خالد المخزومي وقد نسب له في شرح الشواهد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للعرجي ، وقد ورد في ديوانه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ونسب له في المغني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وسجل الخلاف حوله السيوطي في شرح شواهد المغني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 البيت من غير نسبة في مجالس ثعلب ، القسم الأول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وأمالي ابن الشجري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والمغني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شذور الذهب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وهمع الهوامع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الأشموني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في الأصل مشطوب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زمانا ثابتا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وسيثبتها بعد</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هود</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في الأصل</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تسهيل الفوائد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التصريح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الكافية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التصريح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الكافية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وهمع الهوامع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الرضي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البصريون إلى جواز ذلك على قبح في ضرورة الشعر ، وأجازها الكوفيون دون قبح في السعة</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المقتضب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وتسهيل الفوائد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الكافية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الرضي في شرح الكافية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والتفصيل أولى</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وتسهيل الفوائد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وهمع الهوامع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في الأصل مشطوب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لو استعمل كذلك حصل الالتباس ، لأنك لو قلت في الفعل المتعدي </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لم يقال</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يكون</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الكافية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الإنصاف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منسوب لرؤبة بن العجّاج ورد في ملحقات ديوانه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من غير نسبة في الإنصاف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والحلل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الكافية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ولسان العرب بيض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بنو إباض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 ، الدّرع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قميص المرأة</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الإسراء</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الكافية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مرتفع الأنف ، اللسان ، قنا</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الأبلج هو الذي قد وضح ما بين حاجبيه فلم يقترنا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 ، بلج</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المفصل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المثل في كتاب الأمثال لأبي عبيد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اللسان ، 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كلامهم هو أحمق من رجلة يعنون هذه البقلة وذلك لأنها تنبت على طرق الناس فتداس وفي المسايل فيقلعها ماء السيل ، والجمع رجل</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الكتاب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وأما قولهم في الأحمق ما أحمقه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هذا عندهم من العلم ونقصان العقل والفطنة</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الكافية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الأشموني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أوجز ابن هشام في الأوضح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الآراء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مطلقا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يمتنع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يجوز إن كانت الهمزة لغير النقل</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الابن الأثير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رجلا قال يا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الليل أجوب دعوة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جوف الليل الغابر أجوب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ابن الأثير الحديث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أسرع إجابة كما يقال أطوع من الطاعة وقياس هذا أن يكون من جاب لا من أجاب ، لأنّ ما زاد على الفعل الثلاثي لا يبنى منه أفعل من كذا إلّا في أحرف جاءت شاذة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الكتاب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واللسان ، جوب ، وشرح المفصل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الكافية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يتضح بها المعنى من شرح الوافية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والنقل منه</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 على ذلك أنه لو لم تكن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مرادة لوجب صرف الاسم ، لأنه على أفعل ولا معنى للوصف به ، وإذا لم ينصرف دل على أن من مرادة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في الأصل مشطوب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إلا إذا كان المفضل عليه معلوما فإنه يجوز بدون الأمور الثلاثة كقوله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يعلم السر وأخفى أي أخفى من السر قيل هو حديث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شرح المفصل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ينبغي أن تأتي بعد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كل كبير لأنها مرتبطة به ، ولو لا الشطب الواضح عليها وقراءة المخطوطة على المصنف لعددناها من الأصل</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منسوبا له في الخصائص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والمغني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التصريح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الشواهد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 من غير نسبة في الخصائص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الكافية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ابن عقيل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الأشموني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وحاشية الخضري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في شرح الوافية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الخصلة التي هو وهم فيه شركاء فلا بد أن يكون أحدهم</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وعبارة ابن الحاجب في شرح الكافية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توهم بعض الناس أنه من قبيل التناقض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شرح الكافية ، للرضي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أبا الفداء ينقل من شرح الكافية ، لابن الحاجب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وانتهى النقل هنا بتصرف</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غير مفيدة</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وفي شرح الوافية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يضاف ما لا تفضيل فيه كحسن وقبيح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والمذكور هنا أوضح</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الكافية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وهمع الهوامع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نصيب بن رباح مولى عبد العزيز بن مروان ، شاعر مشهور والخبر كما رواه ابن سلام في طبقاته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جريرا مرّ به وهو ينشد ، 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اذهب فأنت أشعر أهل جلدتك وكان نصيب أسود ، فقال </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الكافية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التصريح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الأشموني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الأنعام</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في الأصل</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أتى الطمس على حروف الكلمتين</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شرح المفصل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الكافية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التصريح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واستغني عن الجنس العام للعلم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شرح التصريح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عبد الله جمال الدين الطائي ، النحوي المشهور ، توفي سنة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انظر ترجمته في البداية والنهاية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والنجوم الزاهرة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والبغية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تسهيل الفوائد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والنص في شرح التسهيل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همع الهوامع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يعيش في شرح المفصل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واعلم أنه متى أضيف أفعل على معنى من فهو نكرة عند بعضهم وعليه الكوفيون ، وإذا أضيف على معنى اللام فهو معرفة ، وفي قول البصريين المتقدمين أنه معرفة على كلّ حال إلّا إذا أضيف إلى نكرة ، والمتأخرون يجعلونه نكرة لأنّ المضاف إليه مرفوع في المعنى والأول القياس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همع الهوامع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والأصح أنها محضة</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المقتضب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الكافية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في الأصل</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إلا ذا</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همع الهوامع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مسألة الكحل في الكتاب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والمقتضب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الكافية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والهمع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الأشموني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شرح كافية ابن الحاجب ، للغجدواني ، ففي ذيلها رسالة في مسألة الكحل مجهولة المؤلف وهي مخطوطة موجودة في مكتبة البلدية ، الاسكندرية تحت رقم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 ، نحو</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الحسن بن هانيء كان شاعرا عالما ، ولد بالأهواز ونشأ في البصرة ومات في بغداد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انظر أخباره في الشعر والشعراء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والفهرست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ونزهة الألباء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والبيت ورد في ديوانه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منسوبا له في شرح المفصل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الشواهد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التصريح على التوضيح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الأشموني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وحاشية الخضري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 البيت من غير نسبة في المغني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ويروى فقاقعها مكان فواقعها ، والفواقع مفردها فقاعة ، وهي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النفاخات التي تظهر على سطح الماء</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لبشامة بن حزن النهشليّ ، روي منسوبا له في شرح الحماسة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غير نسبة في شرح الكافية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وشفاء العليل ، للسلسيلي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وحاشية الشيخ ياسين على شرح التصريح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الشافية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والمنسك بالفتح والمنسك بالكسر ، شرعة النسك ، وقيل المنسك بالفتح النسك نفسه ، والمنسك بالكسر الموضع الذي تذبح فيه النسيكة ، وهي الذبيحة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 ، والمصباح المنير ، نسك</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جزر الشيء يجزره بالضم ويجزره بالكسر جزرا ، قطعه ، والمجزر بكسر الزاي موضع جزرها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واللسان ، جزر</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الشيء ينبت بالضم نبتا ونباتا ، والمنبت بالكسر موضع النبات ، وهو أحد ما شذّ من هذا الضرب وقياسه المنبت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 ، نبت</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طلعت الشمس والكوكب طلوعا ومطلعا ومطلعا ، والمطلع والمطلع أيضا موضع طلوعها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طلع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ومطلع بالفتح لغة</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شرقت الشمس تشرق شروقا وشرقا ، طلعت ، واسم الموضع المشرق ، وكان القياس المشرق اللسان ، شرق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غرب</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 ، فرق</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 ، سقط</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السّكن والمسكن بالفتح ، والمسكن بالكسر المنزل والبيت ، والأخيرة نادرة وأهل الحجاز يقولون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مسكن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 واللسان ، سكن</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 رفق</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مثال مسجد ، خرق الأنف وأصله موضع النخير ، وهو الصوت من الأنف ، وهو من باب قتل</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الوحل 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الطين الرقيق الذي ترتطم فيه الدّوابّ ، والوحل بالتسكين ، لغة رديّة ، والجمع أوحال ووحول ، والموحل بالفتح المصدر ، وبالكسر المكان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 ، وحل</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واللسان ، وحل ووجل ، وانظر أدب الكاتب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الصحاح ، 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والموضع بفتح الضاد لغة في الموضع سمعها الفراء ، وفي اللسان ، وضع ، هي نادرة ، ونسبها الرضي في شرح الشافية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الكوفيين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وانظرها في ديوان الأدب للفارابي ، مفعل</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حكاية الفراء ، شرح المفصل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الشافية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ويعز</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والمخصص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واللسان ، شرق وقبر وزلل وظنن</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الشافية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والمقتضب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الشافية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الإسراء</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في الأصل مشطوب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وَسَيَعْلَمُ الَّذِينَ ظَلَمُوا أَيَّ مُنْقَلَبٍ يَنْقَلِبُونَ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اسما للمكان ، وأن يراد بالمنقلب ، النار ، وأن يراد أي انقلاب ينقلبون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الشعراء</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 بطخ وانظر المنتخب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مشطوب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ليس اسما للموضع الذي فيه</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الشافية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الآلة هو اسم ما يعالج به وينقل ويجىء على مفعل ومفعلة ومفعال كالمقصّ والمحلب والمكسحة والمقراض والمفتاح</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المصنف فالأولى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تفضيل حد ابن الحاجب على حد الزمخشري ، قال ابن الحاجب في الإيضاح الورقة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الآلة هو كلّ اسم اشتقّ من فعل لما يستعان به في ذلك الفعل ، وانظر إيضاح المفصل المطبوع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الشافية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زاعم ذلك هو الفارسي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المخصص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أهتد إلى قائله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لسان العرب ، رأى وكحل</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الصحاح واللسان ، والقاموس ، حرض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الأشنان والمحرضة بالكسر إناؤه ووعاؤه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شرح المفصل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والكسر هو المشهور ولا أعرف الضم فيها</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 ، ملأ</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 ، نقل</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منقلبها</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انظره في غريب الحديث للهروي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امرأة قد يئست من البعولة فهي في منقليها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قال أبو عبيد لو لا أن الرواية اتفقت في الحديث والشعر جميعا على فتح الميم ما كان وجه الكلام إلا كسرها</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الشافية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المصغر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المزيد فيه ياء ليدل على تقليل</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في الأصل</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الأشموني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والمقتضب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والمقتضب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الشافية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الشافية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والمقتضب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الشافية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الشافية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والمقتضب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الشافية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الإنصاف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ولسان العرب ، سمو</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في الأصل</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والمقتضب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والمقتضب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 ، نيب</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أجاز الكوفيون في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ناب مما ألفه ياء أن يصغّر على نويب بالواو شرح الأشموني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وإيضاح في المفصل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إيضاح المفصل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الفصيح وقياس العربية</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وهمع الهوامع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عزوة ، والمثبت من المفصل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وإيضاح المفصل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والمقتضب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الياء</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معوية</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المقتضب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وإيضاح المفصل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وإيضاح المفصل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يعيش في شرح المفصل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وإنما لحقت التاء في تحقير كلّ اسم مؤنث ثلاثي لأمرين أحدهما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أصل التأنيث أن يكون بعلامة والآخر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خفة الثلاثي ، فلما اجتمع هذان الأمران وكان التصغير قد يردّ الأشياء إلى أصولها فأظهروا العلامة المقدّرة لذلك</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المفصل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المقتضب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الشافية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والمقتضب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باليمامة فيها قرى وزروع ونخيل كثيرة ، معجم البلدان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معجم ما استعجم للبكري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لبني عبس</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فتصغير</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والمقتضب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الخيل العظيمة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 ، كردس</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مصيبح</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المقتضب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الشافية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المفصل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والمقتضب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الشافية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وإيضاح المفصل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والمقتضب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الشافية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وقياسه أنيسين إن اعتبر جمعه على أناسين ، وأنيسان إن لم يعتبر ، وقال الكوفيون أنيسيان تصغير إنسان ، لأن أصله إنسيان على وزن إفعلان ، وإذا صغر إفعلان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أفيعلان وهو مبنيّ على قولهم إنسان مأخوذ من النسيان فوزنه إفعان ، ومذهب البصريين أنه من الإنس فوزنه فعلان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الشافية للرضي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وحاشية الصبان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والقياس فيها على التوالي عشيّة وصبيّة وغليمة ورجيل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الشافية للرضي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وهمع الهوامع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والأسماء المركبة يحقّر الصدر منها ، فيقال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بعيلبك وحضيرموت وخمسة عشر ، وثنيّا عشر</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في الأصل والتصويب من المفصل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الكتاب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والمقتضب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والمقتضب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يجز سيبويه تصغير أيام الأسبوع ، وخالفه المبرّد والكوفيّون والمازني والجرمي ، وزعم بعض النحويين أنك إذا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اليوم الجمعة ، واليوم السبت ، فرفعت اليوم جاز تصغير الجمعة والسبت ، وإن نصبت لم يجز تصغيرها ، وزعم بعضهم أنه يجوز التصغير في النصب ويبطل في الرفع وأجاز المازني تصغيرهما في الرفع والنصب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وهمع الهوامع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الشافية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 ، نسب</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والمقتضب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والتسهيل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وهمع الهوامع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والمقتضب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الشافية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موضع قال الأصمعي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وادي الرّمة يمر بين أبانين وهما جبلان يقال لأحدهما أبان الأبيض وهو لبني فزارة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وأبان الأسود لبني 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قريبة من حمص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وإيضاح المفصل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الشافية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بأطراف الشام يجاور أرض البلقاء وعمان ، معجم البلدان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همع الهوامع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الأشموني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رجل هو أبو قبيلة من العرب يقال لها شقرة انظر لسان العرب ، شقر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الكتاب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والمقتضب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حيان ولا أعلم خلافا في وجوب فتح العين في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نمر وابل ودئل إلّا ما ذكره طاهر القزويني في مقدّمة له أنّ ذلك على جهة الجواز ، وأنه يجوز فيه الوجهان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همع الهوامع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ذهب سيبويه إلى شذوذه في حين أجاز بعض النحويين القياس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همع الهوامع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في الأصل</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والمقتضب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عدّ المبرد ذلك مطردا يجوز القياس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المقتضب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والخصائص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والمقتضب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والخصائص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ولا أراهم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طائي إلا فرارا من طيئيّ ، وكان القياس طيئيّ وتقديرها طيعي ولكنهم جعلوا الألف مكان الياء وبنوا الاسم على هذا كما قالوا في زبينة زباني والوجه زبنيّ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المقتضب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حيّ من غطفان كما في اللسان ، غنا</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على طريق مكة من البصرة</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التصريح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المقتضب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الشافية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إيضاح المفصل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 ابن الحاجب على أن رأي المبرد ليس له وجه في القياس</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والمقتضب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الشافية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أعمال دمشق وهي قصبة كورة حوران ، وتطلق على قرية من قرى بغداد قرب عكبراء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والمقتضب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والمقتضب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والمقتضب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وإيضاح المفصل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الشافية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الشافية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وإيضاح المفصل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الشافية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الأشموني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والمقتضب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 وفي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 فيها الضم والكسر</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والمقتضب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والمقتضب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يعيش في شرح المفصل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القلب في حمراويّ أقوى منه في علباويّ ، وهو في علباويّ أقوى منه في كساويّ ، وهو في كساويّ أقوى منه في قرّاويّ</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في الأصل</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أقيسها ترك الياء على حالها ، والهمزة أجود ، انظر الكتاب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والمقتضب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والهمع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والمقتضب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في الأصل</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السته والسته والأست معروفة ، والجمع أستاه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وسه بحذف العين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الأست سته بالتحريك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سته بسكون العين ، الصحاح سته واللسان ، سته وسهه</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انظره في الفائق للزمخشري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والنهاية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والأمثال النبوية للغروي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ونسب إلى سيدنا علي في المقتضب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الهامش 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المخصص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الوكاء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 والخيط الذي يشدّ به السقاء وغيره ، والمعنى أن العين للأست كالوكاء للقربة ، فإذا نامت فاحت الأست وفي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كنى بهذا اللفظ عن الحدث وخروج الريح وهو من أحسن الكنايات وألطفها</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في الأصل</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والمقتضب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المقتضب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وإيضاح المفصل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يعيش في شرح المفصل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والمذهب ما قاله سيبويه لأنّ الشين متحركة والضرورة لا توجب أكثر من ردّ الذاهب فلم تحتج إلى تغيير البناء ومثل ذلك لو نسبت إلى شاة بعد التسمية لقلت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شاهيّ ، لأنّك تحذف تاء التأنيث فبقي الاسم على حرفين الثاني منهما حرف مدوّلين ، وذلك لا نظير له فردّوا الساقطة منه وهو الهاء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شرح الشافية للرضي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التصريح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والمقتضب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هذا الرأي إلى الفراء مرويا عن ناس من العرب ، انظر شرح الشافية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يعيش في شرح المفصل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قوما من العرب يردّون المحذوف وإن كان فاء ويؤخرونه إلى موضع اللام ، فكأنه ينقلب ألفا فيصير عدا وزنا ، فإذا نسبت إليه قلبت الألف واوا على القاعدة فتقول عدويّ وزنويّ</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والمقتضب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المقتضب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الشافية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ومن ذلك أخ وأخت وبنت ، والصواب فيما حذفناه وأثبتناه وبه يستقيم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شرح الشافية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إليها</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والمقتضب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والمقتضب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سيبويه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بقياس وأضاف ابن يعيش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يلزمه أن يقول في النسب إلى هنت ومنت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هنتيّ ومنتيّ ولم يقل ذلك أحد الكتاب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والمقتضب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في الأصل مشطوب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 على قولهم في المضاف عبدري</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المقتضب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يجوز أن تشتقّ منهما اسما يكون فيه من حروف الاسمين كما فعلت ذلك في الإضافة ، والوجه ما بدأت به 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حضريّ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قولك في النسب إلى حضرموت حضرميّ كما قلت في عبد شمس وعبد الدار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عبشميّ وعبدريّ</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والمقتضب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الكتاب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وسألت الخليل عن قولهم في عبد مناف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القياس فكما ذكرت لك إلا أنهم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منافيّ مخافة الإلباس</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السيوطي في الهمع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لأنهم لو قالوا عبديّ لالتبس بالنسبة إلى عبد القيس ، فإنهم قالوا في النسبة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الكتاب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والمقتضب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والمقتضب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خراسان ، معجم البلدان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شتاء جمع شتوة كقصعة وقصاع وصحفة وصحاف ، وأنت إذا نسبت إلى جمع رددته إلى واحده فعلى هذا يكون قياسا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المفصل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الشافية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الكتاب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عميرة كلب عميري وقال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قليل خبيث</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بنو العبيد بطن من بني عدي بن جناب من قضاعة ، وجذيمة قبيلة من عبد القيس ، اللسان ، عبد وجذم</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في الأصل مشطوب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لعدولهما عن الأصل لانضمامهما وانفتاح الأصل كانا أشذ</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والمقتضب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والمقتضب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الشافية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الشافية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والمقتضب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الملك بن قريب الأصمعي صاحب النحو واللغة والغريب والأخبار سمع شعبة بن الحجّاج ومسعر بن كدام وروى عنه أبو عبيد والسجستاني له من التصانيف كتاب خلق الإنسان ، وكتاب الأضداد والمقصور والممدود والمذكر والمؤنث توفي سنة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بالبصرة انظر ترجمته في الفهرست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ونزهة الألباء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وأنباه الرواه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ووفيات الأعيان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غرى مقصور والفراء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ممدود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غراء هو المصدر والغراء هو الاسم ، المخصص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الكتاب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والمنقوص والممدود للفراء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والمقصور والممدود للقالي مخطوط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وحاشية الصبان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والمقتضب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المنقوص والممدود للفراء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والمزهر للسيوطي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والمقصور والممدود لابن ولاد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واليائي</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في الأصل</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في الأصل ، ولعلها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البغاء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المقصور والممدود لابن ولاد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بغاء الخير ممدود يقال خرج فلان في بغاء حاجته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اللسان ، بغا ما نصه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جعلوا البغاء على زنة الأدواء كالعطاس والزكام تشبيها لشغل قلب المطالب بالدواء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ورسمها في المخطوط لا يحتمل الثّغاء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التي جرى ذكرها في كتب اللغة والنحو </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الخليل الذين قصروه جعلوه كالحزن ، الكتاب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الجمهرة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قوم من أهل اللغة بل هما لغتان فصيحتان</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والمخصص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واللسان ، نزا وقمص</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والمقتضب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القذال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 مؤخّر الرأس والجمع أقذلة وقذل بضمتين المصباح المنير ، قذل</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والمقتضب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تفصيل الآراء حوله في المقصور والممدود لابن ولاد </w:t>
      </w:r>
      <w:r>
        <w:rPr>
          <w:rFonts w:eastAsia="IRNazanin" w:cs="IRNazanin"/>
          <w:b w:val="false"/>
          <w:bCs w:val="false"/>
          <w:i w:val="false"/>
          <w:iCs w:val="false"/>
          <w:color w:val="333333"/>
          <w:sz w:val="20"/>
          <w:szCs w:val="20"/>
        </w:rPr>
        <w:t>134</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المقصور والممدود لابن ولاد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والمقرب لابن عصفور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المقتضب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المنقوص والممدود للفراء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المنقوص والممدود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والمقرب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همع الهوامع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الأشموني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الشافية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الأزهري في شرحه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وفائدة الوزن بيان أحوال أبنية الكلمة في ثمانية أمور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الحركات والسكنات والأصول والزوائد والتقديم والتأخير والحذف وعدم الحذف</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التصريح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الجحمرش من النساء ؛ الثقيلة السمجة والعجوز الكبيرة ، ومن الإبل الكبيرة المسنّة ، الصحاح واللسان ، جحمرش</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في الأصل</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الإلحاق زيادة في الكلمة تبلغ بها زنة الملحق به ، فذوات الثلاثة يبلغ بها الأربعة والخمسة ، وذوات الأربعة يبلغ بها الخمسة ، المنصف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النحرير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الحاذق الماهر العاقل المجرب ، اللسان ، نحر</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غير</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يقتضيها السياق</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نبات أو صمغ يخرج في أصول ورق ذلك النبات اللسان ، حلت</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في سينه الفتح والضم ، اسم رجل ، انظر شرح الشافية للرضي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الشافية للجار بردي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نبت على الذقن وتحته سفلا ، وقيل هو كل ما فضل من اللحية بعد العارضين من باطنهما انظر الصحاح واللسان ، عثن</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الشافية ، لنقرة كار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ومناهج الكافية ، للأنصاري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الشافية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الصعفوق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اللئيم من الرجال ، اللسان ، صعفق ، وقيل هو من موالي بني حنيفة المزهر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شرح الشافية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المقتضب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المزهر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عدد من أمثلة فعلول بفتح الفاء</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الخرنوب والخرّوب بالتشديد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معروف ، والفصحاء يضمونه ويشددونه مع حذف النون والعامة تفتحه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 ، صعفق وخرب</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في البادية ، قيل هو في ديار تميم قرب اليمامة معجم البلدان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الشافية ، للرضي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خزعل الماشي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نفض رجله ، وناقة بها خزعال أي ظلع ، اللسان ، خزعل</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الرضي في شرحه على الشافية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 المصنّف بنى على أن بطنانا وظهرانا مفردان فحمل بطنانا في كونه فعلان على ظهران الذي هو فعلان بيقين ، ولو جعلهما جمعين لم يحتج إلى ما ذكر ؛ لأنّ فعلالا ليس من أبنية الجموع ، والحق أنهما جمعا بطن وظهر كما ذكر أهل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شرح الشافية ، للجار بردي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ومناهج الكافية ، للأنصاري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وأما قرطاس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هو في الأصل 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أنه نقيض ظهران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يستقيم بذلك الكلام</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الشافية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أصله قووس قدمت اللام إلى موضع العين فصار قسوو على وزن فلوع ، فقلب الواوان إلى ياءين فصار قسيّ على وزن فليع</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ضمتان</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والمقتضب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الشافية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الشافية لنقرة كار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الشافية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أحدهما</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ضبطها الناسخ بتسكين اللام</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ضبطها الناسخ بتسكين الفاء ، وانظر الدرر الكامنة ، للرومي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الشافية ، لنقرة كار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ومناهج الكافية ، للأنصاري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في الأصل</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الشافية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الشافية ، للجار بردي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في الأصل</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 رأم</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خلافهم حول ميزان أشياء في الكتاب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والمقتضب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والمنصف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الشافية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قائله هو الخليل كما في الصحاح ، شيأ</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الرضي في شرح الشافية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وما ذهب إليه بعيد لأن منع الصرف بلا سبب غير موجود ، والحمل على التوهم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وجد محمل 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بعيد من الحكمة</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وثمة أسباب أخرى تضعف رأيه انظرها في المنصف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الشافية ، للرضي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الشافية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الكامنة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 يمق من باب فعل يفعل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 ، ومق</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الشافية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صدره ابن جماعة بالقول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 عن الجمهور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حاشيته على شرح الجار بردي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في الأصل مشطوب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حذرا من خروجه عن الصحة بانقلابها حرف علة كسال وتظنيت</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في الأصل مشطوب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حذرا من خروجه عن الصحة بانقلابها حرف علة كسال وتظنيت</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الجار بردي ومعه حاشية ابن جماعة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الشافية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المنصف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لقبيلة ينسب إليها أبو الأسود الدؤلي ، نقل من الفعل دئل ، إذا تحرك فيكون مثل ضرب إذا سمي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وللتوسع في ذلك انظر شرح المفصل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الشافية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الشافية ، لنقرة كار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والمزهر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حبك السماء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طرائقها ، والحبك بضمتين تكسّر كل شيء كالرملة إذا مرت عليها الريح الساكنة ، وواحد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الحبك حباك وحبيكة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 ، حبك</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الشافية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هذه الأوزان في الكتاب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والمقتضب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والممتع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في الأصل مشطوب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فترد الثلاثة إلى فعل كفخذ</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الرضي في شرح الشافية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وجميع هذه التفريعات في كلام بني تميم ، وأما أهل الحجاز فلا يغيرون البناء ولا يفرعون</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أجاز ذلك الأخفش وعيسى بن عمر ، انظر شرح الشافية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الشافية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والمقتضب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والممتع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والمقتضب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والممتع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والمقتضب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والممتع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البرثن كقنفذ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الكفّ مع الأصابع ومخلب الأسد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 ، برثن</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والمقتضب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والممتع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والمقتضب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والممتع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القويّ الضخم وما يصان فيه الكتب أيضا القاموس المحيط ، قمطر</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والكوفيون أيضا ، والمختار عند جمهور البصريين أنه فرع من مضمومها ، قال الرضي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تكلف فما يصنع بما حكى الفراء من طحلب وبرقع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فالأولى القول بثبوت هذا الوزن مع قلته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المفصل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الشافية ، للرضي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التصريح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لسان العرب ، جخدب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الجخدب والجخدب ، والجخادب والجخادبي كله الضخم الغليظ من الرجال والجمال</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على جخدب في كتاب سيبويه بضم الدال</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فيها حجارة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الأدب ، للفارابي ، مادة فعلل</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العلبط والعلابط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عينهما وفتح لامهما الضّخم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 ، علبط</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والمقتضب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الشافية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والمقتضب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والممتع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والمقتضب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والمقتضب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والممتع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والمقتضب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والمنصف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الزيادة وأنواعها في المنصف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والممتع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امرأة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 ، مهد</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الخفيدد والخفيفد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الظّليم السريع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 ، خفد</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التبّع والتّبّع الظلّ لأنه يتبع الشمس وتبّع مفرد تبابعة وهم ملوك اليمن سمّوا بذلك لأنه يتبع بعضهم بعضا ، اللسان ، تبع</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الضخم من النعام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 شيء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بعير خدبّ أي شديد صلب ضخم قويّ ، اللسان ، خدب</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الفراء في مرمريس وصمحمح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فعلليل وفعلّل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كان فعفعيلا وفعلعلا لكان صرصر وزلزل فعفع ، وليس ما قال بشيء ، لأنّا لا نحكم بزيادة التضعيف إلّا بعد كمال ثلاثة 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الشافية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والمزهر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مواضع هذه الزيادات في الكتاب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والمقتضب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وإيضاح المفصل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والممتع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الأجدل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 ، جدل</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التتفل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الثعلب أو جروه القاموس المحيط ، تفل</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اليرمع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الحجارة الرخوة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 ، يرمع</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المفصل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الهبلع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الأكول واللئيم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 ، هبلع</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مواضع زيادة هذه الحروف في الكتاب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والمقتضب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والممتع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والمزهر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الشأمل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الريح التي تهبّ من ناحية القطب وهي لغة في الشّمال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 ، شمل</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الضيغم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الأسد القاموس المحيط ، ضغم</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العوسج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 ، عسج</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الترنج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والترنجة والأترجة والأترج معرب حامضه يجلو اللون والكلف ويستعمل قشره في الثياب لمنع السوس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 ، ترج</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والمنصف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الرعشن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الرّعدة القاموس المحيط ، رعش</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إيضاح المفصل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الدال الثانية زائدة سواء جعلته اسما للقبيلة ، أو اسما لموضع رجل الفارس من الدابة إذا ركب</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الألنجج واليلنجج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عود الطّيب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شجر غيره يتبخّر به لسان العرب ، لجج </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تناضب جمع تنضب وهو شجر حجازي شوكه كشوك العوسج القاموس الميحط ، نضب</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والممتع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عاقول البحر معظمه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موجه وعاقول النّهر والوادي والرمل ما اعوجّ منه وكلّ منعطف وادي عاقول لسان العرب ، عقل</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الطّامور والطّومار الصحيفة لسان العرب ، طمر</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سجن للحجاج بواسط وموضع في وسط عسقلان ، معجم البلدان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وهي في الكتاب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الفاء وفي اللسان ، دمس إن فتحت الدال جمع على دياميس وإن كسرتها جمع على دماميس والدّيماس والدّيماس الحمام</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نبات معروف انظر اللسان ، قصم</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والممتع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طائر ؛ اللسان ، حبر</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أول خروج النبات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 ، نبت</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في اللسان ذنب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قبل ذنبه ، وذنب البسرة وغيرها من التمر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مؤخرها</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واحدها تنوّطة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وورد التّنوّط بضم التاء وكسر الواو واحدها تنوطة بضم التاء وكسر 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 ، نوط</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الخيزلى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مشية فيها تفكك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المقصور والممدود لابن ولاد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الكتاب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قليل ولا نعلم إلا أجفلى ونحوه في المزهر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له الجفلى ، وفي المخصص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ودعوتهم الأجفلى أي بجماعتهم بالجيم والحاء والجيم أكثر وزاد عن الفارسي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الأوتكى التمر الشهريز</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الأترجّ واحدته ترنجة وأترجّة ، وحكى أبو عبيدة ترنجة وترنج والعامّة تقول أترنج وترنج والأوّل كلام الفصحاء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 ، ترج</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الإرزبّ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القصير الغليظ الشديد لسان العرب ، رزب</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ويقعان</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ولم يقع</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قحل وإنقحل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 جدا ويقال شيخ انقحر للمسن الهرم أيضا الصحاح واللسان ، قحل وقحر</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في الأصل مشطوب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انقحل وانقحر</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والمزهر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 وفي المفصل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حواجز ، والحواجر جمع حجرة وهي الناحية على غير قياس قاله ابن سيده ، وقياس جمعها حجرات وحجر ، انظر الصحاح واللسان ، حجر ، وانظر الكتاب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وإيضاح المفصل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مفردها غيلم وهو الذكر من السلاحف الصحاح واللسان غلم</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واحدها جندب بضم الدال وفتحها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الجراد واسم رجل ، اللسان ، جدب</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في الأصل بفتح الدال ، وفي اللسان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الدواسر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الدال الماضي الشديد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القاموس المحيط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والدواسر كعلابط الشديد الضخم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الكتاب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والمزهر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حديدة فتكون في الرّحل تعلّق منها الأداة والعجلة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حديدة حجناء تعقل فيها البكرة من جانبيها فيها المحور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 ، خطف</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وزنها فعلاء انظر المخصص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والمزهر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عمرو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القرواش والحضير والطفيليّ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الواغل اللسان ، قرش</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والممتع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الجريال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الخمر الشديد الحمرة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الصبغ الأحمر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 ، جرل</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بفتح الفاء ، والصواب كسرها ، انظرها في الكتاب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والممتع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والمزهر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الهليون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الهاء نبت معروف حار رطب القاموس المحيط ، هلن ، وبدلها في المفصل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كديون وهو دقاق التراب</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والمزهر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والممتع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العقنقل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الكثيب العظيم المتداخل الرمل اللسان ، عقل</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الخليل وسيبويه إلى أن الميم فيها زائدة لسقوط الميم في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دلاص والألف زائدة أيضا لكونها على ثلاثة أحرف أصول في حين ذهب المازني إلى كون الميم أصلا وذلك لقلة زيادة الميم في غير الأوّل ، وأيّد ابن جني قول الخليل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وكلا القولين مذهب وقول الخليل أقيس وأجرى على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والمنصف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والمزهر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اللين البراق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درع دلاص وأدرع دلاص الواحد والجمع على لفظ واحد الصحاح واللسان ، دلص</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الضهياء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التي لا تحيض ولا ينبت ثدياها ولا تحمل اللسان ، ضها</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عصب العنق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 علب</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والممتع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والمزهر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والمزهر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الدّرحرح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دويبة أعظم من الذباب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السمّ القاتل اللسان ، ذرح</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فيقع</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زال ذلك اهجيراه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دأبه وشأنه اللسان ، هجر</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والممتع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المخاريق واحدها مخراق ما تلعب به الصبيان من الخرق المفتولة اللسان خرق</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يربوع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دويبة فوق الجرذ ، الذكر والأنثى فيه سواء ، ولدواب كالأوزاغ تكون في الرأس اللسان ربع</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والممتع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وزنه فعلّان المزهر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نبت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 ، صلا</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والممتع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والمزهر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الأفعوان 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الأفاعي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فعا</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في الأصل</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والممتع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أضحيان بضم الهمزة ولم أقف عليها كذلك فيما بين يدي من المصادر ، وفي اللسان ، ضحا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إضحيان وإضحيانة بالكسر مضيئة لا غيمة فيها ، وقيل مقمرة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الكتاب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والممتع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ضبطها الناسخ بكسر الفاء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الصحاح واللسان ، خفس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أيضا الكتاب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والممتع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والممتع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والمزهر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والممتع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والمزهر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والممتع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في الأصل</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والممتع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بكسر القاف ، وفي الكتاب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بضمها وكسرها ، والوجهان جائزان ، إيضاح المفصل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واللسان ، قفخر وانظر الممتع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والمزهر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والممتع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والمزهر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الكنهبل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الباء وضمها شجر عظام وهو من العضاه ، اللسان ، كهبل</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كغذافر ، وانظر الكتاب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وإيضاح المفصل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واللسان ، عذفر</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والممتع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والحبارج ، ذكر الحبارى ، اللسان ، حبرج</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والمزهر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والممتع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الغرنوق والغرنيق بضمّ الغين وفتح النون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طائر أبيض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طائر أسود من طيور الماء طويل العنق اللسان ، غرنق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وزنه فعنيل ، المزهر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والممتع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والمزهر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الكنهور من السحاب ، المتراكب الثخين ، اللسان ، كنهر</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القربوس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حنو السّرج والقربوس لغة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 ، قربس</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المصوّت من الحمر ومن الخيل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 ، صلل</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والممتع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والمزهر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الشّفلّح شبيه القثاء يكون على الكبر ، والشفلّح ثمر الكبر إذا تفتّح واحدته شفلّحة اللسان ، شفلح</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الزّمرّد بالذال من الجواهر معروف واحدته زمرّدة ، اللسان ، زمرد</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ضبطها الناسخ بفتح الصاد ، انظر الكتاب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واللسان ، صفرق</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والممتع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وزنها فعفلى المزهر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ماء لبني عبس ، معجم ما استعجم للبكري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معجم البلدان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 باليمامة فيها قرى وزروع ونخيل كثيرة</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ضبطها الناسخ بفتح اللام الأولى وهي في الكتاب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والممتع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بكسرها ، وكلّ ورد فقد نقل ابن منظور عن كراع هي الهندبا مفتوح الدال مقصور</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الهندب والهندبا والهندباء والهندباء كلّ ذلك بقلة من أحرار البقول اللسان ، هندب</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والممتع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والمزهر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والممتع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في الأصل</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والممتع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والمزهر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الدولاب التي يستقى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 ، جنن ومنجنون</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يعيش في شرح المفصل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 قولان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من ذوات الثلاثة والنون الأولى زائدة والواو ، وإحدى النونين الأخيرتين ، ويجمع على هذا على مجانين ويكون من الثلاثة وفيه ثلاث 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رباعي والنون الأولى أصل والواو زائدة وإحدى النونين ، ويجمع حينئذ على مناجين وهو المسموع من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إيضاح المفصل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والممتع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أنابيل والتصويب من الكتاب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والمفصل وشرحه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الشافية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ومعجم البلدان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إيضاح المفصل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والممتع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وحاشية ابن جماعة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بتسكين الحاء وفتح النون ، والصواب فيما ضبطناه ، انظر الكتاب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وإيضاح المفصل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والممتع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الحمل ، وانظر اللسان ، قندل</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والممتع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والممتع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والمزهر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الصحاح ، قحد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والقمحدوة بزيادة الميم ما خلف الرأس والجمع قماحد</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والممتع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فعلللاء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الكتاب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مشطوب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الأنثى من العقارب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اللسان ، عقرب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يقال للأنثى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عقربة وعقرباء</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 هي منزل من أرض اليمامة ، وهي اسم مدينة في الجولان كان ينزلها ملوك غسان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بفتح اللام الأولى ، ونحوه في الكتاب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 ابن الحاجب في إيضاحه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هاهنا بكسر الدال وفتحها معا ممدودا ليحصل المثالان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وزنها فنعلاء ، انظر المزهر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والممتع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العقربان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العقارب ودابّة لها أرجل 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 ، عقرب</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في الأصل</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القردماني قباء محشو يتخذ للحرب فارسي معرب ، يقال له كبر ، بالرومية أو بالنبطية ، وقيل القردمان أصل للحديد وما يعمل منه 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اللسان ، مادة كبر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طبل له وجه واحد ، ونبات له شوك وانظر المعرب للجواليقي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اللسان ، حندم والمزهر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الطرمّاح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المرتفع والطويل ، اللسان طرمح</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فعلان ، وانظر الكتاب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العبوثران والعبيثران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كالقيصوم في الغبرة إلّا أنه طيّب للأكل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 واللسان ، عبثر</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والممتع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والمزهر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الجرادة العظيمة ، ضرب الناسخ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العظيمة</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والمزهر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والممتع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والممتع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ولا يكون</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الخندريس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الخمر القديمة ، اللسان ، خندرس</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والممتع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موضع قبل حرّة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وقيل وزنها يفتعول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المزهر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القرطبوس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الداهية بفتح القاف ، والقرطبوس بكسرها الناقة العظيمة الشديدة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 قرطس وانظر الكتاب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والممتع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والمزهر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زيادة من المحقق</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لمفصل الزمخشري ، والرمز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لكافية ابن الحاجب والرمز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لشافيته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image" Target="media/image3.jpeg"/><Relationship Id="rId86" Type="http://schemas.openxmlformats.org/officeDocument/2006/relationships/image" Target="media/image3.jpeg"/><Relationship Id="rId87" Type="http://schemas.openxmlformats.org/officeDocument/2006/relationships/footer" Target="footer80.xml"/><Relationship Id="rId88" Type="http://schemas.openxmlformats.org/officeDocument/2006/relationships/image" Target="media/image4.jpeg"/><Relationship Id="rId89" Type="http://schemas.openxmlformats.org/officeDocument/2006/relationships/image" Target="media/image4.jpeg"/><Relationship Id="rId90" Type="http://schemas.openxmlformats.org/officeDocument/2006/relationships/footer" Target="footer81.xml"/><Relationship Id="rId91" Type="http://schemas.openxmlformats.org/officeDocument/2006/relationships/image" Target="media/image5.jpeg"/><Relationship Id="rId92" Type="http://schemas.openxmlformats.org/officeDocument/2006/relationships/image" Target="media/image5.jpeg"/><Relationship Id="rId93" Type="http://schemas.openxmlformats.org/officeDocument/2006/relationships/image" Target="media/image6.jpeg"/><Relationship Id="rId94" Type="http://schemas.openxmlformats.org/officeDocument/2006/relationships/image" Target="media/image6.jpeg"/><Relationship Id="rId95" Type="http://schemas.openxmlformats.org/officeDocument/2006/relationships/footer" Target="footer82.xml"/><Relationship Id="rId96" Type="http://schemas.openxmlformats.org/officeDocument/2006/relationships/footer" Target="footer83.xml"/><Relationship Id="rId97" Type="http://schemas.openxmlformats.org/officeDocument/2006/relationships/footer" Target="footer84.xml"/><Relationship Id="rId98" Type="http://schemas.openxmlformats.org/officeDocument/2006/relationships/footer" Target="footer85.xml"/><Relationship Id="rId99" Type="http://schemas.openxmlformats.org/officeDocument/2006/relationships/footer" Target="footer86.xml"/><Relationship Id="rId100" Type="http://schemas.openxmlformats.org/officeDocument/2006/relationships/footer" Target="footer87.xml"/><Relationship Id="rId101" Type="http://schemas.openxmlformats.org/officeDocument/2006/relationships/footer" Target="footer88.xml"/><Relationship Id="rId102" Type="http://schemas.openxmlformats.org/officeDocument/2006/relationships/footer" Target="footer89.xml"/><Relationship Id="rId103" Type="http://schemas.openxmlformats.org/officeDocument/2006/relationships/footer" Target="footer90.xml"/><Relationship Id="rId104" Type="http://schemas.openxmlformats.org/officeDocument/2006/relationships/image" Target="media/image7.jpeg"/><Relationship Id="rId105" Type="http://schemas.openxmlformats.org/officeDocument/2006/relationships/image" Target="media/image7.jpeg"/><Relationship Id="rId106" Type="http://schemas.openxmlformats.org/officeDocument/2006/relationships/footer" Target="footer91.xml"/><Relationship Id="rId107" Type="http://schemas.openxmlformats.org/officeDocument/2006/relationships/footer" Target="footer92.xml"/><Relationship Id="rId108" Type="http://schemas.openxmlformats.org/officeDocument/2006/relationships/footer" Target="footer93.xml"/><Relationship Id="rId109" Type="http://schemas.openxmlformats.org/officeDocument/2006/relationships/footer" Target="footer94.xml"/><Relationship Id="rId110" Type="http://schemas.openxmlformats.org/officeDocument/2006/relationships/footer" Target="footer95.xml"/><Relationship Id="rId111" Type="http://schemas.openxmlformats.org/officeDocument/2006/relationships/footer" Target="footer96.xml"/><Relationship Id="rId112" Type="http://schemas.openxmlformats.org/officeDocument/2006/relationships/footer" Target="footer97.xml"/><Relationship Id="rId113" Type="http://schemas.openxmlformats.org/officeDocument/2006/relationships/footer" Target="footer98.xml"/><Relationship Id="rId114" Type="http://schemas.openxmlformats.org/officeDocument/2006/relationships/footer" Target="footer99.xml"/><Relationship Id="rId115" Type="http://schemas.openxmlformats.org/officeDocument/2006/relationships/footer" Target="footer100.xml"/><Relationship Id="rId116" Type="http://schemas.openxmlformats.org/officeDocument/2006/relationships/footer" Target="footer101.xml"/><Relationship Id="rId117" Type="http://schemas.openxmlformats.org/officeDocument/2006/relationships/footer" Target="footer102.xml"/><Relationship Id="rId118" Type="http://schemas.openxmlformats.org/officeDocument/2006/relationships/footer" Target="footer103.xml"/><Relationship Id="rId119" Type="http://schemas.openxmlformats.org/officeDocument/2006/relationships/footer" Target="footer104.xml"/><Relationship Id="rId120" Type="http://schemas.openxmlformats.org/officeDocument/2006/relationships/footer" Target="footer105.xml"/><Relationship Id="rId121" Type="http://schemas.openxmlformats.org/officeDocument/2006/relationships/footer" Target="footer106.xml"/><Relationship Id="rId122" Type="http://schemas.openxmlformats.org/officeDocument/2006/relationships/footer" Target="footer107.xml"/><Relationship Id="rId123" Type="http://schemas.openxmlformats.org/officeDocument/2006/relationships/footer" Target="footer108.xml"/><Relationship Id="rId124" Type="http://schemas.openxmlformats.org/officeDocument/2006/relationships/image" Target="media/image8.jpeg"/><Relationship Id="rId125" Type="http://schemas.openxmlformats.org/officeDocument/2006/relationships/image" Target="media/image8.jpeg"/><Relationship Id="rId126" Type="http://schemas.openxmlformats.org/officeDocument/2006/relationships/footer" Target="footer109.xml"/><Relationship Id="rId127" Type="http://schemas.openxmlformats.org/officeDocument/2006/relationships/image" Target="media/image9.jpeg"/><Relationship Id="rId128" Type="http://schemas.openxmlformats.org/officeDocument/2006/relationships/image" Target="media/image9.jpeg"/><Relationship Id="rId129" Type="http://schemas.openxmlformats.org/officeDocument/2006/relationships/footer" Target="footer110.xml"/><Relationship Id="rId130" Type="http://schemas.openxmlformats.org/officeDocument/2006/relationships/image" Target="media/image10.jpeg"/><Relationship Id="rId131" Type="http://schemas.openxmlformats.org/officeDocument/2006/relationships/image" Target="media/image10.jpeg"/><Relationship Id="rId132" Type="http://schemas.openxmlformats.org/officeDocument/2006/relationships/footer" Target="footer111.xml"/><Relationship Id="rId133" Type="http://schemas.openxmlformats.org/officeDocument/2006/relationships/image" Target="media/image11.jpeg"/><Relationship Id="rId134" Type="http://schemas.openxmlformats.org/officeDocument/2006/relationships/image" Target="media/image11.jpeg"/><Relationship Id="rId135" Type="http://schemas.openxmlformats.org/officeDocument/2006/relationships/footer" Target="footer112.xml"/><Relationship Id="rId136" Type="http://schemas.openxmlformats.org/officeDocument/2006/relationships/footer" Target="footer113.xml"/><Relationship Id="rId137" Type="http://schemas.openxmlformats.org/officeDocument/2006/relationships/footer" Target="footer114.xml"/><Relationship Id="rId138" Type="http://schemas.openxmlformats.org/officeDocument/2006/relationships/footer" Target="footer115.xml"/><Relationship Id="rId139" Type="http://schemas.openxmlformats.org/officeDocument/2006/relationships/footer" Target="footer116.xml"/><Relationship Id="rId140" Type="http://schemas.openxmlformats.org/officeDocument/2006/relationships/footer" Target="footer117.xml"/><Relationship Id="rId141" Type="http://schemas.openxmlformats.org/officeDocument/2006/relationships/footer" Target="footer118.xml"/><Relationship Id="rId142" Type="http://schemas.openxmlformats.org/officeDocument/2006/relationships/footer" Target="footer119.xml"/><Relationship Id="rId143" Type="http://schemas.openxmlformats.org/officeDocument/2006/relationships/footer" Target="footer120.xml"/><Relationship Id="rId144" Type="http://schemas.openxmlformats.org/officeDocument/2006/relationships/footer" Target="footer121.xml"/><Relationship Id="rId145" Type="http://schemas.openxmlformats.org/officeDocument/2006/relationships/footer" Target="footer122.xml"/><Relationship Id="rId146" Type="http://schemas.openxmlformats.org/officeDocument/2006/relationships/footer" Target="footer123.xml"/><Relationship Id="rId147" Type="http://schemas.openxmlformats.org/officeDocument/2006/relationships/footer" Target="footer124.xml"/><Relationship Id="rId148" Type="http://schemas.openxmlformats.org/officeDocument/2006/relationships/footer" Target="footer125.xml"/><Relationship Id="rId149" Type="http://schemas.openxmlformats.org/officeDocument/2006/relationships/footer" Target="footer126.xml"/><Relationship Id="rId150" Type="http://schemas.openxmlformats.org/officeDocument/2006/relationships/footer" Target="footer127.xml"/><Relationship Id="rId151" Type="http://schemas.openxmlformats.org/officeDocument/2006/relationships/footer" Target="footer128.xml"/><Relationship Id="rId152" Type="http://schemas.openxmlformats.org/officeDocument/2006/relationships/footer" Target="footer129.xml"/><Relationship Id="rId153" Type="http://schemas.openxmlformats.org/officeDocument/2006/relationships/footer" Target="footer130.xml"/><Relationship Id="rId154" Type="http://schemas.openxmlformats.org/officeDocument/2006/relationships/footer" Target="footer131.xml"/><Relationship Id="rId155" Type="http://schemas.openxmlformats.org/officeDocument/2006/relationships/footer" Target="footer132.xml"/><Relationship Id="rId156" Type="http://schemas.openxmlformats.org/officeDocument/2006/relationships/footer" Target="footer133.xml"/><Relationship Id="rId157" Type="http://schemas.openxmlformats.org/officeDocument/2006/relationships/footer" Target="footer134.xml"/><Relationship Id="rId158" Type="http://schemas.openxmlformats.org/officeDocument/2006/relationships/footer" Target="footer135.xml"/><Relationship Id="rId159" Type="http://schemas.openxmlformats.org/officeDocument/2006/relationships/footer" Target="footer136.xml"/><Relationship Id="rId160" Type="http://schemas.openxmlformats.org/officeDocument/2006/relationships/footer" Target="footer137.xml"/><Relationship Id="rId161" Type="http://schemas.openxmlformats.org/officeDocument/2006/relationships/footer" Target="footer138.xml"/><Relationship Id="rId162" Type="http://schemas.openxmlformats.org/officeDocument/2006/relationships/footer" Target="footer139.xml"/><Relationship Id="rId163" Type="http://schemas.openxmlformats.org/officeDocument/2006/relationships/footer" Target="footer140.xml"/><Relationship Id="rId164" Type="http://schemas.openxmlformats.org/officeDocument/2006/relationships/footer" Target="footer141.xml"/><Relationship Id="rId165" Type="http://schemas.openxmlformats.org/officeDocument/2006/relationships/footer" Target="footer142.xml"/><Relationship Id="rId166" Type="http://schemas.openxmlformats.org/officeDocument/2006/relationships/footer" Target="footer143.xml"/><Relationship Id="rId167" Type="http://schemas.openxmlformats.org/officeDocument/2006/relationships/footer" Target="footer144.xml"/><Relationship Id="rId168" Type="http://schemas.openxmlformats.org/officeDocument/2006/relationships/footer" Target="footer145.xml"/><Relationship Id="rId169" Type="http://schemas.openxmlformats.org/officeDocument/2006/relationships/footer" Target="footer146.xml"/><Relationship Id="rId170" Type="http://schemas.openxmlformats.org/officeDocument/2006/relationships/footer" Target="footer147.xml"/><Relationship Id="rId171" Type="http://schemas.openxmlformats.org/officeDocument/2006/relationships/footer" Target="footer148.xml"/><Relationship Id="rId172" Type="http://schemas.openxmlformats.org/officeDocument/2006/relationships/footer" Target="footer149.xml"/><Relationship Id="rId173" Type="http://schemas.openxmlformats.org/officeDocument/2006/relationships/footer" Target="footer150.xml"/><Relationship Id="rId174" Type="http://schemas.openxmlformats.org/officeDocument/2006/relationships/footer" Target="footer151.xml"/><Relationship Id="rId175" Type="http://schemas.openxmlformats.org/officeDocument/2006/relationships/footer" Target="footer152.xml"/><Relationship Id="rId176" Type="http://schemas.openxmlformats.org/officeDocument/2006/relationships/footer" Target="footer153.xml"/><Relationship Id="rId177" Type="http://schemas.openxmlformats.org/officeDocument/2006/relationships/footer" Target="footer154.xml"/><Relationship Id="rId178" Type="http://schemas.openxmlformats.org/officeDocument/2006/relationships/footer" Target="footer155.xml"/><Relationship Id="rId179" Type="http://schemas.openxmlformats.org/officeDocument/2006/relationships/footer" Target="footer156.xml"/><Relationship Id="rId180" Type="http://schemas.openxmlformats.org/officeDocument/2006/relationships/footer" Target="footer157.xml"/><Relationship Id="rId181" Type="http://schemas.openxmlformats.org/officeDocument/2006/relationships/footer" Target="footer158.xml"/><Relationship Id="rId182" Type="http://schemas.openxmlformats.org/officeDocument/2006/relationships/footer" Target="footer159.xml"/><Relationship Id="rId183" Type="http://schemas.openxmlformats.org/officeDocument/2006/relationships/footer" Target="footer160.xml"/><Relationship Id="rId184" Type="http://schemas.openxmlformats.org/officeDocument/2006/relationships/footer" Target="footer161.xml"/><Relationship Id="rId185" Type="http://schemas.openxmlformats.org/officeDocument/2006/relationships/footer" Target="footer162.xml"/><Relationship Id="rId186" Type="http://schemas.openxmlformats.org/officeDocument/2006/relationships/footer" Target="footer163.xml"/><Relationship Id="rId187" Type="http://schemas.openxmlformats.org/officeDocument/2006/relationships/footer" Target="footer164.xml"/><Relationship Id="rId188" Type="http://schemas.openxmlformats.org/officeDocument/2006/relationships/footer" Target="footer165.xml"/><Relationship Id="rId189" Type="http://schemas.openxmlformats.org/officeDocument/2006/relationships/footer" Target="footer166.xml"/><Relationship Id="rId190" Type="http://schemas.openxmlformats.org/officeDocument/2006/relationships/footer" Target="footer167.xml"/><Relationship Id="rId191" Type="http://schemas.openxmlformats.org/officeDocument/2006/relationships/footer" Target="footer168.xml"/><Relationship Id="rId192" Type="http://schemas.openxmlformats.org/officeDocument/2006/relationships/footer" Target="footer169.xml"/><Relationship Id="rId193" Type="http://schemas.openxmlformats.org/officeDocument/2006/relationships/footer" Target="footer170.xml"/><Relationship Id="rId194" Type="http://schemas.openxmlformats.org/officeDocument/2006/relationships/footer" Target="footer171.xml"/><Relationship Id="rId195" Type="http://schemas.openxmlformats.org/officeDocument/2006/relationships/footer" Target="footer172.xml"/><Relationship Id="rId196" Type="http://schemas.openxmlformats.org/officeDocument/2006/relationships/footer" Target="footer173.xml"/><Relationship Id="rId197" Type="http://schemas.openxmlformats.org/officeDocument/2006/relationships/footer" Target="footer174.xml"/><Relationship Id="rId198" Type="http://schemas.openxmlformats.org/officeDocument/2006/relationships/footer" Target="footer175.xml"/><Relationship Id="rId199" Type="http://schemas.openxmlformats.org/officeDocument/2006/relationships/footer" Target="footer176.xml"/><Relationship Id="rId200" Type="http://schemas.openxmlformats.org/officeDocument/2006/relationships/footer" Target="footer177.xml"/><Relationship Id="rId201" Type="http://schemas.openxmlformats.org/officeDocument/2006/relationships/footer" Target="footer178.xml"/><Relationship Id="rId202" Type="http://schemas.openxmlformats.org/officeDocument/2006/relationships/footer" Target="footer179.xml"/><Relationship Id="rId203" Type="http://schemas.openxmlformats.org/officeDocument/2006/relationships/footer" Target="footer180.xml"/><Relationship Id="rId204" Type="http://schemas.openxmlformats.org/officeDocument/2006/relationships/footer" Target="footer181.xml"/><Relationship Id="rId205" Type="http://schemas.openxmlformats.org/officeDocument/2006/relationships/footer" Target="footer182.xml"/><Relationship Id="rId206" Type="http://schemas.openxmlformats.org/officeDocument/2006/relationships/footer" Target="footer183.xml"/><Relationship Id="rId207" Type="http://schemas.openxmlformats.org/officeDocument/2006/relationships/footer" Target="footer184.xml"/><Relationship Id="rId208" Type="http://schemas.openxmlformats.org/officeDocument/2006/relationships/footer" Target="footer185.xml"/><Relationship Id="rId209" Type="http://schemas.openxmlformats.org/officeDocument/2006/relationships/footer" Target="footer186.xml"/><Relationship Id="rId210" Type="http://schemas.openxmlformats.org/officeDocument/2006/relationships/footer" Target="footer187.xml"/><Relationship Id="rId211" Type="http://schemas.openxmlformats.org/officeDocument/2006/relationships/footer" Target="footer188.xml"/><Relationship Id="rId212" Type="http://schemas.openxmlformats.org/officeDocument/2006/relationships/footer" Target="footer189.xml"/><Relationship Id="rId213" Type="http://schemas.openxmlformats.org/officeDocument/2006/relationships/footer" Target="footer190.xml"/><Relationship Id="rId214" Type="http://schemas.openxmlformats.org/officeDocument/2006/relationships/footer" Target="footer191.xml"/><Relationship Id="rId215" Type="http://schemas.openxmlformats.org/officeDocument/2006/relationships/footer" Target="footer192.xml"/><Relationship Id="rId216" Type="http://schemas.openxmlformats.org/officeDocument/2006/relationships/footer" Target="footer193.xml"/><Relationship Id="rId217" Type="http://schemas.openxmlformats.org/officeDocument/2006/relationships/footer" Target="footer194.xml"/><Relationship Id="rId218" Type="http://schemas.openxmlformats.org/officeDocument/2006/relationships/footer" Target="footer195.xml"/><Relationship Id="rId219" Type="http://schemas.openxmlformats.org/officeDocument/2006/relationships/footer" Target="footer196.xml"/><Relationship Id="rId220" Type="http://schemas.openxmlformats.org/officeDocument/2006/relationships/footer" Target="footer197.xml"/><Relationship Id="rId221" Type="http://schemas.openxmlformats.org/officeDocument/2006/relationships/footer" Target="footer198.xml"/><Relationship Id="rId222" Type="http://schemas.openxmlformats.org/officeDocument/2006/relationships/footer" Target="footer199.xml"/><Relationship Id="rId223" Type="http://schemas.openxmlformats.org/officeDocument/2006/relationships/footer" Target="footer200.xml"/><Relationship Id="rId224" Type="http://schemas.openxmlformats.org/officeDocument/2006/relationships/footer" Target="footer201.xml"/><Relationship Id="rId225" Type="http://schemas.openxmlformats.org/officeDocument/2006/relationships/footer" Target="footer202.xml"/><Relationship Id="rId226" Type="http://schemas.openxmlformats.org/officeDocument/2006/relationships/footer" Target="footer203.xml"/><Relationship Id="rId227" Type="http://schemas.openxmlformats.org/officeDocument/2006/relationships/footer" Target="footer204.xml"/><Relationship Id="rId228" Type="http://schemas.openxmlformats.org/officeDocument/2006/relationships/footer" Target="footer205.xml"/><Relationship Id="rId229" Type="http://schemas.openxmlformats.org/officeDocument/2006/relationships/footer" Target="footer206.xml"/><Relationship Id="rId230" Type="http://schemas.openxmlformats.org/officeDocument/2006/relationships/footer" Target="footer207.xml"/><Relationship Id="rId231" Type="http://schemas.openxmlformats.org/officeDocument/2006/relationships/footer" Target="footer208.xml"/><Relationship Id="rId232" Type="http://schemas.openxmlformats.org/officeDocument/2006/relationships/footer" Target="footer209.xml"/><Relationship Id="rId233" Type="http://schemas.openxmlformats.org/officeDocument/2006/relationships/footer" Target="footer210.xml"/><Relationship Id="rId234" Type="http://schemas.openxmlformats.org/officeDocument/2006/relationships/footer" Target="footer211.xml"/><Relationship Id="rId235" Type="http://schemas.openxmlformats.org/officeDocument/2006/relationships/footer" Target="footer212.xml"/><Relationship Id="rId236" Type="http://schemas.openxmlformats.org/officeDocument/2006/relationships/footer" Target="footer213.xml"/><Relationship Id="rId237" Type="http://schemas.openxmlformats.org/officeDocument/2006/relationships/footer" Target="footer214.xml"/><Relationship Id="rId238" Type="http://schemas.openxmlformats.org/officeDocument/2006/relationships/footer" Target="footer215.xml"/><Relationship Id="rId239" Type="http://schemas.openxmlformats.org/officeDocument/2006/relationships/footer" Target="footer216.xml"/><Relationship Id="rId240" Type="http://schemas.openxmlformats.org/officeDocument/2006/relationships/footer" Target="footer217.xml"/><Relationship Id="rId241" Type="http://schemas.openxmlformats.org/officeDocument/2006/relationships/footer" Target="footer218.xml"/><Relationship Id="rId242" Type="http://schemas.openxmlformats.org/officeDocument/2006/relationships/footer" Target="footer219.xml"/><Relationship Id="rId243" Type="http://schemas.openxmlformats.org/officeDocument/2006/relationships/footer" Target="footer220.xml"/><Relationship Id="rId244" Type="http://schemas.openxmlformats.org/officeDocument/2006/relationships/footer" Target="footer221.xml"/><Relationship Id="rId245" Type="http://schemas.openxmlformats.org/officeDocument/2006/relationships/footer" Target="footer222.xml"/><Relationship Id="rId246" Type="http://schemas.openxmlformats.org/officeDocument/2006/relationships/footer" Target="footer223.xml"/><Relationship Id="rId247" Type="http://schemas.openxmlformats.org/officeDocument/2006/relationships/footer" Target="footer224.xml"/><Relationship Id="rId248" Type="http://schemas.openxmlformats.org/officeDocument/2006/relationships/footer" Target="footer225.xml"/><Relationship Id="rId249" Type="http://schemas.openxmlformats.org/officeDocument/2006/relationships/footer" Target="footer226.xml"/><Relationship Id="rId250" Type="http://schemas.openxmlformats.org/officeDocument/2006/relationships/footer" Target="footer227.xml"/><Relationship Id="rId251" Type="http://schemas.openxmlformats.org/officeDocument/2006/relationships/footer" Target="footer228.xml"/><Relationship Id="rId252" Type="http://schemas.openxmlformats.org/officeDocument/2006/relationships/footer" Target="footer229.xml"/><Relationship Id="rId253" Type="http://schemas.openxmlformats.org/officeDocument/2006/relationships/footer" Target="footer230.xml"/><Relationship Id="rId254" Type="http://schemas.openxmlformats.org/officeDocument/2006/relationships/footer" Target="footer231.xml"/><Relationship Id="rId255" Type="http://schemas.openxmlformats.org/officeDocument/2006/relationships/footer" Target="footer232.xml"/><Relationship Id="rId256" Type="http://schemas.openxmlformats.org/officeDocument/2006/relationships/footer" Target="footer233.xml"/><Relationship Id="rId257" Type="http://schemas.openxmlformats.org/officeDocument/2006/relationships/footer" Target="footer234.xml"/><Relationship Id="rId258" Type="http://schemas.openxmlformats.org/officeDocument/2006/relationships/footer" Target="footer235.xml"/><Relationship Id="rId259" Type="http://schemas.openxmlformats.org/officeDocument/2006/relationships/footer" Target="footer236.xml"/><Relationship Id="rId260" Type="http://schemas.openxmlformats.org/officeDocument/2006/relationships/image" Target="media/image12.jpeg"/><Relationship Id="rId261" Type="http://schemas.openxmlformats.org/officeDocument/2006/relationships/image" Target="media/image12.jpeg"/><Relationship Id="rId262" Type="http://schemas.openxmlformats.org/officeDocument/2006/relationships/footer" Target="footer237.xml"/><Relationship Id="rId263" Type="http://schemas.openxmlformats.org/officeDocument/2006/relationships/footer" Target="footer238.xml"/><Relationship Id="rId264" Type="http://schemas.openxmlformats.org/officeDocument/2006/relationships/footer" Target="footer239.xml"/><Relationship Id="rId265" Type="http://schemas.openxmlformats.org/officeDocument/2006/relationships/footer" Target="footer240.xml"/><Relationship Id="rId266" Type="http://schemas.openxmlformats.org/officeDocument/2006/relationships/footer" Target="footer241.xml"/><Relationship Id="rId267" Type="http://schemas.openxmlformats.org/officeDocument/2006/relationships/footer" Target="footer242.xml"/><Relationship Id="rId268" Type="http://schemas.openxmlformats.org/officeDocument/2006/relationships/footer" Target="footer243.xml"/><Relationship Id="rId269" Type="http://schemas.openxmlformats.org/officeDocument/2006/relationships/footer" Target="footer244.xml"/><Relationship Id="rId270" Type="http://schemas.openxmlformats.org/officeDocument/2006/relationships/footer" Target="footer245.xml"/><Relationship Id="rId271" Type="http://schemas.openxmlformats.org/officeDocument/2006/relationships/footer" Target="footer246.xml"/><Relationship Id="rId272" Type="http://schemas.openxmlformats.org/officeDocument/2006/relationships/footer" Target="footer247.xml"/><Relationship Id="rId273" Type="http://schemas.openxmlformats.org/officeDocument/2006/relationships/image" Target="media/image13.jpeg"/><Relationship Id="rId274" Type="http://schemas.openxmlformats.org/officeDocument/2006/relationships/image" Target="media/image13.jpeg"/><Relationship Id="rId275" Type="http://schemas.openxmlformats.org/officeDocument/2006/relationships/footer" Target="footer248.xml"/><Relationship Id="rId276" Type="http://schemas.openxmlformats.org/officeDocument/2006/relationships/footer" Target="footer249.xml"/><Relationship Id="rId277" Type="http://schemas.openxmlformats.org/officeDocument/2006/relationships/footer" Target="footer250.xml"/><Relationship Id="rId278" Type="http://schemas.openxmlformats.org/officeDocument/2006/relationships/footer" Target="footer251.xml"/><Relationship Id="rId279" Type="http://schemas.openxmlformats.org/officeDocument/2006/relationships/footer" Target="footer252.xml"/><Relationship Id="rId280" Type="http://schemas.openxmlformats.org/officeDocument/2006/relationships/footer" Target="footer253.xml"/><Relationship Id="rId281" Type="http://schemas.openxmlformats.org/officeDocument/2006/relationships/footer" Target="footer254.xml"/><Relationship Id="rId282" Type="http://schemas.openxmlformats.org/officeDocument/2006/relationships/footer" Target="footer255.xml"/><Relationship Id="rId283" Type="http://schemas.openxmlformats.org/officeDocument/2006/relationships/footer" Target="footer256.xml"/><Relationship Id="rId284" Type="http://schemas.openxmlformats.org/officeDocument/2006/relationships/footer" Target="footer257.xml"/><Relationship Id="rId285" Type="http://schemas.openxmlformats.org/officeDocument/2006/relationships/footer" Target="footer258.xml"/><Relationship Id="rId286" Type="http://schemas.openxmlformats.org/officeDocument/2006/relationships/footer" Target="footer259.xml"/><Relationship Id="rId287" Type="http://schemas.openxmlformats.org/officeDocument/2006/relationships/footer" Target="footer260.xml"/><Relationship Id="rId288" Type="http://schemas.openxmlformats.org/officeDocument/2006/relationships/footer" Target="footer261.xml"/><Relationship Id="rId289" Type="http://schemas.openxmlformats.org/officeDocument/2006/relationships/footer" Target="footer262.xml"/><Relationship Id="rId290" Type="http://schemas.openxmlformats.org/officeDocument/2006/relationships/footer" Target="footer263.xml"/><Relationship Id="rId291" Type="http://schemas.openxmlformats.org/officeDocument/2006/relationships/footer" Target="footer264.xml"/><Relationship Id="rId292" Type="http://schemas.openxmlformats.org/officeDocument/2006/relationships/footer" Target="footer265.xml"/><Relationship Id="rId293" Type="http://schemas.openxmlformats.org/officeDocument/2006/relationships/footer" Target="footer266.xml"/><Relationship Id="rId294" Type="http://schemas.openxmlformats.org/officeDocument/2006/relationships/footer" Target="footer267.xml"/><Relationship Id="rId295" Type="http://schemas.openxmlformats.org/officeDocument/2006/relationships/footer" Target="footer268.xml"/><Relationship Id="rId296" Type="http://schemas.openxmlformats.org/officeDocument/2006/relationships/footer" Target="footer269.xml"/><Relationship Id="rId297" Type="http://schemas.openxmlformats.org/officeDocument/2006/relationships/footer" Target="footer270.xml"/><Relationship Id="rId298" Type="http://schemas.openxmlformats.org/officeDocument/2006/relationships/footer" Target="footer271.xml"/><Relationship Id="rId299" Type="http://schemas.openxmlformats.org/officeDocument/2006/relationships/footer" Target="footer272.xml"/><Relationship Id="rId300" Type="http://schemas.openxmlformats.org/officeDocument/2006/relationships/footer" Target="footer273.xml"/><Relationship Id="rId301" Type="http://schemas.openxmlformats.org/officeDocument/2006/relationships/footer" Target="footer274.xml"/><Relationship Id="rId302" Type="http://schemas.openxmlformats.org/officeDocument/2006/relationships/footer" Target="footer275.xml"/><Relationship Id="rId303" Type="http://schemas.openxmlformats.org/officeDocument/2006/relationships/footer" Target="footer276.xml"/><Relationship Id="rId304" Type="http://schemas.openxmlformats.org/officeDocument/2006/relationships/footer" Target="footer277.xml"/><Relationship Id="rId305" Type="http://schemas.openxmlformats.org/officeDocument/2006/relationships/footer" Target="footer278.xml"/><Relationship Id="rId306" Type="http://schemas.openxmlformats.org/officeDocument/2006/relationships/footer" Target="footer279.xml"/><Relationship Id="rId307" Type="http://schemas.openxmlformats.org/officeDocument/2006/relationships/footer" Target="footer280.xml"/><Relationship Id="rId308" Type="http://schemas.openxmlformats.org/officeDocument/2006/relationships/footer" Target="footer281.xml"/><Relationship Id="rId309" Type="http://schemas.openxmlformats.org/officeDocument/2006/relationships/footer" Target="footer282.xml"/><Relationship Id="rId310" Type="http://schemas.openxmlformats.org/officeDocument/2006/relationships/footer" Target="footer283.xml"/><Relationship Id="rId311" Type="http://schemas.openxmlformats.org/officeDocument/2006/relationships/footer" Target="footer284.xml"/><Relationship Id="rId312" Type="http://schemas.openxmlformats.org/officeDocument/2006/relationships/footer" Target="footer285.xml"/><Relationship Id="rId313" Type="http://schemas.openxmlformats.org/officeDocument/2006/relationships/footer" Target="footer286.xml"/><Relationship Id="rId314" Type="http://schemas.openxmlformats.org/officeDocument/2006/relationships/footer" Target="footer287.xml"/><Relationship Id="rId315" Type="http://schemas.openxmlformats.org/officeDocument/2006/relationships/footer" Target="footer288.xml"/><Relationship Id="rId316" Type="http://schemas.openxmlformats.org/officeDocument/2006/relationships/footer" Target="footer289.xml"/><Relationship Id="rId317" Type="http://schemas.openxmlformats.org/officeDocument/2006/relationships/footer" Target="footer290.xml"/><Relationship Id="rId318" Type="http://schemas.openxmlformats.org/officeDocument/2006/relationships/footer" Target="footer291.xml"/><Relationship Id="rId319" Type="http://schemas.openxmlformats.org/officeDocument/2006/relationships/footer" Target="footer292.xml"/><Relationship Id="rId320" Type="http://schemas.openxmlformats.org/officeDocument/2006/relationships/footer" Target="footer293.xml"/><Relationship Id="rId321" Type="http://schemas.openxmlformats.org/officeDocument/2006/relationships/footer" Target="footer294.xml"/><Relationship Id="rId322" Type="http://schemas.openxmlformats.org/officeDocument/2006/relationships/footer" Target="footer295.xml"/><Relationship Id="rId323" Type="http://schemas.openxmlformats.org/officeDocument/2006/relationships/footer" Target="footer296.xml"/><Relationship Id="rId324" Type="http://schemas.openxmlformats.org/officeDocument/2006/relationships/footer" Target="footer297.xml"/><Relationship Id="rId325" Type="http://schemas.openxmlformats.org/officeDocument/2006/relationships/footer" Target="footer298.xml"/><Relationship Id="rId326" Type="http://schemas.openxmlformats.org/officeDocument/2006/relationships/footer" Target="footer299.xml"/><Relationship Id="rId327" Type="http://schemas.openxmlformats.org/officeDocument/2006/relationships/footer" Target="footer300.xml"/><Relationship Id="rId328" Type="http://schemas.openxmlformats.org/officeDocument/2006/relationships/footer" Target="footer301.xml"/><Relationship Id="rId329" Type="http://schemas.openxmlformats.org/officeDocument/2006/relationships/footer" Target="footer302.xml"/><Relationship Id="rId330" Type="http://schemas.openxmlformats.org/officeDocument/2006/relationships/footer" Target="footer303.xml"/><Relationship Id="rId331" Type="http://schemas.openxmlformats.org/officeDocument/2006/relationships/footer" Target="footer304.xml"/><Relationship Id="rId332" Type="http://schemas.openxmlformats.org/officeDocument/2006/relationships/footer" Target="footer305.xml"/><Relationship Id="rId333" Type="http://schemas.openxmlformats.org/officeDocument/2006/relationships/footer" Target="footer306.xml"/><Relationship Id="rId334" Type="http://schemas.openxmlformats.org/officeDocument/2006/relationships/footer" Target="footer307.xml"/><Relationship Id="rId335" Type="http://schemas.openxmlformats.org/officeDocument/2006/relationships/footer" Target="footer308.xml"/><Relationship Id="rId336" Type="http://schemas.openxmlformats.org/officeDocument/2006/relationships/footer" Target="footer309.xml"/><Relationship Id="rId337" Type="http://schemas.openxmlformats.org/officeDocument/2006/relationships/footer" Target="footer310.xml"/><Relationship Id="rId338" Type="http://schemas.openxmlformats.org/officeDocument/2006/relationships/footer" Target="footer311.xml"/><Relationship Id="rId339" Type="http://schemas.openxmlformats.org/officeDocument/2006/relationships/footer" Target="footer312.xml"/><Relationship Id="rId340" Type="http://schemas.openxmlformats.org/officeDocument/2006/relationships/footer" Target="footer313.xml"/><Relationship Id="rId341" Type="http://schemas.openxmlformats.org/officeDocument/2006/relationships/footer" Target="footer314.xml"/><Relationship Id="rId342" Type="http://schemas.openxmlformats.org/officeDocument/2006/relationships/footer" Target="footer315.xml"/><Relationship Id="rId343" Type="http://schemas.openxmlformats.org/officeDocument/2006/relationships/footer" Target="footer316.xml"/><Relationship Id="rId344" Type="http://schemas.openxmlformats.org/officeDocument/2006/relationships/footer" Target="footer317.xml"/><Relationship Id="rId345" Type="http://schemas.openxmlformats.org/officeDocument/2006/relationships/footer" Target="footer318.xml"/><Relationship Id="rId346" Type="http://schemas.openxmlformats.org/officeDocument/2006/relationships/footer" Target="footer319.xml"/><Relationship Id="rId347" Type="http://schemas.openxmlformats.org/officeDocument/2006/relationships/footer" Target="footer320.xml"/><Relationship Id="rId348" Type="http://schemas.openxmlformats.org/officeDocument/2006/relationships/footer" Target="footer321.xml"/><Relationship Id="rId349" Type="http://schemas.openxmlformats.org/officeDocument/2006/relationships/footer" Target="footer322.xml"/><Relationship Id="rId350" Type="http://schemas.openxmlformats.org/officeDocument/2006/relationships/footer" Target="footer323.xml"/><Relationship Id="rId351" Type="http://schemas.openxmlformats.org/officeDocument/2006/relationships/footer" Target="footer324.xml"/><Relationship Id="rId352" Type="http://schemas.openxmlformats.org/officeDocument/2006/relationships/footer" Target="footer325.xml"/><Relationship Id="rId353" Type="http://schemas.openxmlformats.org/officeDocument/2006/relationships/footer" Target="footer326.xml"/><Relationship Id="rId354" Type="http://schemas.openxmlformats.org/officeDocument/2006/relationships/footer" Target="footer327.xml"/><Relationship Id="rId355" Type="http://schemas.openxmlformats.org/officeDocument/2006/relationships/footer" Target="footer328.xml"/><Relationship Id="rId356" Type="http://schemas.openxmlformats.org/officeDocument/2006/relationships/footer" Target="footer329.xml"/><Relationship Id="rId357" Type="http://schemas.openxmlformats.org/officeDocument/2006/relationships/footer" Target="footer330.xml"/><Relationship Id="rId358" Type="http://schemas.openxmlformats.org/officeDocument/2006/relationships/footer" Target="footer331.xml"/><Relationship Id="rId359" Type="http://schemas.openxmlformats.org/officeDocument/2006/relationships/footer" Target="footer332.xml"/><Relationship Id="rId360" Type="http://schemas.openxmlformats.org/officeDocument/2006/relationships/footer" Target="footer333.xml"/><Relationship Id="rId361" Type="http://schemas.openxmlformats.org/officeDocument/2006/relationships/footer" Target="footer334.xml"/><Relationship Id="rId362" Type="http://schemas.openxmlformats.org/officeDocument/2006/relationships/footer" Target="footer335.xml"/><Relationship Id="rId363" Type="http://schemas.openxmlformats.org/officeDocument/2006/relationships/footer" Target="footer336.xml"/><Relationship Id="rId364" Type="http://schemas.openxmlformats.org/officeDocument/2006/relationships/image" Target="media/image14.jpeg"/><Relationship Id="rId365" Type="http://schemas.openxmlformats.org/officeDocument/2006/relationships/image" Target="media/image14.jpeg"/><Relationship Id="rId366" Type="http://schemas.openxmlformats.org/officeDocument/2006/relationships/footer" Target="footer337.xml"/><Relationship Id="rId367" Type="http://schemas.openxmlformats.org/officeDocument/2006/relationships/footer" Target="footer338.xml"/><Relationship Id="rId368" Type="http://schemas.openxmlformats.org/officeDocument/2006/relationships/footer" Target="footer339.xml"/><Relationship Id="rId369" Type="http://schemas.openxmlformats.org/officeDocument/2006/relationships/footer" Target="footer340.xml"/><Relationship Id="rId370" Type="http://schemas.openxmlformats.org/officeDocument/2006/relationships/footer" Target="footer341.xml"/><Relationship Id="rId371" Type="http://schemas.openxmlformats.org/officeDocument/2006/relationships/footer" Target="footer342.xml"/><Relationship Id="rId372" Type="http://schemas.openxmlformats.org/officeDocument/2006/relationships/footer" Target="footer343.xml"/><Relationship Id="rId373" Type="http://schemas.openxmlformats.org/officeDocument/2006/relationships/footer" Target="footer344.xml"/><Relationship Id="rId374" Type="http://schemas.openxmlformats.org/officeDocument/2006/relationships/footer" Target="footer345.xml"/><Relationship Id="rId375" Type="http://schemas.openxmlformats.org/officeDocument/2006/relationships/footer" Target="footer346.xml"/><Relationship Id="rId376" Type="http://schemas.openxmlformats.org/officeDocument/2006/relationships/footer" Target="footer347.xml"/><Relationship Id="rId377" Type="http://schemas.openxmlformats.org/officeDocument/2006/relationships/footer" Target="footer348.xml"/><Relationship Id="rId378" Type="http://schemas.openxmlformats.org/officeDocument/2006/relationships/footer" Target="footer349.xml"/><Relationship Id="rId379" Type="http://schemas.openxmlformats.org/officeDocument/2006/relationships/footer" Target="footer350.xml"/><Relationship Id="rId380" Type="http://schemas.openxmlformats.org/officeDocument/2006/relationships/footer" Target="footer351.xml"/><Relationship Id="rId381" Type="http://schemas.openxmlformats.org/officeDocument/2006/relationships/footer" Target="footer352.xml"/><Relationship Id="rId382" Type="http://schemas.openxmlformats.org/officeDocument/2006/relationships/footer" Target="footer353.xml"/><Relationship Id="rId383" Type="http://schemas.openxmlformats.org/officeDocument/2006/relationships/footer" Target="footer354.xml"/><Relationship Id="rId384" Type="http://schemas.openxmlformats.org/officeDocument/2006/relationships/footer" Target="footer355.xml"/><Relationship Id="rId385" Type="http://schemas.openxmlformats.org/officeDocument/2006/relationships/footer" Target="footer356.xml"/><Relationship Id="rId386" Type="http://schemas.openxmlformats.org/officeDocument/2006/relationships/footer" Target="footer357.xml"/><Relationship Id="rId387" Type="http://schemas.openxmlformats.org/officeDocument/2006/relationships/footer" Target="footer358.xml"/><Relationship Id="rId388" Type="http://schemas.openxmlformats.org/officeDocument/2006/relationships/footer" Target="footer359.xml"/><Relationship Id="rId389" Type="http://schemas.openxmlformats.org/officeDocument/2006/relationships/footer" Target="footer360.xml"/><Relationship Id="rId390" Type="http://schemas.openxmlformats.org/officeDocument/2006/relationships/footer" Target="footer361.xml"/><Relationship Id="rId391" Type="http://schemas.openxmlformats.org/officeDocument/2006/relationships/footer" Target="footer362.xml"/><Relationship Id="rId392" Type="http://schemas.openxmlformats.org/officeDocument/2006/relationships/footer" Target="footer363.xml"/><Relationship Id="rId393" Type="http://schemas.openxmlformats.org/officeDocument/2006/relationships/footer" Target="footer364.xml"/><Relationship Id="rId394" Type="http://schemas.openxmlformats.org/officeDocument/2006/relationships/footer" Target="footer365.xml"/><Relationship Id="rId395" Type="http://schemas.openxmlformats.org/officeDocument/2006/relationships/footer" Target="footer366.xml"/><Relationship Id="rId396" Type="http://schemas.openxmlformats.org/officeDocument/2006/relationships/footer" Target="footer367.xml"/><Relationship Id="rId397" Type="http://schemas.openxmlformats.org/officeDocument/2006/relationships/footer" Target="footer368.xml"/><Relationship Id="rId398" Type="http://schemas.openxmlformats.org/officeDocument/2006/relationships/footer" Target="footer369.xml"/><Relationship Id="rId399" Type="http://schemas.openxmlformats.org/officeDocument/2006/relationships/footer" Target="footer370.xml"/><Relationship Id="rId400" Type="http://schemas.openxmlformats.org/officeDocument/2006/relationships/footer" Target="footer371.xml"/><Relationship Id="rId401" Type="http://schemas.openxmlformats.org/officeDocument/2006/relationships/footer" Target="footer372.xml"/><Relationship Id="rId402" Type="http://schemas.openxmlformats.org/officeDocument/2006/relationships/footer" Target="footer373.xml"/><Relationship Id="rId403" Type="http://schemas.openxmlformats.org/officeDocument/2006/relationships/footer" Target="footer374.xml"/><Relationship Id="rId404" Type="http://schemas.openxmlformats.org/officeDocument/2006/relationships/footer" Target="footer375.xml"/><Relationship Id="rId405" Type="http://schemas.openxmlformats.org/officeDocument/2006/relationships/footer" Target="footer376.xml"/><Relationship Id="rId406" Type="http://schemas.openxmlformats.org/officeDocument/2006/relationships/footer" Target="footer377.xml"/><Relationship Id="rId407" Type="http://schemas.openxmlformats.org/officeDocument/2006/relationships/footer" Target="footer378.xml"/><Relationship Id="rId408" Type="http://schemas.openxmlformats.org/officeDocument/2006/relationships/footer" Target="footer379.xml"/><Relationship Id="rId409" Type="http://schemas.openxmlformats.org/officeDocument/2006/relationships/footer" Target="footer380.xml"/><Relationship Id="rId410" Type="http://schemas.openxmlformats.org/officeDocument/2006/relationships/footer" Target="footer381.xml"/><Relationship Id="rId411" Type="http://schemas.openxmlformats.org/officeDocument/2006/relationships/footer" Target="footer382.xml"/><Relationship Id="rId412" Type="http://schemas.openxmlformats.org/officeDocument/2006/relationships/footer" Target="footer383.xml"/><Relationship Id="rId413" Type="http://schemas.openxmlformats.org/officeDocument/2006/relationships/footer" Target="footer384.xml"/><Relationship Id="rId414" Type="http://schemas.openxmlformats.org/officeDocument/2006/relationships/footer" Target="footer385.xml"/><Relationship Id="rId415" Type="http://schemas.openxmlformats.org/officeDocument/2006/relationships/footer" Target="footer386.xml"/><Relationship Id="rId416" Type="http://schemas.openxmlformats.org/officeDocument/2006/relationships/footer" Target="footer387.xml"/><Relationship Id="rId417" Type="http://schemas.openxmlformats.org/officeDocument/2006/relationships/footer" Target="footer388.xml"/><Relationship Id="rId418" Type="http://schemas.openxmlformats.org/officeDocument/2006/relationships/footer" Target="footer389.xml"/><Relationship Id="rId419" Type="http://schemas.openxmlformats.org/officeDocument/2006/relationships/footer" Target="footer390.xml"/><Relationship Id="rId420" Type="http://schemas.openxmlformats.org/officeDocument/2006/relationships/footer" Target="footer391.xml"/><Relationship Id="rId421" Type="http://schemas.openxmlformats.org/officeDocument/2006/relationships/footer" Target="footer392.xml"/><Relationship Id="rId422" Type="http://schemas.openxmlformats.org/officeDocument/2006/relationships/footer" Target="footer393.xml"/><Relationship Id="rId423" Type="http://schemas.openxmlformats.org/officeDocument/2006/relationships/footer" Target="footer394.xml"/><Relationship Id="rId424" Type="http://schemas.openxmlformats.org/officeDocument/2006/relationships/footer" Target="footer395.xml"/><Relationship Id="rId425" Type="http://schemas.openxmlformats.org/officeDocument/2006/relationships/footer" Target="footer396.xml"/><Relationship Id="rId426" Type="http://schemas.openxmlformats.org/officeDocument/2006/relationships/footer" Target="footer397.xml"/><Relationship Id="rId427" Type="http://schemas.openxmlformats.org/officeDocument/2006/relationships/footer" Target="footer398.xml"/><Relationship Id="rId428" Type="http://schemas.openxmlformats.org/officeDocument/2006/relationships/footer" Target="footer399.xml"/><Relationship Id="rId429" Type="http://schemas.openxmlformats.org/officeDocument/2006/relationships/footer" Target="footer400.xml"/><Relationship Id="rId430" Type="http://schemas.openxmlformats.org/officeDocument/2006/relationships/footer" Target="footer401.xml"/><Relationship Id="rId431" Type="http://schemas.openxmlformats.org/officeDocument/2006/relationships/footer" Target="footer402.xml"/><Relationship Id="rId432" Type="http://schemas.openxmlformats.org/officeDocument/2006/relationships/footer" Target="footer403.xml"/><Relationship Id="rId433" Type="http://schemas.openxmlformats.org/officeDocument/2006/relationships/footer" Target="footer404.xml"/><Relationship Id="rId434" Type="http://schemas.openxmlformats.org/officeDocument/2006/relationships/footer" Target="footer405.xml"/><Relationship Id="rId435" Type="http://schemas.openxmlformats.org/officeDocument/2006/relationships/footer" Target="footer406.xml"/><Relationship Id="rId436" Type="http://schemas.openxmlformats.org/officeDocument/2006/relationships/footer" Target="footer407.xml"/><Relationship Id="rId437" Type="http://schemas.openxmlformats.org/officeDocument/2006/relationships/footer" Target="footer408.xml"/><Relationship Id="rId438" Type="http://schemas.openxmlformats.org/officeDocument/2006/relationships/footer" Target="footer409.xml"/><Relationship Id="rId439" Type="http://schemas.openxmlformats.org/officeDocument/2006/relationships/footer" Target="footer410.xml"/><Relationship Id="rId440" Type="http://schemas.openxmlformats.org/officeDocument/2006/relationships/footer" Target="footer411.xml"/><Relationship Id="rId441" Type="http://schemas.openxmlformats.org/officeDocument/2006/relationships/footer" Target="footer412.xml"/><Relationship Id="rId442" Type="http://schemas.openxmlformats.org/officeDocument/2006/relationships/footer" Target="footer413.xml"/><Relationship Id="rId443" Type="http://schemas.openxmlformats.org/officeDocument/2006/relationships/footer" Target="footer414.xml"/><Relationship Id="rId444" Type="http://schemas.openxmlformats.org/officeDocument/2006/relationships/footer" Target="footer415.xml"/><Relationship Id="rId445" Type="http://schemas.openxmlformats.org/officeDocument/2006/relationships/footer" Target="footer416.xml"/><Relationship Id="rId446" Type="http://schemas.openxmlformats.org/officeDocument/2006/relationships/image" Target="media/image15.jpeg"/><Relationship Id="rId447" Type="http://schemas.openxmlformats.org/officeDocument/2006/relationships/image" Target="media/image15.jpeg"/><Relationship Id="rId448" Type="http://schemas.openxmlformats.org/officeDocument/2006/relationships/footer" Target="footer417.xml"/><Relationship Id="rId449" Type="http://schemas.openxmlformats.org/officeDocument/2006/relationships/image" Target="media/image16.jpeg"/><Relationship Id="rId450" Type="http://schemas.openxmlformats.org/officeDocument/2006/relationships/image" Target="media/image16.jpeg"/><Relationship Id="rId451" Type="http://schemas.openxmlformats.org/officeDocument/2006/relationships/footer" Target="footer418.xml"/><Relationship Id="rId452" Type="http://schemas.openxmlformats.org/officeDocument/2006/relationships/image" Target="media/image2.jpeg"/><Relationship Id="rId453" Type="http://schemas.openxmlformats.org/officeDocument/2006/relationships/image" Target="media/image2.jpeg"/><Relationship Id="rId454" Type="http://schemas.openxmlformats.org/officeDocument/2006/relationships/footer" Target="footer419.xml"/><Relationship Id="rId455" Type="http://schemas.openxmlformats.org/officeDocument/2006/relationships/footnotes" Target="footnotes.xml"/><Relationship Id="rId456" Type="http://schemas.openxmlformats.org/officeDocument/2006/relationships/numbering" Target="numbering.xml"/><Relationship Id="rId457" Type="http://schemas.openxmlformats.org/officeDocument/2006/relationships/fontTable" Target="fontTable.xml"/><Relationship Id="rId458" Type="http://schemas.openxmlformats.org/officeDocument/2006/relationships/settings" Target="settings.xml"/><Relationship Id="rId45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447</Pages>
  <Words>87170</Words>
  <Characters>336599</Characters>
  <CharactersWithSpaces>421274</CharactersWithSpaces>
  <Paragraphs>2845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2026-08-24T13:47:41Z</dcterms:created>
  <dc:creator>ghaemiyeh.com</dc:creator>
  <dc:description/>
  <dc:language>en-US</dc:language>
  <cp:lastModifiedBy/>
  <dcterms:modified xsi:type="dcterms:W3CDTF">2026-08-24T17:30:41Z</dcterms:modified>
  <cp:revision>1</cp:revision>
  <dc:subject/>
  <dc:title>کتاب الکناش فی فنی النحو و الصرف جلد 1</dc:title>
</cp:coreProperties>
</file>

<file path=docProps/custom.xml><?xml version="1.0" encoding="utf-8"?>
<Properties xmlns="http://schemas.openxmlformats.org/officeDocument/2006/custom-properties" xmlns:vt="http://schemas.openxmlformats.org/officeDocument/2006/docPropsVTypes"/>
</file>